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03F0C">
      <w:pPr>
        <w:tabs>
          <w:tab w:val="left" w:pos="7665"/>
        </w:tabs>
        <w:spacing w:before="260" w:after="260" w:line="600" w:lineRule="auto"/>
        <w:jc w:val="center"/>
        <w:outlineLvl w:val="0"/>
        <w:rPr>
          <w:rFonts w:hint="eastAsia" w:ascii="仿宋" w:hAnsi="仿宋" w:eastAsia="仿宋" w:cs="仿宋"/>
          <w:b/>
          <w:color w:val="auto"/>
          <w:sz w:val="32"/>
          <w:highlight w:val="none"/>
        </w:rPr>
      </w:pPr>
      <w:r>
        <w:rPr>
          <w:rFonts w:hint="eastAsia" w:ascii="仿宋" w:hAnsi="仿宋" w:eastAsia="仿宋" w:cs="仿宋"/>
          <w:b/>
          <w:color w:val="auto"/>
          <w:sz w:val="32"/>
          <w:highlight w:val="none"/>
        </w:rPr>
        <w:t xml:space="preserve"> 政府采购合同</w:t>
      </w:r>
    </w:p>
    <w:p w14:paraId="67ABA2FD">
      <w:pPr>
        <w:spacing w:line="360" w:lineRule="auto"/>
        <w:rPr>
          <w:rFonts w:hint="eastAsia" w:ascii="仿宋" w:hAnsi="仿宋" w:eastAsia="仿宋" w:cs="仿宋"/>
          <w:color w:val="auto"/>
          <w:sz w:val="24"/>
          <w:highlight w:val="none"/>
        </w:rPr>
      </w:pPr>
      <w:bookmarkStart w:id="0" w:name="_Hlt101846155"/>
      <w:bookmarkEnd w:id="0"/>
      <w:r>
        <w:rPr>
          <w:rFonts w:hint="eastAsia" w:ascii="仿宋" w:hAnsi="仿宋" w:eastAsia="仿宋" w:cs="仿宋"/>
          <w:color w:val="auto"/>
          <w:sz w:val="24"/>
          <w:highlight w:val="none"/>
        </w:rPr>
        <w:t>合同编号：XXXX</w:t>
      </w:r>
    </w:p>
    <w:p w14:paraId="0E6A4C5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签订地点：XXXX</w:t>
      </w:r>
    </w:p>
    <w:p w14:paraId="0FA8CBB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签订时间：XXXX年XX月XX日。</w:t>
      </w:r>
    </w:p>
    <w:p w14:paraId="1C1DCC37">
      <w:pPr>
        <w:spacing w:line="360" w:lineRule="auto"/>
        <w:rPr>
          <w:rFonts w:hint="eastAsia" w:ascii="仿宋" w:hAnsi="仿宋" w:eastAsia="仿宋" w:cs="仿宋"/>
          <w:color w:val="auto"/>
          <w:kern w:val="0"/>
          <w:sz w:val="24"/>
          <w:highlight w:val="none"/>
          <w:u w:val="single"/>
          <w:lang w:eastAsia="zh-CN"/>
        </w:rPr>
      </w:pPr>
      <w:r>
        <w:rPr>
          <w:rFonts w:hint="eastAsia" w:ascii="仿宋" w:hAnsi="仿宋" w:eastAsia="仿宋" w:cs="仿宋"/>
          <w:color w:val="auto"/>
          <w:sz w:val="24"/>
          <w:highlight w:val="none"/>
        </w:rPr>
        <w:t>采购人（甲方）：</w:t>
      </w:r>
      <w:r>
        <w:rPr>
          <w:rFonts w:hint="eastAsia" w:ascii="仿宋" w:hAnsi="仿宋" w:eastAsia="仿宋" w:cs="仿宋"/>
          <w:color w:val="auto"/>
          <w:kern w:val="0"/>
          <w:sz w:val="24"/>
          <w:highlight w:val="none"/>
          <w:u w:val="single"/>
        </w:rPr>
        <w:t>乐山市</w:t>
      </w:r>
      <w:r>
        <w:rPr>
          <w:rFonts w:hint="eastAsia" w:ascii="仿宋" w:hAnsi="仿宋" w:eastAsia="仿宋" w:cs="仿宋"/>
          <w:color w:val="auto"/>
          <w:kern w:val="0"/>
          <w:sz w:val="24"/>
          <w:highlight w:val="none"/>
          <w:u w:val="single"/>
          <w:lang w:eastAsia="zh-CN"/>
        </w:rPr>
        <w:t>人民医院</w:t>
      </w:r>
    </w:p>
    <w:p w14:paraId="3B8E4482">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供应商（乙方）：</w:t>
      </w:r>
      <w:r>
        <w:rPr>
          <w:rFonts w:hint="eastAsia" w:ascii="仿宋" w:hAnsi="仿宋" w:eastAsia="仿宋" w:cs="仿宋"/>
          <w:color w:val="auto"/>
          <w:sz w:val="24"/>
          <w:highlight w:val="none"/>
          <w:u w:val="single"/>
        </w:rPr>
        <w:t xml:space="preserve"> XXXXX  </w:t>
      </w:r>
    </w:p>
    <w:p w14:paraId="735EDC60">
      <w:pPr>
        <w:spacing w:line="360" w:lineRule="auto"/>
        <w:ind w:firstLine="480" w:firstLineChars="200"/>
        <w:rPr>
          <w:rFonts w:hint="eastAsia" w:ascii="仿宋" w:hAnsi="仿宋" w:eastAsia="仿宋" w:cs="仿宋"/>
          <w:color w:val="auto"/>
          <w:sz w:val="24"/>
          <w:highlight w:val="none"/>
        </w:rPr>
      </w:pPr>
    </w:p>
    <w:p w14:paraId="327B169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依据《中华人民共和国民法典》、《中华人民共和国政府采购法》与项目行业有关的法律法规，（项目编号：XXX号）的《采购文件》，乙方的《响应文件》及《成交通知书》，甲、乙双方同意签订本合同。 </w:t>
      </w:r>
    </w:p>
    <w:p w14:paraId="23CEF939">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仿宋" w:hAnsi="仿宋" w:eastAsia="仿宋" w:cs="仿宋"/>
          <w:color w:val="auto"/>
          <w:sz w:val="24"/>
          <w:szCs w:val="24"/>
          <w:highlight w:val="none"/>
        </w:rPr>
      </w:pPr>
      <w:bookmarkStart w:id="1" w:name="_Toc225670751"/>
      <w:bookmarkStart w:id="2" w:name="_Toc239233914"/>
      <w:bookmarkStart w:id="3" w:name="_Toc241833903"/>
      <w:bookmarkStart w:id="4" w:name="_Toc211854449"/>
      <w:bookmarkStart w:id="5" w:name="_Toc239568418"/>
      <w:bookmarkStart w:id="6" w:name="_Toc247334841"/>
      <w:bookmarkStart w:id="7" w:name="_Toc225244852"/>
      <w:bookmarkStart w:id="8" w:name="_Toc286993786"/>
      <w:bookmarkStart w:id="9" w:name="_Toc282696226"/>
      <w:bookmarkStart w:id="10" w:name="_Toc283019214"/>
      <w:bookmarkStart w:id="11" w:name="_Toc225654644"/>
      <w:bookmarkStart w:id="12" w:name="_Toc211911348"/>
      <w:bookmarkStart w:id="13" w:name="_Toc237145406"/>
      <w:bookmarkStart w:id="14" w:name="_Toc251768862"/>
      <w:bookmarkStart w:id="15" w:name="_Toc212019594"/>
      <w:bookmarkStart w:id="16" w:name="_Toc185395249"/>
      <w:bookmarkStart w:id="17" w:name="_Toc238984975"/>
      <w:bookmarkStart w:id="18" w:name="_Toc232492928"/>
      <w:r>
        <w:rPr>
          <w:rFonts w:hint="eastAsia" w:ascii="仿宋" w:hAnsi="仿宋" w:eastAsia="仿宋" w:cs="仿宋"/>
          <w:b/>
          <w:bCs/>
          <w:color w:val="auto"/>
          <w:sz w:val="24"/>
          <w:szCs w:val="24"/>
          <w:highlight w:val="none"/>
          <w:lang w:val="en-US" w:eastAsia="zh-CN"/>
        </w:rPr>
        <w:t>第一条 )服务时限及服务地点要求</w:t>
      </w:r>
      <w:r>
        <w:rPr>
          <w:rFonts w:hint="eastAsia" w:ascii="仿宋" w:hAnsi="仿宋" w:eastAsia="仿宋" w:cs="仿宋"/>
          <w:b/>
          <w:bCs/>
          <w:color w:val="auto"/>
          <w:sz w:val="24"/>
          <w:szCs w:val="24"/>
          <w:highlight w:val="none"/>
        </w:rPr>
        <w:t>：</w:t>
      </w:r>
    </w:p>
    <w:p w14:paraId="12BCE58C">
      <w:pPr>
        <w:pStyle w:val="2"/>
        <w:widowControl w:val="0"/>
        <w:spacing w:line="360" w:lineRule="auto"/>
        <w:ind w:left="240" w:hanging="24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1)服务时限要求：采购合同签订生效之日起至90个日历天内完成；</w:t>
      </w:r>
    </w:p>
    <w:p w14:paraId="5D107485">
      <w:pPr>
        <w:pStyle w:val="2"/>
        <w:widowControl w:val="0"/>
        <w:spacing w:line="360" w:lineRule="auto"/>
        <w:ind w:left="240" w:hanging="240"/>
        <w:rPr>
          <w:rFonts w:hint="eastAsia" w:ascii="仿宋" w:hAnsi="仿宋" w:eastAsia="仿宋" w:cs="仿宋"/>
          <w:color w:val="auto"/>
          <w:szCs w:val="21"/>
          <w:highlight w:val="none"/>
        </w:rPr>
      </w:pPr>
      <w:r>
        <w:rPr>
          <w:rFonts w:hint="eastAsia" w:ascii="仿宋" w:hAnsi="仿宋" w:eastAsia="仿宋" w:cs="仿宋"/>
          <w:color w:val="auto"/>
          <w:sz w:val="24"/>
          <w:szCs w:val="24"/>
          <w:highlight w:val="none"/>
          <w:lang w:val="en-US" w:eastAsia="zh-CN"/>
        </w:rPr>
        <w:t>2）服务地点要求：按采购人指定地点。</w:t>
      </w:r>
    </w:p>
    <w:p w14:paraId="7A7C6D53">
      <w:pPr>
        <w:numPr>
          <w:ilvl w:val="0"/>
          <w:numId w:val="0"/>
        </w:numPr>
        <w:tabs>
          <w:tab w:val="left" w:pos="1521"/>
        </w:tabs>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第二条</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合同标的</w:t>
      </w:r>
    </w:p>
    <w:tbl>
      <w:tblPr>
        <w:tblStyle w:val="4"/>
        <w:tblpPr w:leftFromText="180" w:rightFromText="180" w:vertAnchor="text" w:horzAnchor="page" w:tblpX="1162" w:tblpY="464"/>
        <w:tblOverlap w:val="never"/>
        <w:tblW w:w="92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06"/>
        <w:gridCol w:w="1069"/>
        <w:gridCol w:w="1706"/>
        <w:gridCol w:w="1950"/>
        <w:gridCol w:w="1375"/>
        <w:gridCol w:w="1325"/>
        <w:gridCol w:w="1225"/>
      </w:tblGrid>
      <w:tr w14:paraId="45A85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2D31FB6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序号</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0A5BB7C">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楼号</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24AB9A22">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检测区域名称</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20DFD98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区域级别</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0D89155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数量（间）</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4F83AED1">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检测单价（元）</w:t>
            </w: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63AA7F5">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总价（元）</w:t>
            </w:r>
          </w:p>
        </w:tc>
      </w:tr>
      <w:tr w14:paraId="5BC44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051B4005">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1</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348043F">
            <w:pPr>
              <w:keepNext w:val="0"/>
              <w:keepLines w:val="0"/>
              <w:widowControl/>
              <w:suppressLineNumbers w:val="0"/>
              <w:jc w:val="both"/>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三号楼一层静配中心</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072D6374">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洁净间辅助用房</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6421AEC4">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8级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6182FB9">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18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74735DDF">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F0CDA37">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28C0E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5762E733">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2</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294BC14">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三号楼四层手术室</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3EEF481A">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手术室（Ⅰ级手术室）</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27DD1CA0">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手术区域5级，周边6级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01F7D6F9">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9</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1562AFCB">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01E2AEE6">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4BE14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18956ABF">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3</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69AD8">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3B22EA0A">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手术室（Ⅲ级手术室）</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2A128A02">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手术区域7级，周边8级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17F552A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34</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385BCA3C">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61B71DB0">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68BD7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08501E12">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4</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15D16">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2D5B6219">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洁净间辅助用房</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6D6DE68F">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8级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27200B4E">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40</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2C4F567">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5298876B">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0ADE7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nil"/>
              <w:left w:val="single" w:color="000000" w:sz="4" w:space="0"/>
              <w:bottom w:val="single" w:color="000000" w:sz="4" w:space="0"/>
              <w:right w:val="single" w:color="000000" w:sz="4" w:space="0"/>
            </w:tcBorders>
            <w:noWrap w:val="0"/>
            <w:vAlign w:val="center"/>
          </w:tcPr>
          <w:p w14:paraId="090C4250">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5</w:t>
            </w:r>
          </w:p>
        </w:tc>
        <w:tc>
          <w:tcPr>
            <w:tcW w:w="1069" w:type="dxa"/>
            <w:vMerge w:val="restart"/>
            <w:tcBorders>
              <w:top w:val="nil"/>
              <w:left w:val="single" w:color="000000" w:sz="4" w:space="0"/>
              <w:bottom w:val="single" w:color="000000" w:sz="4" w:space="0"/>
              <w:right w:val="single" w:color="000000" w:sz="4" w:space="0"/>
            </w:tcBorders>
            <w:noWrap w:val="0"/>
            <w:vAlign w:val="center"/>
          </w:tcPr>
          <w:p w14:paraId="6F19F690">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5号楼10层眼科手术室</w:t>
            </w:r>
          </w:p>
        </w:tc>
        <w:tc>
          <w:tcPr>
            <w:tcW w:w="1706" w:type="dxa"/>
            <w:tcBorders>
              <w:top w:val="nil"/>
              <w:left w:val="single" w:color="000000" w:sz="4" w:space="0"/>
              <w:bottom w:val="single" w:color="000000" w:sz="4" w:space="0"/>
              <w:right w:val="single" w:color="000000" w:sz="4" w:space="0"/>
            </w:tcBorders>
            <w:noWrap w:val="0"/>
            <w:vAlign w:val="center"/>
          </w:tcPr>
          <w:p w14:paraId="5B2E3059">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手术室（Ⅰ级手术室）</w:t>
            </w:r>
          </w:p>
        </w:tc>
        <w:tc>
          <w:tcPr>
            <w:tcW w:w="1950" w:type="dxa"/>
            <w:tcBorders>
              <w:top w:val="nil"/>
              <w:left w:val="single" w:color="000000" w:sz="4" w:space="0"/>
              <w:bottom w:val="single" w:color="000000" w:sz="4" w:space="0"/>
              <w:right w:val="single" w:color="000000" w:sz="4" w:space="0"/>
            </w:tcBorders>
            <w:noWrap w:val="0"/>
            <w:vAlign w:val="center"/>
          </w:tcPr>
          <w:p w14:paraId="7752D9BB">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手术区域5级，周边6级</w:t>
            </w:r>
          </w:p>
        </w:tc>
        <w:tc>
          <w:tcPr>
            <w:tcW w:w="1375" w:type="dxa"/>
            <w:tcBorders>
              <w:top w:val="nil"/>
              <w:left w:val="single" w:color="000000" w:sz="4" w:space="0"/>
              <w:bottom w:val="single" w:color="000000" w:sz="4" w:space="0"/>
              <w:right w:val="single" w:color="000000" w:sz="4" w:space="0"/>
            </w:tcBorders>
            <w:noWrap w:val="0"/>
            <w:vAlign w:val="center"/>
          </w:tcPr>
          <w:p w14:paraId="450E1420">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5</w:t>
            </w:r>
          </w:p>
        </w:tc>
        <w:tc>
          <w:tcPr>
            <w:tcW w:w="1325" w:type="dxa"/>
            <w:tcBorders>
              <w:top w:val="nil"/>
              <w:left w:val="single" w:color="000000" w:sz="4" w:space="0"/>
              <w:bottom w:val="single" w:color="000000" w:sz="4" w:space="0"/>
              <w:right w:val="single" w:color="000000" w:sz="4" w:space="0"/>
            </w:tcBorders>
            <w:noWrap w:val="0"/>
            <w:vAlign w:val="center"/>
          </w:tcPr>
          <w:p w14:paraId="28E60CFC">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nil"/>
              <w:left w:val="single" w:color="000000" w:sz="4" w:space="0"/>
              <w:bottom w:val="single" w:color="000000" w:sz="4" w:space="0"/>
              <w:right w:val="single" w:color="000000" w:sz="4" w:space="0"/>
            </w:tcBorders>
            <w:noWrap w:val="0"/>
            <w:vAlign w:val="center"/>
          </w:tcPr>
          <w:p w14:paraId="045E94CD">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6CAC1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13E0A5C9">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6</w:t>
            </w:r>
          </w:p>
        </w:tc>
        <w:tc>
          <w:tcPr>
            <w:tcW w:w="1069" w:type="dxa"/>
            <w:vMerge w:val="continue"/>
            <w:tcBorders>
              <w:top w:val="nil"/>
              <w:left w:val="single" w:color="000000" w:sz="4" w:space="0"/>
              <w:bottom w:val="single" w:color="000000" w:sz="4" w:space="0"/>
              <w:right w:val="single" w:color="000000" w:sz="4" w:space="0"/>
            </w:tcBorders>
            <w:noWrap w:val="0"/>
            <w:vAlign w:val="center"/>
          </w:tcPr>
          <w:p w14:paraId="2DB67596">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6C2D3E91">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手术室（Ⅲ级手术室）</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7025685A">
            <w:pPr>
              <w:keepNext w:val="0"/>
              <w:keepLines w:val="0"/>
              <w:widowControl/>
              <w:suppressLineNumbers w:val="0"/>
              <w:ind w:left="200" w:leftChars="0" w:hanging="200" w:hangingChars="10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20"/>
                <w:szCs w:val="20"/>
                <w:highlight w:val="none"/>
                <w:u w:val="none"/>
                <w:lang w:val="en-US" w:eastAsia="zh-CN" w:bidi="ar"/>
              </w:rPr>
              <w:t>手术区域7级，周边8级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5EE3F401">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4</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7FE2558B">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1A1ECE9">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5C60B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0357E11F">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7</w:t>
            </w:r>
          </w:p>
        </w:tc>
        <w:tc>
          <w:tcPr>
            <w:tcW w:w="1069" w:type="dxa"/>
            <w:vMerge w:val="continue"/>
            <w:tcBorders>
              <w:top w:val="nil"/>
              <w:left w:val="single" w:color="000000" w:sz="4" w:space="0"/>
              <w:bottom w:val="single" w:color="000000" w:sz="4" w:space="0"/>
              <w:right w:val="single" w:color="000000" w:sz="4" w:space="0"/>
            </w:tcBorders>
            <w:noWrap w:val="0"/>
            <w:vAlign w:val="center"/>
          </w:tcPr>
          <w:p w14:paraId="0F6D82A6">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60834E34">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洁净间辅助用房</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7527F12E">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8级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64ED5E77">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19</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9CEEC88">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2669853A">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2C7FD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5424AE8D">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8</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563455BF">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六号楼七层血液科层流病房</w:t>
            </w: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75F678A7">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洁净间辅助用房（Ⅰ级手术室）</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38673C18">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手术区域5级，周边6级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705DC51D">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5</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225CC0C7">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383D4266">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41D25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000000" w:sz="4" w:space="0"/>
              <w:right w:val="single" w:color="000000" w:sz="4" w:space="0"/>
            </w:tcBorders>
            <w:noWrap w:val="0"/>
            <w:vAlign w:val="center"/>
          </w:tcPr>
          <w:p w14:paraId="7DA48260">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9</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622971">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000000" w:sz="4" w:space="0"/>
              <w:right w:val="single" w:color="000000" w:sz="4" w:space="0"/>
            </w:tcBorders>
            <w:noWrap w:val="0"/>
            <w:vAlign w:val="center"/>
          </w:tcPr>
          <w:p w14:paraId="44F91557">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洁净间辅助用房（Ⅱ级手术室）</w:t>
            </w:r>
          </w:p>
        </w:tc>
        <w:tc>
          <w:tcPr>
            <w:tcW w:w="1950" w:type="dxa"/>
            <w:tcBorders>
              <w:top w:val="single" w:color="000000" w:sz="4" w:space="0"/>
              <w:left w:val="single" w:color="000000" w:sz="4" w:space="0"/>
              <w:bottom w:val="single" w:color="000000" w:sz="4" w:space="0"/>
              <w:right w:val="single" w:color="000000" w:sz="4" w:space="0"/>
            </w:tcBorders>
            <w:noWrap w:val="0"/>
            <w:vAlign w:val="center"/>
          </w:tcPr>
          <w:p w14:paraId="6289BD8C">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手术区域6级，周边7级</w:t>
            </w:r>
          </w:p>
        </w:tc>
        <w:tc>
          <w:tcPr>
            <w:tcW w:w="1375" w:type="dxa"/>
            <w:tcBorders>
              <w:top w:val="single" w:color="000000" w:sz="4" w:space="0"/>
              <w:left w:val="single" w:color="000000" w:sz="4" w:space="0"/>
              <w:bottom w:val="single" w:color="000000" w:sz="4" w:space="0"/>
              <w:right w:val="single" w:color="000000" w:sz="4" w:space="0"/>
            </w:tcBorders>
            <w:noWrap w:val="0"/>
            <w:vAlign w:val="center"/>
          </w:tcPr>
          <w:p w14:paraId="1CF0098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5</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073797C2">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noWrap w:val="0"/>
            <w:vAlign w:val="center"/>
          </w:tcPr>
          <w:p w14:paraId="1F660005">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36AA2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606" w:type="dxa"/>
            <w:tcBorders>
              <w:top w:val="single" w:color="000000" w:sz="4" w:space="0"/>
              <w:left w:val="single" w:color="000000" w:sz="4" w:space="0"/>
              <w:bottom w:val="single" w:color="auto" w:sz="4" w:space="0"/>
              <w:right w:val="single" w:color="000000" w:sz="4" w:space="0"/>
            </w:tcBorders>
            <w:noWrap w:val="0"/>
            <w:vAlign w:val="center"/>
          </w:tcPr>
          <w:p w14:paraId="4B7815A1">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10</w:t>
            </w:r>
          </w:p>
        </w:tc>
        <w:tc>
          <w:tcPr>
            <w:tcW w:w="1069" w:type="dxa"/>
            <w:vMerge w:val="continue"/>
            <w:tcBorders>
              <w:top w:val="single" w:color="000000" w:sz="4" w:space="0"/>
              <w:left w:val="single" w:color="000000" w:sz="4" w:space="0"/>
              <w:bottom w:val="single" w:color="auto" w:sz="4" w:space="0"/>
              <w:right w:val="single" w:color="000000" w:sz="4" w:space="0"/>
            </w:tcBorders>
            <w:noWrap w:val="0"/>
            <w:vAlign w:val="center"/>
          </w:tcPr>
          <w:p w14:paraId="338D47FC">
            <w:pPr>
              <w:jc w:val="center"/>
              <w:rPr>
                <w:rFonts w:hint="eastAsia" w:ascii="仿宋" w:hAnsi="仿宋" w:eastAsia="仿宋" w:cs="仿宋"/>
                <w:b w:val="0"/>
                <w:bCs w:val="0"/>
                <w:i w:val="0"/>
                <w:iCs w:val="0"/>
                <w:color w:val="auto"/>
                <w:sz w:val="18"/>
                <w:szCs w:val="18"/>
                <w:highlight w:val="none"/>
                <w:u w:val="none"/>
              </w:rPr>
            </w:pPr>
          </w:p>
        </w:tc>
        <w:tc>
          <w:tcPr>
            <w:tcW w:w="1706" w:type="dxa"/>
            <w:tcBorders>
              <w:top w:val="single" w:color="000000" w:sz="4" w:space="0"/>
              <w:left w:val="single" w:color="000000" w:sz="4" w:space="0"/>
              <w:bottom w:val="single" w:color="auto" w:sz="4" w:space="0"/>
              <w:right w:val="single" w:color="000000" w:sz="4" w:space="0"/>
            </w:tcBorders>
            <w:noWrap w:val="0"/>
            <w:vAlign w:val="center"/>
          </w:tcPr>
          <w:p w14:paraId="16FA6C4B">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洁净间辅助用房（Ⅲ级手术室）</w:t>
            </w:r>
          </w:p>
        </w:tc>
        <w:tc>
          <w:tcPr>
            <w:tcW w:w="1950" w:type="dxa"/>
            <w:tcBorders>
              <w:top w:val="single" w:color="000000" w:sz="4" w:space="0"/>
              <w:left w:val="single" w:color="000000" w:sz="4" w:space="0"/>
              <w:bottom w:val="single" w:color="auto" w:sz="4" w:space="0"/>
              <w:right w:val="single" w:color="000000" w:sz="4" w:space="0"/>
            </w:tcBorders>
            <w:noWrap w:val="0"/>
            <w:vAlign w:val="center"/>
          </w:tcPr>
          <w:p w14:paraId="096355A9">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手术区域7级，周边8级</w:t>
            </w:r>
          </w:p>
        </w:tc>
        <w:tc>
          <w:tcPr>
            <w:tcW w:w="1375" w:type="dxa"/>
            <w:tcBorders>
              <w:top w:val="single" w:color="000000" w:sz="4" w:space="0"/>
              <w:left w:val="single" w:color="000000" w:sz="4" w:space="0"/>
              <w:bottom w:val="single" w:color="auto" w:sz="4" w:space="0"/>
              <w:right w:val="single" w:color="000000" w:sz="4" w:space="0"/>
            </w:tcBorders>
            <w:noWrap w:val="0"/>
            <w:vAlign w:val="center"/>
          </w:tcPr>
          <w:p w14:paraId="44107038">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30</w:t>
            </w:r>
          </w:p>
        </w:tc>
        <w:tc>
          <w:tcPr>
            <w:tcW w:w="1325" w:type="dxa"/>
            <w:tcBorders>
              <w:top w:val="single" w:color="000000" w:sz="4" w:space="0"/>
              <w:left w:val="single" w:color="000000" w:sz="4" w:space="0"/>
              <w:bottom w:val="single" w:color="auto" w:sz="4" w:space="0"/>
              <w:right w:val="single" w:color="000000" w:sz="4" w:space="0"/>
            </w:tcBorders>
            <w:noWrap w:val="0"/>
            <w:vAlign w:val="center"/>
          </w:tcPr>
          <w:p w14:paraId="622D5AE8">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000000" w:sz="4" w:space="0"/>
              <w:left w:val="single" w:color="000000" w:sz="4" w:space="0"/>
              <w:bottom w:val="single" w:color="auto" w:sz="4" w:space="0"/>
              <w:right w:val="single" w:color="000000" w:sz="4" w:space="0"/>
            </w:tcBorders>
            <w:noWrap w:val="0"/>
            <w:vAlign w:val="center"/>
          </w:tcPr>
          <w:p w14:paraId="231C4972">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4FBDD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606" w:type="dxa"/>
            <w:tcBorders>
              <w:top w:val="single" w:color="auto" w:sz="4" w:space="0"/>
              <w:left w:val="single" w:color="auto" w:sz="4" w:space="0"/>
              <w:bottom w:val="single" w:color="auto" w:sz="4" w:space="0"/>
              <w:right w:val="single" w:color="auto" w:sz="4" w:space="0"/>
            </w:tcBorders>
            <w:noWrap w:val="0"/>
            <w:vAlign w:val="center"/>
          </w:tcPr>
          <w:p w14:paraId="5416C7A8">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11</w:t>
            </w:r>
          </w:p>
        </w:tc>
        <w:tc>
          <w:tcPr>
            <w:tcW w:w="1069" w:type="dxa"/>
            <w:tcBorders>
              <w:top w:val="single" w:color="auto" w:sz="4" w:space="0"/>
              <w:left w:val="single" w:color="auto" w:sz="4" w:space="0"/>
              <w:bottom w:val="single" w:color="auto" w:sz="4" w:space="0"/>
              <w:right w:val="single" w:color="auto" w:sz="4" w:space="0"/>
            </w:tcBorders>
            <w:noWrap w:val="0"/>
            <w:vAlign w:val="center"/>
          </w:tcPr>
          <w:p w14:paraId="51176C8C">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门诊三层肠内营养配置</w:t>
            </w:r>
          </w:p>
        </w:tc>
        <w:tc>
          <w:tcPr>
            <w:tcW w:w="1706" w:type="dxa"/>
            <w:tcBorders>
              <w:top w:val="single" w:color="auto" w:sz="4" w:space="0"/>
              <w:left w:val="single" w:color="auto" w:sz="4" w:space="0"/>
              <w:bottom w:val="single" w:color="auto" w:sz="4" w:space="0"/>
              <w:right w:val="single" w:color="auto" w:sz="4" w:space="0"/>
            </w:tcBorders>
            <w:noWrap w:val="0"/>
            <w:vAlign w:val="center"/>
          </w:tcPr>
          <w:p w14:paraId="10D5F953">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洁净间辅助用房（Ⅲ级手术室）</w:t>
            </w:r>
          </w:p>
        </w:tc>
        <w:tc>
          <w:tcPr>
            <w:tcW w:w="1950" w:type="dxa"/>
            <w:tcBorders>
              <w:top w:val="single" w:color="auto" w:sz="4" w:space="0"/>
              <w:left w:val="single" w:color="auto" w:sz="4" w:space="0"/>
              <w:bottom w:val="single" w:color="auto" w:sz="4" w:space="0"/>
              <w:right w:val="single" w:color="auto" w:sz="4" w:space="0"/>
            </w:tcBorders>
            <w:noWrap w:val="0"/>
            <w:vAlign w:val="center"/>
          </w:tcPr>
          <w:p w14:paraId="0A78FF3B">
            <w:pPr>
              <w:keepNext w:val="0"/>
              <w:keepLines w:val="0"/>
              <w:widowControl/>
              <w:suppressLineNumbers w:val="0"/>
              <w:jc w:val="center"/>
              <w:textAlignment w:val="center"/>
              <w:rPr>
                <w:rFonts w:hint="eastAsia" w:ascii="仿宋" w:hAnsi="仿宋" w:eastAsia="仿宋" w:cs="仿宋"/>
                <w:b w:val="0"/>
                <w:bCs w:val="0"/>
                <w:i w:val="0"/>
                <w:iCs w:val="0"/>
                <w:color w:val="auto"/>
                <w:sz w:val="18"/>
                <w:szCs w:val="18"/>
                <w:highlight w:val="none"/>
                <w:u w:val="none"/>
              </w:rPr>
            </w:pPr>
            <w:r>
              <w:rPr>
                <w:rFonts w:hint="eastAsia" w:ascii="仿宋" w:hAnsi="仿宋" w:eastAsia="仿宋" w:cs="仿宋"/>
                <w:b w:val="0"/>
                <w:bCs w:val="0"/>
                <w:i w:val="0"/>
                <w:iCs w:val="0"/>
                <w:color w:val="auto"/>
                <w:kern w:val="0"/>
                <w:sz w:val="18"/>
                <w:szCs w:val="18"/>
                <w:highlight w:val="none"/>
                <w:u w:val="none"/>
                <w:lang w:val="en-US" w:eastAsia="zh-CN" w:bidi="ar"/>
              </w:rPr>
              <w:t>8级</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3040F6AA">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1</w:t>
            </w:r>
          </w:p>
        </w:tc>
        <w:tc>
          <w:tcPr>
            <w:tcW w:w="1325" w:type="dxa"/>
            <w:tcBorders>
              <w:top w:val="single" w:color="auto" w:sz="4" w:space="0"/>
              <w:left w:val="single" w:color="auto" w:sz="4" w:space="0"/>
              <w:bottom w:val="single" w:color="auto" w:sz="4" w:space="0"/>
              <w:right w:val="single" w:color="auto" w:sz="4" w:space="0"/>
            </w:tcBorders>
            <w:noWrap w:val="0"/>
            <w:vAlign w:val="center"/>
          </w:tcPr>
          <w:p w14:paraId="32030A0D">
            <w:pPr>
              <w:keepNext w:val="0"/>
              <w:keepLines w:val="0"/>
              <w:widowControl/>
              <w:suppressLineNumbers w:val="0"/>
              <w:ind w:left="180" w:leftChars="0" w:hanging="180" w:hangingChars="10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225" w:type="dxa"/>
            <w:tcBorders>
              <w:top w:val="single" w:color="auto" w:sz="4" w:space="0"/>
              <w:left w:val="single" w:color="auto" w:sz="4" w:space="0"/>
              <w:bottom w:val="single" w:color="auto" w:sz="4" w:space="0"/>
              <w:right w:val="single" w:color="auto" w:sz="4" w:space="0"/>
            </w:tcBorders>
            <w:noWrap w:val="0"/>
            <w:vAlign w:val="center"/>
          </w:tcPr>
          <w:p w14:paraId="6FFBD282">
            <w:pPr>
              <w:keepNext w:val="0"/>
              <w:keepLines w:val="0"/>
              <w:widowControl/>
              <w:suppressLineNumbers w:val="0"/>
              <w:ind w:left="200" w:leftChars="0" w:hanging="200" w:hangingChars="100"/>
              <w:jc w:val="center"/>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p>
        </w:tc>
      </w:tr>
      <w:tr w14:paraId="314EC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9256" w:type="dxa"/>
            <w:gridSpan w:val="7"/>
            <w:tcBorders>
              <w:top w:val="single" w:color="auto" w:sz="4" w:space="0"/>
              <w:left w:val="single" w:color="auto" w:sz="4" w:space="0"/>
              <w:bottom w:val="single" w:color="auto" w:sz="4" w:space="0"/>
              <w:right w:val="single" w:color="auto" w:sz="4" w:space="0"/>
            </w:tcBorders>
            <w:noWrap w:val="0"/>
            <w:vAlign w:val="center"/>
          </w:tcPr>
          <w:p w14:paraId="50ECCA85">
            <w:pPr>
              <w:keepNext w:val="0"/>
              <w:keepLines w:val="0"/>
              <w:widowControl/>
              <w:suppressLineNumbers w:val="0"/>
              <w:ind w:left="200" w:leftChars="0" w:hanging="200" w:hangingChars="100"/>
              <w:jc w:val="both"/>
              <w:textAlignment w:val="center"/>
              <w:rPr>
                <w:rFonts w:hint="eastAsia" w:ascii="仿宋_GB2312" w:hAnsi="仿宋_GB2312" w:eastAsia="仿宋_GB2312" w:cs="仿宋_GB2312"/>
                <w:i w:val="0"/>
                <w:iCs w:val="0"/>
                <w:color w:val="auto"/>
                <w:kern w:val="0"/>
                <w:sz w:val="20"/>
                <w:szCs w:val="20"/>
                <w:highlight w:val="none"/>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 xml:space="preserve">合计： </w:t>
            </w:r>
            <w:r>
              <w:rPr>
                <w:rFonts w:hint="eastAsia" w:ascii="仿宋_GB2312" w:hAnsi="仿宋_GB2312" w:eastAsia="仿宋_GB2312" w:cs="仿宋_GB2312"/>
                <w:i w:val="0"/>
                <w:iCs w:val="0"/>
                <w:color w:val="auto"/>
                <w:kern w:val="0"/>
                <w:sz w:val="20"/>
                <w:szCs w:val="20"/>
                <w:highlight w:val="none"/>
                <w:u w:val="single"/>
                <w:lang w:val="en-US" w:eastAsia="zh-CN" w:bidi="ar"/>
              </w:rPr>
              <w:t xml:space="preserve">             元（大写：           ）</w:t>
            </w:r>
          </w:p>
        </w:tc>
      </w:tr>
    </w:tbl>
    <w:p w14:paraId="34391893">
      <w:pPr>
        <w:numPr>
          <w:ilvl w:val="0"/>
          <w:numId w:val="0"/>
        </w:numPr>
        <w:tabs>
          <w:tab w:val="left" w:pos="1521"/>
        </w:tabs>
        <w:spacing w:line="360" w:lineRule="auto"/>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eastAsia="zh-CN"/>
        </w:rPr>
        <w:t>第三条</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付款方式及时间节点</w:t>
      </w:r>
    </w:p>
    <w:p w14:paraId="55D15237">
      <w:pPr>
        <w:tabs>
          <w:tab w:val="left" w:pos="1440"/>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1）合同签订后60个日历天内支付合同金额的20%作为预付款。</w:t>
      </w:r>
    </w:p>
    <w:p w14:paraId="6BB66DD4">
      <w:pPr>
        <w:tabs>
          <w:tab w:val="left" w:pos="1440"/>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2）依据采购人要求完成所有指定检测区域的检测工作并出具检测报告后，于六十个日历天内，根据已完成检测服务内容，按检测单价据实结算剩余款项。</w:t>
      </w:r>
    </w:p>
    <w:p w14:paraId="5A5D7010">
      <w:pPr>
        <w:tabs>
          <w:tab w:val="left" w:pos="1440"/>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3）支付费用时，成交供应商须向采购人提供与付款金额等额的正规税务发票等材料。</w:t>
      </w:r>
    </w:p>
    <w:p w14:paraId="72392B7A">
      <w:pPr>
        <w:numPr>
          <w:ilvl w:val="0"/>
          <w:numId w:val="0"/>
        </w:numPr>
        <w:tabs>
          <w:tab w:val="left" w:pos="1521"/>
        </w:tabs>
        <w:spacing w:line="360" w:lineRule="auto"/>
        <w:ind w:firstLine="241" w:firstLineChars="100"/>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lang w:eastAsia="zh-CN"/>
        </w:rPr>
        <w:t>第四条、</w:t>
      </w:r>
      <w:r>
        <w:rPr>
          <w:rFonts w:hint="eastAsia" w:ascii="仿宋" w:hAnsi="仿宋" w:eastAsia="仿宋" w:cs="仿宋"/>
          <w:b/>
          <w:bCs w:val="0"/>
          <w:color w:val="auto"/>
          <w:sz w:val="24"/>
          <w:highlight w:val="none"/>
        </w:rPr>
        <w:t>知识产权</w:t>
      </w:r>
    </w:p>
    <w:p w14:paraId="723728CB">
      <w:pPr>
        <w:tabs>
          <w:tab w:val="left" w:pos="144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乙方应保证所提供的所有服务或其任何一部分均不会侵犯任何第三方的专利权、商标权或著作产权。</w:t>
      </w:r>
    </w:p>
    <w:p w14:paraId="54B0434B">
      <w:pPr>
        <w:numPr>
          <w:ilvl w:val="0"/>
          <w:numId w:val="0"/>
        </w:numPr>
        <w:tabs>
          <w:tab w:val="left" w:pos="1521"/>
        </w:tabs>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第五条</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无产权瑕疵条款</w:t>
      </w:r>
    </w:p>
    <w:p w14:paraId="17C30700">
      <w:pPr>
        <w:tabs>
          <w:tab w:val="left" w:pos="144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乙方保证所提供的服务的所有权完全属于乙方且无任何抵押、查封等产权瑕疵。如有产权瑕疵的，视为乙方违约。乙方应负担由此而产生的一切损失。</w:t>
      </w:r>
    </w:p>
    <w:p w14:paraId="06E09734">
      <w:pPr>
        <w:numPr>
          <w:ilvl w:val="0"/>
          <w:numId w:val="1"/>
        </w:numPr>
        <w:tabs>
          <w:tab w:val="left" w:pos="1521"/>
        </w:tabs>
        <w:spacing w:line="360" w:lineRule="auto"/>
        <w:ind w:left="420" w:leftChars="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验收及标准</w:t>
      </w:r>
    </w:p>
    <w:p w14:paraId="2A30A291">
      <w:pPr>
        <w:spacing w:line="360" w:lineRule="auto"/>
        <w:ind w:firstLine="480" w:firstLineChars="200"/>
        <w:jc w:val="left"/>
        <w:outlineLvl w:val="9"/>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验收依据：按照国家、行业相关标准和规范要求以及磋商文件的质量要求和技术指标、中标供应商响应文件及承诺与约定标准进行验收。供应商、采购人双方如对质量要求和技术指标的约定标准有相互抵触和异议的事项，由采购人在磋商文件及响应文件中按质量要求和技术指标比较优胜的原则确定标准进行验收。</w:t>
      </w:r>
    </w:p>
    <w:p w14:paraId="4C8F3A0B">
      <w:pPr>
        <w:spacing w:line="360" w:lineRule="auto"/>
        <w:ind w:firstLine="480" w:firstLineChars="200"/>
        <w:jc w:val="left"/>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Cs/>
          <w:color w:val="auto"/>
          <w:sz w:val="24"/>
          <w:highlight w:val="none"/>
          <w:lang w:val="en-US" w:eastAsia="zh-CN"/>
        </w:rPr>
        <w:t>2）验收办法：采购人将按照《财政部关于进一步加强政府采购需求和履约验收管理的报导意见》（财库【2016】205 号）和《关于沿用〈乐山市政府采购项目需求论证和履约验收管理实施细则〉的通知》（乐市财政采〔2021〕8号）的规定进行履约验收，采购人与中标供应商双方如对质量要求和技术指标的约定标准有相互抵触或异议的事项,由采购人按磋商文件与中标供应商响应文件中按质量要求和技术指标有利于采购人的原则确定该项的约定标准进行验收。</w:t>
      </w:r>
    </w:p>
    <w:p w14:paraId="5472E0B8">
      <w:pPr>
        <w:spacing w:line="360" w:lineRule="auto"/>
        <w:ind w:left="-210" w:leftChars="-100" w:firstLine="482" w:firstLineChars="200"/>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eastAsia="zh-CN"/>
        </w:rPr>
        <w:t>七条</w:t>
      </w:r>
      <w:r>
        <w:rPr>
          <w:rFonts w:hint="eastAsia" w:ascii="仿宋" w:hAnsi="仿宋" w:eastAsia="仿宋" w:cs="仿宋"/>
          <w:b/>
          <w:color w:val="auto"/>
          <w:sz w:val="24"/>
          <w:highlight w:val="none"/>
        </w:rPr>
        <w:t xml:space="preserve">   甲方的权利和义务</w:t>
      </w:r>
    </w:p>
    <w:p w14:paraId="02314B80">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1、甲方有权对合同规定范围内乙方服务行为进行监督和检查，拥有监管权。有权定期核对乙方提供服务所配备的人员数量。对甲方认为不合理的部分有权下达整改通知书，并要求乙方限期整改。</w:t>
      </w:r>
    </w:p>
    <w:p w14:paraId="7375EC55">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2、负责检查监督乙方管理工作的实施及制度的执行情况。</w:t>
      </w:r>
    </w:p>
    <w:p w14:paraId="2B37C964">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3、根据本合同规定，按时向乙方支付应付服务费用。</w:t>
      </w:r>
    </w:p>
    <w:p w14:paraId="16E6B887">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4、</w:t>
      </w:r>
      <w:r>
        <w:rPr>
          <w:rFonts w:hint="eastAsia" w:ascii="仿宋" w:hAnsi="仿宋" w:eastAsia="仿宋" w:cs="仿宋"/>
          <w:color w:val="auto"/>
          <w:sz w:val="24"/>
          <w:highlight w:val="none"/>
        </w:rPr>
        <w:t>因政策、法律等因素发生变化，导致采购人需要停止执行本项目的，委托人有权终止合同。</w:t>
      </w:r>
    </w:p>
    <w:p w14:paraId="59FE60C8">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5、国家法律、法规所规定由甲方承担的其它责任。</w:t>
      </w:r>
    </w:p>
    <w:p w14:paraId="16160CFB">
      <w:pPr>
        <w:tabs>
          <w:tab w:val="left" w:pos="1521"/>
        </w:tabs>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eastAsia="zh-CN"/>
        </w:rPr>
        <w:t>八</w:t>
      </w:r>
      <w:r>
        <w:rPr>
          <w:rFonts w:hint="eastAsia" w:ascii="仿宋" w:hAnsi="仿宋" w:eastAsia="仿宋" w:cs="仿宋"/>
          <w:b/>
          <w:color w:val="auto"/>
          <w:sz w:val="24"/>
          <w:highlight w:val="none"/>
        </w:rPr>
        <w:t>条 乙方的权利和义务</w:t>
      </w:r>
    </w:p>
    <w:p w14:paraId="60EB2F53">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1、对本合同规定的范围内的项目享有管理权并提供服务义务。</w:t>
      </w:r>
    </w:p>
    <w:p w14:paraId="24D0D736">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2、根据本合同的规定向甲方收取相关合同款，并有权在本项目管理范围内管理及合理使用。</w:t>
      </w:r>
    </w:p>
    <w:p w14:paraId="297B2CFD">
      <w:pPr>
        <w:spacing w:line="360" w:lineRule="auto"/>
        <w:ind w:firstLine="480" w:firstLineChars="200"/>
        <w:jc w:val="left"/>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3、及时向甲方通告本项目服务范围内有关提供服务的重大事项，及时配合处理投诉。</w:t>
      </w:r>
    </w:p>
    <w:p w14:paraId="68FD31CF">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bCs/>
          <w:color w:val="auto"/>
          <w:sz w:val="24"/>
          <w:highlight w:val="none"/>
        </w:rPr>
        <w:t>接受项目行业管理部门及政府有关部门的指导，接受甲方的监督。</w:t>
      </w:r>
    </w:p>
    <w:p w14:paraId="251290CB">
      <w:pPr>
        <w:adjustRightInd w:val="0"/>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乙方签订本项目采购合同后，须为本单位针对本项目的所有相关工作人员（含临时劳务用工）购置安全责任或人身意外保险，本项目履约期间，乙方单位工作人员（含临时劳务用工）发生任何安全责任事故，或因乙方自身原因造成第三方安全责任事故，所有责任和损失均由乙方自行承担，采购人不承担任何责任</w:t>
      </w:r>
    </w:p>
    <w:p w14:paraId="2FB8B7AA">
      <w:pPr>
        <w:spacing w:line="360" w:lineRule="auto"/>
        <w:ind w:firstLine="480" w:firstLineChars="200"/>
        <w:jc w:val="left"/>
        <w:textAlignment w:val="baseline"/>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6、国家法律、法规所规定由乙方承担的其它责任。</w:t>
      </w:r>
    </w:p>
    <w:p w14:paraId="59A3E802">
      <w:pPr>
        <w:tabs>
          <w:tab w:val="left" w:pos="1521"/>
        </w:tabs>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eastAsia="zh-CN"/>
        </w:rPr>
        <w:t>九</w:t>
      </w:r>
      <w:r>
        <w:rPr>
          <w:rFonts w:hint="eastAsia" w:ascii="仿宋" w:hAnsi="仿宋" w:eastAsia="仿宋" w:cs="仿宋"/>
          <w:b/>
          <w:color w:val="auto"/>
          <w:sz w:val="24"/>
          <w:highlight w:val="none"/>
        </w:rPr>
        <w:t>条 违约责任</w:t>
      </w:r>
    </w:p>
    <w:p w14:paraId="3235AADB">
      <w:pPr>
        <w:tabs>
          <w:tab w:val="left" w:pos="1521"/>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采购人（甲方）与中标供应商（乙方）必须遵守本项目合同条款内容并执行项目合同中的各项规定，保证本项目合同的正常履行。任何一方违约给对方造成的直接损失均负有赔偿责任，对方均有权视情况要求对方继续履行合同或提出解除合同。</w:t>
      </w:r>
    </w:p>
    <w:p w14:paraId="69CF8723">
      <w:pPr>
        <w:tabs>
          <w:tab w:val="left" w:pos="1521"/>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如因中标供应商在履行过程中的疏忽、失职、过错等故意或者过失原因给甲方造成损失或侵害，包括但不限于甲方本身的财产损失，由此造成的甲方对任何第三方的经济责任、法律责任等，乙方对此均应承担全部的赔偿责任。</w:t>
      </w:r>
    </w:p>
    <w:p w14:paraId="4B37D6E0">
      <w:pPr>
        <w:tabs>
          <w:tab w:val="left" w:pos="1521"/>
        </w:tabs>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3）除上述条款外，采购人、中标供应商在签订项目合同时，可进一步就违约责任进行明细约定。</w:t>
      </w:r>
    </w:p>
    <w:p w14:paraId="51EA2556">
      <w:pPr>
        <w:tabs>
          <w:tab w:val="left" w:pos="1521"/>
        </w:tabs>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eastAsia="zh-CN"/>
        </w:rPr>
        <w:t>十</w:t>
      </w:r>
      <w:r>
        <w:rPr>
          <w:rFonts w:hint="eastAsia" w:ascii="仿宋" w:hAnsi="仿宋" w:eastAsia="仿宋" w:cs="仿宋"/>
          <w:b/>
          <w:color w:val="auto"/>
          <w:sz w:val="24"/>
          <w:highlight w:val="none"/>
        </w:rPr>
        <w:t>条 不可抗力事件处理</w:t>
      </w:r>
    </w:p>
    <w:p w14:paraId="4603319C">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1、在合同有效期内，任何一方因不可抗力事件导致不能履行合同，则合同履行期可延长，其延长期与不可抗力影响期相同。</w:t>
      </w:r>
    </w:p>
    <w:p w14:paraId="1F88B9FE">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2、不可抗力事件发生后，应立即通知对方，并寄送有关权威机构出具的证明。</w:t>
      </w:r>
    </w:p>
    <w:p w14:paraId="6CA132C9">
      <w:pPr>
        <w:tabs>
          <w:tab w:val="left" w:pos="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3、不可抗力事件延续X天以上，双方应通过友好协商，确定是否继续履行合同。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243833E">
      <w:pPr>
        <w:tabs>
          <w:tab w:val="left" w:pos="1521"/>
        </w:tabs>
        <w:spacing w:line="360" w:lineRule="auto"/>
        <w:ind w:firstLine="241" w:firstLineChars="100"/>
        <w:rPr>
          <w:rFonts w:hint="eastAsia" w:ascii="仿宋" w:hAnsi="仿宋" w:eastAsia="仿宋" w:cs="仿宋"/>
          <w:b/>
          <w:color w:val="auto"/>
          <w:sz w:val="24"/>
          <w:highlight w:val="none"/>
        </w:rPr>
      </w:pPr>
      <w:bookmarkStart w:id="19" w:name="_Toc225654649"/>
      <w:bookmarkStart w:id="20" w:name="_Toc237145411"/>
      <w:bookmarkStart w:id="21" w:name="_Toc286993792"/>
      <w:bookmarkStart w:id="22" w:name="_Toc238984980"/>
      <w:bookmarkStart w:id="23" w:name="_Toc225670756"/>
      <w:bookmarkStart w:id="24" w:name="_Toc239233919"/>
      <w:bookmarkStart w:id="25" w:name="_Toc212019599"/>
      <w:bookmarkStart w:id="26" w:name="_Toc211911353"/>
      <w:bookmarkStart w:id="27" w:name="_Toc239568423"/>
      <w:bookmarkStart w:id="28" w:name="_Toc241833908"/>
      <w:bookmarkStart w:id="29" w:name="_Toc211854454"/>
      <w:bookmarkStart w:id="30" w:name="_Toc225244857"/>
      <w:bookmarkStart w:id="31" w:name="_Toc232492933"/>
      <w:bookmarkStart w:id="32" w:name="_Toc185395254"/>
      <w:bookmarkStart w:id="33" w:name="_Toc251768867"/>
      <w:bookmarkStart w:id="34" w:name="_Toc247334846"/>
      <w:r>
        <w:rPr>
          <w:rFonts w:hint="eastAsia" w:ascii="仿宋" w:hAnsi="仿宋" w:eastAsia="仿宋" w:cs="仿宋"/>
          <w:b/>
          <w:color w:val="auto"/>
          <w:sz w:val="24"/>
          <w:highlight w:val="none"/>
        </w:rPr>
        <w:t>第十</w:t>
      </w:r>
      <w:r>
        <w:rPr>
          <w:rFonts w:hint="eastAsia" w:ascii="仿宋" w:hAnsi="仿宋" w:eastAsia="仿宋" w:cs="仿宋"/>
          <w:b/>
          <w:color w:val="auto"/>
          <w:sz w:val="24"/>
          <w:highlight w:val="none"/>
          <w:lang w:eastAsia="zh-CN"/>
        </w:rPr>
        <w:t>一</w:t>
      </w:r>
      <w:r>
        <w:rPr>
          <w:rFonts w:hint="eastAsia" w:ascii="仿宋" w:hAnsi="仿宋" w:eastAsia="仿宋" w:cs="仿宋"/>
          <w:b/>
          <w:color w:val="auto"/>
          <w:sz w:val="24"/>
          <w:highlight w:val="none"/>
        </w:rPr>
        <w:t xml:space="preserve">条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hint="eastAsia" w:ascii="仿宋" w:hAnsi="仿宋" w:eastAsia="仿宋" w:cs="仿宋"/>
          <w:b/>
          <w:color w:val="auto"/>
          <w:sz w:val="24"/>
          <w:highlight w:val="none"/>
        </w:rPr>
        <w:t>争议解决办法</w:t>
      </w:r>
    </w:p>
    <w:p w14:paraId="0822E970">
      <w:pPr>
        <w:tabs>
          <w:tab w:val="left" w:pos="1521"/>
        </w:tabs>
        <w:spacing w:line="360" w:lineRule="auto"/>
        <w:ind w:firstLine="480" w:firstLineChars="200"/>
        <w:rPr>
          <w:rFonts w:hint="eastAsia" w:ascii="仿宋" w:hAnsi="仿宋" w:eastAsia="仿宋" w:cs="仿宋"/>
          <w:color w:val="auto"/>
          <w:sz w:val="24"/>
          <w:highlight w:val="none"/>
          <w:lang w:eastAsia="zh-CN"/>
        </w:rPr>
      </w:pPr>
      <w:bookmarkStart w:id="35" w:name="_Toc282696231"/>
      <w:bookmarkStart w:id="36" w:name="_Toc239233920"/>
      <w:bookmarkStart w:id="37" w:name="_Toc212019600"/>
      <w:bookmarkStart w:id="38" w:name="_Toc241833909"/>
      <w:bookmarkStart w:id="39" w:name="_Toc232492934"/>
      <w:bookmarkStart w:id="40" w:name="_Toc286993793"/>
      <w:bookmarkStart w:id="41" w:name="_Toc237145412"/>
      <w:bookmarkStart w:id="42" w:name="_Toc238984981"/>
      <w:bookmarkStart w:id="43" w:name="_Toc211854455"/>
      <w:bookmarkStart w:id="44" w:name="_Toc225654650"/>
      <w:bookmarkStart w:id="45" w:name="_Toc251768868"/>
      <w:bookmarkStart w:id="46" w:name="_Toc283019219"/>
      <w:bookmarkStart w:id="47" w:name="_Toc239568424"/>
      <w:bookmarkStart w:id="48" w:name="_Toc247334847"/>
      <w:bookmarkStart w:id="49" w:name="_Toc211911354"/>
      <w:bookmarkStart w:id="50" w:name="_Toc225244858"/>
      <w:bookmarkStart w:id="51" w:name="_Toc185395255"/>
      <w:bookmarkStart w:id="52" w:name="_Toc225670757"/>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lang w:eastAsia="zh-CN"/>
        </w:rPr>
        <w:t>）因货物的质量问题发生争议，由质量技术监督部门或其指定的质量鉴定机构进行质量鉴定。货物符合标准的，鉴定费由甲方承担；货物不符合质量标准的，鉴定费由乙方承担。</w:t>
      </w:r>
    </w:p>
    <w:p w14:paraId="082C0419">
      <w:pPr>
        <w:tabs>
          <w:tab w:val="left" w:pos="1521"/>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lang w:eastAsia="zh-CN"/>
        </w:rPr>
        <w:t>合同履行期间,若双方发生争议，可协商或由有关部门调解解决，协商或调解不成的，双方均可向甲方所在地人民法院提起诉讼解决</w:t>
      </w:r>
      <w:r>
        <w:rPr>
          <w:rFonts w:hint="eastAsia" w:ascii="仿宋" w:hAnsi="仿宋" w:eastAsia="仿宋" w:cs="仿宋"/>
          <w:color w:val="auto"/>
          <w:sz w:val="24"/>
          <w:highlight w:val="none"/>
        </w:rPr>
        <w:t>。</w:t>
      </w:r>
    </w:p>
    <w:p w14:paraId="4099C80B">
      <w:pPr>
        <w:tabs>
          <w:tab w:val="left" w:pos="1521"/>
        </w:tabs>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第十</w:t>
      </w:r>
      <w:r>
        <w:rPr>
          <w:rFonts w:hint="eastAsia" w:ascii="仿宋" w:hAnsi="仿宋" w:eastAsia="仿宋" w:cs="仿宋"/>
          <w:b/>
          <w:color w:val="auto"/>
          <w:sz w:val="24"/>
          <w:highlight w:val="none"/>
          <w:lang w:eastAsia="zh-CN"/>
        </w:rPr>
        <w:t>二</w:t>
      </w:r>
      <w:r>
        <w:rPr>
          <w:rFonts w:hint="eastAsia" w:ascii="仿宋" w:hAnsi="仿宋" w:eastAsia="仿宋" w:cs="仿宋"/>
          <w:b/>
          <w:color w:val="auto"/>
          <w:sz w:val="24"/>
          <w:highlight w:val="none"/>
        </w:rPr>
        <w:t>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
          <w:color w:val="auto"/>
          <w:sz w:val="24"/>
          <w:highlight w:val="none"/>
        </w:rPr>
        <w:t>生效及其他</w:t>
      </w:r>
    </w:p>
    <w:p w14:paraId="686A2216">
      <w:pPr>
        <w:pStyle w:val="6"/>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1、合同经双方法定代表人或授权委托代理人签字并加盖单位鲜章后生效。</w:t>
      </w:r>
    </w:p>
    <w:p w14:paraId="0364555E">
      <w:pPr>
        <w:pStyle w:val="6"/>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2、合同执行中涉及采购资金和采购内容修改或补充的，并签书面补充协议，方可作为主合同不可分割的一部分。</w:t>
      </w:r>
    </w:p>
    <w:p w14:paraId="00827F7F">
      <w:pPr>
        <w:pStyle w:val="6"/>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3、本合同一式六份，自双方签章之日起起效。甲方四份，乙方一份，采购代理机构一份，具有同等法律效力。</w:t>
      </w:r>
    </w:p>
    <w:p w14:paraId="015B16E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   （盖章）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乙方：   （盖章）</w:t>
      </w:r>
    </w:p>
    <w:p w14:paraId="3F2A240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            法定代表人（授权代表）：</w:t>
      </w:r>
    </w:p>
    <w:p w14:paraId="14ADBE0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                         地    址：</w:t>
      </w:r>
    </w:p>
    <w:p w14:paraId="105184F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                         开户银行：</w:t>
      </w:r>
    </w:p>
    <w:p w14:paraId="3BFCD38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账号：                             账号：</w:t>
      </w:r>
    </w:p>
    <w:p w14:paraId="71B9979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                         电    话：</w:t>
      </w:r>
    </w:p>
    <w:p w14:paraId="676A909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                         传    真：</w:t>
      </w:r>
    </w:p>
    <w:p w14:paraId="25CD1A89">
      <w:pPr>
        <w:spacing w:line="360" w:lineRule="auto"/>
        <w:rPr>
          <w:rFonts w:hint="eastAsia" w:ascii="仿宋" w:hAnsi="仿宋" w:eastAsia="仿宋" w:cs="仿宋"/>
          <w:color w:val="auto"/>
          <w:highlight w:val="none"/>
        </w:rPr>
      </w:pPr>
      <w:r>
        <w:rPr>
          <w:rFonts w:hint="eastAsia" w:ascii="仿宋" w:hAnsi="仿宋" w:eastAsia="仿宋" w:cs="仿宋"/>
          <w:color w:val="auto"/>
          <w:sz w:val="24"/>
          <w:highlight w:val="none"/>
        </w:rPr>
        <w:t xml:space="preserve">签约日期：XX年XX月XX日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签约日期：XX年XX月XX</w:t>
      </w:r>
    </w:p>
    <w:p w14:paraId="5F9465C6">
      <w:bookmarkStart w:id="53" w:name="_GoBack"/>
      <w:bookmarkEnd w:id="5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4CB113"/>
    <w:multiLevelType w:val="singleLevel"/>
    <w:tmpl w:val="7E4CB113"/>
    <w:lvl w:ilvl="0" w:tentative="0">
      <w:start w:val="6"/>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1F64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Subtitle"/>
    <w:basedOn w:val="1"/>
    <w:next w:val="1"/>
    <w:qFormat/>
    <w:uiPriority w:val="99"/>
    <w:pPr>
      <w:spacing w:after="60"/>
      <w:jc w:val="center"/>
      <w:outlineLvl w:val="1"/>
    </w:pPr>
    <w:rPr>
      <w:rFonts w:ascii="Cambria" w:hAnsi="Cambria"/>
    </w:rPr>
  </w:style>
  <w:style w:type="paragraph" w:customStyle="1" w:styleId="6">
    <w:name w:val="_Style 2"/>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_像疯了一样。</cp:lastModifiedBy>
  <dcterms:modified xsi:type="dcterms:W3CDTF">2025-11-13T09:04:43Z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eyJoZGlkIjoiMGM5MjVhYmM2ZTNhOGM0NzNmZmM5NGIyMWFjYjdjNzQiLCJ1c2VySWQiOiI3MjkyMTQxNjUifQ==</vt:lpwstr>
  </property>
  <property fmtid="{D5CDD505-2E9C-101B-9397-08002B2CF9AE}" pid="4" name="ICV">
    <vt:lpwstr>1463B1CA89DB4E5C93770C6C7C62FBE1_12</vt:lpwstr>
  </property>
</Properties>
</file>