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版本号：N511101202500037720251113001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层流净化系统检测服务项目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N5111012025000377</w:t>
      </w:r>
    </w:p>
    <w:p>
      <w:pPr>
        <w:pStyle w:val="null3"/>
        <w:jc w:val="left"/>
        <w:outlineLvl w:val="2"/>
      </w:pPr>
      <w:r>
        <w:rPr>
          <w:rFonts w:ascii="仿宋_GB2312" w:hAnsi="仿宋_GB2312" w:cs="仿宋_GB2312" w:eastAsia="仿宋_GB2312"/>
          <w:sz w:val="28"/>
          <w:b/>
        </w:rPr>
        <w:t>乐山市人民医院</w:t>
      </w:r>
    </w:p>
    <w:p>
      <w:pPr>
        <w:pStyle w:val="null3"/>
        <w:jc w:val="center"/>
        <w:outlineLvl w:val="2"/>
      </w:pPr>
      <w:r>
        <w:rPr>
          <w:rFonts w:ascii="仿宋_GB2312" w:hAnsi="仿宋_GB2312" w:cs="仿宋_GB2312" w:eastAsia="仿宋_GB2312"/>
          <w:sz w:val="28"/>
          <w:b/>
        </w:rPr>
        <w:t>四川嘉投招标代理有限公司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四川嘉投招标代理有限公司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乐山市人民医院</w:t>
      </w:r>
      <w:r>
        <w:rPr>
          <w:rFonts w:ascii="仿宋_GB2312" w:hAnsi="仿宋_GB2312" w:cs="仿宋_GB2312" w:eastAsia="仿宋_GB2312"/>
        </w:rPr>
        <w:t xml:space="preserve"> 委托，拟对 </w:t>
      </w:r>
      <w:r>
        <w:rPr>
          <w:rFonts w:ascii="仿宋_GB2312" w:hAnsi="仿宋_GB2312" w:cs="仿宋_GB2312" w:eastAsia="仿宋_GB2312"/>
        </w:rPr>
        <w:t>层流净化系统检测服务项目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乐山市市本级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N5111012025000377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层流净化系统检测服务项目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层流净化系统检测服务项目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乐山市人民医院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四川省乐山市高新区惠安路639号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谭老师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0833-2115215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四川嘉投招标代理有限公司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乐山市市中区嘉州大道625号1幢12楼3号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卓老师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0833-2418666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招标控制价，参照《招标代理服务收费管理暂行办法》计价格[2002]1980号收费标准，下浮50%计取，具体金额为：2990元（大写：贰仟玖佰玖拾元整）。（由中标供应商在领取中标通知书之前一次性支付）（代理费收款账号：单位全称：四川嘉投招标代理有限公司；开户银行：乐山市商业银行蜀嘉支行；银行账号：020000255776）</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乐山市人民医院</w:t>
      </w:r>
      <w:r>
        <w:rPr>
          <w:rFonts w:ascii="仿宋_GB2312" w:hAnsi="仿宋_GB2312" w:cs="仿宋_GB2312" w:eastAsia="仿宋_GB2312"/>
        </w:rPr>
        <w:t xml:space="preserve"> 和 </w:t>
      </w:r>
      <w:r>
        <w:rPr>
          <w:rFonts w:ascii="仿宋_GB2312" w:hAnsi="仿宋_GB2312" w:cs="仿宋_GB2312" w:eastAsia="仿宋_GB2312"/>
        </w:rPr>
        <w:t>四川嘉投招标代理有限公司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乐山市人民医院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四川嘉投招标代理有限公司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依据采购人要求完成所有指定检测区域的检测工作并出具检测报告</w:t>
      </w:r>
      <w:r>
        <w:rPr>
          <w:rFonts w:ascii="仿宋_GB2312" w:hAnsi="仿宋_GB2312" w:cs="仿宋_GB2312" w:eastAsia="仿宋_GB2312"/>
        </w:rPr>
        <w:t xml:space="preserve"> ，达到验收条件起 </w:t>
      </w:r>
      <w:r>
        <w:rPr>
          <w:rFonts w:ascii="仿宋_GB2312" w:hAnsi="仿宋_GB2312" w:cs="仿宋_GB2312" w:eastAsia="仿宋_GB2312"/>
        </w:rPr>
        <w:t>60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按本项目技术要求验收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按本项目商务要求验收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：1）符合或达到现行国家、行业标准要求； 2）符合本项目的采购文件的要求； 3）符合供应商磋商响应文件的要求； 4）符合现行相关法律法规要求；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采购人将按照《财政部关于进一步加强政府采购需求和履约验收管理的报导意见》（财库【2016】205 号）和《关于沿用〈乐山市政府采购项目需求论证和履约验收管理实施细则〉的通知》（乐市财政采〔2021〕8号）的规定进行履约验收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乐山市人民医院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四川嘉投招标代理有限公司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四川嘉投招标代理有限公司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联系人：谭老师</w:t>
      </w:r>
    </w:p>
    <w:p>
      <w:pPr>
        <w:pStyle w:val="null3"/>
        <w:jc w:val="left"/>
      </w:pPr>
      <w:r>
        <w:rPr>
          <w:rFonts w:ascii="仿宋_GB2312" w:hAnsi="仿宋_GB2312" w:cs="仿宋_GB2312" w:eastAsia="仿宋_GB2312"/>
        </w:rPr>
        <w:t>联系电话：0833-2115215</w:t>
      </w:r>
    </w:p>
    <w:p>
      <w:pPr>
        <w:pStyle w:val="null3"/>
        <w:jc w:val="left"/>
      </w:pPr>
      <w:r>
        <w:rPr>
          <w:rFonts w:ascii="仿宋_GB2312" w:hAnsi="仿宋_GB2312" w:cs="仿宋_GB2312" w:eastAsia="仿宋_GB2312"/>
        </w:rPr>
        <w:t>地址：乐山市市中区惠安路639号(高新院区)</w:t>
      </w:r>
    </w:p>
    <w:p>
      <w:pPr>
        <w:pStyle w:val="null3"/>
        <w:jc w:val="left"/>
      </w:pPr>
      <w:r>
        <w:rPr>
          <w:rFonts w:ascii="仿宋_GB2312" w:hAnsi="仿宋_GB2312" w:cs="仿宋_GB2312" w:eastAsia="仿宋_GB2312"/>
        </w:rPr>
        <w:t>邮编：614000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联系人：卓老师</w:t>
      </w:r>
    </w:p>
    <w:p>
      <w:pPr>
        <w:pStyle w:val="null3"/>
        <w:jc w:val="left"/>
      </w:pPr>
      <w:r>
        <w:rPr>
          <w:rFonts w:ascii="仿宋_GB2312" w:hAnsi="仿宋_GB2312" w:cs="仿宋_GB2312" w:eastAsia="仿宋_GB2312"/>
        </w:rPr>
        <w:t>联系电话：0833-2418666</w:t>
      </w:r>
    </w:p>
    <w:p>
      <w:pPr>
        <w:pStyle w:val="null3"/>
        <w:jc w:val="left"/>
      </w:pPr>
      <w:r>
        <w:rPr>
          <w:rFonts w:ascii="仿宋_GB2312" w:hAnsi="仿宋_GB2312" w:cs="仿宋_GB2312" w:eastAsia="仿宋_GB2312"/>
        </w:rPr>
        <w:t>地址：乐山市市中区嘉州大道625号1幢12楼3号</w:t>
      </w:r>
    </w:p>
    <w:p>
      <w:pPr>
        <w:pStyle w:val="null3"/>
        <w:jc w:val="left"/>
      </w:pPr>
      <w:r>
        <w:rPr>
          <w:rFonts w:ascii="仿宋_GB2312" w:hAnsi="仿宋_GB2312" w:cs="仿宋_GB2312" w:eastAsia="仿宋_GB2312"/>
        </w:rPr>
        <w:t>邮编：614000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800,000.00</w:t>
      </w:r>
    </w:p>
    <w:p>
      <w:pPr>
        <w:pStyle w:val="null3"/>
        <w:jc w:val="left"/>
      </w:pPr>
      <w:r>
        <w:rPr>
          <w:rFonts w:ascii="仿宋_GB2312" w:hAnsi="仿宋_GB2312" w:cs="仿宋_GB2312" w:eastAsia="仿宋_GB2312"/>
        </w:rPr>
        <w:t>采购包最高限价（元）: 398,700.00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C16060000 测试评估认证服务</w:t>
            </w:r>
          </w:p>
        </w:tc>
        <w:tc>
          <w:tcPr>
            <w:tcW w:type="dxa" w:w="821"/>
          </w:tcPr>
          <w:p>
            <w:pPr>
              <w:pStyle w:val="null3"/>
              <w:jc w:val="left"/>
            </w:pPr>
            <w:r>
              <w:rPr>
                <w:rFonts w:ascii="仿宋_GB2312" w:hAnsi="仿宋_GB2312" w:cs="仿宋_GB2312" w:eastAsia="仿宋_GB2312"/>
              </w:rPr>
              <w:t>层流净化系统检测服务项目</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398,700.00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层流净化系统检测服务项目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398,700.00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1.供应商响应报价单价不得超过检测单价，超过的按无效响应处理。2.供应商报价不得超过本项目最高限价，超过的按无效响应处理。</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标的名称：层流净化系统检测服务项目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检测服务清单</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52"/>
              <w:gridCol w:w="625"/>
              <w:gridCol w:w="837"/>
              <w:gridCol w:w="872"/>
              <w:gridCol w:w="1542"/>
              <w:gridCol w:w="573"/>
              <w:gridCol w:w="766"/>
            </w:tblGrid>
            <w:tr>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序号</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楼号</w:t>
                  </w:r>
                </w:p>
              </w:tc>
              <w:tc>
                <w:tcPr>
                  <w:tcW w:type="dxa" w:w="8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检测区域名称</w:t>
                  </w:r>
                </w:p>
              </w:tc>
              <w:tc>
                <w:tcPr>
                  <w:tcW w:type="dxa" w:w="8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区域级别</w:t>
                  </w:r>
                </w:p>
              </w:tc>
              <w:tc>
                <w:tcPr>
                  <w:tcW w:type="dxa" w:w="1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检测参数</w:t>
                  </w:r>
                </w:p>
              </w:tc>
              <w:tc>
                <w:tcPr>
                  <w:tcW w:type="dxa" w:w="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数量（间）</w:t>
                  </w:r>
                </w:p>
              </w:tc>
              <w:tc>
                <w:tcPr>
                  <w:tcW w:type="dxa" w:w="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40"/>
                    <w:jc w:val="center"/>
                  </w:pPr>
                  <w:r>
                    <w:rPr>
                      <w:rFonts w:ascii="仿宋_GB2312" w:hAnsi="仿宋_GB2312" w:cs="仿宋_GB2312" w:eastAsia="仿宋_GB2312"/>
                      <w:sz w:val="24"/>
                      <w:color w:val="000000"/>
                    </w:rPr>
                    <w:t>检测单价（元）</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1</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三号楼一层静配中心</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洁净间辅助用房</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8级</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洁净度级别、换气次数、静压差、温度、相对湿度、噪声、照度、沉降菌、浮游菌、甲醛、苯、</w:t>
                  </w:r>
                  <w:r>
                    <w:rPr>
                      <w:rFonts w:ascii="仿宋_GB2312" w:hAnsi="仿宋_GB2312" w:cs="仿宋_GB2312" w:eastAsia="仿宋_GB2312"/>
                      <w:sz w:val="20"/>
                      <w:color w:val="000000"/>
                    </w:rPr>
                    <w:t>TVOC</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18</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2000.00</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2</w:t>
                  </w:r>
                </w:p>
              </w:tc>
              <w:tc>
                <w:tcPr>
                  <w:tcW w:type="dxa" w:w="6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三号楼四层手术室</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手术室（</w:t>
                  </w:r>
                  <w:r>
                    <w:rPr>
                      <w:rFonts w:ascii="仿宋_GB2312" w:hAnsi="仿宋_GB2312" w:cs="仿宋_GB2312" w:eastAsia="仿宋_GB2312"/>
                      <w:sz w:val="20"/>
                      <w:color w:val="000000"/>
                    </w:rPr>
                    <w:t>Ⅰ级手术室）</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手术区域</w:t>
                  </w:r>
                  <w:r>
                    <w:rPr>
                      <w:rFonts w:ascii="仿宋_GB2312" w:hAnsi="仿宋_GB2312" w:cs="仿宋_GB2312" w:eastAsia="仿宋_GB2312"/>
                      <w:sz w:val="20"/>
                      <w:color w:val="000000"/>
                    </w:rPr>
                    <w:t>5级，周边6级</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洁净度级别、百级手术室开门后门内</w:t>
                  </w:r>
                  <w:r>
                    <w:rPr>
                      <w:rFonts w:ascii="仿宋_GB2312" w:hAnsi="仿宋_GB2312" w:cs="仿宋_GB2312" w:eastAsia="仿宋_GB2312"/>
                      <w:sz w:val="20"/>
                      <w:color w:val="000000"/>
                    </w:rPr>
                    <w:t>0.6m的洁净度、静压差、截面风速、温度、相对湿度、噪声、照度、沉降菌、浮游菌、甲醛、苯、TVOC</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9</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3200.00</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3</w:t>
                  </w:r>
                </w:p>
              </w:tc>
              <w:tc>
                <w:tcPr>
                  <w:tcW w:type="dxa" w:w="625"/>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手术室（</w:t>
                  </w:r>
                  <w:r>
                    <w:rPr>
                      <w:rFonts w:ascii="仿宋_GB2312" w:hAnsi="仿宋_GB2312" w:cs="仿宋_GB2312" w:eastAsia="仿宋_GB2312"/>
                      <w:sz w:val="20"/>
                      <w:color w:val="000000"/>
                    </w:rPr>
                    <w:t>Ⅲ级手术室）</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手术区域</w:t>
                  </w:r>
                  <w:r>
                    <w:rPr>
                      <w:rFonts w:ascii="仿宋_GB2312" w:hAnsi="仿宋_GB2312" w:cs="仿宋_GB2312" w:eastAsia="仿宋_GB2312"/>
                      <w:sz w:val="20"/>
                      <w:color w:val="000000"/>
                    </w:rPr>
                    <w:t>7级，周边8级</w:t>
                  </w:r>
                </w:p>
              </w:tc>
              <w:tc>
                <w:tcPr>
                  <w:tcW w:type="dxa" w:w="1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洁净度级别、换气次数、静压差、温度、相对湿度、噪声、照度、沉降菌、浮游菌、甲醛、苯、</w:t>
                  </w:r>
                  <w:r>
                    <w:rPr>
                      <w:rFonts w:ascii="仿宋_GB2312" w:hAnsi="仿宋_GB2312" w:cs="仿宋_GB2312" w:eastAsia="仿宋_GB2312"/>
                      <w:sz w:val="20"/>
                      <w:color w:val="000000"/>
                    </w:rPr>
                    <w:t>TVOC</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34</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2450.00</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4</w:t>
                  </w:r>
                </w:p>
              </w:tc>
              <w:tc>
                <w:tcPr>
                  <w:tcW w:type="dxa" w:w="625"/>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洁净间辅助用房</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8级</w:t>
                  </w:r>
                </w:p>
              </w:tc>
              <w:tc>
                <w:tcPr>
                  <w:tcW w:type="dxa" w:w="1542"/>
                  <w:vMerge/>
                  <w:tcBorders>
                    <w:top w:val="none" w:color="000000" w:sz="4"/>
                    <w:left w:val="none" w:color="000000" w:sz="4"/>
                    <w:bottom w:val="single" w:color="000000" w:sz="4"/>
                    <w:right w:val="single" w:color="000000" w:sz="4"/>
                  </w:tcBorders>
                </w:tc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40</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2200.00</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5</w:t>
                  </w:r>
                </w:p>
              </w:tc>
              <w:tc>
                <w:tcPr>
                  <w:tcW w:type="dxa" w:w="6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5号楼10层眼科手术室</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手术室（</w:t>
                  </w:r>
                  <w:r>
                    <w:rPr>
                      <w:rFonts w:ascii="仿宋_GB2312" w:hAnsi="仿宋_GB2312" w:cs="仿宋_GB2312" w:eastAsia="仿宋_GB2312"/>
                      <w:sz w:val="20"/>
                      <w:color w:val="000000"/>
                    </w:rPr>
                    <w:t>Ⅰ级手术室）</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手术区域</w:t>
                  </w:r>
                  <w:r>
                    <w:rPr>
                      <w:rFonts w:ascii="仿宋_GB2312" w:hAnsi="仿宋_GB2312" w:cs="仿宋_GB2312" w:eastAsia="仿宋_GB2312"/>
                      <w:sz w:val="20"/>
                      <w:color w:val="000000"/>
                    </w:rPr>
                    <w:t>5级，周边6级</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洁净度级别、百级手术室开门后门内</w:t>
                  </w:r>
                  <w:r>
                    <w:rPr>
                      <w:rFonts w:ascii="仿宋_GB2312" w:hAnsi="仿宋_GB2312" w:cs="仿宋_GB2312" w:eastAsia="仿宋_GB2312"/>
                      <w:sz w:val="20"/>
                      <w:color w:val="000000"/>
                    </w:rPr>
                    <w:t>0.6m的洁净度、静压差、截面风速、温度、相对湿度、噪声、照度、沉降菌、浮游菌、甲醛、苯、TVOC</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5</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3000.00</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6</w:t>
                  </w:r>
                </w:p>
              </w:tc>
              <w:tc>
                <w:tcPr>
                  <w:tcW w:type="dxa" w:w="625"/>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手术室（</w:t>
                  </w:r>
                  <w:r>
                    <w:rPr>
                      <w:rFonts w:ascii="仿宋_GB2312" w:hAnsi="仿宋_GB2312" w:cs="仿宋_GB2312" w:eastAsia="仿宋_GB2312"/>
                      <w:sz w:val="20"/>
                      <w:color w:val="000000"/>
                    </w:rPr>
                    <w:t>Ⅲ级手术室）</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手术区域</w:t>
                  </w:r>
                  <w:r>
                    <w:rPr>
                      <w:rFonts w:ascii="仿宋_GB2312" w:hAnsi="仿宋_GB2312" w:cs="仿宋_GB2312" w:eastAsia="仿宋_GB2312"/>
                      <w:sz w:val="20"/>
                      <w:color w:val="000000"/>
                    </w:rPr>
                    <w:t>7级，周边8级</w:t>
                  </w:r>
                </w:p>
              </w:tc>
              <w:tc>
                <w:tcPr>
                  <w:tcW w:type="dxa" w:w="1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洁净度级别、换气次数、静压差、温度、相对湿度、噪声、照度、沉降菌、浮游菌、甲醛、苯、</w:t>
                  </w:r>
                  <w:r>
                    <w:rPr>
                      <w:rFonts w:ascii="仿宋_GB2312" w:hAnsi="仿宋_GB2312" w:cs="仿宋_GB2312" w:eastAsia="仿宋_GB2312"/>
                      <w:sz w:val="20"/>
                      <w:color w:val="000000"/>
                    </w:rPr>
                    <w:t>TVOC</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4</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2500.00</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7</w:t>
                  </w:r>
                </w:p>
              </w:tc>
              <w:tc>
                <w:tcPr>
                  <w:tcW w:type="dxa" w:w="625"/>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洁净间辅助用房</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8级</w:t>
                  </w:r>
                </w:p>
              </w:tc>
              <w:tc>
                <w:tcPr>
                  <w:tcW w:type="dxa" w:w="1542"/>
                  <w:vMerge/>
                  <w:tcBorders>
                    <w:top w:val="none" w:color="000000" w:sz="4"/>
                    <w:left w:val="none" w:color="000000" w:sz="4"/>
                    <w:bottom w:val="single" w:color="000000" w:sz="4"/>
                    <w:right w:val="single" w:color="000000" w:sz="4"/>
                  </w:tcBorders>
                </w:tc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19</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2000.00</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8</w:t>
                  </w:r>
                </w:p>
              </w:tc>
              <w:tc>
                <w:tcPr>
                  <w:tcW w:type="dxa" w:w="6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六号楼七层血液科层流病房</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洁净间辅助用房（</w:t>
                  </w:r>
                  <w:r>
                    <w:rPr>
                      <w:rFonts w:ascii="仿宋_GB2312" w:hAnsi="仿宋_GB2312" w:cs="仿宋_GB2312" w:eastAsia="仿宋_GB2312"/>
                      <w:sz w:val="18"/>
                      <w:color w:val="000000"/>
                    </w:rPr>
                    <w:t>Ⅰ级手术室）</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手术区域</w:t>
                  </w:r>
                  <w:r>
                    <w:rPr>
                      <w:rFonts w:ascii="仿宋_GB2312" w:hAnsi="仿宋_GB2312" w:cs="仿宋_GB2312" w:eastAsia="仿宋_GB2312"/>
                      <w:sz w:val="18"/>
                      <w:color w:val="000000"/>
                    </w:rPr>
                    <w:t>5级，周边6级</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洁净度级别、百级手术室开门后门内</w:t>
                  </w:r>
                  <w:r>
                    <w:rPr>
                      <w:rFonts w:ascii="仿宋_GB2312" w:hAnsi="仿宋_GB2312" w:cs="仿宋_GB2312" w:eastAsia="仿宋_GB2312"/>
                      <w:sz w:val="18"/>
                      <w:color w:val="000000"/>
                    </w:rPr>
                    <w:t>0.6m的洁净度、静压差、截面风速、温度、相对湿度、噪声、照度、沉降菌、浮游菌、甲醛、苯、TVOC</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5</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2800.00</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9</w:t>
                  </w:r>
                </w:p>
              </w:tc>
              <w:tc>
                <w:tcPr>
                  <w:tcW w:type="dxa" w:w="625"/>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洁净间辅助用房（</w:t>
                  </w:r>
                  <w:r>
                    <w:rPr>
                      <w:rFonts w:ascii="仿宋_GB2312" w:hAnsi="仿宋_GB2312" w:cs="仿宋_GB2312" w:eastAsia="仿宋_GB2312"/>
                      <w:sz w:val="18"/>
                      <w:color w:val="000000"/>
                    </w:rPr>
                    <w:t>Ⅱ级手术室）</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手术区域</w:t>
                  </w:r>
                  <w:r>
                    <w:rPr>
                      <w:rFonts w:ascii="仿宋_GB2312" w:hAnsi="仿宋_GB2312" w:cs="仿宋_GB2312" w:eastAsia="仿宋_GB2312"/>
                      <w:sz w:val="18"/>
                      <w:color w:val="000000"/>
                    </w:rPr>
                    <w:t>6级，周边7级</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洁净度级别、换气次数、静压差、温度、相对湿度、噪声、照度、沉降菌、浮游菌、甲醛、苯、</w:t>
                  </w:r>
                  <w:r>
                    <w:rPr>
                      <w:rFonts w:ascii="仿宋_GB2312" w:hAnsi="仿宋_GB2312" w:cs="仿宋_GB2312" w:eastAsia="仿宋_GB2312"/>
                      <w:sz w:val="18"/>
                      <w:color w:val="000000"/>
                    </w:rPr>
                    <w:t>TVOC</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5</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2800.00</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10</w:t>
                  </w:r>
                </w:p>
              </w:tc>
              <w:tc>
                <w:tcPr>
                  <w:tcW w:type="dxa" w:w="625"/>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洁净间辅助用房（</w:t>
                  </w:r>
                  <w:r>
                    <w:rPr>
                      <w:rFonts w:ascii="仿宋_GB2312" w:hAnsi="仿宋_GB2312" w:cs="仿宋_GB2312" w:eastAsia="仿宋_GB2312"/>
                      <w:sz w:val="18"/>
                      <w:color w:val="000000"/>
                    </w:rPr>
                    <w:t>Ⅲ级手术室）</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手术区域</w:t>
                  </w:r>
                  <w:r>
                    <w:rPr>
                      <w:rFonts w:ascii="仿宋_GB2312" w:hAnsi="仿宋_GB2312" w:cs="仿宋_GB2312" w:eastAsia="仿宋_GB2312"/>
                      <w:sz w:val="18"/>
                      <w:color w:val="000000"/>
                    </w:rPr>
                    <w:t>7级，周边8级</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洁净度级别、换气次数、静压差、温度、相对湿度、噪声、照度、沉降菌、浮游菌、甲醛、苯、</w:t>
                  </w:r>
                  <w:r>
                    <w:rPr>
                      <w:rFonts w:ascii="仿宋_GB2312" w:hAnsi="仿宋_GB2312" w:cs="仿宋_GB2312" w:eastAsia="仿宋_GB2312"/>
                      <w:sz w:val="18"/>
                      <w:color w:val="000000"/>
                    </w:rPr>
                    <w:t>TVOC</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30</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2300.00</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11</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门诊三层肠内营养配置</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洁净间辅助用房（</w:t>
                  </w:r>
                  <w:r>
                    <w:rPr>
                      <w:rFonts w:ascii="仿宋_GB2312" w:hAnsi="仿宋_GB2312" w:cs="仿宋_GB2312" w:eastAsia="仿宋_GB2312"/>
                      <w:sz w:val="18"/>
                      <w:color w:val="000000"/>
                    </w:rPr>
                    <w:t>Ⅲ级手术室）</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8级</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洁净度级别、换气次数、静压差、温度、相对湿度、噪声、照度、沉降菌、浮游菌、甲醛、苯、</w:t>
                  </w:r>
                  <w:r>
                    <w:rPr>
                      <w:rFonts w:ascii="仿宋_GB2312" w:hAnsi="仿宋_GB2312" w:cs="仿宋_GB2312" w:eastAsia="仿宋_GB2312"/>
                      <w:sz w:val="18"/>
                      <w:color w:val="000000"/>
                    </w:rPr>
                    <w:t>TVOC</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18"/>
                      <w:color w:val="000000"/>
                    </w:rPr>
                    <w:t>1</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center"/>
                  </w:pPr>
                  <w:r>
                    <w:rPr>
                      <w:rFonts w:ascii="仿宋_GB2312" w:hAnsi="仿宋_GB2312" w:cs="仿宋_GB2312" w:eastAsia="仿宋_GB2312"/>
                      <w:sz w:val="20"/>
                      <w:color w:val="000000"/>
                    </w:rPr>
                    <w:t>2600.00</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采购合同签订生效之日起至90个日历天内完成</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按采购人指定地点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依据：按照国家、行业相关标准和规范要求以及磋商文件的质量要求和技术指标、中标供应商投标文件及承诺与约定标准进行验收。供应商、采购人双方如对质量要求和技术指标的约定标准有相互抵触和异议的事项，由采购人在磋商文件及投标文件中按质量要求和技术指标比较优胜的原则确定标准进行验收。 2）验收办法：采购人将按照《财政部关于进一步加强政府采购需求和履约验收管理的报导意见》（财库【2016】205 号）和《关于沿用〈乐山市政府采购项目需求论证和履约验收管理实施细则〉的通知》（乐市财政采〔2021〕8号）的规定进行履约验收，采购人与中标供应商双方如对质量要求和技术指标的约定标准有相互抵触或异议的事项,由采购人按磋商文件与中标供应商投标文件中按质量要求和技术指标有利于采购人的原则确定该项的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1、付款方式，合同签订后，达到付款条件起60日内，据实情况说明为因系统固化原因，详见3.4其他要求</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甲方）与成交供应商（乙方）必须遵守本项目合同条款内容并执行项目合同中的各项规定，保证本项目合同的正常履行。任何一方违约给对方造成的直接损失均负有赔偿责任，对方均有权视情况要求对方继续履行合同或提出解除合同。 2）如因成交供应商在履行过程中的疏忽、失职、过错等故意或者过失原因给采购人造成损失或侵害，包括但不限于采购人本身的财产损失，由此造成的采购人对任何第三方的经济责任、法律责任等，成交供应商对此均应承担全部的赔偿责任。 3）除上述条款外，采购人、成交供应商在签订项目合同时，可进一步就违约责任进行明细约定。</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以下均为实质性要求：1.安全责任：成交供应商在履行合同期间须独自承担项目风险与责任，履约期内相关人员的生命及财产安全由成交供应商全权负责，履约期间发生任何安全责任事故，造成的损失均由成交供应商自行承担，采购人不承担任何责任。2.付款方式：1）合同签订后60个日历天内支付合同金额的20%作为预付款。2）依据采购人要求完成所有指定检测区域的检测工作并出具检测报告后，于60个日历天内，根据已完成检测服务内容，按检测单价据实结算剩余款项。3）支付费用时，成交供应商须向采购人提供与付款金额等额的正规税务发票等材料。3.报价要求：1）本项目报价是供应商全部完成本项目所有的服务内容的全部工作、服务内容的综合最终报价，包括供应商履约过程中的产品、运输（含二次搬运、转运）、人工、机具、差旅、保险、税金、验收、资金利息、合理利润、后期服务（如有）及与供应商履约本项目所需要的其他所有费用。采购人在项目结算时不再向成交供应商支付其他任何费用。如出现在响应报价估算错误等引起的损失由竞标人自行承担。2）供应商单价报价不得超过检测服务清单中各项检测单价。小微企业、残疾人福利性单位、监狱企业的优惠在供应商实际报价的基础上由评审委员会按政策执行。4.其他相关事宜：1）成交供应商在履约过程中，如涉及到商品包装和快递包装的，须按财政部关于印发《商品包装政府采购需求标准（试行）》、《快递包装政府采购需求标准（试行）》的通知（财办库〔2020〕123号）规定的标准执行。2）本项目区域为医疗单位，要求供应商须严格遵守、执行医院的防控措施及管理制度。如出现不按规定违反医院管理制度要求的情况，采购人有权根据实际情况对供应商作出处罚，情节严重的，采购人有权单方中止合同，取消供应商履约资格，构成犯罪的，将依法追究供应商刑事责任。3）在本磋商文件中没有提及的与本项目履约切实相关的事宜，在采购人与成交供应商订立合同时明细约定或后续补充约定（约定的内容须符合国家相关法律法规的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本磋商文件中除标注</w:t>
      </w:r>
      <w:r>
        <w:rPr>
          <w:rFonts w:ascii="仿宋_GB2312" w:hAnsi="仿宋_GB2312" w:cs="仿宋_GB2312" w:eastAsia="仿宋_GB2312"/>
          <w:sz w:val="21"/>
        </w:rPr>
        <w:t>“★”实质性要求以外的内容，根据采购人项目实际需求可进行磋商</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本磋商文件中除标注</w:t>
      </w:r>
      <w:r>
        <w:rPr>
          <w:rFonts w:ascii="仿宋_GB2312" w:hAnsi="仿宋_GB2312" w:cs="仿宋_GB2312" w:eastAsia="仿宋_GB2312"/>
          <w:sz w:val="21"/>
        </w:rPr>
        <w:t>“★”实质性要求以外的内容，根据采购人项目实际需求可进行磋商</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证明材料说明：供应商根据自身成立时间及组织形式等不同情况，提供下列可以证明供应商具有健全财务会计制度的佐证材料之一即可：1）近三年来任意一个会计年度的财务审计报告复印件（至少包含报告正文及报告中提及财务报表）；2）或者近三年来任意一个月度或季度或年度的财务报表复印件（至少包括资产负债表、损益表（或称利润表））；3）成立不足一年的，可提供竞标前基本开户行出具的银行资信证明复印件或供应商内部财务会计制度；</w:t>
              <w:br/>
              <w:t>2.特别说明：提供上述1）、2）、3）存在困难的（如行政事业单位、个体工商户、合作社、家庭农场、自然人等），仅提供上述承诺，无需提供佐证材料；</w:t>
            </w:r>
          </w:p>
        </w:tc>
        <w:tc>
          <w:tcPr>
            <w:tcW w:type="dxa" w:w="1910"/>
          </w:tcPr>
          <w:p>
            <w:pPr>
              <w:pStyle w:val="null3"/>
              <w:jc w:val="left"/>
            </w:pPr>
            <w:r>
              <w:rPr>
                <w:rFonts w:ascii="仿宋_GB2312" w:hAnsi="仿宋_GB2312" w:cs="仿宋_GB2312" w:eastAsia="仿宋_GB2312"/>
              </w:rPr>
              <w:t>供应商应提交的其他相关证明材料.docx,投标（响应）函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项目技术要求、商务要求和其他要求响应</w:t>
            </w:r>
          </w:p>
        </w:tc>
        <w:tc>
          <w:tcPr>
            <w:tcW w:type="dxa" w:w="3322"/>
          </w:tcPr>
          <w:p>
            <w:pPr>
              <w:pStyle w:val="null3"/>
              <w:jc w:val="left"/>
            </w:pPr>
            <w:r>
              <w:rPr>
                <w:rFonts w:ascii="仿宋_GB2312" w:hAnsi="仿宋_GB2312" w:cs="仿宋_GB2312" w:eastAsia="仿宋_GB2312"/>
              </w:rPr>
              <w:t>供应商须按照磋商文件第三章“3.2技术要求”“3.3.2 商务要求”和“3.4其他要求”的全部内容逐条进行响应。标注或提示有“★”的实质性要求，属于磋商不可变条款，不满足的，符合性审查不通过，作无效处理。响应文件及相关的证明材料（如要求提供）须加盖供应商电子印章。</w:t>
            </w:r>
          </w:p>
        </w:tc>
        <w:tc>
          <w:tcPr>
            <w:tcW w:type="dxa" w:w="1910"/>
          </w:tcPr>
          <w:p>
            <w:pPr>
              <w:pStyle w:val="null3"/>
              <w:jc w:val="left"/>
            </w:pPr>
            <w:r>
              <w:rPr>
                <w:rFonts w:ascii="仿宋_GB2312" w:hAnsi="仿宋_GB2312" w:cs="仿宋_GB2312" w:eastAsia="仿宋_GB2312"/>
              </w:rPr>
              <w:t>服务应答表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应当加盖供应商公章，在磋商小组要求的时间内通过项目电子化交易系统进行提交，否则视为不能证明其响应报价合理性。供应商不能证明其响应报价合理性的，磋商小组应当将其响应文件作为无效处理。（注：供应商报价低于最高限价50%或者低于其他有效供应商报价算术平均价40%的，磋商小组可以认为该供应商“低于其他通过符合性审查供应商的报价”。）</w:t>
            </w:r>
          </w:p>
        </w:tc>
        <w:tc>
          <w:tcPr>
            <w:tcW w:type="dxa" w:w="1910"/>
          </w:tcPr>
          <w:p>
            <w:pPr>
              <w:pStyle w:val="null3"/>
              <w:jc w:val="left"/>
            </w:pPr>
            <w:r>
              <w:rPr>
                <w:rFonts w:ascii="仿宋_GB2312" w:hAnsi="仿宋_GB2312" w:cs="仿宋_GB2312" w:eastAsia="仿宋_GB2312"/>
              </w:rPr>
              <w:t>报价明细表,报价表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针对本项目拟定的实施方案，包括但不限于1.供应商平台能力建设水平；2、服务团队、仪器配置及管理；3、检验项目及方法描述；4、质量控制措施等四个部分的内容。上述4项内容合计16分，每缺少一项内容扣4分，每有一处缺陷（缺陷是指：凭空编造、笼统描述、方案仅有大标题，内容空洞、内容前后不一致、内容无法连贯、前后逻辑错误、涉及的规范及标准错误、地点区域错误、直接套用其他项目方案、与项目实施特点不匹配、不符合或不满足采购需求实际等等任意一种不利于项目实施情况）扣2分，扣完为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供应商根据综合评分明细表提供的其他资料.docx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针对本项目拟定的售后服务方案，包括但不限于：1、售后响应时间；2、售后人员配置；3、售后技术服务；4、售后风险评估；5、售后服务的有效时间；6、售后服务的保障车辆信息；7保密措施等七个部分的内容。上述7项内容合计14分，每缺少一项内容扣2分，每有一处缺陷（缺陷是指：凭空编造、笼统描述、方案仅有大标题，内容空洞、内容前后不一致、内容无法连贯、前后逻辑错误、涉及的规范及标准错误、地点区域错误、直接套用其他项目方案、与项目实施特点不匹配、不符合或不满足采购需求实际等等任意一种不利于项目实施情况）扣1分，扣完为止。</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供应商根据综合评分明细表提供的其他资料.docx</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提供2022 年 1 月 1 日（含 1 日）以来的类似项目业绩，每提供一个得2分，本项最高得8分，不提供的不得分。 注：提供合同复印件并加盖电子印章，合同复印件不得漏页、遮挡、涂改。</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供应商根据综合评分明细表提供的其他资料.docx</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1、拟投入本项目中的项目负责人（1人）：具有检验检测相关专业高级职称的得2分。 2、拟投入本项目中的服务团队检测人员：具有检验检测相关专业中级及以上职称的，每提供一个得1分，本项最高得10分。 注：1.以上人员不得重复计分。2.须提供相关证书和供应商本单位人员的在职证明材料并加盖供应商电子印章，未提供或提供不全的不得分。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供应商根据综合评分明细表提供的其他资料.docx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1、供应商提供完成项目所需设备的检定或校准证书： （1）尘埃粒子计数器 （2）微压差计 （3）风速仪 （4）声级计 （5）光照度计 （6）浮游菌采样器 （7）气相色谱仪 （8）紫外可见光分光度计 （9）大气采样器 （10）风量罩 注：以上（1）至（10）项设备均应获得检定或校准证书且证书且在有效期内的得10分，每缺1台设备未获检定校准证书或证书未在有效期内的扣1分。（提供检验项目参数对应设备清单，及每台设备的检定或校准证书）。 2、供应商自2022年1月1日以来，任一年度参加省级及以上市场监督管理局组织的《检验检测机构能力验证》，考核指标结果为“合格”或“满意”的，每提供一个得2分，未提供不得分。本项最高得20分。（注：须提供省级以上市场监督管理局颁发《能力验证合格证书》复印件或者省级以上市场监督管理局检验检测机构能力验证结果的公告复印件并加盖供应商电子印章。）</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供应商根据综合评分明细表提供的其他资料.docx</w:t>
            </w:r>
          </w:p>
        </w:tc>
      </w:tr>
      <w:tr>
        <w:tc>
          <w:tcPr>
            <w:tcW w:type="dxa" w:w="831"/>
            <w:vMerge/>
          </w:tcPr>
          <w:p/>
        </w:tc>
        <w:tc>
          <w:tcPr>
            <w:tcW w:type="dxa" w:w="1661"/>
          </w:tcPr>
          <w:p>
            <w:pPr>
              <w:pStyle w:val="null3"/>
              <w:jc w:val="left"/>
            </w:pPr>
            <w:r>
              <w:rPr>
                <w:rFonts w:ascii="仿宋_GB2312" w:hAnsi="仿宋_GB2312" w:cs="仿宋_GB2312" w:eastAsia="仿宋_GB2312"/>
              </w:rPr>
              <w:t>应急服务能力</w:t>
            </w:r>
          </w:p>
        </w:tc>
        <w:tc>
          <w:tcPr>
            <w:tcW w:type="dxa" w:w="2575"/>
          </w:tcPr>
          <w:p>
            <w:pPr>
              <w:pStyle w:val="null3"/>
              <w:jc w:val="left"/>
            </w:pPr>
            <w:r>
              <w:rPr>
                <w:rFonts w:ascii="仿宋_GB2312" w:hAnsi="仿宋_GB2312" w:cs="仿宋_GB2312" w:eastAsia="仿宋_GB2312"/>
              </w:rPr>
              <w:t>为保障在突发情况下应急监测的及时性和有效性，供应商在收到采购人的应急需求后： 1.供应商60分钟内（含60分钟）到达监测现场并立即开展监测得10分； 2.供应商90分钟内（含90分钟）到达监测现场并立即开展监测得6分； 3.供应商120 分钟内（含120分钟）到达监测现场并立即开展监测得2分； 4.供应商120分钟以外到达监测现场并开展监测不得分。 注：以上内容须提供相关证明材料予以佐证，未提供不得分。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供应商根据综合评分明细表提供的其他资料.docx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磋商报价得分=(磋商基准价／最后磋商报价)×价格权值×100 注：对于小微企业、残疾人福利性单位或监狱企业给予10%扣除，用扣除后的价格参与评审。</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详见附件：供应商根据综合评分明细表提供的其他资料.docx</w:t>
      </w:r>
    </w:p>
    <w:p>
      <w:pPr>
        <w:pStyle w:val="null3"/>
        <w:ind w:firstLine="960"/>
        <w:jc w:val="left"/>
      </w:pPr>
      <w:r>
        <w:rPr>
          <w:rFonts w:ascii="仿宋_GB2312" w:hAnsi="仿宋_GB2312" w:cs="仿宋_GB2312" w:eastAsia="仿宋_GB2312"/>
        </w:rPr>
        <w:t>详见附件：供应商应提交的其他相关证明材料.docx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