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版本号：N510401202600018820260710001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多病共管健康管理平台采购项目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N5104012026000188</w:t>
      </w:r>
    </w:p>
    <w:p>
      <w:pPr>
        <w:pStyle w:val="null3"/>
        <w:jc w:val="left"/>
        <w:outlineLvl w:val="2"/>
      </w:pPr>
      <w:r>
        <w:rPr>
          <w:rFonts w:ascii="仿宋_GB2312" w:hAnsi="仿宋_GB2312" w:cs="仿宋_GB2312" w:eastAsia="仿宋_GB2312"/>
          <w:sz w:val="28"/>
          <w:b/>
        </w:rPr>
        <w:t>攀枝花市中西医结合医院</w:t>
      </w:r>
    </w:p>
    <w:p>
      <w:pPr>
        <w:pStyle w:val="null3"/>
        <w:jc w:val="center"/>
        <w:outlineLvl w:val="2"/>
      </w:pPr>
      <w:r>
        <w:rPr>
          <w:rFonts w:ascii="仿宋_GB2312" w:hAnsi="仿宋_GB2312" w:cs="仿宋_GB2312" w:eastAsia="仿宋_GB2312"/>
          <w:sz w:val="28"/>
          <w:b/>
        </w:rPr>
        <w:t>四川锦创全过程工程项目管理有限公司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攀枝花市中西医结合医院</w:t>
      </w:r>
      <w:r>
        <w:rPr>
          <w:rFonts w:ascii="仿宋_GB2312" w:hAnsi="仿宋_GB2312" w:cs="仿宋_GB2312" w:eastAsia="仿宋_GB2312"/>
        </w:rPr>
        <w:t xml:space="preserve"> 委托，拟对 </w:t>
      </w:r>
      <w:r>
        <w:rPr>
          <w:rFonts w:ascii="仿宋_GB2312" w:hAnsi="仿宋_GB2312" w:cs="仿宋_GB2312" w:eastAsia="仿宋_GB2312"/>
        </w:rPr>
        <w:t>多病共管健康管理平台采购项目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攀枝花市市本级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N5104012026000188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多病共管健康管理平台采购项目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以“市域一体、四级协同、医防融合、智慧管理”为核心，建成覆盖市、县、乡、村四级的慢性病健康管理平台，建立区域慢性病患者信息数据库，融合AI赋能、智能随访等人工智能应用及物联网医疗数据采集设备，打通医院、疾控、基层医疗机构、居民之间信息壁垒，实现高血压、糖尿病、慢阻肺、慢性肾脏病、冠心病、脑卒中、肺癌、结直肠癌等主要慢性病的“防、筛、诊、治、康、管、护”全流程闭环管理，显著提升规范管理率，降低重大慢性病过早死亡率，增强居民获得感。实现： （1）数据互通：以居民身份证号为唯一患者主索引，形成全市统一的慢性病主题数据库，实现“一数一源、一源多用”，彻底消除信息孤岛。 （2）业务协同：构建市/县/乡/村四级联动机制，实现慢性病患者全流程闭环管理，线上双向流转闭环运行，出院康复计划自动下转，确保服务连续、信息共享。 （3）智慧管理：将AI能力深度嵌入筛查、评估、随访、预警、质控等环节，大幅减少基层重复录入，实现高危人群自动识别、随访任务自动生成、异常指标实时预警，为患者提供个性化健康管理方案，提高慢性病规范管理率。。 （4）服务创新：建立离院患者自动促诊机制，自动生成复查复诊任务，提升医院服务连续性和非治疗性收入。居民端提供健康日历、AI报告解读、用药提醒、健康积分等服务，显著提升患者自我管理能力与满意度。 本次采购仅覆盖软件系统。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攀枝花市中西医结合医院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攀枝花市东区桃园街27号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0812-2213034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四川锦创全过程工程项目管理有限公司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攀枝花市东区奥林匹克北路 8 号 D 座 3 楼（攀枝花现代服务业 产业园）C区20、22、24、26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丁思雯、刘幕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13882325125、15196517658、0812-5556733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与采购人签订的委托代理协议之相关规定，服务费以中标金额为计算基数，按照中标金额的1.5%收取(不足8000元按照8000元收取)。代理服务费由中标人承担，中标人领取中标通知书前，应向采购代理机构交纳采购代理服务费。 收款单位：四川锦创全过程工程项目管理有限公司攀枝花东区分公司 开户银行：四川银行股份有限公司攀枝花炳草岗支行 账号：77220100054955822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攀枝花市中西医结合医院</w:t>
      </w:r>
      <w:r>
        <w:rPr>
          <w:rFonts w:ascii="仿宋_GB2312" w:hAnsi="仿宋_GB2312" w:cs="仿宋_GB2312" w:eastAsia="仿宋_GB2312"/>
        </w:rPr>
        <w:t xml:space="preserve"> 和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攀枝花市中西医结合医院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按国家有关规定、采购文件的质量要求和技术指标、成交供应商的响应文件及承诺以及合同约定标准进行验收。其他未尽事宜将按照《财政部关于进一步加强政府采购需求和履约验收管理的指导意见》(财库(2016) 205号)规定的标准、方法和内容进行验收。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攀枝花市中西医结合医院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四川锦创全过程工程项目管理有限公司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联系人：阳老师</w:t>
      </w:r>
    </w:p>
    <w:p>
      <w:pPr>
        <w:pStyle w:val="null3"/>
        <w:jc w:val="left"/>
      </w:pPr>
      <w:r>
        <w:rPr>
          <w:rFonts w:ascii="仿宋_GB2312" w:hAnsi="仿宋_GB2312" w:cs="仿宋_GB2312" w:eastAsia="仿宋_GB2312"/>
        </w:rPr>
        <w:t>联系电话：0812-2213034</w:t>
      </w:r>
    </w:p>
    <w:p>
      <w:pPr>
        <w:pStyle w:val="null3"/>
        <w:jc w:val="left"/>
      </w:pPr>
      <w:r>
        <w:rPr>
          <w:rFonts w:ascii="仿宋_GB2312" w:hAnsi="仿宋_GB2312" w:cs="仿宋_GB2312" w:eastAsia="仿宋_GB2312"/>
        </w:rPr>
        <w:t>地址：攀枝花市东区桃园街27号</w:t>
      </w:r>
    </w:p>
    <w:p>
      <w:pPr>
        <w:pStyle w:val="null3"/>
        <w:jc w:val="left"/>
      </w:pPr>
      <w:r>
        <w:rPr>
          <w:rFonts w:ascii="仿宋_GB2312" w:hAnsi="仿宋_GB2312" w:cs="仿宋_GB2312" w:eastAsia="仿宋_GB2312"/>
        </w:rPr>
        <w:t>邮编：617000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联系人：刘幕</w:t>
      </w:r>
    </w:p>
    <w:p>
      <w:pPr>
        <w:pStyle w:val="null3"/>
        <w:jc w:val="left"/>
      </w:pPr>
      <w:r>
        <w:rPr>
          <w:rFonts w:ascii="仿宋_GB2312" w:hAnsi="仿宋_GB2312" w:cs="仿宋_GB2312" w:eastAsia="仿宋_GB2312"/>
        </w:rPr>
        <w:t>联系电话：15196517658</w:t>
      </w:r>
    </w:p>
    <w:p>
      <w:pPr>
        <w:pStyle w:val="null3"/>
        <w:jc w:val="left"/>
      </w:pPr>
      <w:r>
        <w:rPr>
          <w:rFonts w:ascii="仿宋_GB2312" w:hAnsi="仿宋_GB2312" w:cs="仿宋_GB2312" w:eastAsia="仿宋_GB2312"/>
        </w:rPr>
        <w:t>地址：攀枝花市东区奥林匹克北路 8 号 D 座 3 楼（攀枝花现代服务业 产业园）C区20、22、24、26 号</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4,550,000.00</w:t>
      </w:r>
    </w:p>
    <w:p>
      <w:pPr>
        <w:pStyle w:val="null3"/>
        <w:jc w:val="left"/>
      </w:pPr>
      <w:r>
        <w:rPr>
          <w:rFonts w:ascii="仿宋_GB2312" w:hAnsi="仿宋_GB2312" w:cs="仿宋_GB2312" w:eastAsia="仿宋_GB2312"/>
        </w:rPr>
        <w:t>采购包最高限价（元）: 4,550,000.00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C16010302 行业应用软件开发服务</w:t>
            </w:r>
          </w:p>
        </w:tc>
        <w:tc>
          <w:tcPr>
            <w:tcW w:type="dxa" w:w="821"/>
          </w:tcPr>
          <w:p>
            <w:pPr>
              <w:pStyle w:val="null3"/>
              <w:jc w:val="left"/>
            </w:pPr>
            <w:r>
              <w:rPr>
                <w:rFonts w:ascii="仿宋_GB2312" w:hAnsi="仿宋_GB2312" w:cs="仿宋_GB2312" w:eastAsia="仿宋_GB2312"/>
              </w:rPr>
              <w:t>多病共管健康管理平台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多病共管健康管理平台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超过最高限价的报价为无效报价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标的名称：多病共管健康管理平台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（一）总体技术要求</w:t>
            </w:r>
          </w:p>
          <w:p>
            <w:pPr>
              <w:pStyle w:val="null3"/>
              <w:jc w:val="both"/>
            </w:pPr>
            <w:r>
              <w:rPr>
                <w:rFonts w:ascii="仿宋_GB2312" w:hAnsi="仿宋_GB2312" w:cs="仿宋_GB2312" w:eastAsia="仿宋_GB2312"/>
                <w:sz w:val="24"/>
                <w:color w:val="000000"/>
              </w:rPr>
              <w:t>1、建设规模</w:t>
            </w:r>
          </w:p>
          <w:p>
            <w:pPr>
              <w:pStyle w:val="null3"/>
              <w:ind w:firstLine="240"/>
              <w:jc w:val="both"/>
            </w:pPr>
            <w:r>
              <w:rPr>
                <w:rFonts w:ascii="仿宋_GB2312" w:hAnsi="仿宋_GB2312" w:cs="仿宋_GB2312" w:eastAsia="仿宋_GB2312"/>
                <w:sz w:val="24"/>
                <w:color w:val="000000"/>
              </w:rPr>
              <w:t>1.1机构覆盖：市级、县（区）、乡镇（街道）、村（社区），包括市、县两级疾控机构，二级以上</w:t>
            </w:r>
            <w:r>
              <w:rPr>
                <w:rFonts w:ascii="仿宋_GB2312" w:hAnsi="仿宋_GB2312" w:cs="仿宋_GB2312" w:eastAsia="仿宋_GB2312"/>
                <w:sz w:val="24"/>
                <w:color w:val="000000"/>
              </w:rPr>
              <w:t>公立</w:t>
            </w:r>
            <w:r>
              <w:rPr>
                <w:rFonts w:ascii="仿宋_GB2312" w:hAnsi="仿宋_GB2312" w:cs="仿宋_GB2312" w:eastAsia="仿宋_GB2312"/>
                <w:sz w:val="24"/>
                <w:color w:val="000000"/>
              </w:rPr>
              <w:t>医院，乡镇卫生院、社区卫生服务中心及村卫生室。</w:t>
            </w:r>
          </w:p>
          <w:p>
            <w:pPr>
              <w:pStyle w:val="null3"/>
              <w:ind w:firstLine="240"/>
              <w:jc w:val="both"/>
            </w:pPr>
            <w:r>
              <w:rPr>
                <w:rFonts w:ascii="仿宋_GB2312" w:hAnsi="仿宋_GB2312" w:cs="仿宋_GB2312" w:eastAsia="仿宋_GB2312"/>
                <w:sz w:val="24"/>
                <w:color w:val="000000"/>
              </w:rPr>
              <w:t>1.2服务病种及人群：重点服务高血压、糖尿病、慢阻肺、慢性肾脏病、冠心病、脑卒中、肺癌、结直肠癌 （以下简称“项目病种”）</w:t>
            </w:r>
            <w:r>
              <w:rPr>
                <w:rFonts w:ascii="仿宋_GB2312" w:hAnsi="仿宋_GB2312" w:cs="仿宋_GB2312" w:eastAsia="仿宋_GB2312"/>
                <w:sz w:val="24"/>
                <w:color w:val="000000"/>
              </w:rPr>
              <w:t>8种</w:t>
            </w:r>
            <w:r>
              <w:rPr>
                <w:rFonts w:ascii="仿宋_GB2312" w:hAnsi="仿宋_GB2312" w:cs="仿宋_GB2312" w:eastAsia="仿宋_GB2312"/>
                <w:sz w:val="24"/>
                <w:color w:val="000000"/>
              </w:rPr>
              <w:t>慢性病</w:t>
            </w:r>
            <w:r>
              <w:rPr>
                <w:rFonts w:ascii="仿宋_GB2312" w:hAnsi="仿宋_GB2312" w:cs="仿宋_GB2312" w:eastAsia="仿宋_GB2312"/>
                <w:sz w:val="24"/>
                <w:color w:val="000000"/>
              </w:rPr>
              <w:t>和超重肥胖人群管理</w:t>
            </w:r>
            <w:r>
              <w:rPr>
                <w:rFonts w:ascii="仿宋_GB2312" w:hAnsi="仿宋_GB2312" w:cs="仿宋_GB2312" w:eastAsia="仿宋_GB2312"/>
                <w:sz w:val="24"/>
                <w:color w:val="000000"/>
              </w:rPr>
              <w:t>，覆盖全市常住居民。</w:t>
            </w:r>
          </w:p>
          <w:p>
            <w:pPr>
              <w:pStyle w:val="null3"/>
              <w:ind w:firstLine="240"/>
              <w:jc w:val="both"/>
            </w:pPr>
            <w:r>
              <w:rPr>
                <w:rFonts w:ascii="仿宋_GB2312" w:hAnsi="仿宋_GB2312" w:cs="仿宋_GB2312" w:eastAsia="仿宋_GB2312"/>
                <w:sz w:val="24"/>
                <w:color w:val="000000"/>
              </w:rPr>
              <w:t>1.3业务范围：满足全市慢性病</w:t>
            </w:r>
            <w:r>
              <w:rPr>
                <w:rFonts w:ascii="仿宋_GB2312" w:hAnsi="仿宋_GB2312" w:cs="仿宋_GB2312" w:eastAsia="仿宋_GB2312"/>
                <w:sz w:val="24"/>
                <w:color w:val="000000"/>
              </w:rPr>
              <w:t>防、筛、诊、治、康、管</w:t>
            </w:r>
            <w:r>
              <w:rPr>
                <w:rFonts w:ascii="仿宋_GB2312" w:hAnsi="仿宋_GB2312" w:cs="仿宋_GB2312" w:eastAsia="仿宋_GB2312"/>
                <w:sz w:val="24"/>
                <w:color w:val="000000"/>
              </w:rPr>
              <w:t>、</w:t>
            </w:r>
            <w:r>
              <w:rPr>
                <w:rFonts w:ascii="仿宋_GB2312" w:hAnsi="仿宋_GB2312" w:cs="仿宋_GB2312" w:eastAsia="仿宋_GB2312"/>
                <w:sz w:val="24"/>
                <w:color w:val="000000"/>
              </w:rPr>
              <w:t>护</w:t>
            </w:r>
            <w:r>
              <w:rPr>
                <w:rFonts w:ascii="仿宋_GB2312" w:hAnsi="仿宋_GB2312" w:cs="仿宋_GB2312" w:eastAsia="仿宋_GB2312"/>
                <w:sz w:val="24"/>
                <w:color w:val="000000"/>
              </w:rPr>
              <w:t>等全场景需求。</w:t>
            </w:r>
          </w:p>
          <w:p>
            <w:pPr>
              <w:pStyle w:val="null3"/>
              <w:ind w:firstLine="240"/>
              <w:jc w:val="both"/>
            </w:pPr>
            <w:r>
              <w:rPr>
                <w:rFonts w:ascii="仿宋_GB2312" w:hAnsi="仿宋_GB2312" w:cs="仿宋_GB2312" w:eastAsia="仿宋_GB2312"/>
                <w:sz w:val="24"/>
                <w:color w:val="000000"/>
              </w:rPr>
              <w:t>1.4平台依托市级可用的卫生健康行业云部署.</w:t>
            </w:r>
          </w:p>
          <w:p>
            <w:pPr>
              <w:pStyle w:val="null3"/>
              <w:jc w:val="both"/>
            </w:pPr>
            <w:r>
              <w:rPr>
                <w:rFonts w:ascii="仿宋_GB2312" w:hAnsi="仿宋_GB2312" w:cs="仿宋_GB2312" w:eastAsia="仿宋_GB2312"/>
                <w:sz w:val="24"/>
                <w:color w:val="000000"/>
              </w:rPr>
              <w:t>2、开放性与可扩展性要求</w:t>
            </w:r>
          </w:p>
          <w:p>
            <w:pPr>
              <w:pStyle w:val="null3"/>
              <w:ind w:firstLine="24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平台</w:t>
            </w:r>
            <w:r>
              <w:rPr>
                <w:rFonts w:ascii="仿宋_GB2312" w:hAnsi="仿宋_GB2312" w:cs="仿宋_GB2312" w:eastAsia="仿宋_GB2312"/>
                <w:sz w:val="24"/>
                <w:color w:val="000000"/>
              </w:rPr>
              <w:t>至少支持大屏、</w:t>
            </w:r>
            <w:r>
              <w:rPr>
                <w:rFonts w:ascii="仿宋_GB2312" w:hAnsi="仿宋_GB2312" w:cs="仿宋_GB2312" w:eastAsia="仿宋_GB2312"/>
                <w:sz w:val="24"/>
                <w:color w:val="000000"/>
              </w:rPr>
              <w:t>PC、移动H5或小程序等多终端接入。</w:t>
            </w:r>
          </w:p>
          <w:p>
            <w:pPr>
              <w:pStyle w:val="null3"/>
              <w:ind w:firstLine="240"/>
              <w:jc w:val="both"/>
            </w:pPr>
            <w:r>
              <w:rPr>
                <w:rFonts w:ascii="仿宋_GB2312" w:hAnsi="仿宋_GB2312" w:cs="仿宋_GB2312" w:eastAsia="仿宋_GB2312"/>
                <w:sz w:val="24"/>
                <w:color w:val="000000"/>
              </w:rPr>
              <w:t>2.2平台需提供标准化API接口，具备未来接入互联网医院、互联网护理、三方随访系统及各类物联网健康监测设备的能力。</w:t>
            </w:r>
          </w:p>
          <w:p>
            <w:pPr>
              <w:pStyle w:val="null3"/>
              <w:ind w:firstLine="240"/>
              <w:jc w:val="both"/>
            </w:pPr>
            <w:r>
              <w:rPr>
                <w:rFonts w:ascii="仿宋_GB2312" w:hAnsi="仿宋_GB2312" w:cs="仿宋_GB2312" w:eastAsia="仿宋_GB2312"/>
                <w:sz w:val="24"/>
                <w:color w:val="000000"/>
              </w:rPr>
              <w:t>2.3平台使用的数据标准与接口规范预留与未来市级全民健康信息平台兼容的能力，确保当前建设的慢性病数据可平滑接入、反向赋能，避免重复投资。</w:t>
            </w:r>
          </w:p>
          <w:p>
            <w:pPr>
              <w:pStyle w:val="null3"/>
              <w:ind w:firstLine="240"/>
              <w:jc w:val="both"/>
            </w:pPr>
            <w:r>
              <w:rPr>
                <w:rFonts w:ascii="仿宋_GB2312" w:hAnsi="仿宋_GB2312" w:cs="仿宋_GB2312" w:eastAsia="仿宋_GB2312"/>
                <w:sz w:val="24"/>
                <w:color w:val="000000"/>
              </w:rPr>
              <w:t>2.4平台需具备和医院HIS系统协同的能力，将平台筛查的慢病患者清单、患者标签、需要医护注意的事项，以数据清单的方式返回到各家医院HIS提供的表中，作为需要协同的数据内容支撑。</w:t>
            </w:r>
          </w:p>
          <w:p>
            <w:pPr>
              <w:pStyle w:val="null3"/>
              <w:jc w:val="both"/>
            </w:pPr>
            <w:r>
              <w:rPr>
                <w:rFonts w:ascii="仿宋_GB2312" w:hAnsi="仿宋_GB2312" w:cs="仿宋_GB2312" w:eastAsia="仿宋_GB2312"/>
                <w:sz w:val="24"/>
                <w:color w:val="000000"/>
              </w:rPr>
              <w:t>3、数据标准要求</w:t>
            </w:r>
          </w:p>
          <w:p>
            <w:pPr>
              <w:pStyle w:val="null3"/>
              <w:ind w:firstLine="240"/>
              <w:jc w:val="both"/>
            </w:pPr>
            <w:r>
              <w:rPr>
                <w:rFonts w:ascii="仿宋_GB2312" w:hAnsi="仿宋_GB2312" w:cs="仿宋_GB2312" w:eastAsia="仿宋_GB2312"/>
                <w:sz w:val="24"/>
                <w:color w:val="000000"/>
              </w:rPr>
              <w:t>3.1数据元定义、值域、接口规范须符合《国家电子健康档案数据集标准》《四川省全民健康信息平台接口规范》，并与国家数据局“行业高质量数据集”标准兼容。</w:t>
            </w:r>
          </w:p>
          <w:p>
            <w:pPr>
              <w:pStyle w:val="null3"/>
              <w:ind w:firstLine="240"/>
              <w:jc w:val="both"/>
            </w:pPr>
            <w:r>
              <w:rPr>
                <w:rFonts w:ascii="仿宋_GB2312" w:hAnsi="仿宋_GB2312" w:cs="仿宋_GB2312" w:eastAsia="仿宋_GB2312"/>
                <w:sz w:val="24"/>
                <w:color w:val="000000"/>
              </w:rPr>
              <w:t>3.2以居民身份证号为唯一患者主索引，实现跨机构数据自动归集。</w:t>
            </w:r>
          </w:p>
          <w:p>
            <w:pPr>
              <w:pStyle w:val="null3"/>
              <w:jc w:val="both"/>
            </w:pPr>
            <w:r>
              <w:rPr>
                <w:rFonts w:ascii="仿宋_GB2312" w:hAnsi="仿宋_GB2312" w:cs="仿宋_GB2312" w:eastAsia="仿宋_GB2312"/>
                <w:sz w:val="24"/>
                <w:color w:val="000000"/>
              </w:rPr>
              <w:t>4、安全要求</w:t>
            </w:r>
          </w:p>
          <w:p>
            <w:pPr>
              <w:pStyle w:val="null3"/>
              <w:ind w:firstLine="240"/>
              <w:jc w:val="both"/>
            </w:pPr>
            <w:r>
              <w:rPr>
                <w:rFonts w:ascii="仿宋_GB2312" w:hAnsi="仿宋_GB2312" w:cs="仿宋_GB2312" w:eastAsia="仿宋_GB2312"/>
                <w:sz w:val="24"/>
                <w:color w:val="000000"/>
              </w:rPr>
              <w:t>4.1满足网络安全等级保护三级、密码应用安全性评估要求。</w:t>
            </w:r>
          </w:p>
          <w:p>
            <w:pPr>
              <w:pStyle w:val="null3"/>
              <w:jc w:val="both"/>
            </w:pPr>
            <w:r>
              <w:rPr>
                <w:rFonts w:ascii="仿宋_GB2312" w:hAnsi="仿宋_GB2312" w:cs="仿宋_GB2312" w:eastAsia="仿宋_GB2312"/>
                <w:sz w:val="24"/>
                <w:color w:val="000000"/>
              </w:rPr>
              <w:t>（二）具体技术要求</w:t>
            </w:r>
          </w:p>
          <w:p>
            <w:pPr>
              <w:pStyle w:val="null3"/>
              <w:jc w:val="both"/>
            </w:pPr>
            <w:r>
              <w:rPr>
                <w:rFonts w:ascii="仿宋_GB2312" w:hAnsi="仿宋_GB2312" w:cs="仿宋_GB2312" w:eastAsia="仿宋_GB2312"/>
                <w:sz w:val="24"/>
                <w:b/>
                <w:color w:val="000000"/>
              </w:rPr>
              <w:t>1、慢性病数据采集治理及专题数据库建设</w:t>
            </w:r>
          </w:p>
          <w:p>
            <w:pPr>
              <w:pStyle w:val="null3"/>
              <w:jc w:val="both"/>
            </w:pPr>
            <w:r>
              <w:rPr>
                <w:rFonts w:ascii="仿宋_GB2312" w:hAnsi="仿宋_GB2312" w:cs="仿宋_GB2312" w:eastAsia="仿宋_GB2312"/>
                <w:sz w:val="24"/>
                <w:color w:val="000000"/>
              </w:rPr>
              <w:t>1.1慢性病专项采集治理</w:t>
            </w:r>
          </w:p>
          <w:p>
            <w:pPr>
              <w:pStyle w:val="null3"/>
              <w:jc w:val="both"/>
            </w:pPr>
            <w:r>
              <w:rPr>
                <w:rFonts w:ascii="仿宋_GB2312" w:hAnsi="仿宋_GB2312" w:cs="仿宋_GB2312" w:eastAsia="仿宋_GB2312"/>
                <w:sz w:val="24"/>
                <w:color w:val="000000"/>
              </w:rPr>
              <w:t>1.1.1医院慢病专项数据采集</w:t>
            </w:r>
          </w:p>
          <w:p>
            <w:pPr>
              <w:pStyle w:val="null3"/>
              <w:ind w:firstLine="480"/>
              <w:jc w:val="both"/>
            </w:pPr>
            <w:r>
              <w:rPr>
                <w:rFonts w:ascii="仿宋_GB2312" w:hAnsi="仿宋_GB2312" w:cs="仿宋_GB2312" w:eastAsia="仿宋_GB2312"/>
                <w:sz w:val="24"/>
                <w:color w:val="000000"/>
              </w:rPr>
              <w:t>按照慢性病多病共管的</w:t>
            </w:r>
            <w:r>
              <w:rPr>
                <w:rFonts w:ascii="仿宋_GB2312" w:hAnsi="仿宋_GB2312" w:cs="仿宋_GB2312" w:eastAsia="仿宋_GB2312"/>
                <w:sz w:val="24"/>
                <w:color w:val="000000"/>
              </w:rPr>
              <w:t>需</w:t>
            </w:r>
            <w:r>
              <w:rPr>
                <w:rFonts w:ascii="仿宋_GB2312" w:hAnsi="仿宋_GB2312" w:cs="仿宋_GB2312" w:eastAsia="仿宋_GB2312"/>
                <w:sz w:val="24"/>
                <w:color w:val="000000"/>
              </w:rPr>
              <w:t>求采集全市</w:t>
            </w:r>
            <w:r>
              <w:rPr>
                <w:rFonts w:ascii="仿宋_GB2312" w:hAnsi="仿宋_GB2312" w:cs="仿宋_GB2312" w:eastAsia="仿宋_GB2312"/>
                <w:sz w:val="24"/>
                <w:color w:val="000000"/>
              </w:rPr>
              <w:t>公立</w:t>
            </w:r>
            <w:r>
              <w:rPr>
                <w:rFonts w:ascii="仿宋_GB2312" w:hAnsi="仿宋_GB2312" w:cs="仿宋_GB2312" w:eastAsia="仿宋_GB2312"/>
                <w:sz w:val="24"/>
                <w:color w:val="000000"/>
              </w:rPr>
              <w:t>医疗机构相关数据。</w:t>
            </w:r>
          </w:p>
          <w:p>
            <w:pPr>
              <w:pStyle w:val="null3"/>
              <w:jc w:val="both"/>
            </w:pPr>
            <w:r>
              <w:rPr>
                <w:rFonts w:ascii="仿宋_GB2312" w:hAnsi="仿宋_GB2312" w:cs="仿宋_GB2312" w:eastAsia="仿宋_GB2312"/>
                <w:sz w:val="24"/>
                <w:color w:val="000000"/>
              </w:rPr>
              <w:t>1.1.2省平台互联互通</w:t>
            </w:r>
          </w:p>
          <w:p>
            <w:pPr>
              <w:pStyle w:val="null3"/>
              <w:ind w:firstLine="480"/>
              <w:jc w:val="both"/>
            </w:pPr>
            <w:r>
              <w:rPr>
                <w:rFonts w:ascii="仿宋_GB2312" w:hAnsi="仿宋_GB2312" w:cs="仿宋_GB2312" w:eastAsia="仿宋_GB2312"/>
                <w:sz w:val="24"/>
                <w:color w:val="000000"/>
              </w:rPr>
              <w:t>1)完成四川省健康档案云服务平台[以下简称“省公卫云平台”]、四川省基层医疗卫生机构管理信息系统[以下简称“省基卫系统”]的数据互通，实现相关慢病数据回落以及项目建设范围内的慢病建档、随访相关数据上报。并且，需要对省公卫云平台回流数据的进行数据治理和质控。</w:t>
            </w:r>
          </w:p>
          <w:p>
            <w:pPr>
              <w:pStyle w:val="null3"/>
              <w:ind w:firstLine="480"/>
              <w:jc w:val="both"/>
            </w:pPr>
            <w:r>
              <w:rPr>
                <w:rFonts w:ascii="仿宋_GB2312" w:hAnsi="仿宋_GB2312" w:cs="仿宋_GB2312" w:eastAsia="仿宋_GB2312"/>
                <w:sz w:val="24"/>
                <w:color w:val="000000"/>
              </w:rPr>
              <w:t>2）预留向四川省公共卫生综合临床大数据中心平台以及省卫生健康委要求的各类慢病数据上报的接口</w:t>
            </w:r>
          </w:p>
          <w:p>
            <w:pPr>
              <w:pStyle w:val="null3"/>
              <w:jc w:val="both"/>
            </w:pPr>
            <w:r>
              <w:rPr>
                <w:rFonts w:ascii="仿宋_GB2312" w:hAnsi="仿宋_GB2312" w:cs="仿宋_GB2312" w:eastAsia="仿宋_GB2312"/>
                <w:sz w:val="24"/>
                <w:color w:val="000000"/>
              </w:rPr>
              <w:t>1.1.3数据分类管理</w:t>
            </w:r>
          </w:p>
          <w:p>
            <w:pPr>
              <w:pStyle w:val="null3"/>
              <w:ind w:firstLine="480"/>
              <w:jc w:val="both"/>
            </w:pPr>
            <w:r>
              <w:rPr>
                <w:rFonts w:ascii="仿宋_GB2312" w:hAnsi="仿宋_GB2312" w:cs="仿宋_GB2312" w:eastAsia="仿宋_GB2312"/>
                <w:sz w:val="24"/>
                <w:color w:val="000000"/>
              </w:rPr>
              <w:t>▲平台应支持省公卫云平台回流数据按以下三类人群分类标识：已被省公卫云平台纳管备案但未被医院纳管的人群、未被省公卫云平台纳管备案但在医院已纳管的人群、既未被省公卫云平台纳管备案也未被医院纳管的人群。针对未被省公卫云平台纳管备案，未被医院纳管的人群，平台可支持依据疾控中心给出的判定规则，自动识别此类人群，并生成统计清单和任务清单。</w:t>
            </w:r>
          </w:p>
          <w:p>
            <w:pPr>
              <w:pStyle w:val="null3"/>
              <w:jc w:val="both"/>
            </w:pPr>
            <w:r>
              <w:rPr>
                <w:rFonts w:ascii="仿宋_GB2312" w:hAnsi="仿宋_GB2312" w:cs="仿宋_GB2312" w:eastAsia="仿宋_GB2312"/>
                <w:sz w:val="24"/>
                <w:color w:val="000000"/>
              </w:rPr>
              <w:t>1.1.4市平台互联互通</w:t>
            </w:r>
          </w:p>
          <w:p>
            <w:pPr>
              <w:pStyle w:val="null3"/>
              <w:ind w:firstLine="480"/>
              <w:jc w:val="both"/>
            </w:pPr>
            <w:r>
              <w:rPr>
                <w:rFonts w:ascii="仿宋_GB2312" w:hAnsi="仿宋_GB2312" w:cs="仿宋_GB2312" w:eastAsia="仿宋_GB2312"/>
                <w:sz w:val="24"/>
                <w:color w:val="000000"/>
              </w:rPr>
              <w:t>按需接入市全民健康信息平台、疾控数据、医院医疗数据、下属县平台及下属县级医院数据，实现区域内数据共享与业务协同，为分级诊疗和资源调度提供数据支撑。</w:t>
            </w:r>
          </w:p>
          <w:p>
            <w:pPr>
              <w:pStyle w:val="null3"/>
              <w:jc w:val="both"/>
            </w:pPr>
            <w:r>
              <w:rPr>
                <w:rFonts w:ascii="仿宋_GB2312" w:hAnsi="仿宋_GB2312" w:cs="仿宋_GB2312" w:eastAsia="仿宋_GB2312"/>
                <w:sz w:val="24"/>
                <w:color w:val="000000"/>
              </w:rPr>
              <w:t>1.1.5便携设备接入</w:t>
            </w:r>
          </w:p>
          <w:p>
            <w:pPr>
              <w:pStyle w:val="null3"/>
              <w:ind w:firstLine="480"/>
              <w:jc w:val="both"/>
            </w:pPr>
            <w:r>
              <w:rPr>
                <w:rFonts w:ascii="仿宋_GB2312" w:hAnsi="仿宋_GB2312" w:cs="仿宋_GB2312" w:eastAsia="仿宋_GB2312"/>
                <w:sz w:val="24"/>
                <w:color w:val="000000"/>
              </w:rPr>
              <w:t>输出市级平台接口，支持接入便携式血压计、血糖仪、血脂检测仪、肺功能检测仪、颈动脉超声、体重测量一体机及选配设备，实现居民居家监测数据的自动采集与同步，减少人工录入，提升数据实时性。预留设备物联接口（含指脉氧）、吸入制剂管理系统接口，如后续有相关系统，支持接入市级平台。</w:t>
            </w:r>
          </w:p>
          <w:p>
            <w:pPr>
              <w:pStyle w:val="null3"/>
              <w:jc w:val="both"/>
            </w:pPr>
            <w:r>
              <w:rPr>
                <w:rFonts w:ascii="仿宋_GB2312" w:hAnsi="仿宋_GB2312" w:cs="仿宋_GB2312" w:eastAsia="仿宋_GB2312"/>
                <w:sz w:val="24"/>
                <w:color w:val="000000"/>
              </w:rPr>
              <w:t>1.2专题数据库</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1）围绕重点病种建设专病数据集，统一数据标准，支撑慢性病的规范化管理。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2）建设项目病种管理所需的专病数据集，包括，统一数据元定义、值域及接口规范，为慢性病患者的筛查、评估、随访提供标准化数据支撑。</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慢性病管理决策系统</w:t>
            </w:r>
          </w:p>
          <w:p>
            <w:pPr>
              <w:pStyle w:val="null3"/>
              <w:ind w:firstLine="480"/>
              <w:jc w:val="both"/>
            </w:pPr>
            <w:r>
              <w:rPr>
                <w:rFonts w:ascii="仿宋_GB2312" w:hAnsi="仿宋_GB2312" w:cs="仿宋_GB2312" w:eastAsia="仿宋_GB2312"/>
                <w:sz w:val="24"/>
                <w:color w:val="000000"/>
              </w:rPr>
              <w:t>需为市县（卫生行政主管部门、疾控中心、医疗机构）管理者提供辖区慢性病防控工作的全景监测、质量管控与决策支撑。系统应具备驾驶舱可视化、智能预警、多级下钻、在线督办等能力，帮助管理者实时掌握辖区慢性病管理核心指标，为全市慢性病综合防控提供决策依据。具体要求如下：</w:t>
            </w:r>
          </w:p>
          <w:p>
            <w:pPr>
              <w:pStyle w:val="null3"/>
              <w:jc w:val="both"/>
            </w:pPr>
            <w:r>
              <w:rPr>
                <w:rFonts w:ascii="仿宋_GB2312" w:hAnsi="仿宋_GB2312" w:cs="仿宋_GB2312" w:eastAsia="仿宋_GB2312"/>
                <w:sz w:val="24"/>
                <w:color w:val="000000"/>
              </w:rPr>
              <w:t>2.1卫生行政主管部门管理决策功能模块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1）整体管理驾驶舱</w:t>
            </w:r>
          </w:p>
          <w:p>
            <w:pPr>
              <w:pStyle w:val="null3"/>
              <w:ind w:firstLine="240"/>
              <w:jc w:val="both"/>
            </w:pPr>
            <w:r>
              <w:rPr>
                <w:rFonts w:ascii="仿宋_GB2312" w:hAnsi="仿宋_GB2312" w:cs="仿宋_GB2312" w:eastAsia="仿宋_GB2312"/>
                <w:sz w:val="24"/>
                <w:color w:val="000000"/>
              </w:rPr>
              <w:t>1）建设全局通览驾驶舱，集中展示慢性病管理成效监测指标，至少包括基层就诊率、患者依从性、住院率、</w:t>
            </w:r>
            <w:r>
              <w:rPr>
                <w:rFonts w:ascii="仿宋_GB2312" w:hAnsi="仿宋_GB2312" w:cs="仿宋_GB2312" w:eastAsia="仿宋_GB2312"/>
                <w:sz w:val="24"/>
                <w:color w:val="000000"/>
              </w:rPr>
              <w:t>纳管率、建档率、所管慢性病急性加重率、</w:t>
            </w:r>
            <w:r>
              <w:rPr>
                <w:rFonts w:ascii="仿宋_GB2312" w:hAnsi="仿宋_GB2312" w:cs="仿宋_GB2312" w:eastAsia="仿宋_GB2312"/>
                <w:sz w:val="24"/>
                <w:color w:val="000000"/>
              </w:rPr>
              <w:t>平均死亡年龄、发病率、治疗率、控制率等，并支持按人群分布、资源分布进行多维度分析。</w:t>
            </w:r>
          </w:p>
          <w:p>
            <w:pPr>
              <w:pStyle w:val="null3"/>
              <w:ind w:firstLine="240"/>
              <w:jc w:val="both"/>
            </w:pPr>
            <w:r>
              <w:rPr>
                <w:rFonts w:ascii="仿宋_GB2312" w:hAnsi="仿宋_GB2312" w:cs="仿宋_GB2312" w:eastAsia="仿宋_GB2312"/>
                <w:sz w:val="24"/>
                <w:color w:val="000000"/>
              </w:rPr>
              <w:t>2）驾驶舱内嵌质量监管子屏和综合评价子屏，分别用于业务质量监测与绩效考核，支持在线发起督办任务并跟踪整改闭环。</w:t>
            </w:r>
          </w:p>
          <w:p>
            <w:pPr>
              <w:pStyle w:val="null3"/>
              <w:ind w:firstLine="240"/>
              <w:jc w:val="both"/>
            </w:pPr>
            <w:r>
              <w:rPr>
                <w:rFonts w:ascii="仿宋_GB2312" w:hAnsi="仿宋_GB2312" w:cs="仿宋_GB2312" w:eastAsia="仿宋_GB2312"/>
                <w:sz w:val="24"/>
                <w:color w:val="000000"/>
              </w:rPr>
              <w:t>3）驾驶舱支持多级下钻，获得授权后可逐级下钻至区县、城市医疗集团/医共体、下属医疗机构、团队及个人看板。</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2）疾病图谱</w:t>
            </w:r>
          </w:p>
          <w:p>
            <w:pPr>
              <w:pStyle w:val="null3"/>
              <w:ind w:firstLine="480"/>
              <w:jc w:val="both"/>
            </w:pPr>
            <w:r>
              <w:rPr>
                <w:rFonts w:ascii="仿宋_GB2312" w:hAnsi="仿宋_GB2312" w:cs="仿宋_GB2312" w:eastAsia="仿宋_GB2312"/>
                <w:sz w:val="24"/>
                <w:color w:val="000000"/>
              </w:rPr>
              <w:t>建设疾病图谱模块，整合</w:t>
            </w:r>
            <w:r>
              <w:rPr>
                <w:rFonts w:ascii="仿宋_GB2312" w:hAnsi="仿宋_GB2312" w:cs="仿宋_GB2312" w:eastAsia="仿宋_GB2312"/>
                <w:sz w:val="24"/>
                <w:color w:val="000000"/>
              </w:rPr>
              <w:t>辖区</w:t>
            </w:r>
            <w:r>
              <w:rPr>
                <w:rFonts w:ascii="仿宋_GB2312" w:hAnsi="仿宋_GB2312" w:cs="仿宋_GB2312" w:eastAsia="仿宋_GB2312"/>
                <w:sz w:val="24"/>
                <w:color w:val="000000"/>
              </w:rPr>
              <w:t>管理居民及医疗机构接诊数据，形成就诊疾病谱排行。系统实时监测区域管理居民的就诊情况，当监测到就诊疾病异常升高时及时发出预警通知。疾病图谱支持按时间切换查看所有疾病监测情况，统计就诊人次、就诊人数及较去年同期变化，并通过地图可视化方式展示居民就诊机构分布和居民居住地分布。就诊变化趋势以折线图展示当期与去年同期就诊人次变化，并基于疾病就诊预测模型提供下一阶段就诊预测。人群构成按性别、年龄进行分析展示。就诊分布区分为区域内和区域外机构排行。融合区域公共卫生管理数据，统计管理的慢性病管理对象人数及增减情况，展示就诊人次变化，并分析管理人群的分级情况及并发症发病排行。</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3）单病种绩效看板与画像</w:t>
            </w:r>
          </w:p>
          <w:p>
            <w:pPr>
              <w:pStyle w:val="null3"/>
              <w:ind w:firstLine="480"/>
              <w:jc w:val="both"/>
            </w:pPr>
            <w:r>
              <w:rPr>
                <w:rFonts w:ascii="仿宋_GB2312" w:hAnsi="仿宋_GB2312" w:cs="仿宋_GB2312" w:eastAsia="仿宋_GB2312"/>
                <w:sz w:val="24"/>
                <w:color w:val="000000"/>
              </w:rPr>
              <w:t>针对项目病种，建设单病种绩效看板，展示宏观成效指标、慢性病成效指标、服务资源应用情况、</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统计、人群分析等内容。看板支持按集团、机构、团队、个人逐级下钻，便于管理者精准定位问题环节。同时提供居民个人画像，整合该患者的专病诊疗数据、随访记录、管理方案及健康监测趋势，实现以患者为中心的全景视图。</w:t>
            </w:r>
          </w:p>
          <w:p>
            <w:pPr>
              <w:pStyle w:val="null3"/>
              <w:jc w:val="both"/>
            </w:pPr>
            <w:r>
              <w:rPr>
                <w:rFonts w:ascii="仿宋_GB2312" w:hAnsi="仿宋_GB2312" w:cs="仿宋_GB2312" w:eastAsia="仿宋_GB2312"/>
                <w:sz w:val="24"/>
                <w:color w:val="000000"/>
              </w:rPr>
              <w:t>2.2疾控中心管理决策功能模块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1）整体管理驾驶舱</w:t>
            </w:r>
          </w:p>
          <w:p>
            <w:pPr>
              <w:pStyle w:val="null3"/>
              <w:ind w:firstLine="480"/>
              <w:jc w:val="both"/>
            </w:pPr>
            <w:r>
              <w:rPr>
                <w:rFonts w:ascii="仿宋_GB2312" w:hAnsi="仿宋_GB2312" w:cs="仿宋_GB2312" w:eastAsia="仿宋_GB2312"/>
                <w:sz w:val="24"/>
                <w:color w:val="000000"/>
              </w:rPr>
              <w:t>建设全局通览驾驶舱，应支持全市及各区县重点慢性病的发病趋势（周</w:t>
            </w:r>
            <w:r>
              <w:rPr>
                <w:rFonts w:ascii="仿宋_GB2312" w:hAnsi="仿宋_GB2312" w:cs="仿宋_GB2312" w:eastAsia="仿宋_GB2312"/>
                <w:sz w:val="24"/>
                <w:color w:val="000000"/>
              </w:rPr>
              <w:t>/月/季/年）、发病率、死亡率、早死概率等核心指标，支持与去年同期、前年同期对比，自动标注异常波动。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2）绩效考核与工作管理</w:t>
            </w:r>
          </w:p>
          <w:p>
            <w:pPr>
              <w:pStyle w:val="null3"/>
              <w:ind w:firstLine="480"/>
              <w:jc w:val="both"/>
            </w:pPr>
            <w:r>
              <w:rPr>
                <w:rFonts w:ascii="仿宋_GB2312" w:hAnsi="仿宋_GB2312" w:cs="仿宋_GB2312" w:eastAsia="仿宋_GB2312"/>
                <w:sz w:val="24"/>
                <w:color w:val="000000"/>
              </w:rPr>
              <w:t>内置考核规则库，对基层任务完成率、及时率、规范性进行自动评分，生成绩效报表并支持与绩效分配挂钩。</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3）疾病监测图谱</w:t>
            </w:r>
          </w:p>
          <w:p>
            <w:pPr>
              <w:pStyle w:val="null3"/>
              <w:ind w:firstLine="480"/>
              <w:jc w:val="both"/>
            </w:pPr>
            <w:r>
              <w:rPr>
                <w:rFonts w:ascii="仿宋_GB2312" w:hAnsi="仿宋_GB2312" w:cs="仿宋_GB2312" w:eastAsia="仿宋_GB2312"/>
                <w:sz w:val="24"/>
                <w:color w:val="000000"/>
              </w:rPr>
              <w:t>建设疾病监测图谱模块，整合医疗机构上报的慢性非传染性疾病及死因监测数据，形成区域疾病监测总览。系统自动接收上报数据并质控，对未及时上报单位自动催报。支持按病种、时间、地区多维度筛选，展示疾病分布。内置预测模型，对异常升高自动预警并生成初步分析报告。支持数据一键导出，满足向上级疾控机构上报需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4）慢性病监测与上报、统计看板</w:t>
            </w:r>
          </w:p>
          <w:p>
            <w:pPr>
              <w:pStyle w:val="null3"/>
              <w:ind w:firstLine="240"/>
              <w:jc w:val="both"/>
            </w:pPr>
            <w:r>
              <w:rPr>
                <w:rFonts w:ascii="仿宋_GB2312" w:hAnsi="仿宋_GB2312" w:cs="仿宋_GB2312" w:eastAsia="仿宋_GB2312"/>
                <w:sz w:val="24"/>
                <w:color w:val="000000"/>
              </w:rPr>
              <w:t>1）依据《攀枝花市慢性病防治中长期规划（2018-2025年）》等文件要求，平台需支持支持死亡、肿瘤、心脑血管事件、慢阻肺等疾病报卡的接入，完成相关数据统计分析与报表导出，支撑国家及省级慢性病管理指标的上报工作。</w:t>
            </w:r>
          </w:p>
          <w:p>
            <w:pPr>
              <w:pStyle w:val="null3"/>
              <w:ind w:firstLine="240"/>
              <w:jc w:val="both"/>
            </w:pPr>
            <w:r>
              <w:rPr>
                <w:rFonts w:ascii="仿宋_GB2312" w:hAnsi="仿宋_GB2312" w:cs="仿宋_GB2312" w:eastAsia="仿宋_GB2312"/>
                <w:sz w:val="24"/>
                <w:color w:val="000000"/>
              </w:rPr>
              <w:t>2）建设慢性病监测与上报看板，聚焦</w:t>
            </w:r>
            <w:r>
              <w:rPr>
                <w:rFonts w:ascii="仿宋_GB2312" w:hAnsi="仿宋_GB2312" w:cs="仿宋_GB2312" w:eastAsia="仿宋_GB2312"/>
                <w:sz w:val="24"/>
                <w:color w:val="000000"/>
              </w:rPr>
              <w:t>项目病种</w:t>
            </w:r>
            <w:r>
              <w:rPr>
                <w:rFonts w:ascii="仿宋_GB2312" w:hAnsi="仿宋_GB2312" w:cs="仿宋_GB2312" w:eastAsia="仿宋_GB2312"/>
                <w:sz w:val="24"/>
                <w:color w:val="000000"/>
              </w:rPr>
              <w:t>的发病、死亡监测。自动获取新发病例、死亡证明等数据，展示分病种、分地区、分人群的发病率、死亡率、随访率及变化趋势；能够依据疾控中心提供的计算逻辑规则，计算人群管理指标测算。支持与历年数据对比自动生成监测年报。提供数据质控模块，展示上报完整率、逻辑错误率等指标，支持在线退回修正，确保数据真实可靠。</w:t>
            </w:r>
          </w:p>
          <w:p>
            <w:pPr>
              <w:pStyle w:val="null3"/>
              <w:jc w:val="both"/>
            </w:pPr>
            <w:r>
              <w:rPr>
                <w:rFonts w:ascii="仿宋_GB2312" w:hAnsi="仿宋_GB2312" w:cs="仿宋_GB2312" w:eastAsia="仿宋_GB2312"/>
                <w:sz w:val="24"/>
                <w:color w:val="000000"/>
              </w:rPr>
              <w:t>2.3医院管理层管理决策功能模块</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权限设计遵循数据分级原则：市级慢性病专病防治指导中心牵头医院可查看全市医疗机构本中心管理职能范围内的病种管理数据以及本院所有慢性病管理数据；城市医疗集团/医共体牵头医院可查看下属医疗机构所有慢性病管理数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2）院内慢性病管理驾驶舱</w:t>
            </w:r>
          </w:p>
          <w:p>
            <w:pPr>
              <w:pStyle w:val="null3"/>
              <w:ind w:firstLine="480"/>
              <w:jc w:val="both"/>
            </w:pPr>
            <w:r>
              <w:rPr>
                <w:rFonts w:ascii="仿宋_GB2312" w:hAnsi="仿宋_GB2312" w:cs="仿宋_GB2312" w:eastAsia="仿宋_GB2312"/>
                <w:sz w:val="24"/>
                <w:color w:val="000000"/>
              </w:rPr>
              <w:t>展示本院慢性病患者管理全景，包括在管患者数量、纳管率、规范管理率、控制率、随访完成率等核心指标。支持按科室、病种、医生团队下钻分析，帮助管理者快速定位薄弱环节。驾驶舱数据来源于市级统一数据底座，无需重复采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3）专科服务与质量控制</w:t>
            </w:r>
          </w:p>
          <w:p>
            <w:pPr>
              <w:pStyle w:val="null3"/>
              <w:ind w:firstLine="480"/>
              <w:jc w:val="both"/>
            </w:pPr>
            <w:r>
              <w:rPr>
                <w:rFonts w:ascii="仿宋_GB2312" w:hAnsi="仿宋_GB2312" w:cs="仿宋_GB2312" w:eastAsia="仿宋_GB2312"/>
                <w:sz w:val="24"/>
                <w:color w:val="000000"/>
              </w:rPr>
              <w:t>展示本院慢性病相关重点专科的服务量、出院患者离院管理执行率、复查复诊任务完成率。与临床规范与创新系统联动，展示各专科管理路径的制定与执行情况。</w:t>
            </w:r>
          </w:p>
          <w:p>
            <w:pPr>
              <w:pStyle w:val="null3"/>
              <w:ind w:firstLine="240"/>
              <w:jc w:val="both"/>
            </w:pPr>
            <w:r>
              <w:rPr>
                <w:rFonts w:ascii="仿宋_GB2312" w:hAnsi="仿宋_GB2312" w:cs="仿宋_GB2312" w:eastAsia="仿宋_GB2312"/>
                <w:sz w:val="24"/>
                <w:b/>
                <w:color w:val="000000"/>
              </w:rPr>
              <w:t>3.临床规范与创新系统</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人群模型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1）慢性病人群模型：对接专病数据集，支持慢性病人群模型的展示与检索。用户可设置纳入条件和排除条件，系统支持模型预览。系统预置</w:t>
            </w:r>
            <w:r>
              <w:rPr>
                <w:rFonts w:ascii="仿宋_GB2312" w:hAnsi="仿宋_GB2312" w:cs="仿宋_GB2312" w:eastAsia="仿宋_GB2312"/>
                <w:sz w:val="24"/>
                <w:color w:val="000000"/>
              </w:rPr>
              <w:t>项目病种</w:t>
            </w:r>
            <w:r>
              <w:rPr>
                <w:rFonts w:ascii="仿宋_GB2312" w:hAnsi="仿宋_GB2312" w:cs="仿宋_GB2312" w:eastAsia="仿宋_GB2312"/>
                <w:sz w:val="24"/>
                <w:color w:val="000000"/>
              </w:rPr>
              <w:t>的</w:t>
            </w:r>
            <w:r>
              <w:rPr>
                <w:rFonts w:ascii="仿宋_GB2312" w:hAnsi="仿宋_GB2312" w:cs="仿宋_GB2312" w:eastAsia="仿宋_GB2312"/>
                <w:sz w:val="24"/>
                <w:color w:val="000000"/>
              </w:rPr>
              <w:t>30+个人群模型，并支持用户修改调整。用户可查看人群画像及人群明细，全面了解目标人群特征。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2）▲离院人群模型：支持对门诊病历、出院小结进行AI结构化治理，建立离院人群模型。系统自动预置5个离院管理人群模型，用户可设置纳入和排除条件并预览模型。支持查看离院人群画像及明细。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3）用户关怀模型：针对出组、脱管等需要特别关怀的患者群体，建立用户关怀模型。系统自动预置2类人群模型，支持用户自定义纳入排除条件，并可查看人群画像及明细，实现精准的用户关怀与主动干预。</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2分层管理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1）分色分级标签：系统预置专病分色分级标签规则，支持根据患者风险评估结果自动打标，实现红、黄、绿三色分级管理，为差异化干预提供依据。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2）系统根据分层/分色/分级标签，生成不同级别医疗机构和医护人员各自应该执行的管理方案；支持按机构级别配置职责模板。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当患者在市级或县级医院出院时，系统根据出院诊断和治疗方案，自动生成“社区管理任务包”（含随访计划、用药提醒、康复指导、复查建议等），通过统一接口推送至患者所属基层机构的工作台和患者端移动应用。基层医生接收任务后需按规范执行，系统自动记录执行情况。患者端同步接收任务，支持健康打卡和主动反馈，形成“医院治疗-社区管理-患者自我管理”的闭环。</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3规范管理路径（标准制定）</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1）▲提供管理路径模板列表，系统需预置≥</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个病种的管理路径；针对高血压、糖尿病等核心病种，每个病种需提供不少于</w:t>
            </w:r>
            <w:r>
              <w:rPr>
                <w:rFonts w:ascii="仿宋_GB2312" w:hAnsi="仿宋_GB2312" w:cs="仿宋_GB2312" w:eastAsia="仿宋_GB2312"/>
                <w:sz w:val="24"/>
                <w:color w:val="000000"/>
              </w:rPr>
              <w:t>5个管理路径，支持共病管理路径；系统可创建管理路径模板：支持设置管理路径的基础信息，包括适用人群模型、管理周期等。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2）系统验收前，支持针对</w:t>
            </w:r>
            <w:r>
              <w:rPr>
                <w:rFonts w:ascii="仿宋_GB2312" w:hAnsi="仿宋_GB2312" w:cs="仿宋_GB2312" w:eastAsia="仿宋_GB2312"/>
                <w:sz w:val="24"/>
                <w:color w:val="000000"/>
              </w:rPr>
              <w:t>项目病种</w:t>
            </w:r>
            <w:r>
              <w:rPr>
                <w:rFonts w:ascii="仿宋_GB2312" w:hAnsi="仿宋_GB2312" w:cs="仿宋_GB2312" w:eastAsia="仿宋_GB2312"/>
                <w:sz w:val="24"/>
                <w:color w:val="000000"/>
              </w:rPr>
              <w:t>的多病</w:t>
            </w:r>
            <w:r>
              <w:rPr>
                <w:rFonts w:ascii="仿宋_GB2312" w:hAnsi="仿宋_GB2312" w:cs="仿宋_GB2312" w:eastAsia="仿宋_GB2312"/>
                <w:sz w:val="24"/>
                <w:color w:val="000000"/>
              </w:rPr>
              <w:t>共患</w:t>
            </w:r>
            <w:r>
              <w:rPr>
                <w:rFonts w:ascii="仿宋_GB2312" w:hAnsi="仿宋_GB2312" w:cs="仿宋_GB2312" w:eastAsia="仿宋_GB2312"/>
                <w:sz w:val="24"/>
                <w:color w:val="000000"/>
              </w:rPr>
              <w:t>情况，从手工配置多病共管人群及其路径出发，不断升级探索，最终建成大模型支撑的智能识别多病并发机制，并根据多病病情智能选配可行的管理路径，供医护选用</w:t>
            </w:r>
            <w:r>
              <w:rPr>
                <w:rFonts w:ascii="仿宋_GB2312" w:hAnsi="仿宋_GB2312" w:cs="仿宋_GB2312" w:eastAsia="仿宋_GB2312"/>
                <w:sz w:val="24"/>
                <w:color w:val="000000"/>
              </w:rPr>
              <w:t>/调整。</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3）▲系统预置每个病种问卷量表</w:t>
            </w:r>
            <w:r>
              <w:rPr>
                <w:rFonts w:ascii="仿宋_GB2312" w:hAnsi="仿宋_GB2312" w:cs="仿宋_GB2312" w:eastAsia="仿宋_GB2312"/>
                <w:sz w:val="21"/>
                <w:color w:val="000000"/>
              </w:rPr>
              <w:t>≥</w:t>
            </w:r>
            <w:r>
              <w:rPr>
                <w:rFonts w:ascii="仿宋_GB2312" w:hAnsi="仿宋_GB2312" w:cs="仿宋_GB2312" w:eastAsia="仿宋_GB2312"/>
                <w:sz w:val="24"/>
                <w:color w:val="000000"/>
              </w:rPr>
              <w:t>10，总评估量表数量</w:t>
            </w:r>
            <w:r>
              <w:rPr>
                <w:rFonts w:ascii="仿宋_GB2312" w:hAnsi="仿宋_GB2312" w:cs="仿宋_GB2312" w:eastAsia="仿宋_GB2312"/>
                <w:sz w:val="21"/>
                <w:color w:val="000000"/>
              </w:rPr>
              <w:t>≥</w:t>
            </w:r>
            <w:r>
              <w:rPr>
                <w:rFonts w:ascii="仿宋_GB2312" w:hAnsi="仿宋_GB2312" w:cs="仿宋_GB2312" w:eastAsia="仿宋_GB2312"/>
                <w:sz w:val="24"/>
                <w:color w:val="000000"/>
              </w:rPr>
              <w:t>200。</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支持设置专病管理目标，并可配置以下模板内容：问卷/量表、并发症筛查、检查检验筛查任务、饮食处方、运动处方、健康宣教、复查计划、居家健康监测、用药打卡、症状监测、呼吸康复、个性化服务包设置以及管理分支条件。</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4团队管理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1）团队账号管理：支持对慢性病管理团队的统一配置；支持创建、编辑、查询慢性病管理团队，配置团队成员及职责分工；支持团队启用、禁用及密码管理等。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2）团队权限管理：支持对各个团队设置不同的权限。支持鉴权：提供权限认证功能，确保团队成员的访问安全。</w:t>
            </w:r>
          </w:p>
          <w:p>
            <w:pPr>
              <w:pStyle w:val="null3"/>
              <w:jc w:val="both"/>
            </w:pPr>
            <w:r>
              <w:rPr>
                <w:rFonts w:ascii="仿宋_GB2312" w:hAnsi="仿宋_GB2312" w:cs="仿宋_GB2312" w:eastAsia="仿宋_GB2312"/>
                <w:sz w:val="24"/>
                <w:color w:val="000000"/>
              </w:rPr>
              <w:t>3.5内容中心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1）内容中心集中管理各类知识库资源，为健康宣教、评估、饮食运动指导等提供内容支撑。</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2）健康宣教内容库：支持新建健康宣教内容，系统预置</w:t>
            </w:r>
            <w:r>
              <w:rPr>
                <w:rFonts w:ascii="仿宋_GB2312" w:hAnsi="仿宋_GB2312" w:cs="仿宋_GB2312" w:eastAsia="仿宋_GB2312"/>
                <w:sz w:val="21"/>
                <w:color w:val="000000"/>
              </w:rPr>
              <w:t>≥</w:t>
            </w:r>
            <w:r>
              <w:rPr>
                <w:rFonts w:ascii="仿宋_GB2312" w:hAnsi="仿宋_GB2312" w:cs="仿宋_GB2312" w:eastAsia="仿宋_GB2312"/>
                <w:sz w:val="24"/>
                <w:color w:val="000000"/>
              </w:rPr>
              <w:t>250量表。用户可对宣教内容进行维护管理，确保宣教信息的准确性和时效性。</w:t>
            </w:r>
          </w:p>
          <w:p>
            <w:pPr>
              <w:pStyle w:val="null3"/>
              <w:jc w:val="both"/>
            </w:pPr>
            <w:r>
              <w:rPr>
                <w:rFonts w:ascii="仿宋_GB2312" w:hAnsi="仿宋_GB2312" w:cs="仿宋_GB2312" w:eastAsia="仿宋_GB2312"/>
                <w:sz w:val="24"/>
                <w:color w:val="000000"/>
              </w:rPr>
              <w:t>问卷</w:t>
            </w:r>
            <w:r>
              <w:rPr>
                <w:rFonts w:ascii="仿宋_GB2312" w:hAnsi="仿宋_GB2312" w:cs="仿宋_GB2312" w:eastAsia="仿宋_GB2312"/>
                <w:sz w:val="24"/>
                <w:color w:val="000000"/>
              </w:rPr>
              <w:t>/量表库：支持新建问卷或量表，并可对已有问卷量表进行维护，满足不同评估场景的需求。</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3）评估项目库：支持从量表库中选择对应的纳管前评估项目，系统提供默认配置，用户也可按需调整。</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4）▲食谱库管理：提供食谱列表展示及筛选查询功能。系统预置食谱</w:t>
            </w:r>
            <w:r>
              <w:rPr>
                <w:rFonts w:ascii="仿宋_GB2312" w:hAnsi="仿宋_GB2312" w:cs="仿宋_GB2312" w:eastAsia="仿宋_GB2312"/>
                <w:sz w:val="21"/>
                <w:color w:val="000000"/>
              </w:rPr>
              <w:t>≥</w:t>
            </w:r>
            <w:r>
              <w:rPr>
                <w:rFonts w:ascii="仿宋_GB2312" w:hAnsi="仿宋_GB2312" w:cs="仿宋_GB2312" w:eastAsia="仿宋_GB2312"/>
                <w:sz w:val="24"/>
                <w:color w:val="000000"/>
              </w:rPr>
              <w:t>20000，用户可对食谱内容进行维护，也可新建食谱。</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5）食材库管理：提供食材列表展示及筛选查询功能。系统预置</w:t>
            </w:r>
            <w:r>
              <w:rPr>
                <w:rFonts w:ascii="仿宋_GB2312" w:hAnsi="仿宋_GB2312" w:cs="仿宋_GB2312" w:eastAsia="仿宋_GB2312"/>
                <w:sz w:val="21"/>
                <w:color w:val="000000"/>
              </w:rPr>
              <w:t>≥</w:t>
            </w:r>
            <w:r>
              <w:rPr>
                <w:rFonts w:ascii="仿宋_GB2312" w:hAnsi="仿宋_GB2312" w:cs="仿宋_GB2312" w:eastAsia="仿宋_GB2312"/>
                <w:sz w:val="24"/>
                <w:color w:val="000000"/>
              </w:rPr>
              <w:t>1000种食材库，用户可对食材库内容进行维护，并可新建或批量导入食材。</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6）运动方式库管理：提供运动方式列表展示及筛选查询。用户可对运动方式库内容进行维护，并可新建或批量导入运动方式，为患者制定运动处方提供依据。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7）营养补充剂库：支持营养补充剂等内容的维护，满足特殊患者的营养指导需求。</w:t>
            </w:r>
          </w:p>
          <w:p>
            <w:pPr>
              <w:pStyle w:val="null3"/>
              <w:jc w:val="both"/>
            </w:pPr>
            <w:r>
              <w:rPr>
                <w:rFonts w:ascii="仿宋_GB2312" w:hAnsi="仿宋_GB2312" w:cs="仿宋_GB2312" w:eastAsia="仿宋_GB2312"/>
                <w:sz w:val="24"/>
                <w:color w:val="000000"/>
              </w:rPr>
              <w:t>3.6资源中心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1）标签管理：支持自定义标签的维护，便于对患者、机构等进行分类管理。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2）诊疗项目：维护诊疗项目基础信息，供其他模块调用。</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3）职工管理：维护医务人员信息。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4）科室管理：维护科室基础信息。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5）机构管理：维护医疗机构基础信息。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6）专家资源管理：维护专家资源信息，支持在居民端资源中心展现，方便患者查询和选择。</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7）检验资源管理：维护检验项目资源信息。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8）检查资源管理：维护检查项目资源信息。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9）床位资源管理：维护床位资源信息，为资源调度提供基础数据。</w:t>
            </w:r>
          </w:p>
          <w:p>
            <w:pPr>
              <w:pStyle w:val="null3"/>
              <w:ind w:firstLine="240"/>
              <w:jc w:val="both"/>
            </w:pPr>
            <w:r>
              <w:rPr>
                <w:rFonts w:ascii="仿宋_GB2312" w:hAnsi="仿宋_GB2312" w:cs="仿宋_GB2312" w:eastAsia="仿宋_GB2312"/>
                <w:sz w:val="24"/>
                <w:color w:val="000000"/>
              </w:rPr>
              <w:t>(10)服务包管理：支持个性化服务包的管理，服务包可在居民端资源中心展现，为居民提供多样化的健康管理服务选择。</w:t>
            </w:r>
          </w:p>
          <w:p>
            <w:pPr>
              <w:pStyle w:val="null3"/>
              <w:jc w:val="both"/>
            </w:pPr>
            <w:r>
              <w:rPr>
                <w:rFonts w:ascii="仿宋_GB2312" w:hAnsi="仿宋_GB2312" w:cs="仿宋_GB2312" w:eastAsia="仿宋_GB2312"/>
                <w:sz w:val="24"/>
                <w:color w:val="000000"/>
              </w:rPr>
              <w:t>3.7 AI模型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1）★投标人需提供AI模型管理模块，且承诺在未来市全民健康信息平台或其他市级平台有统筹建设的AI能力平台时，该部分能力可被市级平台直接调用（提供承诺函，格式自拟）。</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管理路径创建场景：AI自动抽取基线数据评估风险因素，辅助医生全面了解患者健康状况；AI生成基线评估解读，帮助医生快速把握评估结论；AI生成管理目标，为后续干预提供量化依据；AI生成饮食、运动、监测处方，输出个性化干预建议；AI生成PDF健康管理方案，便于医生与患者查阅和存档。</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3）▲医患互动场景：AI生成健康宣教计划；AI生成饮食打卡反馈；AI生成周点评；AI生成结局评估报告。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4）管理路径自动调优：系统根据患者复诊复查情况，自动匹配并给出方案调整建议，经医护确认后完成调整，实现管理方案的动态优化。</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5）离院医嘱解析：支持对离院医嘱进行自动解析，提取关键管理要素，为出院患者的延续性管理提供数据支撑。</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8患者管理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1）患者列表：展示患者列表，支持查看患者专病档案，便于医生快速定位和了解患者情况。</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2）病例派发：支持患者上报管理（查看、档案维护），以及病例派发（任务指派），确保患者管理责任到人。</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本院住院及门诊病人，系统支持医生将符合条件的患者主动推送至对应基层医疗机构，发起纳管建议，基层接收后纳入日常随访管理，形成上下级协同的纳管机制。支持基层公卫系统数据自动导入平台，同时医院诊疗数据可上传至平台。系统对导入数据进行患者主索引匹配与风险分级，由基层医生根据患者实际情况自主决定是否纳入慢性病管理，实现从数据汇聚到纳管决策的闭环。</w:t>
            </w:r>
          </w:p>
          <w:p>
            <w:pPr>
              <w:pStyle w:val="null3"/>
              <w:jc w:val="both"/>
            </w:pPr>
            <w:r>
              <w:rPr>
                <w:rFonts w:ascii="仿宋_GB2312" w:hAnsi="仿宋_GB2312" w:cs="仿宋_GB2312" w:eastAsia="仿宋_GB2312"/>
                <w:sz w:val="24"/>
                <w:color w:val="000000"/>
              </w:rPr>
              <w:t>3.9慢性病医生工作台</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1）异常预警：对危急值进行预警，说明预警原因并提供处置建议，支持预警分级，帮助医生及时识别高风险患者。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2）档案调阅：支持医生调阅患者的完整慢性病健康档案，包括既往随访记录、居家监测数据、评估报告等。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3）待办任务：展示患者在</w:t>
            </w:r>
            <w:r>
              <w:rPr>
                <w:rFonts w:ascii="仿宋_GB2312" w:hAnsi="仿宋_GB2312" w:cs="仿宋_GB2312" w:eastAsia="仿宋_GB2312"/>
                <w:sz w:val="24"/>
                <w:color w:val="000000"/>
              </w:rPr>
              <w:t>防、筛、诊、治、康、管</w:t>
            </w:r>
            <w:r>
              <w:rPr>
                <w:rFonts w:ascii="仿宋_GB2312" w:hAnsi="仿宋_GB2312" w:cs="仿宋_GB2312" w:eastAsia="仿宋_GB2312"/>
                <w:sz w:val="24"/>
                <w:color w:val="000000"/>
              </w:rPr>
              <w:t>、护等环节的待办任务，便于医生全面掌握管理进度。</w:t>
            </w:r>
          </w:p>
          <w:p>
            <w:pPr>
              <w:pStyle w:val="null3"/>
              <w:jc w:val="both"/>
            </w:pPr>
            <w:r>
              <w:rPr>
                <w:rFonts w:ascii="仿宋_GB2312" w:hAnsi="仿宋_GB2312" w:cs="仿宋_GB2312" w:eastAsia="仿宋_GB2312"/>
                <w:sz w:val="24"/>
                <w:color w:val="000000"/>
              </w:rPr>
              <w:t>3.10院内宣教</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1）院内患者宣教：支持医生或护士在门诊诊间、住院病区，为患者或家属即时推送个性化宣教材料，宣教内容自动记录至患者健康档案。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2）宣教任务触发：系统可根据患者诊断、手术、检验检查结果等诊疗事件，自动生成宣教建议，医护人员确认后发送至患者端。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3）宣教效果反馈：患者可在移动端查阅宣教内容并确认已学习，医护人员可查看患者的阅读状态和反馈，确保宣教工作落实。</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4）需</w:t>
            </w:r>
            <w:r>
              <w:rPr>
                <w:rFonts w:ascii="仿宋_GB2312" w:hAnsi="仿宋_GB2312" w:cs="仿宋_GB2312" w:eastAsia="仿宋_GB2312"/>
                <w:sz w:val="24"/>
                <w:color w:val="000000"/>
              </w:rPr>
              <w:t>支持全病种管理，不只限慢病</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3.11离院管理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1）离院任务自动分配：系统根据离院医嘱自动生成复查、复诊、护理处置、持续治疗等任务；离院任务自动分配至相应责任人。支持对各类任务的检索、查看和处置。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2）离院模板管理：提供离院模板列表，支持离院管理路径模板的创建、编辑、预览。用户可根据需要启用或禁用离院任务模板，实现离院管理的标准化和规范化。</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3）需</w:t>
            </w:r>
            <w:r>
              <w:rPr>
                <w:rFonts w:ascii="仿宋_GB2312" w:hAnsi="仿宋_GB2312" w:cs="仿宋_GB2312" w:eastAsia="仿宋_GB2312"/>
                <w:sz w:val="24"/>
                <w:color w:val="000000"/>
              </w:rPr>
              <w:t>支持全病种管理，不只限慢病</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3.12慢性病随访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1）随访模板配置：支持创建和管理随访模板，系统根据患者健康档案自动推荐适用的随访模板。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2）随访计划执行：系统按预设模板自动派发随访任务，支持多渠道登记随访结果，自动生成随访记录。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3）随访质量监测：提供异常预警，对逾期未完成的任务自动提醒医生，对危重异常结果实时推送干预建议；自动生成随访小结，辅助医生快速掌握关键信息。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4）随访效果统计：按时间周期、随访渠道、完成状态等维度统计随访数据，提供趋势图表和转化分析，支持管理改进。</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.慢性病业务协同系统</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.1双向</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协同</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1）★为慢性病管理平台找出“</w:t>
            </w:r>
            <w:r>
              <w:rPr>
                <w:rFonts w:ascii="仿宋_GB2312" w:hAnsi="仿宋_GB2312" w:cs="仿宋_GB2312" w:eastAsia="仿宋_GB2312"/>
                <w:sz w:val="24"/>
                <w:color w:val="000000"/>
              </w:rPr>
              <w:t>项目病种</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指针（上转、下转）的慢性病患者，并支持查看患者专病档案、</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状态。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2）应上转人群管理：支持应上转人群模型规则设置，系统自动圈选应上转人群明细，支持查看专病档案。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3）应下转人群管理：支持应下转人群模型规则设置，系统自动圈选应下转人群明细，支持查看专病档案。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4）消息中心：提供</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结果处理提醒及上转、下转、平转提醒，确保各方及时获知</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动态。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跟进：上级医院可以持续跟进下转患者的各种任务进展，实现上下级</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、平转信息互通，医生对</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患者持续管理。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建设智能分级诊疗与跨机构就诊提醒模块。系统内置分级诊疗路径规则引擎，根据病种、病情严重程度、治疗阶段自动匹配建议接收机构。对接区域患者主索引（EMPI），实时监测患者跨机构就诊行为。当患者在短期内于不同医疗机构间就诊时，系统自动比对诊断信息和治疗记录，对符合“应转回原机构”情形的，</w:t>
            </w:r>
            <w:r>
              <w:rPr>
                <w:rFonts w:ascii="仿宋_GB2312" w:hAnsi="仿宋_GB2312" w:cs="仿宋_GB2312" w:eastAsia="仿宋_GB2312"/>
                <w:sz w:val="24"/>
                <w:color w:val="000000"/>
              </w:rPr>
              <w:t>主动</w:t>
            </w:r>
            <w:r>
              <w:rPr>
                <w:rFonts w:ascii="仿宋_GB2312" w:hAnsi="仿宋_GB2312" w:cs="仿宋_GB2312" w:eastAsia="仿宋_GB2312"/>
                <w:sz w:val="24"/>
                <w:color w:val="000000"/>
              </w:rPr>
              <w:t>提示，并展示原诊疗机构、诊断结论及</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建议。对于伴随常规疾病且无需复杂治疗的患者，系统基于地理位置和机构服务能力推荐就近县级医院。</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2检查检验预约协同</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1）预约任务管理：提供预约任务检索及任务列表查看详情功能，方便医生统一管理预约。</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2）新建预约：支持检查项目预约和检验项目预约，并可查看预约进展，便于患者和医生掌握预约状态。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3）消息中心：提供新增预约、预约受理、结果生成提醒，确保各方及时获知预约动态。</w:t>
            </w:r>
          </w:p>
          <w:p>
            <w:pPr>
              <w:pStyle w:val="null3"/>
              <w:jc w:val="both"/>
            </w:pPr>
            <w:r>
              <w:rPr>
                <w:rFonts w:ascii="仿宋_GB2312" w:hAnsi="仿宋_GB2312" w:cs="仿宋_GB2312" w:eastAsia="仿宋_GB2312"/>
                <w:sz w:val="24"/>
                <w:color w:val="000000"/>
              </w:rPr>
              <w:t>4.3</w:t>
            </w:r>
            <w:r>
              <w:rPr>
                <w:rFonts w:ascii="仿宋_GB2312" w:hAnsi="仿宋_GB2312" w:cs="仿宋_GB2312" w:eastAsia="仿宋_GB2312"/>
                <w:sz w:val="24"/>
                <w:color w:val="000000"/>
              </w:rPr>
              <w:t>慢病数据更新协同</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1）慢性病平台基于获取到的死亡数据，</w:t>
            </w:r>
            <w:r>
              <w:rPr>
                <w:rFonts w:ascii="仿宋_GB2312" w:hAnsi="仿宋_GB2312" w:cs="仿宋_GB2312" w:eastAsia="仿宋_GB2312"/>
                <w:sz w:val="24"/>
                <w:color w:val="000000"/>
              </w:rPr>
              <w:t>按身份证号码与健康档案关联，提醒工作人员该居民</w:t>
            </w:r>
            <w:r>
              <w:rPr>
                <w:rFonts w:ascii="仿宋_GB2312" w:hAnsi="仿宋_GB2312" w:cs="仿宋_GB2312" w:eastAsia="仿宋_GB2312"/>
                <w:sz w:val="24"/>
                <w:color w:val="000000"/>
              </w:rPr>
              <w:t>为</w:t>
            </w:r>
            <w:r>
              <w:rPr>
                <w:rFonts w:ascii="仿宋_GB2312" w:hAnsi="仿宋_GB2312" w:cs="仿宋_GB2312" w:eastAsia="仿宋_GB2312"/>
                <w:sz w:val="24"/>
                <w:color w:val="000000"/>
              </w:rPr>
              <w:t>疑似死亡；相关人员核实确认后，更新健康档案的人员存活状态并将核实信息反馈至疾控中心工作人员；修改后的人员存活状态及时同步到公卫</w:t>
            </w:r>
            <w:r>
              <w:rPr>
                <w:rFonts w:ascii="仿宋_GB2312" w:hAnsi="仿宋_GB2312" w:cs="仿宋_GB2312" w:eastAsia="仿宋_GB2312"/>
                <w:sz w:val="24"/>
                <w:color w:val="000000"/>
              </w:rPr>
              <w:t>平台</w:t>
            </w:r>
            <w:r>
              <w:rPr>
                <w:rFonts w:ascii="仿宋_GB2312" w:hAnsi="仿宋_GB2312" w:cs="仿宋_GB2312" w:eastAsia="仿宋_GB2312"/>
                <w:sz w:val="24"/>
                <w:color w:val="000000"/>
              </w:rPr>
              <w:t>。</w:t>
            </w:r>
            <w:r>
              <w:br/>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2）体检数据上传：从全市各医疗机构抓取本年度居民体检相关数据结果后，生成慢病平台居民体检信息，允许相关工作人员补充完善，并支持上传至省公卫平台。</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AI模型</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1）AI模型模块在双向</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场景中提供智能化辅助能力。</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2）在双向</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场景中提供智能化辅助：</w:t>
            </w:r>
            <w:r>
              <w:rPr>
                <w:rFonts w:ascii="仿宋_GB2312" w:hAnsi="仿宋_GB2312" w:cs="仿宋_GB2312" w:eastAsia="仿宋_GB2312"/>
                <w:sz w:val="24"/>
                <w:color w:val="000000"/>
              </w:rPr>
              <w:t>AI生成病历摘要，辅助医生快速了解患者情况；AI推荐专家资源，提升</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匹配效率；</w:t>
            </w:r>
            <w:r>
              <w:rPr>
                <w:rFonts w:ascii="仿宋_GB2312" w:hAnsi="仿宋_GB2312" w:cs="仿宋_GB2312" w:eastAsia="仿宋_GB2312"/>
                <w:sz w:val="24"/>
                <w:color w:val="000000"/>
              </w:rPr>
              <w:t>AI提醒上转、提醒下转，帮助医生把握</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时机。</w:t>
            </w:r>
          </w:p>
          <w:p>
            <w:pPr>
              <w:pStyle w:val="null3"/>
              <w:jc w:val="both"/>
            </w:pPr>
            <w:r>
              <w:rPr>
                <w:rFonts w:ascii="仿宋_GB2312" w:hAnsi="仿宋_GB2312" w:cs="仿宋_GB2312" w:eastAsia="仿宋_GB2312"/>
                <w:sz w:val="24"/>
                <w:color w:val="000000"/>
              </w:rPr>
              <w:t>5.基层慢性病健康管理系统</w:t>
            </w:r>
          </w:p>
          <w:p>
            <w:pPr>
              <w:pStyle w:val="null3"/>
              <w:jc w:val="both"/>
            </w:pPr>
            <w:r>
              <w:rPr>
                <w:rFonts w:ascii="仿宋_GB2312" w:hAnsi="仿宋_GB2312" w:cs="仿宋_GB2312" w:eastAsia="仿宋_GB2312"/>
                <w:sz w:val="24"/>
                <w:color w:val="000000"/>
              </w:rPr>
              <w:t>5.1综合服务工作台</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专病指标卡：展示本级应纳管人数统计（高危人群、前期人群、确诊人群），当前在院人数、近期住院人数，管理人群分布（在管、未管、拒管、脱落），分色分布，患者分布（分型、合并症、并发症分布），以及筛查进展（高危筛查人数、并发症筛查人数），帮助医生快速掌握辖区慢性病管理概况。</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2）居民查找：支持按居民姓名、身份证、手机号快捷搜索。检索结果可展示居民的全部待办、异常及健康档案，方便医生快速定位。</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3）任务提醒与处置：汇总全部待办任务，包括重点关注患者、纳管任务（应签尽签待办）、建档任务、异常预警（含危急值预警）、筛查任务、随访任务、促诊（复诊计划、复查计划）、</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任务、健康宣教、评估任务待办、</w:t>
            </w:r>
            <w:r>
              <w:rPr>
                <w:rFonts w:ascii="仿宋_GB2312" w:hAnsi="仿宋_GB2312" w:cs="仿宋_GB2312" w:eastAsia="仿宋_GB2312"/>
                <w:sz w:val="24"/>
                <w:color w:val="000000"/>
              </w:rPr>
              <w:t>OCR审核待办等。支持任务处置、指派、无需处理标识及任务统计与详情查看。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4）工作台侧边栏插件：展示纳管患者数趋势、常用功能快捷入口、特征人群top5、专病高风险人群患者数趋势、专病筛查转化，并支持自定义侧边栏，满足个性化工作需求。</w:t>
            </w:r>
          </w:p>
          <w:p>
            <w:pPr>
              <w:pStyle w:val="null3"/>
              <w:jc w:val="both"/>
            </w:pPr>
            <w:r>
              <w:rPr>
                <w:rFonts w:ascii="仿宋_GB2312" w:hAnsi="仿宋_GB2312" w:cs="仿宋_GB2312" w:eastAsia="仿宋_GB2312"/>
                <w:sz w:val="24"/>
                <w:color w:val="000000"/>
              </w:rPr>
              <w:t>5.2患者建档</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1）新建专病档案：支持数据采集自动建档、单个患者手动建档及批量导入建档，满足不同场景下的建档需求。</w:t>
            </w:r>
            <w:r>
              <w:rPr>
                <w:rFonts w:ascii="仿宋_GB2312" w:hAnsi="仿宋_GB2312" w:cs="仿宋_GB2312" w:eastAsia="仿宋_GB2312"/>
                <w:sz w:val="24"/>
                <w:color w:val="000000"/>
              </w:rPr>
              <w:t>建档时具备书写规范和逻辑（业务）质控功能，质控规则由疾控中心提供。</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2）专病档案管理：提供专病档案列表及筛选查询，支持指派给我的患者及指派任务处置，档案列表字段可自定义显示。统计各状态患者数，支持已出组患者管理，支持操作关注/取消关注，支持自定义标签。</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3）▲支持居民端血压计、体脂秤等图片上传，通过OCR识别获取健康数据并更新档案；支持人体成分核心指标异常预警，并在档案中呈现。</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4）专病档案详情：展示专病指标趋势及异常预警，专病健康档案支持手动补充，提供专病个性化评估、专病管理方案、疾病风险评估、专病院内诊疗数据、历史管理方案、</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记录等完整信息。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5）分色分级标签：系统预置专病分色分级标签规则，支持根据患者风险评估结果自动打标，实现红、黄、绿三色分级管理。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6）OCR审核任务模块支持对上传的病历图片及文件进行OCR识别审核。</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7）OCR审核任务：支持病历OCR识别，展示OCR审核任务列表，支持审核操作，确保识别结果的准确性。</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慢病平台档案质控。对从省公卫云平台回流的健康档案数据依据质控规则进行质控，生成未规范建档问题清单，支持下发至下级管理人员或操作人员处置并将处置结果按下发要求反馈质控发起人。质控规则可迭代，也可由质控发起人自主编辑。</w:t>
            </w:r>
          </w:p>
          <w:p>
            <w:pPr>
              <w:pStyle w:val="null3"/>
              <w:jc w:val="both"/>
            </w:pPr>
            <w:r>
              <w:rPr>
                <w:rFonts w:ascii="仿宋_GB2312" w:hAnsi="仿宋_GB2312" w:cs="仿宋_GB2312" w:eastAsia="仿宋_GB2312"/>
                <w:sz w:val="24"/>
                <w:color w:val="000000"/>
              </w:rPr>
              <w:t>5.3患者纳管</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本院住院及门诊病人，系统应支持上级专科医生将符合条件的出院或门诊患者主动推送至对应基层医疗机构，并发起纳管建议，基层接收后纳入日常随访管理，形成上下级协同的纳管机制。支持基层公卫系统数据自动导入平台，同时医院诊疗数据可上传至平台。系统筛查的高危人群，经核实确诊后，对导入数据进行患者主索引匹配与风险分级，由基层医生根据患者实际情况自主决定是否纳入慢性病管理，实现从筛查到纳管决策的闭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2）居民建档：支持知情同意书签署，匹配人群模型并自动关联管理路径，完成病例上报，自动校验缺失档案信息并补充。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3）基线评估/初诊评估：评估任务自动生成，支持执行评估、查看个性化评估报告、作废已生成的评估任务、将评估任务推送给患者、补充添加其他评估任务，最终生成基线评估报告。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4）▲管理目标生成：支持管理目标相关指标的修改及删除，设置管理方案开始日期。</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5）管理路径审核/微调：支持对饮食处方、运动处方、健康宣教、量表问卷、复查计划</w:t>
            </w:r>
            <w:r>
              <w:rPr>
                <w:rFonts w:ascii="仿宋_GB2312" w:hAnsi="仿宋_GB2312" w:cs="仿宋_GB2312" w:eastAsia="仿宋_GB2312"/>
                <w:sz w:val="24"/>
                <w:color w:val="000000"/>
              </w:rPr>
              <w:t>等</w:t>
            </w:r>
            <w:r>
              <w:rPr>
                <w:rFonts w:ascii="仿宋_GB2312" w:hAnsi="仿宋_GB2312" w:cs="仿宋_GB2312" w:eastAsia="仿宋_GB2312"/>
                <w:sz w:val="24"/>
                <w:color w:val="000000"/>
              </w:rPr>
              <w:t>管理参数等进行人工微调。管理方案可暂存，审核通过后提交，并基于管理方案生成任务。</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6）PDF管理方案报告：AI自动生成PDF管理方案报告，支持下载及发送给患者。</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4重点人群标识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1）自定义分组：支持批量分组或单患者分组，便于分类管理。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2）重点关注（收藏）：支持批量关注或单患者关注，方便医生快速定位重点患者。</w:t>
            </w:r>
          </w:p>
          <w:p>
            <w:pPr>
              <w:pStyle w:val="null3"/>
              <w:jc w:val="both"/>
            </w:pPr>
            <w:r>
              <w:rPr>
                <w:rFonts w:ascii="仿宋_GB2312" w:hAnsi="仿宋_GB2312" w:cs="仿宋_GB2312" w:eastAsia="仿宋_GB2312"/>
                <w:sz w:val="24"/>
                <w:color w:val="000000"/>
              </w:rPr>
              <w:t>5.5智能随访（AI随访助手）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智能随访模块辅助基层医生高效完成随访工作。系统支持医患对话过程中实现语音到文字的实时转写，并将录音内容实时转化为文本，系统对随访的核心字段体征、现病史等核心内容进行智能归纳总结，结构化回落到随访表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2）随访路径管理：支持随访模板管理，系统根据用户人群模型自动匹配随访模板。</w:t>
            </w:r>
          </w:p>
          <w:p>
            <w:pPr>
              <w:pStyle w:val="null3"/>
              <w:jc w:val="both"/>
            </w:pPr>
            <w:r>
              <w:rPr>
                <w:rFonts w:ascii="仿宋_GB2312" w:hAnsi="仿宋_GB2312" w:cs="仿宋_GB2312" w:eastAsia="仿宋_GB2312"/>
                <w:sz w:val="24"/>
                <w:color w:val="000000"/>
              </w:rPr>
              <w:t>自动随访：系统自动执行随访任务，支持多种方式登记随访结果，生成随访记录及详情。</w:t>
            </w:r>
          </w:p>
          <w:p>
            <w:pPr>
              <w:pStyle w:val="null3"/>
              <w:jc w:val="both"/>
            </w:pPr>
            <w:r>
              <w:rPr>
                <w:rFonts w:ascii="仿宋_GB2312" w:hAnsi="仿宋_GB2312" w:cs="仿宋_GB2312" w:eastAsia="仿宋_GB2312"/>
                <w:sz w:val="24"/>
                <w:color w:val="000000"/>
              </w:rPr>
              <w:t>随访质控：提供预警提醒，超时未完成自动提醒医生干预，实时监测危急情况提醒医生干预。针对异常情况</w:t>
            </w:r>
            <w:r>
              <w:rPr>
                <w:rFonts w:ascii="仿宋_GB2312" w:hAnsi="仿宋_GB2312" w:cs="仿宋_GB2312" w:eastAsia="仿宋_GB2312"/>
                <w:sz w:val="24"/>
                <w:color w:val="000000"/>
              </w:rPr>
              <w:t>AI生成辅助话术，自动识别随访完成度并提醒。</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3）随访统计分析：按日期维度、随访方式、完成情况统计随访情况，提供时间趋势数据看板和转化漏斗模型分析。</w:t>
            </w:r>
          </w:p>
          <w:p>
            <w:pPr>
              <w:pStyle w:val="null3"/>
              <w:jc w:val="both"/>
            </w:pPr>
            <w:r>
              <w:rPr>
                <w:rFonts w:ascii="仿宋_GB2312" w:hAnsi="仿宋_GB2312" w:cs="仿宋_GB2312" w:eastAsia="仿宋_GB2312"/>
                <w:sz w:val="24"/>
                <w:color w:val="000000"/>
              </w:rPr>
              <w:t>5.6促诊管理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1）促诊管理：展示今日促诊待办，支持复诊质控结果查阅与异常处置、复查质控结果查阅与异常处置。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2）促诊记录：提供促诊（复查、复诊）记录及明细查询，便于追溯历史促诊情况。</w:t>
            </w:r>
          </w:p>
          <w:p>
            <w:pPr>
              <w:pStyle w:val="null3"/>
              <w:jc w:val="both"/>
            </w:pPr>
            <w:r>
              <w:rPr>
                <w:rFonts w:ascii="仿宋_GB2312" w:hAnsi="仿宋_GB2312" w:cs="仿宋_GB2312" w:eastAsia="仿宋_GB2312"/>
                <w:sz w:val="24"/>
                <w:color w:val="000000"/>
              </w:rPr>
              <w:t>5.7健康教育（群发消息）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1）新建群发消息：选择群发类型（消息通知/问卷/健康宣教），设置目标人群（医生、居民和家人、诊疗组）及推送规则。</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2）查看群发任务详情：查看群发任务基础信息及任务明细，便于跟踪宣教效果。</w:t>
            </w:r>
          </w:p>
          <w:p>
            <w:pPr>
              <w:pStyle w:val="null3"/>
              <w:jc w:val="both"/>
            </w:pPr>
            <w:r>
              <w:rPr>
                <w:rFonts w:ascii="仿宋_GB2312" w:hAnsi="仿宋_GB2312" w:cs="仿宋_GB2312" w:eastAsia="仿宋_GB2312"/>
                <w:sz w:val="24"/>
                <w:color w:val="000000"/>
              </w:rPr>
              <w:t>5.8医患互动</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1）任务打卡反馈：展示患者打卡任务，支持提交打卡反馈并发送给患者。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2）周点评：展示周点评任务，支持提交周点评并发送给患者。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3）异常预警：展示指标异常预警任务及异常数据（含危急值预警），支持操作处理并发送给患者。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4）结局评估：支持添加结局评估项目，通过多种方式执行评估，提交结局评估报告并发送给患者。</w:t>
            </w:r>
          </w:p>
          <w:p>
            <w:pPr>
              <w:pStyle w:val="null3"/>
              <w:jc w:val="both"/>
            </w:pPr>
            <w:r>
              <w:rPr>
                <w:rFonts w:ascii="仿宋_GB2312" w:hAnsi="仿宋_GB2312" w:cs="仿宋_GB2312" w:eastAsia="仿宋_GB2312"/>
                <w:sz w:val="24"/>
                <w:color w:val="000000"/>
              </w:rPr>
              <w:t>5.9慢性病管理AI模型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1）▲纳管-评估-方案制定场景：AI抽取基线评估风险因素，生成基线评估解读、管理目标，AI微调饮食处方和运动处方，生成PDF健康管理方案。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2）▲管理中场景：AI生成周点评、生成打卡反馈。</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3）结局评估场景：AI生成结局评估报告，总结管理周期效果。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4）疾病风险评估场景：支持多病种疾病风险评估，帮助医生全面掌握患者风险状况。</w:t>
            </w:r>
          </w:p>
          <w:p>
            <w:pPr>
              <w:pStyle w:val="null3"/>
              <w:jc w:val="both"/>
            </w:pPr>
            <w:r>
              <w:rPr>
                <w:rFonts w:ascii="仿宋_GB2312" w:hAnsi="仿宋_GB2312" w:cs="仿宋_GB2312" w:eastAsia="仿宋_GB2312"/>
                <w:sz w:val="24"/>
                <w:color w:val="000000"/>
              </w:rPr>
              <w:t>5.10慢病文书AI助手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1）慢病文书助手的使用范围为两家三级医疗机构；慢病随访AI部署在市级平台上，全市基层医疗机构均可调用；</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2）▲病情采集与录入：支持医患对话录音转写、文字录入、语音录入等多种病情采集方式，自动识别医学专业术语，全面采集病情信息。同时，可识别主流的四川方言完成语音识别和录入。</w:t>
            </w:r>
          </w:p>
          <w:p>
            <w:pPr>
              <w:pStyle w:val="null3"/>
              <w:ind w:firstLine="480"/>
              <w:jc w:val="both"/>
            </w:pPr>
            <w:r>
              <w:rPr>
                <w:rFonts w:ascii="仿宋_GB2312" w:hAnsi="仿宋_GB2312" w:cs="仿宋_GB2312" w:eastAsia="仿宋_GB2312"/>
                <w:sz w:val="24"/>
                <w:color w:val="000000"/>
              </w:rPr>
              <w:t>语音智能处理：对语音内容进行降噪和无关信息过滤，从清洗后的内容中自动提取有效病情特征，为慢病文书生成提供高质量输入。</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智能病历生成引擎：基于医疗大语言模型，融合多源数据自动生成结构化电子病历，确保病历格式规范、内容完整、逻辑清晰。其中，门诊病历生成支持自动生成包含主诉、现病史、既往史、查体等字段的门诊病历，支持初诊复诊自动识别；住院病历智能生成支持入院记录、首次病程记录、出院记录、疾病证明书、手术记录、日常查房记录等住院文书的智能生成。</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4）辅助诊断与决策建议：基于大语言模型综合分析病情信息，自动提示诊断方向、检验检查建议、治疗方案及注意事项。</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5）系统集成与回写：支持与HIS电子病历系统对接，实现生成病历的一键回写或单字段回写，确保数据同步。</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6）用户反馈：支持医生对生成病历进行多维度评价，后台可查询反馈记录用于模型持续优化。</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7）数据飞轮：按日、周、月、年维度统计生成病历份数、回写次数、使用语音次数等核心指标，并以图表展示科室使用排行。</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、移动端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监管驾驶舱移动端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.1全局通览驾驶舱</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展示慢性病管理核心成效指标，包括基层就诊率、患者依从性、住院率、平均死亡年龄、发病率、治疗率、控制率等，并支持按人群分布、资源分布进行多维度分析。驾驶舱内嵌质量监管模块和综合评价模块，分别用于业务质量监测与绩效考核，支持在线发起督办任务并跟踪整改闭环。驾驶舱支持多级下钻，经过授权后可逐级下钻至区县、城市医疗集团/医共体、下属医疗机构、团队及个人看板。</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.2单病种看板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1）▲针对项目病种，提供单病种绩效看板，展示宏观成效指标、慢性病成效指标、服务资源应用情况、</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统计、人群分析等内容。看板支持按全市、医疗集团、机构、团队、个人逐级下钻。</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.3团队看板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1）展示各慢性病管理团队的团队成效及绩效指标，支持下钻至团队成员的个人报表及所管居民的专病360视图，帮助管理者掌握团队工作质量。</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.4个人看板</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1）展示医护人员的个人绩效报表，包括管理人数、规范管理率、随访完成率、控制率等核心指标，支持查看所管居民的专病360视图，便于个人绩效评估与改进。</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.5消息与督办</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1）集中展示质控异常通知、任务督办提醒、预警信息等，支持管理者在线查看详情、下发督办指令、跟踪整改闭环，确保问题及时处置。</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4"/>
                <w:color w:val="000000"/>
              </w:rPr>
              <w:t>专科医生移动端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4"/>
                <w:color w:val="000000"/>
              </w:rPr>
              <w:t>.1医生工作台</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1）管理指标：展示指标卡，包括管理情况指标（管理人数）、成效指标、待办任务数等，帮助医生快速掌握工作概况。</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2）异常处置：展示异常指标预警（含危急值预警），支持质控异常结果通知及处置，确保异常情况及时处理。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3）任务提醒与处置：汇总全部任务，包括分色人群任务、我关注的患者任务、成员任务督办、我指派的任务、建档与纳管任务、筛查任务处置、随访计划处置、促诊任务处置、</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任务处置、健康教育任务处置、</w:t>
            </w:r>
            <w:r>
              <w:rPr>
                <w:rFonts w:ascii="仿宋_GB2312" w:hAnsi="仿宋_GB2312" w:cs="仿宋_GB2312" w:eastAsia="仿宋_GB2312"/>
                <w:sz w:val="24"/>
                <w:color w:val="000000"/>
              </w:rPr>
              <w:t>OCR审核等，支持任务查看与处理。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4）居民检索：支持按居民姓名、身份证、手机号快捷搜索，按分色检索，检索结果可展示居民的全部待办、异常及健康档案。</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4"/>
                <w:color w:val="000000"/>
              </w:rPr>
              <w:t>.2全周期管理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智能建档：支持患者筛查/问卷填写，新建患者专病档案，完善患者专病档案，专病档案共享调阅。支持重点关注患者标注，专病档案列表及筛选查询，病历图片及文件OCR，自定义标签（患者备注），专病分色分级标签规则。</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2）分级纳管：支持查看和接收管理路径，设置开始日期提交纳管，管理目标查看和微调，管理路径审核/AI微调/人工微调。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3）病例指派：支持将患者病例指派给相应团队成员。</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4）档案共享调阅：可查看专病健康档案，包括患者分色分级、指标趋势、个性化评估、管理方案、疾病风险评估、院内诊疗数据、历史管理方案、</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记录、患者任务日历等。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5）AI随访助手：支持医患对话随访语音转文字，结构化回落到随访表单；并支持随访AI质控，对缺项、指标异常等提出预警。</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6）促诊管理：展示今日促诊待办，支持复诊、复查质控结果查阅与异常处置，查看促诊记录及明细。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7）健康教育：支持选择群发类型（消息通知/问卷/健康宣教），设置目标人群及推送规则，查看群发任务基础信息及明细。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8）医患互动：支持任务打卡反馈、周点评、异常预警接收和处置（含危急值预警）。</w:t>
            </w:r>
          </w:p>
          <w:p>
            <w:pPr>
              <w:pStyle w:val="null3"/>
              <w:jc w:val="both"/>
            </w:pPr>
            <w:r>
              <w:rPr>
                <w:rFonts w:ascii="仿宋_GB2312" w:hAnsi="仿宋_GB2312" w:cs="仿宋_GB2312" w:eastAsia="仿宋_GB2312"/>
                <w:sz w:val="24"/>
                <w:color w:val="000000"/>
              </w:rPr>
              <w:t>流转</w:t>
            </w:r>
            <w:r>
              <w:rPr>
                <w:rFonts w:ascii="仿宋_GB2312" w:hAnsi="仿宋_GB2312" w:cs="仿宋_GB2312" w:eastAsia="仿宋_GB2312"/>
                <w:sz w:val="24"/>
                <w:color w:val="000000"/>
              </w:rPr>
              <w:t>管理：支持转出申请及进展查阅，转入处置和患者建档，</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列表和详情查看。</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4"/>
                <w:color w:val="000000"/>
              </w:rPr>
              <w:t>.3个人中心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1）基本信息：支持医生信息查阅、编辑，包括医生擅长等。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2）团队信息：支持团队信息查阅、编辑，成员查阅。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3）服务统计：支持多维指标查询（门诊、住院、检查检验数据等），专病团队全周期指标统计，专病管理绩效报表。</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家庭医生移动端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.1家医工作台</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1）欢迎语：展示用户欢迎标语。</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2）管理指标：展示指标卡，包括管理情况指标（管理人数）、成效指标、待办任务数等。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3）异常预警：展示异常预警（含危急值预警），支持质控异常结果通知及处置。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4）任务提醒与处置：汇总全部任务，包括分色人群任务、个人关注的患者任务、指派给个人的任务、建档与纳管任务、筛查任务处置、随访计划处置、促诊任务处置、</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任务处置、健康教育任务处置、</w:t>
            </w:r>
            <w:r>
              <w:rPr>
                <w:rFonts w:ascii="仿宋_GB2312" w:hAnsi="仿宋_GB2312" w:cs="仿宋_GB2312" w:eastAsia="仿宋_GB2312"/>
                <w:sz w:val="24"/>
                <w:color w:val="000000"/>
              </w:rPr>
              <w:t>OCR审核等。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5）居民检索：支持按居民姓名、身份证、手机号快捷搜索，按公卫人群标识检索，支持分色检索，检索结果可展示居民的全部待办、异常及健康档案。</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.2全周期管理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智能建档：支持患者筛查/问卷填写，新建患者专病档案，完善患者专病档案，专病档案共享调阅。支持重点关注患者标注，专病档案列表及筛选查询，指派给个人的患者及指派任务处置，操作关注/取消关注，病历图片及文件OCR，自定义标签（患者备注），专病分色分级标签规则及自动打标。</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2）分级纳管：支持查看和接收上级制定的管理路径，设置开始日期提交纳管，管理目标查看和微调，管理路径审核/AI微调/人工微调。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3）病例上报：支持将患者病例上报至上级。</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4）档案共享调阅：可查看专病健康档案，包括患者分色分级、指标趋势、个性化评估、管理方案、疾病风险评估、院内诊疗数据、历史管理方案、</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记录、患者任务日历等。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5）AI随访助手：支持医患对话随访语音转文字，结构化回落到随访表单；并支持随访AI质控，对缺项、指标异常等提出预警。</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6）促诊管理：展示今日促诊待办，支持复诊、复查质控结果查阅与异常处置，查看促诊记录及明细。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7）健康教育（群发消息）：支持选择群发类型（消息通知/问卷/健康宣教），设置目标人群及推送规则，查看群发任务基础信息及明细。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8）医患互动：支持任务打卡反馈、周点评、异常预警接收和处置（含危急值预警）。</w:t>
            </w:r>
          </w:p>
          <w:p>
            <w:pPr>
              <w:pStyle w:val="null3"/>
              <w:jc w:val="both"/>
            </w:pPr>
            <w:r>
              <w:rPr>
                <w:rFonts w:ascii="仿宋_GB2312" w:hAnsi="仿宋_GB2312" w:cs="仿宋_GB2312" w:eastAsia="仿宋_GB2312"/>
                <w:sz w:val="24"/>
                <w:color w:val="000000"/>
              </w:rPr>
              <w:t>流转</w:t>
            </w:r>
            <w:r>
              <w:rPr>
                <w:rFonts w:ascii="仿宋_GB2312" w:hAnsi="仿宋_GB2312" w:cs="仿宋_GB2312" w:eastAsia="仿宋_GB2312"/>
                <w:sz w:val="24"/>
                <w:color w:val="000000"/>
              </w:rPr>
              <w:t>管理：支持转出申请及进展查阅，转入处置和患者建档，</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列表和详情查看。</w:t>
            </w:r>
          </w:p>
          <w:p>
            <w:pPr>
              <w:pStyle w:val="null3"/>
              <w:jc w:val="both"/>
            </w:pPr>
            <w:r>
              <w:rPr>
                <w:rFonts w:ascii="仿宋_GB2312" w:hAnsi="仿宋_GB2312" w:cs="仿宋_GB2312" w:eastAsia="仿宋_GB2312"/>
                <w:sz w:val="24"/>
                <w:color w:val="000000"/>
              </w:rPr>
              <w:t>协同记录：支持查询派发记录、宣教记录、随访记录、</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记录、会诊记录及详情查阅。</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.3个人中心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1）基本信息：支持医生信息查阅、编辑，展示所属团队。</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2）服务统计：支持多维指标查询（项目病种人群管理全周期管理指标监测），专病管理绩效报表。</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3）积分管理：支持居民积分详情查看及积分扣减操作。</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4"/>
                <w:color w:val="000000"/>
              </w:rPr>
              <w:t>.4家医AI助手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1）AI报告解读：支持对检验检查报告进行AI解读，辅助医生理解报告内容。</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个人健康移动端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.1健康日历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1）日历表：展示健康日历，直观呈现每日健康任务。</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2）在管方案：查看当前在管方案详情。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3）健康任务：包括饮食打卡及反馈、运动打卡、健康宣教打卡、问卷/量表打卡、复查计划打卡、居家监测打卡及反馈、用药打卡，支持居民完成每日健康任务。</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.2健康数据监测</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1）健康数据录入（手动录入）：支持居民自主录入身高、体重、血压、血糖，系统自动计算BMI值并分类，对异常数据/危急值进行预警。</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.3健康管理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1）自主申请管理计划：居民可申请参与管理计划，后台审核后可进入管理计划。</w:t>
            </w:r>
          </w:p>
          <w:p>
            <w:pPr>
              <w:pStyle w:val="null3"/>
              <w:jc w:val="both"/>
            </w:pPr>
            <w:r>
              <w:rPr>
                <w:rFonts w:ascii="仿宋_GB2312" w:hAnsi="仿宋_GB2312" w:cs="仿宋_GB2312" w:eastAsia="仿宋_GB2312"/>
                <w:sz w:val="24"/>
                <w:color w:val="000000"/>
              </w:rPr>
              <w:t>健康咨询：支持在线联系家庭医生，进行健康咨询。</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.4慢性病档案（卡片）</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1）健康档案：支持用户查阅完整的医疗记录与健康数据，展示健康分色。</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2）指标趋势：展示指标详情，对异常指标进行预警（含危急值预警）。</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管理档案：包括初始评估（填写查看评估问卷及初始评估报告）、健康处方/管理方案（查看个性化饮食和运动处方）、周点评、结局评估（填写查看评估问卷及结局评估报告）、成效报告（量化评估并形成报告）、历史管理记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4）院内诊疗：查看检查检验报告、药物处方、门诊/住院记录。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5）健康服务：进行疾病风险评估，查看</w:t>
            </w:r>
            <w:r>
              <w:rPr>
                <w:rFonts w:ascii="仿宋_GB2312" w:hAnsi="仿宋_GB2312" w:cs="仿宋_GB2312" w:eastAsia="仿宋_GB2312"/>
                <w:sz w:val="24"/>
                <w:color w:val="000000"/>
              </w:rPr>
              <w:t>流转</w:t>
            </w:r>
            <w:r>
              <w:rPr>
                <w:rFonts w:ascii="仿宋_GB2312" w:hAnsi="仿宋_GB2312" w:cs="仿宋_GB2312" w:eastAsia="仿宋_GB2312"/>
                <w:sz w:val="24"/>
                <w:color w:val="000000"/>
              </w:rPr>
              <w:t>记录。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6）档案维护：支持报告上传，完善个人健康档案。</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.5健康积分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1）积分明细：查看积分获取和使用明细。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2）积分任务：查看可获取积分的任务列表。</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.6家人管理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1）亲情号管理：支持新增亲情号，查阅已绑定的亲情号，方便管理家人健康。</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.7消息中心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1）消息列表：展示各类消息提醒。</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2）消息详情：查看消息具体内容。</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.8居民AI应用</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1）AI健康咨询：居民可通过AI进行健康咨询。</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2）▲AI食品配料表解读：支持拍摄食品配料表，AI解读其健康信息。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3）▲AI报告解读：支持上传检验检查报告，AI解读报告内容；新生成的检查报告自动推送解读。</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4）▲AI智能问药：支持上传药盒，AI识别并提供药品信息。</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5）AI智能导诊：根据居民症状智能推荐就诊科室。</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6）AI诊前建议：提供诊前注意事项及建议。</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.9资源中心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1）服务信息：展示全市健康管理服务的医疗机构信息、介绍和地址等内容。</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2）多跨部门协同：提供多跨部门协同的筛查、健身资源查询系统，整合多方数据资源。</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.4</w:t>
            </w:r>
            <w:r>
              <w:rPr>
                <w:rFonts w:ascii="仿宋_GB2312" w:hAnsi="仿宋_GB2312" w:cs="仿宋_GB2312" w:eastAsia="仿宋_GB2312"/>
                <w:sz w:val="24"/>
                <w:color w:val="000000"/>
              </w:rPr>
              <w:t>.10账号体系</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1）注册：基于身份认证系统，提供安全便捷的注册功能，支持多因素认证。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2）登录：支持验证码等验证方式登录。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3）授权：支持一键授权登录。</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应用支撑系统</w:t>
            </w:r>
          </w:p>
          <w:p>
            <w:pPr>
              <w:pStyle w:val="null3"/>
              <w:jc w:val="both"/>
            </w:pPr>
            <w:r>
              <w:rPr>
                <w:rFonts w:ascii="仿宋_GB2312" w:hAnsi="仿宋_GB2312" w:cs="仿宋_GB2312" w:eastAsia="仿宋_GB2312"/>
                <w:sz w:val="24"/>
                <w:color w:val="000000"/>
              </w:rPr>
              <w:t>7.1统一登录</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1）登录：支持授权码授权、隐藏式授权、公钥加密、私钥解密；支持账号密码登录、手机验证码登录；支持手机验证码找回密码；限制密码错误次数并设置锁定时间；展示应用名称、图标及分类。</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2）个人中心：支持个人信息修改。</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3）预留接口，支持后续通过全民健康信息平台进行统一登录认证及用户管理。</w:t>
            </w:r>
          </w:p>
          <w:p>
            <w:pPr>
              <w:pStyle w:val="null3"/>
              <w:jc w:val="both"/>
            </w:pPr>
            <w:r>
              <w:rPr>
                <w:rFonts w:ascii="仿宋_GB2312" w:hAnsi="仿宋_GB2312" w:cs="仿宋_GB2312" w:eastAsia="仿宋_GB2312"/>
                <w:sz w:val="24"/>
                <w:color w:val="000000"/>
              </w:rPr>
              <w:t>7.2用户中心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1）功能权限：支持应用配置、PC移动判断、功能模块管理、网络环境设置。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2）权限策略：支持权限策略管理和数据权限管理。</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3）统一机构管理：支持机构配置、下级机构管理、机构权限设置、数据节点设置。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4）统一权限管理：支持角色基础信息配置、角色权限配置、角色用户绑定。</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5）统一用户管理：支持用户信息配置、用户角色绑定、用户机构绑定、用户锁定、用户密码重置、权限复用、用户导出。</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6）统一日志管理：支持统一采集和统一查询，便于系统审计与问题追溯。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后期运维服务</w:t>
            </w:r>
          </w:p>
        </w:tc>
        <w:tc>
          <w:tcPr>
            <w:tcW w:type="dxa" w:w="5814"/>
          </w:tcPr>
          <w:p>
            <w:pPr>
              <w:pStyle w:val="null3"/>
              <w:jc w:val="left"/>
            </w:pPr>
            <w:r>
              <w:rPr>
                <w:rFonts w:ascii="仿宋_GB2312" w:hAnsi="仿宋_GB2312" w:cs="仿宋_GB2312" w:eastAsia="仿宋_GB2312"/>
                <w:sz w:val="24"/>
                <w:color w:val="000000"/>
              </w:rPr>
              <w:t>1.投标人须提供</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年的运维服务</w:t>
            </w:r>
          </w:p>
          <w:p>
            <w:pPr>
              <w:pStyle w:val="null3"/>
              <w:jc w:val="left"/>
            </w:pPr>
            <w:r>
              <w:rPr>
                <w:rFonts w:ascii="仿宋_GB2312" w:hAnsi="仿宋_GB2312" w:cs="仿宋_GB2312" w:eastAsia="仿宋_GB2312"/>
                <w:sz w:val="24"/>
                <w:color w:val="000000"/>
              </w:rPr>
              <w:t>2.若中标，在中标通知书发出后30个日历日内在攀枝花市组建专门的本地化专业技术服务团队（提供人员名单）</w:t>
            </w:r>
          </w:p>
          <w:p>
            <w:pPr>
              <w:pStyle w:val="null3"/>
              <w:jc w:val="left"/>
            </w:pPr>
            <w:r>
              <w:rPr>
                <w:rFonts w:ascii="仿宋_GB2312" w:hAnsi="仿宋_GB2312" w:cs="仿宋_GB2312" w:eastAsia="仿宋_GB2312"/>
                <w:sz w:val="24"/>
                <w:color w:val="000000"/>
              </w:rPr>
              <w:t>3.工时费、差旅费</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均包含在本次投标报价中，采购人不再单独支付。</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.运维期内提供7×24小时技术支持服务。</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.故障响应：故障响应时间不超过</w:t>
            </w:r>
            <w:r>
              <w:rPr>
                <w:rFonts w:ascii="仿宋_GB2312" w:hAnsi="仿宋_GB2312" w:cs="仿宋_GB2312" w:eastAsia="仿宋_GB2312"/>
                <w:sz w:val="24"/>
                <w:color w:val="000000"/>
              </w:rPr>
              <w:t>10分钟</w:t>
            </w:r>
            <w:r>
              <w:rPr>
                <w:rFonts w:ascii="仿宋_GB2312" w:hAnsi="仿宋_GB2312" w:cs="仿宋_GB2312" w:eastAsia="仿宋_GB2312"/>
                <w:sz w:val="24"/>
                <w:color w:val="000000"/>
              </w:rPr>
              <w:t>，</w:t>
            </w:r>
            <w:r>
              <w:rPr>
                <w:rFonts w:ascii="仿宋_GB2312" w:hAnsi="仿宋_GB2312" w:cs="仿宋_GB2312" w:eastAsia="仿宋_GB2312"/>
                <w:sz w:val="24"/>
                <w:color w:val="000000"/>
              </w:rPr>
              <w:t>如遇</w:t>
            </w:r>
            <w:r>
              <w:rPr>
                <w:rFonts w:ascii="仿宋_GB2312" w:hAnsi="仿宋_GB2312" w:cs="仿宋_GB2312" w:eastAsia="仿宋_GB2312"/>
                <w:sz w:val="24"/>
                <w:color w:val="000000"/>
              </w:rPr>
              <w:t>重大故障</w:t>
            </w:r>
            <w:r>
              <w:rPr>
                <w:rFonts w:ascii="仿宋_GB2312" w:hAnsi="仿宋_GB2312" w:cs="仿宋_GB2312" w:eastAsia="仿宋_GB2312"/>
                <w:sz w:val="24"/>
                <w:color w:val="000000"/>
              </w:rPr>
              <w:t>需在</w:t>
            </w:r>
            <w:r>
              <w:rPr>
                <w:rFonts w:ascii="仿宋_GB2312" w:hAnsi="仿宋_GB2312" w:cs="仿宋_GB2312" w:eastAsia="仿宋_GB2312"/>
                <w:sz w:val="24"/>
                <w:color w:val="000000"/>
              </w:rPr>
              <w:t>2小时内到达现场。</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.合作期间投标人负责</w:t>
            </w:r>
            <w:r>
              <w:rPr>
                <w:rFonts w:ascii="仿宋_GB2312" w:hAnsi="仿宋_GB2312" w:cs="仿宋_GB2312" w:eastAsia="仿宋_GB2312"/>
                <w:sz w:val="24"/>
                <w:color w:val="000000"/>
              </w:rPr>
              <w:t>包括但不限于</w:t>
            </w:r>
            <w:r>
              <w:rPr>
                <w:rFonts w:ascii="仿宋_GB2312" w:hAnsi="仿宋_GB2312" w:cs="仿宋_GB2312" w:eastAsia="仿宋_GB2312"/>
                <w:sz w:val="24"/>
                <w:color w:val="000000"/>
              </w:rPr>
              <w:t>修复系统缺陷、漏洞和补丁更新，不额外收取费用。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合同签订后240日历天完成，其中：合同签订后60工作日内完成1个城市医疗集团、米易县紧密型医疗联合共同体范围内的部署运行，实现指定慢病病种的业务协同、管理协同。</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攀枝花市各级医疗机构、市疾控、市卫健委。</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按国家有关规定、采购文件的质量要求和技术指标、成交供应商的响应文件及承诺以及合同约定标准进行验收。其他未尽事宜将按照《财政部关于进一步加强政府采购需求和履约验收管理的指导意见》(财库(2016) 205号)规定的标准、方法和内容进行验收。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进度款，两家试点单位部署运行验收后，达到付款条件起10个工作日内，支付合同总金额的25.0%</w:t>
            </w:r>
            <w:r>
              <w:br/>
            </w:r>
            <w:r>
              <w:rPr>
                <w:rFonts w:ascii="仿宋_GB2312" w:hAnsi="仿宋_GB2312" w:cs="仿宋_GB2312" w:eastAsia="仿宋_GB2312"/>
              </w:rPr>
              <w:t>3、</w:t>
            </w:r>
            <w:r>
              <w:rPr>
                <w:rFonts w:ascii="仿宋_GB2312" w:hAnsi="仿宋_GB2312" w:cs="仿宋_GB2312" w:eastAsia="仿宋_GB2312"/>
              </w:rPr>
              <w:t>进度款，全市完成部署验收后，达到付款条件起10个工作日内，支付合同总金额的25.0%</w:t>
            </w:r>
            <w:r>
              <w:br/>
            </w:r>
            <w:r>
              <w:rPr>
                <w:rFonts w:ascii="仿宋_GB2312" w:hAnsi="仿宋_GB2312" w:cs="仿宋_GB2312" w:eastAsia="仿宋_GB2312"/>
              </w:rPr>
              <w:t>4、</w:t>
            </w:r>
            <w:r>
              <w:rPr>
                <w:rFonts w:ascii="仿宋_GB2312" w:hAnsi="仿宋_GB2312" w:cs="仿宋_GB2312" w:eastAsia="仿宋_GB2312"/>
              </w:rPr>
              <w:t>尾款，运维期结束后，达到付款条件起10个工作日内，支付合同总金额的10.0%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1、甲方无正当理由拒收合同标的，甲方应向乙方偿付合同款总价10%的违约金。 2、乙方所交合同标的品种、质量、参数、内容等不符合采购文件或合同约定的，视为乙方违约，甲方有权拒收。 3、乙方不能履行合同或违反合同约定时，乙方向甲方偿付合同款总价10%的违约金，并由乙方另行承担甲方因此支出的诉讼费、律师费、鉴定费、保全担保费等全部实现债权费用。 4、乙方逾期交付或提供合同标的时，每逾1日乙方向甲方偿付合同款总额万分之五的违约金，乙方逾期超过15日的，甲方有权单方解除合同。如解除合同，乙方按（上述第3条）向甲方承担违约责任。 5、乙方提供的合同标的不符合合同规定的，甲方在代保管期内实际发生的保管等费用及因采购方保管不善而发生的损失，应当由乙方承担。 6、在执行合同期限内，任何一方因不可抗力事件造成不能履行合同时，应立即通知对方，并寄送有关权威机构出具的证明材料，合同期可延长，其延长期与不可抗力影响期相同。不可抗力事件延续30天以上，双方应另行协商，决定是否继续履行合同。 7、乙方提供合同标的侵犯第三方知识产权权利的，相关法律责任全部由乙方承担。 8、乙方违约，除应按照本合同约定承担相应的违约责任外，甲方有权单方解除合同，乙方违约如给甲方造成损失，乙方还应就相应损失另行向甲方承担损失赔偿责任，如因乙方原因导致第三方权利侵害，甲方先行承担或垫付相应赔偿费用的，甲方可向乙方追偿。 9、乙方未履行约定的维保义务或其他附属义务的，甲方另行委托第三方提供，所产生的费用、损失及违约责任等全部由乙方承担。 （二）解决争议的方法 1、甲乙双方应严格遵守本合同约定的权利和义务，如有违背，承担违约责任。 2、本合同执行过程中的有关争议协商无效而产生纠纷，任何方均可向甲方住所地人民法院提起诉讼，通过诉讼途径解决纠纷。</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（一）投标人根据本项目实际需求提供技术方案，内容包括：1.项目需求理解；2.整体架构；3.数据采集及治理方案；4.慢病管理应用设计方案；5.安全设计方案。 （二）投标人根据本项目实际需求提供项目实施方案，内容包括：1.实施计划；2.人员配置及管理；3.培训方案；4.应急处理措施；5.项目质量保障措施。 （三）投标人根据本项目实际需求提供运维服务方案，内容包括：1.平台上线后的运维服务内容，数据质量持续改进机制；2.后续服务承诺。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投标文件封面,投标（响应）函,具有独立承担民事责任能力的证明材料.docx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进行电子签章并提供以下任意一项证明材料：①可提供2024或2025年度经审计的财务报告扫描件(包含审计报告和审计报告中所涉及的财务报表和报表附注)；②也可提供2024或2025年度投标人内部的财务报表扫描件(至少包含资产负债表)；③也可提供截至响应文件递交截止日一年内银行出具的资信证明(复印件)；④投标人注册时间截至响应文件递交截止日不足一年的，也可提供加盖工商备案主管部门印章的公司章程扫描件。</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招标文件中没有要求投标人需要提供承诺函或证明资料进行响应的实质性条款，投标人根据系统给定的格式文件“投标（响应）函、实质性要求承诺、技术、服务、商务应答表”等默认响应即可。 2.招标文件如要求投标人需要提供承诺函或证明资料进行响应的实质性条款，则以投标人提供的承诺函或证明资料为准（如：“投标（响应）函、实质性要求承诺”中已经载明了相关承诺的，投标人可以不用重复提供承诺）</w:t>
            </w:r>
          </w:p>
        </w:tc>
        <w:tc>
          <w:tcPr>
            <w:tcW w:type="dxa" w:w="1661"/>
          </w:tcPr>
          <w:p>
            <w:pPr>
              <w:pStyle w:val="null3"/>
              <w:jc w:val="left"/>
            </w:pPr>
            <w:r>
              <w:rPr>
                <w:rFonts w:ascii="仿宋_GB2312" w:hAnsi="仿宋_GB2312" w:cs="仿宋_GB2312" w:eastAsia="仿宋_GB2312"/>
              </w:rPr>
              <w:t>服务要求应答表.docx,实质性要求承诺-适用于招标.docx,商务要求应答表.docx,技术要求应答表.docx,承诺函.docx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完全符合招标文件第三章技术要求中所有条款且没有负偏离的得20分；低于招标文件要求的（负偏离）按照以下原则扣分： 1、标注带 “▲”参数为演示参数，不参与本项评分。 2.非“▲”“★”内容为一般参数（共183项），完全满足的得20分，如有不满足（负偏离）要求的，得分按照【投标人满足一般参数的数量/一般参数的总数量）×20分】计算。 3.标注带 “★”参数为实质性要求，不参与本项评分，不允许负偏离，技术参数中有佐证要求的，按佐证要求提供材料。未做明确要求的，直接在技术响应表中响应即可，但投标人必须如实响应，自行承担相关法律责任。 4、其他未做标记的参数，技术参数中有佐证要求的，按佐证要求提供材料。未做明确要求的，直接在技术响应表中响应即可，但投标人必须如实响应，自行承担相关法律责任； 5、未提供相关证明材料或者虽提供但无法佐证者，均自行承担被评标委员会视为技术参数负偏离的风险； 6、投标人须严格按照招标文件产品参数描述进行响应，不得曲解招标文件产品参数描述意思或以其他参数描述来响应采购文件参数，不得以“正偏离”为由偷换技术参数描述方式进行响应，否则自行承担被评标委员会视为技术参数负偏离的风险。</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投标人针对本项目所提供的技术方案进行综合评标，内容包括：1.项目需求理解；2.整体架构；3.数据采集及治理方案；4.慢病管理应用设计方案；5.安全设计方案等，方案体现以上5项内容的得25分；方案中每缺少一项的扣5分；若每项中存在缺陷的扣2.5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所提供的项目实施方案进行综合评标，内容包括：1.实施计划；2.人员配置及管理；3.培训方案；4.应急处理措施；5.项目质量保障措施等，方案体现以上5项内容的得15分；方案中每缺少一项的扣3分；方案中每有一处存在缺陷的扣1.5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运维服务方案</w:t>
            </w:r>
          </w:p>
        </w:tc>
        <w:tc>
          <w:tcPr>
            <w:tcW w:type="dxa" w:w="2575"/>
          </w:tcPr>
          <w:p>
            <w:pPr>
              <w:pStyle w:val="null3"/>
              <w:jc w:val="left"/>
            </w:pPr>
            <w:r>
              <w:rPr>
                <w:rFonts w:ascii="仿宋_GB2312" w:hAnsi="仿宋_GB2312" w:cs="仿宋_GB2312" w:eastAsia="仿宋_GB2312"/>
              </w:rPr>
              <w:t>根据投标人针对本项目所提供的运维服务方案进行综合评标，内容包括：1.平台上线后的运维服务内容，数据质量持续改进机制；2.后续服务承诺等，方案体现以上2项内容的得8分；方案中每缺少一项的扣4分；每项方案中每有一处存在缺陷的扣2分，直至本项分值扣完为止。 注：缺陷指项目名称、地点区域等内容存在错误；方案与本项目需求无关或与本项目要求不一致；适用的规范（标准）错误或失效或与本项目涉及的相关规范（标准）不符；仅有框架或标题或方案内容与标题不符；明显复制其他项目内容等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运维服务方案.docx</w:t>
            </w:r>
          </w:p>
        </w:tc>
      </w:tr>
      <w:tr>
        <w:tc>
          <w:tcPr>
            <w:tcW w:type="dxa" w:w="831"/>
            <w:vMerge/>
          </w:tcPr>
          <w:p/>
        </w:tc>
        <w:tc>
          <w:tcPr>
            <w:tcW w:type="dxa" w:w="1661"/>
          </w:tcPr>
          <w:p>
            <w:pPr>
              <w:pStyle w:val="null3"/>
              <w:jc w:val="left"/>
            </w:pPr>
            <w:r>
              <w:rPr>
                <w:rFonts w:ascii="仿宋_GB2312" w:hAnsi="仿宋_GB2312" w:cs="仿宋_GB2312" w:eastAsia="仿宋_GB2312"/>
              </w:rPr>
              <w:t>演示</w:t>
            </w:r>
          </w:p>
        </w:tc>
        <w:tc>
          <w:tcPr>
            <w:tcW w:type="dxa" w:w="2575"/>
          </w:tcPr>
          <w:p>
            <w:pPr>
              <w:pStyle w:val="null3"/>
              <w:jc w:val="left"/>
            </w:pPr>
            <w:r>
              <w:rPr>
                <w:rFonts w:ascii="仿宋_GB2312" w:hAnsi="仿宋_GB2312" w:cs="仿宋_GB2312" w:eastAsia="仿宋_GB2312"/>
              </w:rPr>
              <w:t>投标人结合对项目需求的理解，结合调研，形成本项目系统及功能的初步效果构想，通过真实系统或展现功能截图或DEMO对技术要求中▲条款进行现场演示，具体演示内容和要求如下： 1、慢性病数据采集治理及专题数据库建设（需进行演示的▲条款共1项），演示成功（技术要求中▲条款所对应的所有功能全部实现）一个小项得1分，不演示或每有一个小项演示不成功的，该小项得0分。本项最多得1分。 2、临床规范与创新系统（需进行演示的▲条款共5项），演示成功（技术要求中▲条款所对应的所有功能全部实现）一个小项得1分，不演示或每有一个小项演示不成功的，该小项得0分。本项最多得5分 。 3、基层慢性病健康管理系统（需进行演示的▲条款共5项），演示成功（技术要求中▲条款所对应的所有功能全部实现）一个小项得1分，不演示或每有一个小项演示不成功的，该小项得0分。本项最多得5分 。 4、移动端（需进行演示的▲条款共4项），演示成功（技术要求中▲条款所对应的所有功能全部实现）一个小项得1分，不演示或每有一个小项演示不成功的，该小项得0分。本项最多得4分 。 5、演示要求 （1）投标人须自带演示设备进行现场演示，演示时间不超过30分钟（由评标委员会负责计时），演示时间超过30分钟的评标委员会终止其演示，每位投标人的演示机会仅有一次，在规定时间内未演示成功，由投标人自行承担； （2）演示地点：攀枝花市东区奥林匹克北路8号D座3楼（攀枝花现代服务业产业园）C区20、22、24、26号； （3）演示流程：①投标人通过本项目资格性、符合性审查；②各投标人自行准备演示所需的设备，投标人自行搭建、调试完善演示环境。如过程中，演示内容系统卡顿或崩溃或出现BUG等，演示时间不予延长；③投标人根据项目情况和自身能力进行演示；（4）演示注意事项：投标人在2026年8月3日12:30（北京时间）到达演示地点，按现场随机抽取顺序逐项演示，若不参与演示本项得0分，演示人员不超过2人。</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现场演示.docx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投标人需提供近三年（2023年1月1日起至递交投标文件截止日）承建过类似医疗信息系统项目业绩的，每提供一个得1分，最高4分。 注：需要提供政府采购合同或中标（成交）通知书复印件并加盖电子签章。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1.项目经理（1人）：具有信息系统项目管理师（高级）证书得1分，本项最多得1分。 2.核心技术人员中具有系统架构师或系统分析师或数据分析师的证书，每提供一个证书得0.5分，最高得2分。 注：1.提供拟派人员有效期相关证书复印件，加盖电子签章。以上人员不重复计分。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详见附件：实质性要求承诺-适用于招标.docx</w:t>
      </w:r>
    </w:p>
    <w:p>
      <w:pPr>
        <w:pStyle w:val="null3"/>
        <w:ind w:firstLine="960"/>
        <w:jc w:val="left"/>
      </w:pPr>
      <w:r>
        <w:rPr>
          <w:rFonts w:ascii="仿宋_GB2312" w:hAnsi="仿宋_GB2312" w:cs="仿宋_GB2312" w:eastAsia="仿宋_GB2312"/>
        </w:rPr>
        <w:t>详见附件：现场演示.docx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详见附件：运维服务方案.docx</w:t>
      </w:r>
    </w:p>
    <w:p>
      <w:pPr>
        <w:pStyle w:val="null3"/>
        <w:ind w:firstLine="960"/>
        <w:jc w:val="left"/>
      </w:pPr>
      <w:r>
        <w:rPr>
          <w:rFonts w:ascii="仿宋_GB2312" w:hAnsi="仿宋_GB2312" w:cs="仿宋_GB2312" w:eastAsia="仿宋_GB2312"/>
        </w:rPr>
        <w:t>详见附件：技术方案.docx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