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445281-2025-05330</w:t>
      </w:r>
    </w:p>
    <w:p>
      <w:pPr>
        <w:pStyle w:val="null3"/>
        <w:jc w:val="center"/>
        <w:outlineLvl w:val="3"/>
      </w:pPr>
      <w:r>
        <w:rPr>
          <w:sz w:val="24"/>
          <w:b/>
        </w:rPr>
        <w:t>采购项目编号：</w:t>
      </w:r>
      <w:r>
        <w:rPr>
          <w:sz w:val="24"/>
          <w:b/>
        </w:rPr>
        <w:t>YC025FGG08006GD（第二次）</w:t>
      </w:r>
    </w:p>
    <w:p>
      <w:pPr>
        <w:pStyle w:val="null3"/>
        <w:jc w:val="center"/>
        <w:outlineLvl w:val="3"/>
      </w:pPr>
      <w:r>
        <w:rPr>
          <w:sz w:val="24"/>
          <w:b/>
        </w:rPr>
        <w:t>项目名称：</w:t>
      </w:r>
      <w:r>
        <w:rPr>
          <w:sz w:val="24"/>
          <w:b/>
        </w:rPr>
        <w:t>普宁市人民医院标本外送委托检验服务项目（第二次）</w:t>
      </w:r>
    </w:p>
    <w:p>
      <w:pPr>
        <w:pStyle w:val="null3"/>
        <w:jc w:val="center"/>
        <w:outlineLvl w:val="3"/>
      </w:pPr>
      <w:r>
        <w:rPr>
          <w:sz w:val="24"/>
          <w:b/>
        </w:rPr>
        <w:t>采购人：</w:t>
      </w:r>
      <w:r>
        <w:rPr>
          <w:sz w:val="24"/>
          <w:b/>
        </w:rPr>
        <w:t>普宁市人民医院</w:t>
      </w:r>
    </w:p>
    <w:p>
      <w:pPr>
        <w:pStyle w:val="null3"/>
        <w:jc w:val="center"/>
        <w:outlineLvl w:val="3"/>
      </w:pPr>
      <w:r>
        <w:rPr>
          <w:sz w:val="24"/>
          <w:b/>
        </w:rPr>
        <w:t>采购代理机构：</w:t>
      </w:r>
      <w:r>
        <w:rPr>
          <w:sz w:val="24"/>
          <w:b/>
        </w:rPr>
        <w:t>广东悦诚招标代理有限公司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广东悦诚招标代理有限公司</w:t>
      </w:r>
      <w:r>
        <w:rPr/>
        <w:t>受</w:t>
      </w:r>
      <w:r>
        <w:rPr/>
        <w:t>普宁市人民医院</w:t>
      </w:r>
      <w:r>
        <w:rPr/>
        <w:t>的委托，采用</w:t>
      </w:r>
      <w:r>
        <w:rPr/>
        <w:t>公开招标</w:t>
      </w:r>
      <w:r>
        <w:rPr/>
        <w:t>方式组织采购</w:t>
      </w:r>
      <w:r>
        <w:rPr/>
        <w:t>普宁市人民医院标本外送委托检验服务项目（第二次）</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普宁市人民医院标本外送委托检验服务项目（第二次）</w:t>
      </w:r>
    </w:p>
    <w:p>
      <w:pPr>
        <w:pStyle w:val="null3"/>
        <w:ind w:firstLine="480"/>
      </w:pPr>
      <w:r>
        <w:rPr/>
        <w:t>采购计划编号：</w:t>
      </w:r>
      <w:r>
        <w:rPr/>
        <w:t>445281-2025-05330</w:t>
      </w:r>
    </w:p>
    <w:p>
      <w:pPr>
        <w:pStyle w:val="null3"/>
        <w:ind w:firstLine="480"/>
      </w:pPr>
      <w:r>
        <w:rPr/>
        <w:t>采购项目编号：</w:t>
      </w:r>
      <w:r>
        <w:rPr/>
        <w:t>YC025FGG08006GD（第二次）</w:t>
      </w:r>
    </w:p>
    <w:p>
      <w:pPr>
        <w:pStyle w:val="null3"/>
        <w:ind w:firstLine="480"/>
      </w:pPr>
      <w:r>
        <w:rPr/>
        <w:t>采购方式：</w:t>
      </w:r>
      <w:r>
        <w:rPr/>
        <w:t>公开招标</w:t>
      </w:r>
    </w:p>
    <w:p>
      <w:pPr>
        <w:pStyle w:val="null3"/>
        <w:ind w:firstLine="480"/>
      </w:pPr>
      <w:r>
        <w:rPr/>
        <w:t>预算金额：</w:t>
      </w:r>
      <w:r>
        <w:rPr/>
        <w:t>6,650,000.00</w:t>
      </w:r>
      <w:r>
        <w:rPr/>
        <w:t>元</w:t>
      </w:r>
    </w:p>
    <w:p>
      <w:pPr>
        <w:pStyle w:val="null3"/>
        <w:outlineLvl w:val="3"/>
      </w:pPr>
      <w:r>
        <w:rPr>
          <w:sz w:val="24"/>
          <w:b/>
        </w:rPr>
        <w:t>2.项目内容及需求情况（采购项目技术规格、参数及要求）</w:t>
      </w:r>
    </w:p>
    <w:p>
      <w:pPr>
        <w:pStyle w:val="null3"/>
      </w:pPr>
      <w:r>
        <w:rPr/>
        <w:t>采购包1(检验科标本外送委托检验服务（子包一）):</w:t>
      </w:r>
    </w:p>
    <w:p>
      <w:pPr>
        <w:pStyle w:val="null3"/>
      </w:pPr>
      <w:r>
        <w:rPr/>
        <w:t>采购包预算金额：2,900,000.00元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技术测试和分析服务</w:t>
            </w:r>
          </w:p>
        </w:tc>
        <w:tc>
          <w:tcPr>
            <w:tcW w:type="dxa" w:w="2136"/>
          </w:tcPr>
          <w:p>
            <w:pPr>
              <w:pStyle w:val="null3"/>
            </w:pPr>
            <w:r>
              <w:rPr/>
              <w:t>检验科标本外送委托检验服务（子包一）</w:t>
            </w:r>
          </w:p>
        </w:tc>
        <w:tc>
          <w:tcPr>
            <w:tcW w:type="dxa" w:w="1187"/>
          </w:tcPr>
          <w:p>
            <w:pPr>
              <w:pStyle w:val="null3"/>
            </w:pPr>
            <w:r>
              <w:rPr/>
              <w:t>2(年)</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合同履行期限：2年</w:t>
      </w:r>
    </w:p>
    <w:p>
      <w:pPr>
        <w:pStyle w:val="null3"/>
      </w:pPr>
      <w:r>
        <w:rPr/>
        <w:t>采购包2(精准医学中心标本外送委托检验服务（子包二）):</w:t>
      </w:r>
    </w:p>
    <w:p>
      <w:pPr>
        <w:pStyle w:val="null3"/>
      </w:pPr>
      <w:r>
        <w:rPr/>
        <w:t>采购包预算金额：1,750,000.00元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2-1</w:t>
            </w:r>
          </w:p>
        </w:tc>
        <w:tc>
          <w:tcPr>
            <w:tcW w:type="dxa" w:w="1424"/>
          </w:tcPr>
          <w:p>
            <w:pPr>
              <w:pStyle w:val="null3"/>
            </w:pPr>
            <w:r>
              <w:rPr/>
              <w:t>技术测试和分析服务</w:t>
            </w:r>
          </w:p>
        </w:tc>
        <w:tc>
          <w:tcPr>
            <w:tcW w:type="dxa" w:w="2136"/>
          </w:tcPr>
          <w:p>
            <w:pPr>
              <w:pStyle w:val="null3"/>
            </w:pPr>
            <w:r>
              <w:rPr/>
              <w:t>精准医学中心标本外送委托检验服务（子包二）</w:t>
            </w:r>
          </w:p>
        </w:tc>
        <w:tc>
          <w:tcPr>
            <w:tcW w:type="dxa" w:w="1187"/>
          </w:tcPr>
          <w:p>
            <w:pPr>
              <w:pStyle w:val="null3"/>
            </w:pPr>
            <w:r>
              <w:rPr/>
              <w:t>2(年)</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合同履行期限：2年</w:t>
      </w:r>
    </w:p>
    <w:p>
      <w:pPr>
        <w:pStyle w:val="null3"/>
      </w:pPr>
      <w:r>
        <w:rPr/>
        <w:t>采购包3(病理科标本外送委托检验服务（子包三）):</w:t>
      </w:r>
    </w:p>
    <w:p>
      <w:pPr>
        <w:pStyle w:val="null3"/>
      </w:pPr>
      <w:r>
        <w:rPr/>
        <w:t>采购包预算金额：2,000,000.00元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3-1</w:t>
            </w:r>
          </w:p>
        </w:tc>
        <w:tc>
          <w:tcPr>
            <w:tcW w:type="dxa" w:w="1424"/>
          </w:tcPr>
          <w:p>
            <w:pPr>
              <w:pStyle w:val="null3"/>
            </w:pPr>
            <w:r>
              <w:rPr/>
              <w:t>技术测试和分析服务</w:t>
            </w:r>
          </w:p>
        </w:tc>
        <w:tc>
          <w:tcPr>
            <w:tcW w:type="dxa" w:w="2136"/>
          </w:tcPr>
          <w:p>
            <w:pPr>
              <w:pStyle w:val="null3"/>
            </w:pPr>
            <w:r>
              <w:rPr/>
              <w:t>病理科标本外送委托检验服务（子包三）</w:t>
            </w:r>
          </w:p>
        </w:tc>
        <w:tc>
          <w:tcPr>
            <w:tcW w:type="dxa" w:w="1187"/>
          </w:tcPr>
          <w:p>
            <w:pPr>
              <w:pStyle w:val="null3"/>
            </w:pPr>
            <w:r>
              <w:rPr/>
              <w:t>2(年)</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合同履行期限：2年</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供应商必须是具有独立承担民事责任能力的在中华人民共和国境内注册的法人、其他组织或者自然人。【提供其取得登记管理机关依法给核准登记或者备案的有效身份凭证副本复印件加盖公章，例如：营业执照、事业单位法人证书、社会团体法人登记证书等。若投标人为法人单位的分支机构时，须同时提供所属法人单位为其出具的《项目投标授权书》及所属法人单位取得登记管理机关依法给核准登记或者备案的有效凭证副本，《项目投标授权书》可参照公告附件格式】</w:t>
      </w:r>
    </w:p>
    <w:p>
      <w:pPr>
        <w:pStyle w:val="null3"/>
      </w:pPr>
      <w:r>
        <w:rPr/>
        <w:t>2）有依法缴纳税收和社会保障资金的良好记录：供应商必须有依法缴纳税收和社会保障资金的良好记录。【投标时须提供《资格承诺函》，可参照公告附件格式】</w:t>
      </w:r>
    </w:p>
    <w:p>
      <w:pPr>
        <w:pStyle w:val="null3"/>
      </w:pPr>
      <w:r>
        <w:rPr/>
        <w:t>3）具有良好的商业信誉和健全的财务会计制度：供应商必须具有良好的商业信誉和健全的财务会计制度。【投标时须提供《资格承诺函》，可参照公告附件格式】</w:t>
      </w:r>
    </w:p>
    <w:p>
      <w:pPr>
        <w:pStyle w:val="null3"/>
      </w:pPr>
      <w:r>
        <w:rPr/>
        <w:t>4）履行合同所必需的设备和专业技术能力：供应商必须具有履行合同所必需的设备和专业技术能力。【投标时须提供《设备和专业技术能力情况表》，可参照公告附件格式】</w:t>
      </w:r>
    </w:p>
    <w:p>
      <w:pPr>
        <w:pStyle w:val="null3"/>
      </w:pPr>
      <w:r>
        <w:rPr/>
        <w:t>5）参加采购活动前3年内，在经营活动中没有重大违法记录：供应商参加采购活动前3年内，在经营活动中没有重大违法记录。【投标时须提供《资格承诺函》，可参照公告附件格式。重大违法记录，是指供应商因违法经营受到刑事处罚或者责令停产停业、吊销许可证或者执照、较大数额罚款等行政处罚。（较大数额罚款按照发出行政处罚决定书部门所在省级政府，或实行垂直领导的国务院有关行政主管部门制定的较大数额罚款标准，或罚款决定之前需要举行听证会的金额标准来认定）】</w:t>
      </w:r>
    </w:p>
    <w:p>
      <w:pPr>
        <w:pStyle w:val="null3"/>
        <w:outlineLvl w:val="3"/>
      </w:pPr>
      <w:r>
        <w:rPr>
          <w:sz w:val="24"/>
          <w:b/>
        </w:rPr>
        <w:t>2.落实政府采购政策需满足的资格要求：</w:t>
      </w:r>
    </w:p>
    <w:p>
      <w:pPr>
        <w:pStyle w:val="null3"/>
        <w:jc w:val="left"/>
      </w:pPr>
      <w:r>
        <w:rPr/>
        <w:t>采购包1（检验科标本外送委托检验服务（子包一））：</w:t>
      </w:r>
      <w:r>
        <w:rPr/>
        <w:t>本项目不属于专门面向中小企业采购的项目</w:t>
      </w:r>
    </w:p>
    <w:p>
      <w:pPr>
        <w:pStyle w:val="null3"/>
        <w:jc w:val="left"/>
      </w:pPr>
      <w:r>
        <w:rPr/>
        <w:t>采购包2（精准医学中心标本外送委托检验服务（子包二））：</w:t>
      </w:r>
      <w:r>
        <w:rPr/>
        <w:t>本项目不属于专门面向中小企业采购的项目</w:t>
      </w:r>
    </w:p>
    <w:p>
      <w:pPr>
        <w:pStyle w:val="null3"/>
        <w:jc w:val="left"/>
      </w:pPr>
      <w:r>
        <w:rPr/>
        <w:t>采购包3（病理科标本外送委托检验服务（子包三））：</w:t>
      </w:r>
      <w:r>
        <w:rPr/>
        <w:t>本项目不属于专门面向中小企业采购的项目</w:t>
      </w:r>
    </w:p>
    <w:p>
      <w:pPr>
        <w:pStyle w:val="null3"/>
        <w:outlineLvl w:val="3"/>
      </w:pPr>
      <w:r>
        <w:rPr>
          <w:sz w:val="24"/>
          <w:b/>
        </w:rPr>
        <w:t>3.本项目特定的资格要求：</w:t>
      </w:r>
    </w:p>
    <w:p>
      <w:pPr>
        <w:pStyle w:val="null3"/>
      </w:pPr>
      <w:r>
        <w:rPr/>
        <w:t>采购包1（检验科标本外送委托检验服务（子包一））：</w:t>
      </w:r>
    </w:p>
    <w:p>
      <w:pPr>
        <w:pStyle w:val="null3"/>
      </w:pPr>
      <w:r>
        <w:rPr/>
        <w:t>1)供应商未被列入“信用中国”网站(www.creditchina.gov.cn)“记录失信被执行人或重大税收违法案件当事人名单”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并对信用信息查询记录进行留存。如相关失信记录已失效，供应商须提供相关证明资料。【投标时须提供《企业信用自查承诺函》，可参照公告附件格式】</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参照投标（报价）函相关承诺格式内容。</w:t>
      </w:r>
    </w:p>
    <w:p>
      <w:pPr>
        <w:pStyle w:val="null3"/>
      </w:pPr>
      <w:r>
        <w:rPr/>
        <w:t>3)供应商须具有卫生部门核发的有效期内的《医疗机构执业许可证》，并至少具有以下医学检验科一级诊疗科目的二级诊疗科目：临床体液、血液专业；临床微生物学专业；临床化学检验专业；临床免疫、血清学专业。</w:t>
      </w:r>
    </w:p>
    <w:p>
      <w:pPr>
        <w:pStyle w:val="null3"/>
      </w:pPr>
      <w:r>
        <w:rPr/>
        <w:t>采购包2（精准医学中心标本外送委托检验服务（子包二））：</w:t>
      </w:r>
    </w:p>
    <w:p>
      <w:pPr>
        <w:pStyle w:val="null3"/>
      </w:pPr>
      <w:r>
        <w:rPr/>
        <w:t>1)供应商未被列入“信用中国”网站(www.creditchina.gov.cn)“记录失信被执行人或重大税收违法案件当事人名单”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并对信用信息查询记录进行留存。如相关失信记录已失效，供应商须提供相关证明资料。【投标时须提供《企业信用自查承诺函》，可参照公告附件格式】</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参照投标（报价）函相关承诺格式内容。</w:t>
      </w:r>
    </w:p>
    <w:p>
      <w:pPr>
        <w:pStyle w:val="null3"/>
      </w:pPr>
      <w:r>
        <w:rPr/>
        <w:t>3)供应商须具有卫生部门核发的有效期内的《医疗机构执业许可证》，并至少具有以下医学检验科一级诊疗科目的二级诊疗科目：临床细胞分子遗传学专业。</w:t>
      </w:r>
    </w:p>
    <w:p>
      <w:pPr>
        <w:pStyle w:val="null3"/>
      </w:pPr>
      <w:r>
        <w:rPr/>
        <w:t>采购包3（病理科标本外送委托检验服务（子包三））：</w:t>
      </w:r>
    </w:p>
    <w:p>
      <w:pPr>
        <w:pStyle w:val="null3"/>
      </w:pPr>
      <w:r>
        <w:rPr/>
        <w:t>1)供应商未被列入“信用中国”网站(www.creditchina.gov.cn)“记录失信被执行人或重大税收违法案件当事人名单”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并对信用信息查询记录进行留存。如相关失信记录已失效，供应商须提供相关证明资料。【投标时须提供《企业信用自查承诺函》，可参照公告附件格式】</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参照投标（报价）函相关承诺格式内容。</w:t>
      </w:r>
    </w:p>
    <w:p>
      <w:pPr>
        <w:pStyle w:val="null3"/>
      </w:pPr>
      <w:r>
        <w:rPr/>
        <w:t>3)供应商须具有卫生部门核发的有效期内的《医疗机构执业许可证》，并至少具有病理科一级诊疗科目和具有以下医学检验科一级诊疗科目的二级诊疗科目：临床体液、血液专业；临床免疫、血清学专业。</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广东悦诚招标代理有限公司（yeucen.com）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普宁市人民医院</w:t>
      </w:r>
    </w:p>
    <w:p>
      <w:pPr>
        <w:pStyle w:val="null3"/>
        <w:ind w:firstLine="480"/>
      </w:pPr>
      <w:r>
        <w:rPr/>
        <w:t xml:space="preserve"> 地址：</w:t>
      </w:r>
      <w:r>
        <w:rPr/>
        <w:t>普宁市流沙大道东30号</w:t>
      </w:r>
    </w:p>
    <w:p>
      <w:pPr>
        <w:pStyle w:val="null3"/>
        <w:ind w:firstLine="480"/>
      </w:pPr>
      <w:r>
        <w:rPr/>
        <w:t xml:space="preserve"> 联系方式：</w:t>
      </w:r>
      <w:r>
        <w:rPr/>
        <w:t>0663-2839980</w:t>
      </w:r>
    </w:p>
    <w:p>
      <w:pPr>
        <w:pStyle w:val="null3"/>
        <w:outlineLvl w:val="3"/>
      </w:pPr>
      <w:r>
        <w:rPr>
          <w:sz w:val="24"/>
          <w:b/>
        </w:rPr>
        <w:t xml:space="preserve"> 2.采购代理机构信息</w:t>
      </w:r>
    </w:p>
    <w:p>
      <w:pPr>
        <w:pStyle w:val="null3"/>
        <w:ind w:firstLine="480"/>
      </w:pPr>
      <w:r>
        <w:rPr/>
        <w:t xml:space="preserve"> 名称：</w:t>
      </w:r>
      <w:r>
        <w:rPr/>
        <w:t>广东悦诚招标代理有限公司</w:t>
      </w:r>
    </w:p>
    <w:p>
      <w:pPr>
        <w:pStyle w:val="null3"/>
        <w:ind w:firstLine="480"/>
      </w:pPr>
      <w:r>
        <w:rPr/>
        <w:t xml:space="preserve"> 地址：</w:t>
      </w:r>
      <w:r>
        <w:rPr/>
        <w:t>普宁市普宁大道商业街南侧林青段西起第13幢</w:t>
      </w:r>
    </w:p>
    <w:p>
      <w:pPr>
        <w:pStyle w:val="null3"/>
        <w:ind w:firstLine="480"/>
      </w:pPr>
      <w:r>
        <w:rPr/>
        <w:t xml:space="preserve"> 联系方式：</w:t>
      </w:r>
      <w:r>
        <w:rPr/>
        <w:t>0663-6186588</w:t>
      </w:r>
    </w:p>
    <w:p>
      <w:pPr>
        <w:pStyle w:val="null3"/>
        <w:outlineLvl w:val="3"/>
      </w:pPr>
      <w:r>
        <w:rPr>
          <w:sz w:val="24"/>
          <w:b/>
        </w:rPr>
        <w:t xml:space="preserve"> 3.项目联系方式</w:t>
      </w:r>
    </w:p>
    <w:p>
      <w:pPr>
        <w:pStyle w:val="null3"/>
        <w:ind w:firstLine="480"/>
      </w:pPr>
      <w:r>
        <w:rPr/>
        <w:t xml:space="preserve"> 项目联系人：</w:t>
      </w:r>
      <w:r>
        <w:rPr/>
        <w:t>张先生</w:t>
      </w:r>
    </w:p>
    <w:p>
      <w:pPr>
        <w:pStyle w:val="null3"/>
        <w:ind w:firstLine="480"/>
      </w:pPr>
      <w:r>
        <w:rPr/>
        <w:t xml:space="preserve"> 电话：</w:t>
      </w:r>
      <w:r>
        <w:rPr/>
        <w:t>0663-6186588</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广东悦诚招标代理有限公司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8"/>
          <w:color w:val="222222"/>
          <w:shd w:fill="FFFFFF" w:val="clear"/>
        </w:rPr>
        <w:t>项目编号：</w:t>
      </w:r>
      <w:r>
        <w:rPr>
          <w:sz w:val="28"/>
          <w:color w:val="222222"/>
          <w:shd w:fill="FFFFFF" w:val="clear"/>
        </w:rPr>
        <w:t>YC025FGG08006GD（第二次）</w:t>
      </w:r>
    </w:p>
    <w:p>
      <w:pPr>
        <w:pStyle w:val="null3"/>
        <w:spacing w:before="90" w:after="90"/>
        <w:ind w:firstLine="560"/>
        <w:jc w:val="both"/>
      </w:pPr>
      <w:r>
        <w:rPr>
          <w:sz w:val="28"/>
          <w:color w:val="222222"/>
          <w:shd w:fill="FFFFFF" w:val="clear"/>
        </w:rPr>
        <w:t>项目名称：普宁市人民医院标本外送委托检验服务项目（第二次）</w:t>
      </w:r>
    </w:p>
    <w:p>
      <w:pPr>
        <w:pStyle w:val="null3"/>
        <w:spacing w:before="90" w:after="90"/>
        <w:ind w:firstLine="560"/>
        <w:jc w:val="both"/>
      </w:pPr>
      <w:r>
        <w:rPr>
          <w:sz w:val="28"/>
          <w:color w:val="222222"/>
          <w:shd w:fill="FFFFFF" w:val="clear"/>
        </w:rPr>
        <w:t>预算金额：</w:t>
      </w:r>
      <w:r>
        <w:rPr>
          <w:sz w:val="28"/>
          <w:color w:val="222222"/>
          <w:shd w:fill="FFFFFF" w:val="clear"/>
        </w:rPr>
        <w:t>6650000.00</w:t>
      </w:r>
    </w:p>
    <w:p>
      <w:pPr>
        <w:pStyle w:val="null3"/>
        <w:spacing w:before="90" w:after="90"/>
        <w:ind w:firstLine="560"/>
        <w:jc w:val="both"/>
      </w:pPr>
      <w:r>
        <w:rPr>
          <w:sz w:val="28"/>
          <w:color w:val="222222"/>
          <w:shd w:fill="FFFFFF" w:val="clear"/>
        </w:rPr>
        <w:t>最高限价（如有）：</w:t>
      </w:r>
      <w:r>
        <w:rPr>
          <w:sz w:val="28"/>
          <w:color w:val="222222"/>
          <w:shd w:fill="FFFFFF" w:val="clear"/>
        </w:rPr>
        <w:t>6650000.00</w:t>
      </w:r>
    </w:p>
    <w:p>
      <w:pPr>
        <w:pStyle w:val="null3"/>
        <w:spacing w:before="90" w:after="90"/>
        <w:ind w:firstLine="560"/>
        <w:jc w:val="both"/>
      </w:pPr>
      <w:r>
        <w:rPr>
          <w:sz w:val="28"/>
          <w:color w:val="222222"/>
          <w:shd w:fill="FFFFFF" w:val="clear"/>
        </w:rPr>
        <w:t>采购需求：（包括但不限于标的的名称、数量、简要技术需求或服务要求等）</w:t>
      </w:r>
    </w:p>
    <w:p>
      <w:pPr>
        <w:pStyle w:val="null3"/>
        <w:spacing w:before="90" w:after="90"/>
        <w:ind w:firstLine="560"/>
        <w:jc w:val="both"/>
      </w:pPr>
      <w:r>
        <w:rPr>
          <w:sz w:val="28"/>
          <w:color w:val="222222"/>
          <w:shd w:fill="FFFFFF" w:val="clear"/>
        </w:rPr>
        <w:t>1、项目概况</w:t>
      </w:r>
    </w:p>
    <w:tbl>
      <w:tblPr>
        <w:tblW w:w="0" w:type="auto"/>
        <w:tblBorders>
          <w:top w:val="none" w:color="000000" w:sz="4"/>
          <w:left w:val="none" w:color="000000" w:sz="4"/>
          <w:bottom w:val="none" w:color="000000" w:sz="4"/>
          <w:right w:val="none" w:color="000000" w:sz="4"/>
          <w:insideH w:val="none"/>
          <w:insideV w:val="none"/>
        </w:tblBorders>
      </w:tblPr>
      <w:tblGrid>
        <w:gridCol w:w="833"/>
        <w:gridCol w:w="1623"/>
        <w:gridCol w:w="804"/>
        <w:gridCol w:w="1710"/>
        <w:gridCol w:w="1710"/>
        <w:gridCol w:w="1579"/>
      </w:tblGrid>
      <w:tr>
        <w:tc>
          <w:tcPr>
            <w:tcW w:type="dxa" w:w="833"/>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90" w:after="90"/>
              <w:jc w:val="center"/>
            </w:pPr>
            <w:r>
              <w:rPr>
                <w:sz w:val="28"/>
                <w:color w:val="222222"/>
              </w:rPr>
              <w:t>子包号</w:t>
            </w:r>
          </w:p>
        </w:tc>
        <w:tc>
          <w:tcPr>
            <w:tcW w:type="dxa" w:w="1623"/>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90" w:after="90"/>
              <w:jc w:val="center"/>
            </w:pPr>
            <w:r>
              <w:rPr>
                <w:sz w:val="28"/>
                <w:color w:val="222222"/>
              </w:rPr>
              <w:t>子包名称</w:t>
            </w:r>
          </w:p>
        </w:tc>
        <w:tc>
          <w:tcPr>
            <w:tcW w:type="dxa" w:w="804"/>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90" w:after="90"/>
              <w:jc w:val="center"/>
            </w:pPr>
            <w:r>
              <w:rPr>
                <w:sz w:val="28"/>
                <w:color w:val="222222"/>
              </w:rPr>
              <w:t>数量</w:t>
            </w:r>
          </w:p>
        </w:tc>
        <w:tc>
          <w:tcPr>
            <w:tcW w:type="dxa" w:w="1710"/>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90" w:after="90"/>
              <w:jc w:val="center"/>
            </w:pPr>
            <w:r>
              <w:rPr>
                <w:sz w:val="28"/>
                <w:color w:val="222222"/>
              </w:rPr>
              <w:t>分项预算单价（元）</w:t>
            </w:r>
          </w:p>
        </w:tc>
        <w:tc>
          <w:tcPr>
            <w:tcW w:type="dxa" w:w="1710"/>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90" w:after="90"/>
              <w:jc w:val="center"/>
            </w:pPr>
            <w:r>
              <w:rPr>
                <w:sz w:val="28"/>
                <w:color w:val="222222"/>
              </w:rPr>
              <w:t>分项预算总价（元）</w:t>
            </w:r>
          </w:p>
        </w:tc>
        <w:tc>
          <w:tcPr>
            <w:tcW w:type="dxa" w:w="1579"/>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90" w:after="90"/>
              <w:jc w:val="center"/>
            </w:pPr>
            <w:r>
              <w:rPr>
                <w:sz w:val="28"/>
                <w:color w:val="222222"/>
              </w:rPr>
              <w:t>合同履行期限</w:t>
            </w:r>
          </w:p>
        </w:tc>
      </w:tr>
      <w:tr>
        <w:tc>
          <w:tcPr>
            <w:tcW w:type="dxa" w:w="8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90" w:after="90"/>
              <w:jc w:val="center"/>
            </w:pPr>
            <w:r>
              <w:rPr>
                <w:sz w:val="28"/>
                <w:color w:val="222222"/>
              </w:rPr>
              <w:t>一</w:t>
            </w:r>
          </w:p>
        </w:tc>
        <w:tc>
          <w:tcPr>
            <w:tcW w:type="dxa" w:w="162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90" w:after="90"/>
              <w:jc w:val="center"/>
            </w:pPr>
            <w:r>
              <w:rPr>
                <w:sz w:val="28"/>
                <w:color w:val="222222"/>
              </w:rPr>
              <w:t>检验科标本外送委托检验服务（子包一）</w:t>
            </w:r>
          </w:p>
        </w:tc>
        <w:tc>
          <w:tcPr>
            <w:tcW w:type="dxa" w:w="8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90" w:after="90"/>
              <w:jc w:val="center"/>
            </w:pPr>
            <w:r>
              <w:rPr>
                <w:sz w:val="28"/>
                <w:color w:val="222222"/>
              </w:rPr>
              <w:t>2年</w:t>
            </w:r>
          </w:p>
        </w:tc>
        <w:tc>
          <w:tcPr>
            <w:tcW w:type="dxa" w:w="171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90" w:after="90"/>
              <w:jc w:val="center"/>
            </w:pPr>
            <w:r>
              <w:rPr>
                <w:sz w:val="28"/>
                <w:color w:val="222222"/>
              </w:rPr>
              <w:t>1450000.00</w:t>
            </w:r>
          </w:p>
        </w:tc>
        <w:tc>
          <w:tcPr>
            <w:tcW w:type="dxa" w:w="171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90" w:after="90"/>
              <w:jc w:val="center"/>
            </w:pPr>
            <w:r>
              <w:rPr>
                <w:sz w:val="28"/>
                <w:color w:val="222222"/>
              </w:rPr>
              <w:t>2900000.00</w:t>
            </w:r>
          </w:p>
        </w:tc>
        <w:tc>
          <w:tcPr>
            <w:tcW w:type="dxa" w:w="157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90" w:after="90"/>
              <w:jc w:val="center"/>
            </w:pPr>
            <w:r>
              <w:rPr>
                <w:sz w:val="28"/>
                <w:color w:val="222222"/>
              </w:rPr>
              <w:t>2年</w:t>
            </w:r>
          </w:p>
        </w:tc>
      </w:tr>
      <w:tr>
        <w:tc>
          <w:tcPr>
            <w:tcW w:type="dxa" w:w="8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90" w:after="90"/>
              <w:jc w:val="center"/>
            </w:pPr>
            <w:r>
              <w:rPr>
                <w:sz w:val="28"/>
                <w:color w:val="222222"/>
              </w:rPr>
              <w:t>二</w:t>
            </w:r>
          </w:p>
        </w:tc>
        <w:tc>
          <w:tcPr>
            <w:tcW w:type="dxa" w:w="162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90" w:after="90"/>
              <w:jc w:val="center"/>
            </w:pPr>
            <w:r>
              <w:rPr>
                <w:sz w:val="28"/>
                <w:color w:val="222222"/>
              </w:rPr>
              <w:t>精准医学中心标本外送委托检验服务（子包二）</w:t>
            </w:r>
          </w:p>
        </w:tc>
        <w:tc>
          <w:tcPr>
            <w:tcW w:type="dxa" w:w="8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90" w:after="90"/>
              <w:jc w:val="center"/>
            </w:pPr>
            <w:r>
              <w:rPr>
                <w:sz w:val="28"/>
                <w:color w:val="222222"/>
              </w:rPr>
              <w:t>2年</w:t>
            </w:r>
          </w:p>
        </w:tc>
        <w:tc>
          <w:tcPr>
            <w:tcW w:type="dxa" w:w="171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90" w:after="90"/>
              <w:jc w:val="center"/>
            </w:pPr>
            <w:r>
              <w:rPr>
                <w:sz w:val="28"/>
                <w:color w:val="222222"/>
              </w:rPr>
              <w:t>875000</w:t>
            </w:r>
          </w:p>
        </w:tc>
        <w:tc>
          <w:tcPr>
            <w:tcW w:type="dxa" w:w="171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90" w:after="90"/>
              <w:jc w:val="center"/>
            </w:pPr>
            <w:r>
              <w:rPr>
                <w:sz w:val="28"/>
                <w:color w:val="222222"/>
              </w:rPr>
              <w:t>1750000.00</w:t>
            </w:r>
          </w:p>
        </w:tc>
        <w:tc>
          <w:tcPr>
            <w:tcW w:type="dxa" w:w="157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90" w:after="90"/>
              <w:jc w:val="center"/>
            </w:pPr>
            <w:r>
              <w:rPr>
                <w:sz w:val="28"/>
                <w:color w:val="222222"/>
              </w:rPr>
              <w:t>2年</w:t>
            </w:r>
          </w:p>
        </w:tc>
      </w:tr>
      <w:tr>
        <w:tc>
          <w:tcPr>
            <w:tcW w:type="dxa" w:w="8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90" w:after="90"/>
              <w:jc w:val="center"/>
            </w:pPr>
            <w:r>
              <w:rPr>
                <w:sz w:val="28"/>
                <w:color w:val="222222"/>
              </w:rPr>
              <w:t>三</w:t>
            </w:r>
          </w:p>
        </w:tc>
        <w:tc>
          <w:tcPr>
            <w:tcW w:type="dxa" w:w="162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90" w:after="90"/>
              <w:jc w:val="center"/>
            </w:pPr>
            <w:r>
              <w:rPr>
                <w:sz w:val="28"/>
                <w:color w:val="222222"/>
              </w:rPr>
              <w:t>病理科标本外送委托检验服务（子包三）</w:t>
            </w:r>
          </w:p>
        </w:tc>
        <w:tc>
          <w:tcPr>
            <w:tcW w:type="dxa" w:w="8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90" w:after="90"/>
              <w:jc w:val="center"/>
            </w:pPr>
            <w:r>
              <w:rPr>
                <w:sz w:val="28"/>
                <w:color w:val="222222"/>
              </w:rPr>
              <w:t>2年</w:t>
            </w:r>
          </w:p>
        </w:tc>
        <w:tc>
          <w:tcPr>
            <w:tcW w:type="dxa" w:w="171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90" w:after="90"/>
              <w:jc w:val="center"/>
            </w:pPr>
            <w:r>
              <w:rPr>
                <w:sz w:val="28"/>
                <w:color w:val="222222"/>
              </w:rPr>
              <w:t>1000000.00</w:t>
            </w:r>
          </w:p>
        </w:tc>
        <w:tc>
          <w:tcPr>
            <w:tcW w:type="dxa" w:w="171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90" w:after="90"/>
              <w:jc w:val="center"/>
            </w:pPr>
            <w:r>
              <w:rPr>
                <w:sz w:val="28"/>
                <w:color w:val="222222"/>
              </w:rPr>
              <w:t>2000000.00</w:t>
            </w:r>
          </w:p>
        </w:tc>
        <w:tc>
          <w:tcPr>
            <w:tcW w:type="dxa" w:w="157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90" w:after="90"/>
              <w:jc w:val="center"/>
            </w:pPr>
            <w:r>
              <w:rPr>
                <w:sz w:val="28"/>
                <w:color w:val="222222"/>
              </w:rPr>
              <w:t>2年</w:t>
            </w:r>
          </w:p>
        </w:tc>
      </w:tr>
    </w:tbl>
    <w:p>
      <w:pPr>
        <w:pStyle w:val="null3"/>
        <w:spacing w:before="90" w:after="90"/>
        <w:ind w:firstLine="560"/>
        <w:jc w:val="both"/>
      </w:pPr>
      <w:r>
        <w:rPr>
          <w:sz w:val="28"/>
          <w:color w:val="222222"/>
          <w:shd w:fill="FFFFFF" w:val="clear"/>
        </w:rPr>
        <w:t>(项目无分包情况下，投标人必须对项目进行整体投标，不允许仅对其中部分内容进行投标；项目有分包情况下，投标人可以对一个子包投标，也可以对多个子包投标。但子包是投标的最小单位，投标人应对同一子包的全部标的投标。)</w:t>
      </w:r>
    </w:p>
    <w:p>
      <w:pPr>
        <w:pStyle w:val="null3"/>
        <w:spacing w:before="90" w:after="90"/>
        <w:ind w:firstLine="560"/>
        <w:jc w:val="both"/>
      </w:pPr>
      <w:r>
        <w:rPr>
          <w:sz w:val="28"/>
          <w:color w:val="222222"/>
          <w:shd w:fill="FFFFFF" w:val="clear"/>
        </w:rPr>
        <w:t>2、其他：详细内容见采购人需求</w:t>
      </w:r>
    </w:p>
    <w:p>
      <w:pPr>
        <w:pStyle w:val="null3"/>
        <w:spacing w:before="90" w:after="90"/>
        <w:ind w:firstLine="560"/>
        <w:jc w:val="both"/>
      </w:pPr>
      <w:r>
        <w:rPr>
          <w:sz w:val="28"/>
          <w:color w:val="222222"/>
          <w:shd w:fill="FFFFFF" w:val="clear"/>
        </w:rPr>
        <w:t>3、本项目不接受联合体。</w:t>
      </w:r>
    </w:p>
    <w:p>
      <w:pPr>
        <w:pStyle w:val="null3"/>
      </w:pPr>
      <w:r>
        <w:rPr/>
        <w:t>采购包1（检验科标本外送委托检验服务（子包一））</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2年</w:t>
            </w:r>
          </w:p>
        </w:tc>
      </w:tr>
      <w:tr>
        <w:tc>
          <w:tcPr>
            <w:tcW w:type="dxa" w:w="4153"/>
          </w:tcPr>
          <w:p>
            <w:pPr>
              <w:pStyle w:val="null3"/>
            </w:pPr>
            <w:r>
              <w:rPr/>
              <w:t>标的提供的地点</w:t>
            </w:r>
          </w:p>
        </w:tc>
        <w:tc>
          <w:tcPr>
            <w:tcW w:type="dxa" w:w="4153"/>
          </w:tcPr>
          <w:p>
            <w:pPr>
              <w:pStyle w:val="null3"/>
            </w:pPr>
            <w:r>
              <w:rPr/>
              <w:t>普宁市人民医院</w:t>
            </w:r>
          </w:p>
        </w:tc>
      </w:tr>
      <w:tr>
        <w:tc>
          <w:tcPr>
            <w:tcW w:type="dxa" w:w="4153"/>
          </w:tcPr>
          <w:p>
            <w:pPr>
              <w:pStyle w:val="null3"/>
            </w:pPr>
            <w:r>
              <w:rPr/>
              <w:t>付款方式</w:t>
            </w:r>
          </w:p>
        </w:tc>
        <w:tc>
          <w:tcPr>
            <w:tcW w:type="dxa" w:w="4153"/>
          </w:tcPr>
          <w:p>
            <w:pPr>
              <w:pStyle w:val="null3"/>
            </w:pPr>
            <w:r>
              <w:rPr/>
              <w:t>1期：支付比例100%,服务费每月按实结算，经采购人对当月检验项目和数量核实无误后，当月服务费发票于次月5个工作日前送到采购人处复核，复核无误后10个工作日内支付</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1期：交付验收标准依次序对照适用标准为：⑴按广东省有关规定的规范要求进行验收；⑵符合中华人民共和国国家安全质量标准、环保标准或行业标准；⑶符合采购文件和响应承诺配置、参数及各项要求</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支付说明，支付方式：采用支票、银行汇付（含电汇）等形式</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投标人在报价时须在分项报价表列明下浮率，项目总报价计算方式为：年测算营业额×（1－下浮率）×服务期限（2年），本项目（子包一）年测算营业额约为2900000.00元。报价应当包括服务、人工、检验、运输、税费、管理、售后服务及合同实施过程中应预见和不可预见费用。</w:t>
            </w:r>
          </w:p>
        </w:tc>
      </w:tr>
      <w:tr>
        <w:tc>
          <w:tcPr>
            <w:tcW w:type="dxa" w:w="2076"/>
          </w:tcPr>
          <w:p>
            <w:pPr>
              <w:pStyle w:val="null3"/>
              <w:jc w:val="center"/>
            </w:pPr>
            <w:r>
              <w:rPr/>
              <w:t>★</w:t>
            </w:r>
          </w:p>
        </w:tc>
        <w:tc>
          <w:tcPr>
            <w:tcW w:type="dxa" w:w="2076"/>
          </w:tcPr>
          <w:p>
            <w:pPr>
              <w:pStyle w:val="null3"/>
              <w:jc w:val="center"/>
            </w:pPr>
            <w:r>
              <w:rPr/>
              <w:t>2</w:t>
            </w:r>
          </w:p>
        </w:tc>
        <w:tc>
          <w:tcPr>
            <w:tcW w:type="dxa" w:w="2076"/>
          </w:tcPr>
          <w:p>
            <w:pPr>
              <w:pStyle w:val="null3"/>
              <w:jc w:val="left"/>
            </w:pPr>
            <w:r>
              <w:rPr/>
              <w:t>营业收费标准</w:t>
            </w:r>
          </w:p>
        </w:tc>
        <w:tc>
          <w:tcPr>
            <w:tcW w:type="dxa" w:w="2076"/>
          </w:tcPr>
          <w:p>
            <w:pPr>
              <w:pStyle w:val="null3"/>
              <w:jc w:val="left"/>
            </w:pPr>
            <w:r>
              <w:rPr/>
              <w:t>执行公立医疗机构基本医疗服务价格项目目录收费标准三级。外送检验项目在《揭阳市公立医疗机构基本医疗服务价格项目目录(2021年版)》(以下简称《揭阳目录2021年版》)范围内有的，暂按《揭阳目录2021年版》收费标准执行，若在《揭阳目录2021年版》之后揭阳市有发布新的目录收费标准的，则按新的目录收费标准执行。若在新的目录收费标准范围内也没有的，则由采购人进行市场价格调查或询价后，经双方确认并报当地物价部门备案，最终以当地物价部门备案后的价格标准执行。</w:t>
            </w:r>
          </w:p>
        </w:tc>
      </w:tr>
      <w:tr>
        <w:tc>
          <w:tcPr>
            <w:tcW w:type="dxa" w:w="2076"/>
          </w:tcPr>
          <w:p>
            <w:pPr>
              <w:pStyle w:val="null3"/>
              <w:jc w:val="center"/>
            </w:pPr>
            <w:r>
              <w:rPr/>
              <w:t>★</w:t>
            </w:r>
          </w:p>
        </w:tc>
        <w:tc>
          <w:tcPr>
            <w:tcW w:type="dxa" w:w="2076"/>
          </w:tcPr>
          <w:p>
            <w:pPr>
              <w:pStyle w:val="null3"/>
              <w:jc w:val="center"/>
            </w:pPr>
            <w:r>
              <w:rPr/>
              <w:t>3</w:t>
            </w:r>
          </w:p>
        </w:tc>
        <w:tc>
          <w:tcPr>
            <w:tcW w:type="dxa" w:w="2076"/>
          </w:tcPr>
          <w:p>
            <w:pPr>
              <w:pStyle w:val="null3"/>
              <w:jc w:val="left"/>
            </w:pPr>
            <w:r>
              <w:rPr/>
              <w:t>结算要求</w:t>
            </w:r>
          </w:p>
        </w:tc>
        <w:tc>
          <w:tcPr>
            <w:tcW w:type="dxa" w:w="2076"/>
          </w:tcPr>
          <w:p>
            <w:pPr>
              <w:pStyle w:val="null3"/>
              <w:jc w:val="left"/>
            </w:pPr>
            <w:r>
              <w:rPr/>
              <w:t>按实结算，采购人按外送各检验项目相应的营业收费标准单价×（1-下浮率）计出结算单价，再依外送各检验项目每月实际的数量进行结算。</w:t>
            </w:r>
          </w:p>
        </w:tc>
      </w:tr>
      <w:tr>
        <w:tc>
          <w:tcPr>
            <w:tcW w:type="dxa" w:w="2076"/>
          </w:tcPr>
          <w:p>
            <w:pPr>
              <w:pStyle w:val="null3"/>
              <w:jc w:val="center"/>
            </w:pPr>
            <w:r>
              <w:rPr/>
              <w:t>★</w:t>
            </w:r>
          </w:p>
        </w:tc>
        <w:tc>
          <w:tcPr>
            <w:tcW w:type="dxa" w:w="2076"/>
          </w:tcPr>
          <w:p>
            <w:pPr>
              <w:pStyle w:val="null3"/>
              <w:jc w:val="center"/>
            </w:pPr>
            <w:r>
              <w:rPr/>
              <w:t>4</w:t>
            </w:r>
          </w:p>
        </w:tc>
        <w:tc>
          <w:tcPr>
            <w:tcW w:type="dxa" w:w="2076"/>
          </w:tcPr>
          <w:p>
            <w:pPr>
              <w:pStyle w:val="null3"/>
              <w:jc w:val="left"/>
            </w:pPr>
            <w:r>
              <w:rPr/>
              <w:t>其他服务要求</w:t>
            </w:r>
          </w:p>
        </w:tc>
        <w:tc>
          <w:tcPr>
            <w:tcW w:type="dxa" w:w="2076"/>
          </w:tcPr>
          <w:p>
            <w:pPr>
              <w:pStyle w:val="null3"/>
              <w:jc w:val="left"/>
            </w:pPr>
            <w:r>
              <w:rPr/>
              <w:t>服务方须承诺在合同履行期间具备当年度由卫健委认定的室间质量评价机构组织的临床检验室间质量评价证书，且参加项目须覆盖委托检验项目，确保委托项目检验结果的真实性。对于尚未开展室间质量评价的临床检验项目，应当开展室内质量控制并具备室内质量控制年度总结表。</w:t>
            </w:r>
          </w:p>
        </w:tc>
      </w:tr>
      <w:tr>
        <w:tc>
          <w:tcPr>
            <w:tcW w:type="dxa" w:w="2076"/>
          </w:tcPr>
          <w:p>
            <w:pPr>
              <w:pStyle w:val="null3"/>
              <w:jc w:val="center"/>
            </w:pPr>
            <w:r>
              <w:rPr/>
              <w:t>★</w:t>
            </w:r>
          </w:p>
        </w:tc>
        <w:tc>
          <w:tcPr>
            <w:tcW w:type="dxa" w:w="2076"/>
          </w:tcPr>
          <w:p>
            <w:pPr>
              <w:pStyle w:val="null3"/>
              <w:jc w:val="center"/>
            </w:pPr>
            <w:r>
              <w:rPr/>
              <w:t>5</w:t>
            </w:r>
          </w:p>
        </w:tc>
        <w:tc>
          <w:tcPr>
            <w:tcW w:type="dxa" w:w="2076"/>
          </w:tcPr>
          <w:p>
            <w:pPr>
              <w:pStyle w:val="null3"/>
              <w:jc w:val="left"/>
            </w:pPr>
            <w:r>
              <w:rPr/>
              <w:t>政府强制采购产品</w:t>
            </w:r>
          </w:p>
        </w:tc>
        <w:tc>
          <w:tcPr>
            <w:tcW w:type="dxa" w:w="2076"/>
          </w:tcPr>
          <w:p>
            <w:pPr>
              <w:pStyle w:val="null3"/>
              <w:jc w:val="left"/>
            </w:pPr>
            <w:r>
              <w:rPr/>
              <w:t>投标供应商报价的产品如涉及《财政部发展改革委&lt;关于印发节能产品政府采购品目清单的通知&gt;（财库〔2019〕19号）》文件中政府强制采购产品，如：台式计算机、便携式计算机、平板式微型计算机、激光打印机、针式打印机、液晶显示器、冷水机组、水源热泵机组、溴化锂吸收式冷水机组、多联式空调（热泵）机组（制冷量&gt;14000W）、单元式空气调节机（制冷量&gt;14000W）、机房空调、管型荧光灯镇流器、房间空气调节器、多联式空调（热泵）机组（制冷量≤14000W）、单元式空气调节机（制冷量≤14000W）、电热水器、普通照明用双端荧光灯、普通电视设备（电视机）、监视器、坐便器、蹲便器、小便器、水嘴等必须获得国家确定的认证机构出具的、处于有效期之内的节能产品认证证书。须提供产品在中国政府采购网（www.ccgp.gov.cn）或全国认证认可信息公共服务平台（cx.cnca.cn）节能产品认证信息查询界面截图或者提供产品获得国家确定的认证机构出具的、处于有效期之内的节能产品认证证书复印件（加盖投标供应商公章）。（若本项目无涉及上述节能产品政府强制采购产品的，投标供应商也可以在《商务条件响应表》对本条款进行响应，并注明本次采购内容无涉及相关节能产品政府强制采购产品。）</w:t>
            </w:r>
          </w:p>
        </w:tc>
      </w:tr>
      <w:tr>
        <w:tc>
          <w:tcPr>
            <w:tcW w:type="dxa" w:w="2076"/>
          </w:tcPr>
          <w:p/>
        </w:tc>
        <w:tc>
          <w:tcPr>
            <w:tcW w:type="dxa" w:w="2076"/>
          </w:tcPr>
          <w:p>
            <w:pPr>
              <w:pStyle w:val="null3"/>
              <w:jc w:val="center"/>
            </w:pPr>
            <w:r>
              <w:rPr/>
              <w:t>6</w:t>
            </w:r>
          </w:p>
        </w:tc>
        <w:tc>
          <w:tcPr>
            <w:tcW w:type="dxa" w:w="2076"/>
          </w:tcPr>
          <w:p>
            <w:pPr>
              <w:pStyle w:val="null3"/>
              <w:jc w:val="left"/>
            </w:pPr>
            <w:r>
              <w:rPr/>
              <w:t>其他要求</w:t>
            </w:r>
          </w:p>
        </w:tc>
        <w:tc>
          <w:tcPr>
            <w:tcW w:type="dxa" w:w="2076"/>
          </w:tcPr>
          <w:p>
            <w:pPr>
              <w:pStyle w:val="null3"/>
              <w:jc w:val="left"/>
            </w:pPr>
            <w:r>
              <w:rPr/>
              <w:t>（1）若本项目采购需求中部分涉及行业监督管理的，必须按行业监督管理要求实施。（2）投标人需按照采购需求特点和实现项目目标要求为本项目编制服务实施方案，方案内容包含：整体服务计划和流程、服务人员的安排和管理、技术支持情况、项目管理和进度控制方案、设备设施的使用和管理、标本收取和运输保管方案。（3）投标人需按照采购需求特点和实现项目目标要求为本项目编制质量保障措施方案，方案内容包含：质量保障计划、质量控制流程、质量管理措施、应急保障措施、环境保护措施、安全保障措施。</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技术测试和分析服务</w:t>
            </w:r>
          </w:p>
        </w:tc>
        <w:tc>
          <w:tcPr>
            <w:tcW w:type="dxa" w:w="933"/>
          </w:tcPr>
          <w:p>
            <w:pPr>
              <w:pStyle w:val="null3"/>
              <w:jc w:val="left"/>
            </w:pPr>
            <w:r>
              <w:rPr/>
              <w:t>检验科标本外送委托检验服务（子包一）</w:t>
            </w:r>
          </w:p>
        </w:tc>
        <w:tc>
          <w:tcPr>
            <w:tcW w:type="dxa" w:w="933"/>
          </w:tcPr>
          <w:p>
            <w:pPr>
              <w:pStyle w:val="null3"/>
              <w:jc w:val="left"/>
            </w:pPr>
            <w:r>
              <w:rPr/>
              <w:t>年</w:t>
            </w:r>
          </w:p>
        </w:tc>
        <w:tc>
          <w:tcPr>
            <w:tcW w:type="dxa" w:w="933"/>
          </w:tcPr>
          <w:p>
            <w:pPr>
              <w:pStyle w:val="null3"/>
              <w:jc w:val="right"/>
            </w:pPr>
            <w:r>
              <w:rPr/>
              <w:t>2.00</w:t>
            </w:r>
          </w:p>
        </w:tc>
        <w:tc>
          <w:tcPr>
            <w:tcW w:type="dxa" w:w="933"/>
          </w:tcPr>
          <w:p>
            <w:pPr>
              <w:pStyle w:val="null3"/>
              <w:jc w:val="right"/>
            </w:pPr>
            <w:r>
              <w:rPr/>
              <w:t>1,450,000.00</w:t>
            </w:r>
          </w:p>
        </w:tc>
        <w:tc>
          <w:tcPr>
            <w:tcW w:type="dxa" w:w="933"/>
          </w:tcPr>
          <w:p>
            <w:pPr>
              <w:pStyle w:val="null3"/>
              <w:jc w:val="right"/>
            </w:pPr>
            <w:r>
              <w:rPr/>
              <w:t>2,900,000.00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检验科标本外送委托检验服务（子包一）</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pPr>
            <w:r>
              <w:rPr/>
              <w:t>（一）检验科标本外送委托检验服务内容</w:t>
            </w:r>
          </w:p>
          <w:p>
            <w:pPr>
              <w:pStyle w:val="null3"/>
            </w:pPr>
            <w:r>
              <w:rPr/>
              <w:t>为采购人院内临床需要但暂未开展的检验科项目进行外送检验服务，具体外送检验服务项目范围详见附件1《检验科项目外送检验明细表》，若需送检《检验科项目外送检验明细表》范围外的检验项目必须经采购人相关部门同意后方可送检。</w:t>
            </w:r>
          </w:p>
          <w:p>
            <w:pPr>
              <w:pStyle w:val="null3"/>
              <w:jc w:val="both"/>
            </w:pPr>
            <w:r>
              <w:rPr>
                <w:b/>
              </w:rPr>
              <w:t>附件1：</w:t>
            </w:r>
          </w:p>
          <w:p>
            <w:pPr>
              <w:pStyle w:val="null3"/>
            </w:pPr>
            <w:r>
              <w:rPr>
                <w:b/>
              </w:rPr>
              <w:t>《检验科项目外送检验明细表》</w:t>
            </w:r>
          </w:p>
          <w:tbl>
            <w:tblPr>
              <w:tblBorders>
                <w:top w:val="none" w:color="000000" w:sz="4"/>
                <w:left w:val="none" w:color="000000" w:sz="4"/>
                <w:bottom w:val="none" w:color="000000" w:sz="4"/>
                <w:right w:val="none" w:color="000000" w:sz="4"/>
                <w:insideH w:val="none"/>
                <w:insideV w:val="none"/>
              </w:tblBorders>
            </w:tblPr>
            <w:tblGrid>
              <w:gridCol w:w="5598"/>
            </w:tblGrid>
            <w:tr>
              <w:tc>
                <w:tcPr>
                  <w:tcW w:type="dxa" w:w="55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项目名称</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抗D抗体滴度</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IgG抗A效价</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IgG抗B效价</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醛固酮</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糖类抗原CA24-2(化学发光法)</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抗核小体抗体</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抗组蛋白抗体</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抗C1q抗体</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癌肿抗原CA50</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糖类抗原CA72-4(化学发光法)</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脑脊液寡克隆电泳分析</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铜蓝蛋白</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17a羟基孕酮</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唐氏早期筛查</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唐氏中期筛查</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血清铜</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阵发性睡眠性血红蛋白尿症</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鳞状细胞癌相关抗原(SCC)</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食物不耐受IgG 20项</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血清免疫固定电泳</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糖蛋白抗原50(CA50)</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总Ⅰ型胶原氨基端延长肽(PINP)</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性激素结合球蛋白(SHBG)</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中枢神经系统脱髓鞘疾病检测</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β胶联降解产物(β-CTX)</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凝血因子VIII抑制物定量测定</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C-肽释放实验</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尿蛋白电泳</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抗C1q-IgG抗体定量</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血红蛋白成份分析</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血清骨钙素测定(BGP)</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血清腺苷脱氨酶测定</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硫酸脱氢表雄酮(DHEAS)</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抗凝血酶Ⅲ(AT-Ⅲ)</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抗肾小球基底膜抗体(GBM)</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单纯疱疹病毒Ⅱ型抗体IgG定量(HSVⅡIgG)</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乙肝两对半定量</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副瘤综合症检测</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外周血涂片检测（含NAP染色）</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胃炎抗体两项</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寄生虫五项</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骨源性碱性磷酸酶(儿童)(NBAP)</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自身免疫性脑炎检测</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胰岛素释放实验</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胰岛素样生长因子Ⅰ(IGF-Ⅰ)</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抗胰岛素抗体</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葡萄糖-6-磷酸脱氢酶活性检测(G6PD)</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营养监测四项</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红斑狼疮十二项</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糖蛋白抗原72-4测定(CA72-4)</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恶性肿瘤特异性生长因子(TSGF)</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弓形虫抗体IgG定量(TOX-IgG)</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抗精子抗体定量检测(ASAB)</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封闭抗体测定</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凝血因子VIII活性测定</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免疫球蛋白λ轻链(LL)</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免疫球蛋白G4</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不规则抗体筛选（特殊介质交叉抗体）(UAS)</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EB病毒抗体四项检测</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ANCA二项</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天疱疮1</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EB病毒衣壳抗原IgM抗体测定(VCA-IgM)</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抗肌炎抗体谱24项</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百日咳杆菌IGM抗体（定性）</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糖尿病自身抗体三项定量检测</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类风湿三项</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血浆促肾上腺皮质激素测定(ACTH)</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血清蛋白电泳</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转铁蛋白(TRF)</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易栓症检查B</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促红细胞生成素测定(EPO)</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血清铜(Cu)</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血友病筛查四项</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环孢霉素</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曲霉菌抗原（半乳甘露聚糖）检测</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抗链球菌DNA酶B</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凝血因子IX活性测定</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军团菌抗体IgM测定(LEG-IgM)</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24小时尿游离皮质醇(24h UFC)</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微量元素6项</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高血压五项组合</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铁四项</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香草苦杏仁酸(VMA)</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血清α-L-岩藻糖苷酶测定(AFU)</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艰难梭菌抗原GDH及毒素A和B</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血清反T3</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血浆蛋白C活性测定</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血浆蛋白S活性测定</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细胞角蛋白19片段测定(Cyfra 21-1)</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粪便钙卫蛋白</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抑制素B(INB)</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巨细胞病毒抗体IgG定量(CMVIgG)</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抗肌炎抗体谱12项</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糖尿病自身抗体四项定量检测</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风湿组合</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食物不耐受IgG42项</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降钙素测定(CT)</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血清铁蛋白测定(SF)</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胸(腹)水腺苷脱氨酶(ADA)</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糖蛋白抗原242(CA242)</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神经元特异性烯醇化酶测定(NSE)</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易栓症检查A</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免疫球蛋白K轻链(KL)</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周围神经病（抗神经节苷脂抗体谱）</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β2糖蛋白1抗体（总抗）</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骨髓染色体核型分析</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食物不耐受IgG 14项</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风疹病毒抗体IgG定量(RVIgG)</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骨髓细胞形态学检测（含NAP、Fe染色）</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骨源性碱性磷酸酶(成人)(ABAP)</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血管炎五项</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脱氢表雄酮</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血小板相关抗体检测</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狼疮样抗凝物质筛查</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EBV显色原位杂交(EBER)</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ABO-Rh新生儿溶血病检测</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副瘤综合征自身抗体谱11项</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促甲状腺激素受体刺激性抗体(TSI)</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性激素结合球蛋白</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游离雌三醇</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人胎盘催乳素</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促肾上腺皮质激素</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空腹生长激素</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生长激素(30分)</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生长激素(60分)</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生长激素(90分)</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生长激素(120分)</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生长激素(150分)</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生长激素激发试验五项(0,30,60,90,120)分</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生长激素激发试验六项(0,30,60,90,120,150)分</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骨质疏松四项</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胰岛素释放试验(0,30,60,120,180)分（测5次）</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遗传代谢病检测(小于28天)</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遗传代谢病检测(大于28天)</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高血压五项</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高血压八项</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血管紧张素Ⅱ</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新生儿复查三项(PKU、TSH、G6PD)</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抗凝系统优生优育组合(AT-III，PC，PS，LA)</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抗卵巢抗体</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狼疮抗凝物质(LA)筛查</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血栓前四项(PIC，tPAI.C，TAT，TM)</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自身免疫性脑炎6项(NMDAR、AMPA1、AMPA2、LGI1、CASPR2、GABABR)</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肾脏疾病鉴别五项</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炎症三项(超敏CRP、转铁蛋白、铜蓝蛋白)</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微量元素七项</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人体营养素-元素15项</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尿碘</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鼻咽癌三项(Rta、VCA、EA)</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肺癌相关抗原二项</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真菌D-葡聚糖（G试验）</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抗子宫内膜抗体</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脑脊液寡克隆区带分析</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重症肌无力五项</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雄烯二酮（血清）</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胸苷激酶TK1</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抗HCG抗体</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抗卵细胞透明带抗体</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肝癌体检筛查三项</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甲状腺微粒体抗体</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ANCA二项(免疫)</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尿蛋白电泳定量</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红细胞孵育渗透脆性试验</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鳞癌细胞抗原</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膜性肾病两项</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人附睾蛋白4（HE4)</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水通道蛋白4(AQP4)抗体</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副瘤综合征5项</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异常免疫球蛋白血症（6项）综合诊断组合</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丙型肝炎核心抗原</w:t>
                  </w:r>
                </w:p>
              </w:tc>
            </w:tr>
          </w:tbl>
          <w:p/>
        </w:tc>
      </w:tr>
      <w:tr>
        <w:tc>
          <w:tcPr>
            <w:tcW w:type="dxa" w:w="2076"/>
          </w:tcPr>
          <w:p/>
        </w:tc>
        <w:tc>
          <w:tcPr>
            <w:tcW w:type="dxa" w:w="415"/>
          </w:tcPr>
          <w:p>
            <w:pPr>
              <w:pStyle w:val="null3"/>
            </w:pPr>
            <w:r>
              <w:rPr/>
              <w:t>2</w:t>
            </w:r>
          </w:p>
        </w:tc>
        <w:tc>
          <w:tcPr>
            <w:tcW w:type="dxa" w:w="5814"/>
          </w:tcPr>
          <w:p>
            <w:pPr>
              <w:pStyle w:val="null3"/>
            </w:pPr>
            <w:r>
              <w:rPr/>
              <w:t>（二）服务要求</w:t>
            </w:r>
          </w:p>
          <w:p>
            <w:pPr>
              <w:pStyle w:val="null3"/>
            </w:pPr>
            <w:r>
              <w:rPr/>
              <w:t>1、标本接收、送检及检验：</w:t>
            </w:r>
          </w:p>
          <w:p>
            <w:pPr>
              <w:pStyle w:val="null3"/>
            </w:pPr>
            <w:r>
              <w:rPr/>
              <w:t>（1）为本项目配备专用车辆，用于接收标本，车辆需配备专用的车载冰箱或保温箱。冰箱或保温箱应配有相应的温度记录表，且每日至少进行一次清洁消毒，以确保标本质量。标本采用专线运输，样本的运送需符合《医学检验生物样本冷链物流运作规范》（GB/T 42186-2022）以及生物安全要求，以保障运输过程中样品的质量和环境安全。需规范运送可感染人类的病原微生物菌（毒）种或样本。对于有低温冷冻需求或特殊要求的样本，需依据具体项目与采购人进行协商。</w:t>
            </w:r>
          </w:p>
        </w:tc>
      </w:tr>
      <w:tr>
        <w:tc>
          <w:tcPr>
            <w:tcW w:type="dxa" w:w="2076"/>
          </w:tcPr>
          <w:p/>
        </w:tc>
        <w:tc>
          <w:tcPr>
            <w:tcW w:type="dxa" w:w="415"/>
          </w:tcPr>
          <w:p>
            <w:pPr>
              <w:pStyle w:val="null3"/>
            </w:pPr>
            <w:r>
              <w:rPr/>
              <w:t>3</w:t>
            </w:r>
          </w:p>
        </w:tc>
        <w:tc>
          <w:tcPr>
            <w:tcW w:type="dxa" w:w="5814"/>
          </w:tcPr>
          <w:p>
            <w:pPr>
              <w:pStyle w:val="null3"/>
            </w:pPr>
            <w:r>
              <w:rPr/>
              <w:t>（2）为本项目服务提供每天至少一次的上门接收标本的服务，时间为8:00至15:00，遇特殊标本可机动收取。</w:t>
            </w:r>
          </w:p>
        </w:tc>
      </w:tr>
      <w:tr>
        <w:tc>
          <w:tcPr>
            <w:tcW w:type="dxa" w:w="2076"/>
          </w:tcPr>
          <w:p/>
        </w:tc>
        <w:tc>
          <w:tcPr>
            <w:tcW w:type="dxa" w:w="415"/>
          </w:tcPr>
          <w:p>
            <w:pPr>
              <w:pStyle w:val="null3"/>
            </w:pPr>
            <w:r>
              <w:rPr/>
              <w:t>4</w:t>
            </w:r>
          </w:p>
        </w:tc>
        <w:tc>
          <w:tcPr>
            <w:tcW w:type="dxa" w:w="5814"/>
          </w:tcPr>
          <w:p>
            <w:pPr>
              <w:pStyle w:val="null3"/>
            </w:pPr>
            <w:r>
              <w:rPr/>
              <w:t>（3）应为本项目服务标本接收人员进行严格培训，负责标本质量的初检、标识的核对，标本的接收登记及包装储存。</w:t>
            </w:r>
          </w:p>
        </w:tc>
      </w:tr>
      <w:tr>
        <w:tc>
          <w:tcPr>
            <w:tcW w:type="dxa" w:w="2076"/>
          </w:tcPr>
          <w:p/>
        </w:tc>
        <w:tc>
          <w:tcPr>
            <w:tcW w:type="dxa" w:w="415"/>
          </w:tcPr>
          <w:p>
            <w:pPr>
              <w:pStyle w:val="null3"/>
            </w:pPr>
            <w:r>
              <w:rPr/>
              <w:t>5</w:t>
            </w:r>
          </w:p>
        </w:tc>
        <w:tc>
          <w:tcPr>
            <w:tcW w:type="dxa" w:w="5814"/>
          </w:tcPr>
          <w:p>
            <w:pPr>
              <w:pStyle w:val="null3"/>
            </w:pPr>
            <w:r>
              <w:rPr/>
              <w:t>（4）确保本项目服务及时接收、送检标本和及时检验。标本不符合检验要求时，应及时通知采购人重新取样。</w:t>
            </w:r>
          </w:p>
        </w:tc>
      </w:tr>
      <w:tr>
        <w:tc>
          <w:tcPr>
            <w:tcW w:type="dxa" w:w="2076"/>
          </w:tcPr>
          <w:p/>
        </w:tc>
        <w:tc>
          <w:tcPr>
            <w:tcW w:type="dxa" w:w="415"/>
          </w:tcPr>
          <w:p>
            <w:pPr>
              <w:pStyle w:val="null3"/>
            </w:pPr>
            <w:r>
              <w:rPr/>
              <w:t>6</w:t>
            </w:r>
          </w:p>
        </w:tc>
        <w:tc>
          <w:tcPr>
            <w:tcW w:type="dxa" w:w="5814"/>
          </w:tcPr>
          <w:p>
            <w:pPr>
              <w:pStyle w:val="null3"/>
            </w:pPr>
            <w:r>
              <w:rPr/>
              <w:t>（5）在采购人规定的时间内出具相应检验报告。如检验报告超出规定时间且未向采购人出具书面通知，造成恶劣影响的，包括造成医疗纠纷、投诉或受到行政监管机关的处罚等情况，服务方应承担相应的经济和法律责任。</w:t>
            </w:r>
          </w:p>
        </w:tc>
      </w:tr>
      <w:tr>
        <w:tc>
          <w:tcPr>
            <w:tcW w:type="dxa" w:w="2076"/>
          </w:tcPr>
          <w:p/>
        </w:tc>
        <w:tc>
          <w:tcPr>
            <w:tcW w:type="dxa" w:w="415"/>
          </w:tcPr>
          <w:p>
            <w:pPr>
              <w:pStyle w:val="null3"/>
            </w:pPr>
            <w:r>
              <w:rPr/>
              <w:t>7</w:t>
            </w:r>
          </w:p>
        </w:tc>
        <w:tc>
          <w:tcPr>
            <w:tcW w:type="dxa" w:w="5814"/>
          </w:tcPr>
          <w:p>
            <w:pPr>
              <w:pStyle w:val="null3"/>
            </w:pPr>
            <w:r>
              <w:rPr/>
              <w:t>（6）部分特殊检查项目需要的采样器、知情同意书、专用的患者资料登记申请单等由服务方提供。</w:t>
            </w:r>
          </w:p>
        </w:tc>
      </w:tr>
      <w:tr>
        <w:tc>
          <w:tcPr>
            <w:tcW w:type="dxa" w:w="2076"/>
          </w:tcPr>
          <w:p/>
        </w:tc>
        <w:tc>
          <w:tcPr>
            <w:tcW w:type="dxa" w:w="415"/>
          </w:tcPr>
          <w:p>
            <w:pPr>
              <w:pStyle w:val="null3"/>
            </w:pPr>
            <w:r>
              <w:rPr/>
              <w:t>8</w:t>
            </w:r>
          </w:p>
        </w:tc>
        <w:tc>
          <w:tcPr>
            <w:tcW w:type="dxa" w:w="5814"/>
          </w:tcPr>
          <w:p>
            <w:pPr>
              <w:pStyle w:val="null3"/>
            </w:pPr>
            <w:r>
              <w:rPr/>
              <w:t>2、提供结果查询：</w:t>
            </w:r>
          </w:p>
          <w:p>
            <w:pPr>
              <w:pStyle w:val="null3"/>
            </w:pPr>
            <w:r>
              <w:rPr/>
              <w:t>（1）为保证检验结果实时网络传送，实现实验室数据的汇总、储存、传输功能，需与医院LIS和HIS等管理系统对接，院方LIS系统可检索、核对结果。保证送检类别、数量、检验报告与HIS的医嘱一致。服务方负责信息系统对接费用、后期维护、故障处理等，信息系统故障处理响应时间不超过2小时。</w:t>
            </w:r>
          </w:p>
        </w:tc>
      </w:tr>
      <w:tr>
        <w:tc>
          <w:tcPr>
            <w:tcW w:type="dxa" w:w="2076"/>
          </w:tcPr>
          <w:p/>
        </w:tc>
        <w:tc>
          <w:tcPr>
            <w:tcW w:type="dxa" w:w="415"/>
          </w:tcPr>
          <w:p>
            <w:pPr>
              <w:pStyle w:val="null3"/>
            </w:pPr>
            <w:r>
              <w:rPr/>
              <w:t>9</w:t>
            </w:r>
          </w:p>
        </w:tc>
        <w:tc>
          <w:tcPr>
            <w:tcW w:type="dxa" w:w="5814"/>
          </w:tcPr>
          <w:p>
            <w:pPr>
              <w:pStyle w:val="null3"/>
            </w:pPr>
            <w:r>
              <w:rPr/>
              <w:t>（2）提供网上查询服务，以供随时查询进度和结果。</w:t>
            </w:r>
          </w:p>
        </w:tc>
      </w:tr>
      <w:tr>
        <w:tc>
          <w:tcPr>
            <w:tcW w:type="dxa" w:w="2076"/>
          </w:tcPr>
          <w:p/>
        </w:tc>
        <w:tc>
          <w:tcPr>
            <w:tcW w:type="dxa" w:w="415"/>
          </w:tcPr>
          <w:p>
            <w:pPr>
              <w:pStyle w:val="null3"/>
            </w:pPr>
            <w:r>
              <w:rPr/>
              <w:t>10</w:t>
            </w:r>
          </w:p>
        </w:tc>
        <w:tc>
          <w:tcPr>
            <w:tcW w:type="dxa" w:w="5814"/>
          </w:tcPr>
          <w:p>
            <w:pPr>
              <w:pStyle w:val="null3"/>
            </w:pPr>
            <w:r>
              <w:rPr/>
              <w:t>（3）提供电话查询服务，危急值专人电话跟进，确保患者检测信息与临床医生的畅通。</w:t>
            </w:r>
          </w:p>
        </w:tc>
      </w:tr>
      <w:tr>
        <w:tc>
          <w:tcPr>
            <w:tcW w:type="dxa" w:w="2076"/>
          </w:tcPr>
          <w:p/>
        </w:tc>
        <w:tc>
          <w:tcPr>
            <w:tcW w:type="dxa" w:w="415"/>
          </w:tcPr>
          <w:p>
            <w:pPr>
              <w:pStyle w:val="null3"/>
            </w:pPr>
            <w:r>
              <w:rPr/>
              <w:t>11</w:t>
            </w:r>
          </w:p>
        </w:tc>
        <w:tc>
          <w:tcPr>
            <w:tcW w:type="dxa" w:w="5814"/>
          </w:tcPr>
          <w:p>
            <w:pPr>
              <w:pStyle w:val="null3"/>
            </w:pPr>
            <w:r>
              <w:rPr/>
              <w:t>（4）医务人员可以随时调阅检验结果，服务方须保证病人的资料的准确性和检验结果的及时性，并提供系统使用的必要培训与技术支持。</w:t>
            </w:r>
          </w:p>
        </w:tc>
      </w:tr>
      <w:tr>
        <w:tc>
          <w:tcPr>
            <w:tcW w:type="dxa" w:w="2076"/>
          </w:tcPr>
          <w:p/>
        </w:tc>
        <w:tc>
          <w:tcPr>
            <w:tcW w:type="dxa" w:w="415"/>
          </w:tcPr>
          <w:p>
            <w:pPr>
              <w:pStyle w:val="null3"/>
            </w:pPr>
            <w:r>
              <w:rPr/>
              <w:t>12</w:t>
            </w:r>
          </w:p>
        </w:tc>
        <w:tc>
          <w:tcPr>
            <w:tcW w:type="dxa" w:w="5814"/>
          </w:tcPr>
          <w:p>
            <w:pPr>
              <w:pStyle w:val="null3"/>
            </w:pPr>
            <w:r>
              <w:rPr/>
              <w:t>（5）按照检测项目常规报告时间提供检测结果，并能满足采购人急诊项目的优先检测。</w:t>
            </w:r>
          </w:p>
        </w:tc>
      </w:tr>
      <w:tr>
        <w:tc>
          <w:tcPr>
            <w:tcW w:type="dxa" w:w="2076"/>
          </w:tcPr>
          <w:p/>
        </w:tc>
        <w:tc>
          <w:tcPr>
            <w:tcW w:type="dxa" w:w="415"/>
          </w:tcPr>
          <w:p>
            <w:pPr>
              <w:pStyle w:val="null3"/>
            </w:pPr>
            <w:r>
              <w:rPr/>
              <w:t>13</w:t>
            </w:r>
          </w:p>
        </w:tc>
        <w:tc>
          <w:tcPr>
            <w:tcW w:type="dxa" w:w="5814"/>
          </w:tcPr>
          <w:p>
            <w:pPr>
              <w:pStyle w:val="null3"/>
            </w:pPr>
            <w:r>
              <w:rPr/>
              <w:t>3、其他要求</w:t>
            </w:r>
          </w:p>
          <w:p>
            <w:pPr>
              <w:pStyle w:val="null3"/>
            </w:pPr>
            <w:r>
              <w:rPr/>
              <w:t>（1）须具有规范的标本接收、登记和包装流程，保证标本质量和安全，确保标本顺利交接，方便查核。</w:t>
            </w:r>
          </w:p>
        </w:tc>
      </w:tr>
      <w:tr>
        <w:tc>
          <w:tcPr>
            <w:tcW w:type="dxa" w:w="2076"/>
          </w:tcPr>
          <w:p/>
        </w:tc>
        <w:tc>
          <w:tcPr>
            <w:tcW w:type="dxa" w:w="415"/>
          </w:tcPr>
          <w:p>
            <w:pPr>
              <w:pStyle w:val="null3"/>
            </w:pPr>
            <w:r>
              <w:rPr/>
              <w:t>14</w:t>
            </w:r>
          </w:p>
        </w:tc>
        <w:tc>
          <w:tcPr>
            <w:tcW w:type="dxa" w:w="5814"/>
          </w:tcPr>
          <w:p>
            <w:pPr>
              <w:pStyle w:val="null3"/>
            </w:pPr>
            <w:r>
              <w:rPr/>
              <w:t>（2）配合采购人做好标本的采集沟通，运输。应承担运输过程中出现的一切问题的责任，如标本丢失、污染等情形。</w:t>
            </w:r>
          </w:p>
        </w:tc>
      </w:tr>
      <w:tr>
        <w:tc>
          <w:tcPr>
            <w:tcW w:type="dxa" w:w="2076"/>
          </w:tcPr>
          <w:p/>
        </w:tc>
        <w:tc>
          <w:tcPr>
            <w:tcW w:type="dxa" w:w="415"/>
          </w:tcPr>
          <w:p>
            <w:pPr>
              <w:pStyle w:val="null3"/>
            </w:pPr>
            <w:r>
              <w:rPr/>
              <w:t>15</w:t>
            </w:r>
          </w:p>
        </w:tc>
        <w:tc>
          <w:tcPr>
            <w:tcW w:type="dxa" w:w="5814"/>
          </w:tcPr>
          <w:p>
            <w:pPr>
              <w:pStyle w:val="null3"/>
            </w:pPr>
            <w:r>
              <w:rPr/>
              <w:t>（3）须保证本项目服务按国家检验质量规范要求进行操作，对检验结果的准确性负责，并对标本的检验报告承担相应的责任。</w:t>
            </w:r>
          </w:p>
        </w:tc>
      </w:tr>
      <w:tr>
        <w:tc>
          <w:tcPr>
            <w:tcW w:type="dxa" w:w="2076"/>
          </w:tcPr>
          <w:p/>
        </w:tc>
        <w:tc>
          <w:tcPr>
            <w:tcW w:type="dxa" w:w="415"/>
          </w:tcPr>
          <w:p>
            <w:pPr>
              <w:pStyle w:val="null3"/>
            </w:pPr>
            <w:r>
              <w:rPr/>
              <w:t>16</w:t>
            </w:r>
          </w:p>
        </w:tc>
        <w:tc>
          <w:tcPr>
            <w:tcW w:type="dxa" w:w="5814"/>
          </w:tcPr>
          <w:p>
            <w:pPr>
              <w:pStyle w:val="null3"/>
            </w:pPr>
            <w:r>
              <w:rPr/>
              <w:t>（4）若将部分项目委托具有相应资质的第三方进行检测，须就第三方出具的检测结果向采购人承担责任。</w:t>
            </w:r>
          </w:p>
        </w:tc>
      </w:tr>
      <w:tr>
        <w:tc>
          <w:tcPr>
            <w:tcW w:type="dxa" w:w="2076"/>
          </w:tcPr>
          <w:p/>
        </w:tc>
        <w:tc>
          <w:tcPr>
            <w:tcW w:type="dxa" w:w="415"/>
          </w:tcPr>
          <w:p>
            <w:pPr>
              <w:pStyle w:val="null3"/>
            </w:pPr>
            <w:r>
              <w:rPr/>
              <w:t>17</w:t>
            </w:r>
          </w:p>
        </w:tc>
        <w:tc>
          <w:tcPr>
            <w:tcW w:type="dxa" w:w="5814"/>
          </w:tcPr>
          <w:p>
            <w:pPr>
              <w:pStyle w:val="null3"/>
            </w:pPr>
            <w:r>
              <w:rPr/>
              <w:t>（5）应为本项目服务履行保密的义务，在未经采购人同意或授权前提下，不得向采购人及其工作人员以外的任何单位或个人泄露采购人委托检验的项目、检验的内容、检验的结果，但受检者及其授权代理人查询、咨询其检验项目事宜的除外。</w:t>
            </w:r>
          </w:p>
        </w:tc>
      </w:tr>
      <w:tr>
        <w:tc>
          <w:tcPr>
            <w:tcW w:type="dxa" w:w="2076"/>
          </w:tcPr>
          <w:p/>
        </w:tc>
        <w:tc>
          <w:tcPr>
            <w:tcW w:type="dxa" w:w="415"/>
          </w:tcPr>
          <w:p>
            <w:pPr>
              <w:pStyle w:val="null3"/>
            </w:pPr>
            <w:r>
              <w:rPr/>
              <w:t>18</w:t>
            </w:r>
          </w:p>
        </w:tc>
        <w:tc>
          <w:tcPr>
            <w:tcW w:type="dxa" w:w="5814"/>
          </w:tcPr>
          <w:p>
            <w:pPr>
              <w:pStyle w:val="null3"/>
            </w:pPr>
            <w:r>
              <w:rPr/>
              <w:t>（6）若标本在送检过程中出现延迟、遗漏、丢失等情况，应有完善的应急预案予以妥善解决，并承担因标本问题引起的纠纷以及赔偿责任。</w:t>
            </w:r>
          </w:p>
        </w:tc>
      </w:tr>
      <w:tr>
        <w:tc>
          <w:tcPr>
            <w:tcW w:type="dxa" w:w="2076"/>
          </w:tcPr>
          <w:p/>
        </w:tc>
        <w:tc>
          <w:tcPr>
            <w:tcW w:type="dxa" w:w="415"/>
          </w:tcPr>
          <w:p>
            <w:pPr>
              <w:pStyle w:val="null3"/>
            </w:pPr>
            <w:r>
              <w:rPr/>
              <w:t>19</w:t>
            </w:r>
          </w:p>
        </w:tc>
        <w:tc>
          <w:tcPr>
            <w:tcW w:type="dxa" w:w="5814"/>
          </w:tcPr>
          <w:p>
            <w:pPr>
              <w:pStyle w:val="null3"/>
            </w:pPr>
            <w:r>
              <w:rPr/>
              <w:t>（7）检验结果差错比≤万分之一。</w:t>
            </w:r>
          </w:p>
        </w:tc>
      </w:tr>
      <w:tr>
        <w:tc>
          <w:tcPr>
            <w:tcW w:type="dxa" w:w="2076"/>
          </w:tcPr>
          <w:p/>
        </w:tc>
        <w:tc>
          <w:tcPr>
            <w:tcW w:type="dxa" w:w="415"/>
          </w:tcPr>
          <w:p>
            <w:pPr>
              <w:pStyle w:val="null3"/>
            </w:pPr>
            <w:r>
              <w:rPr/>
              <w:t>20</w:t>
            </w:r>
          </w:p>
        </w:tc>
        <w:tc>
          <w:tcPr>
            <w:tcW w:type="dxa" w:w="5814"/>
          </w:tcPr>
          <w:p>
            <w:pPr>
              <w:pStyle w:val="null3"/>
            </w:pPr>
            <w:r>
              <w:rPr/>
              <w:t>（8）检验结果与诊断报告相符程度（不可前后矛盾）≥99.9%。</w:t>
            </w:r>
          </w:p>
        </w:tc>
      </w:tr>
      <w:tr>
        <w:tc>
          <w:tcPr>
            <w:tcW w:type="dxa" w:w="2076"/>
          </w:tcPr>
          <w:p/>
        </w:tc>
        <w:tc>
          <w:tcPr>
            <w:tcW w:type="dxa" w:w="415"/>
          </w:tcPr>
          <w:p>
            <w:pPr>
              <w:pStyle w:val="null3"/>
            </w:pPr>
            <w:r>
              <w:rPr/>
              <w:t>21</w:t>
            </w:r>
          </w:p>
        </w:tc>
        <w:tc>
          <w:tcPr>
            <w:tcW w:type="dxa" w:w="5814"/>
          </w:tcPr>
          <w:p>
            <w:pPr>
              <w:pStyle w:val="null3"/>
            </w:pPr>
            <w:r>
              <w:rPr/>
              <w:t>（9）如需召回检验报告的，应及时通过电话、微信、当面告知等任一方式通知采购人召回检验报告，并及时提供新的检验报告。</w:t>
            </w:r>
          </w:p>
        </w:tc>
      </w:tr>
      <w:tr>
        <w:tc>
          <w:tcPr>
            <w:tcW w:type="dxa" w:w="2076"/>
          </w:tcPr>
          <w:p/>
        </w:tc>
        <w:tc>
          <w:tcPr>
            <w:tcW w:type="dxa" w:w="415"/>
          </w:tcPr>
          <w:p>
            <w:pPr>
              <w:pStyle w:val="null3"/>
            </w:pPr>
            <w:r>
              <w:rPr/>
              <w:t>22</w:t>
            </w:r>
          </w:p>
        </w:tc>
        <w:tc>
          <w:tcPr>
            <w:tcW w:type="dxa" w:w="5814"/>
          </w:tcPr>
          <w:p>
            <w:pPr>
              <w:pStyle w:val="null3"/>
            </w:pPr>
            <w:r>
              <w:rPr/>
              <w:t>（10）检验报告单必须由具备相应资质的检验人员签发，上级医师复核。出现因检验结果错误导致采购人医疗纠纷等不良后果，服务方应当承担一切责任。</w:t>
            </w:r>
          </w:p>
        </w:tc>
      </w:tr>
      <w:tr>
        <w:tc>
          <w:tcPr>
            <w:tcW w:type="dxa" w:w="2076"/>
          </w:tcPr>
          <w:p/>
        </w:tc>
        <w:tc>
          <w:tcPr>
            <w:tcW w:type="dxa" w:w="415"/>
          </w:tcPr>
          <w:p>
            <w:pPr>
              <w:pStyle w:val="null3"/>
            </w:pPr>
            <w:r>
              <w:rPr/>
              <w:t>23</w:t>
            </w:r>
          </w:p>
        </w:tc>
        <w:tc>
          <w:tcPr>
            <w:tcW w:type="dxa" w:w="5814"/>
          </w:tcPr>
          <w:p>
            <w:pPr>
              <w:pStyle w:val="null3"/>
            </w:pPr>
            <w:r>
              <w:rPr/>
              <w:t>（11）检测实验室需符合《医疗机构临床实验室管理办法》等国家法律法规要求。</w:t>
            </w:r>
          </w:p>
        </w:tc>
      </w:tr>
      <w:tr>
        <w:tc>
          <w:tcPr>
            <w:tcW w:type="dxa" w:w="2076"/>
          </w:tcPr>
          <w:p/>
        </w:tc>
        <w:tc>
          <w:tcPr>
            <w:tcW w:type="dxa" w:w="415"/>
          </w:tcPr>
          <w:p>
            <w:pPr>
              <w:pStyle w:val="null3"/>
            </w:pPr>
            <w:r>
              <w:rPr/>
              <w:t>24</w:t>
            </w:r>
          </w:p>
        </w:tc>
        <w:tc>
          <w:tcPr>
            <w:tcW w:type="dxa" w:w="5814"/>
          </w:tcPr>
          <w:p>
            <w:pPr>
              <w:pStyle w:val="null3"/>
            </w:pPr>
            <w:r>
              <w:rPr/>
              <w:t>（12）检测样本、检测数据的所有权、使用权为采购人所有，未经许可不得挪作它用。</w:t>
            </w:r>
          </w:p>
        </w:tc>
      </w:tr>
      <w:tr>
        <w:tc>
          <w:tcPr>
            <w:tcW w:type="dxa" w:w="2076"/>
          </w:tcPr>
          <w:p/>
        </w:tc>
        <w:tc>
          <w:tcPr>
            <w:tcW w:type="dxa" w:w="415"/>
          </w:tcPr>
          <w:p>
            <w:pPr>
              <w:pStyle w:val="null3"/>
            </w:pPr>
            <w:r>
              <w:rPr/>
              <w:t>25</w:t>
            </w:r>
          </w:p>
        </w:tc>
        <w:tc>
          <w:tcPr>
            <w:tcW w:type="dxa" w:w="5814"/>
          </w:tcPr>
          <w:p>
            <w:pPr>
              <w:pStyle w:val="null3"/>
            </w:pPr>
            <w:r>
              <w:rPr/>
              <w:t>（13）检测后若有剩余标本，须按照国家法律法规及相关行业规定的保存期限保存剩余标本及处理标本。</w:t>
            </w:r>
          </w:p>
        </w:tc>
      </w:tr>
      <w:tr>
        <w:tc>
          <w:tcPr>
            <w:tcW w:type="dxa" w:w="2076"/>
          </w:tcPr>
          <w:p/>
        </w:tc>
        <w:tc>
          <w:tcPr>
            <w:tcW w:type="dxa" w:w="415"/>
          </w:tcPr>
          <w:p>
            <w:pPr>
              <w:pStyle w:val="null3"/>
            </w:pPr>
            <w:r>
              <w:rPr/>
              <w:t>26</w:t>
            </w:r>
          </w:p>
        </w:tc>
        <w:tc>
          <w:tcPr>
            <w:tcW w:type="dxa" w:w="5814"/>
          </w:tcPr>
          <w:p>
            <w:pPr>
              <w:pStyle w:val="null3"/>
            </w:pPr>
            <w:r>
              <w:rPr/>
              <w:t>（14）须保证检验结果的公正性，真实性不受任何诱使或压力的干扰。</w:t>
            </w:r>
          </w:p>
        </w:tc>
      </w:tr>
      <w:tr>
        <w:tc>
          <w:tcPr>
            <w:tcW w:type="dxa" w:w="2076"/>
          </w:tcPr>
          <w:p/>
        </w:tc>
        <w:tc>
          <w:tcPr>
            <w:tcW w:type="dxa" w:w="415"/>
          </w:tcPr>
          <w:p>
            <w:pPr>
              <w:pStyle w:val="null3"/>
            </w:pPr>
            <w:r>
              <w:rPr/>
              <w:t>27</w:t>
            </w:r>
          </w:p>
        </w:tc>
        <w:tc>
          <w:tcPr>
            <w:tcW w:type="dxa" w:w="5814"/>
          </w:tcPr>
          <w:p>
            <w:pPr>
              <w:pStyle w:val="null3"/>
            </w:pPr>
            <w:r>
              <w:rPr/>
              <w:t>（15）须建立快速的客户服务反应机制，如有针对服务方或与采购人和服务方双方有关的投诉或需处理的情况，须派代表在半日内到达医院及时沟通处理；若主要针对采购人的投诉或需处理的情况，应有义务协助采购人及时沟通处理。</w:t>
            </w:r>
          </w:p>
        </w:tc>
      </w:tr>
      <w:tr>
        <w:tc>
          <w:tcPr>
            <w:tcW w:type="dxa" w:w="2076"/>
          </w:tcPr>
          <w:p/>
        </w:tc>
        <w:tc>
          <w:tcPr>
            <w:tcW w:type="dxa" w:w="415"/>
          </w:tcPr>
          <w:p>
            <w:pPr>
              <w:pStyle w:val="null3"/>
            </w:pPr>
            <w:r>
              <w:rPr/>
              <w:t>28</w:t>
            </w:r>
          </w:p>
        </w:tc>
        <w:tc>
          <w:tcPr>
            <w:tcW w:type="dxa" w:w="5814"/>
          </w:tcPr>
          <w:p>
            <w:pPr>
              <w:pStyle w:val="null3"/>
            </w:pPr>
            <w:r>
              <w:rPr/>
              <w:t>（16）须安排相关的专家与采购人进行每年不低于一次学术讲座、学术交流、培训等。</w:t>
            </w:r>
          </w:p>
        </w:tc>
      </w:tr>
      <w:tr>
        <w:tc>
          <w:tcPr>
            <w:tcW w:type="dxa" w:w="2076"/>
          </w:tcPr>
          <w:p/>
        </w:tc>
        <w:tc>
          <w:tcPr>
            <w:tcW w:type="dxa" w:w="415"/>
          </w:tcPr>
          <w:p>
            <w:pPr>
              <w:pStyle w:val="null3"/>
            </w:pPr>
            <w:r>
              <w:rPr/>
              <w:t>29</w:t>
            </w:r>
          </w:p>
        </w:tc>
        <w:tc>
          <w:tcPr>
            <w:tcW w:type="dxa" w:w="5814"/>
          </w:tcPr>
          <w:p>
            <w:pPr>
              <w:pStyle w:val="null3"/>
            </w:pPr>
            <w:r>
              <w:rPr/>
              <w:t>（17）应根据采购人的需要安排专家到采购人处进行专业知识的培训及送检项目的沟通。</w:t>
            </w:r>
          </w:p>
        </w:tc>
      </w:tr>
      <w:tr>
        <w:tc>
          <w:tcPr>
            <w:tcW w:type="dxa" w:w="2076"/>
          </w:tcPr>
          <w:p/>
        </w:tc>
        <w:tc>
          <w:tcPr>
            <w:tcW w:type="dxa" w:w="415"/>
          </w:tcPr>
          <w:p>
            <w:pPr>
              <w:pStyle w:val="null3"/>
            </w:pPr>
            <w:r>
              <w:rPr/>
              <w:t>30</w:t>
            </w:r>
          </w:p>
        </w:tc>
        <w:tc>
          <w:tcPr>
            <w:tcW w:type="dxa" w:w="5814"/>
          </w:tcPr>
          <w:p>
            <w:pPr>
              <w:pStyle w:val="null3"/>
            </w:pPr>
            <w:r>
              <w:rPr/>
              <w:t>（18）部分项目在检测技术成熟、标本量达到本地化开展要求后，采购人有权决定是否继续外送。</w:t>
            </w:r>
          </w:p>
        </w:tc>
      </w:tr>
      <w:tr>
        <w:tc>
          <w:tcPr>
            <w:tcW w:type="dxa" w:w="2076"/>
          </w:tcPr>
          <w:p/>
        </w:tc>
        <w:tc>
          <w:tcPr>
            <w:tcW w:type="dxa" w:w="415"/>
          </w:tcPr>
          <w:p>
            <w:pPr>
              <w:pStyle w:val="null3"/>
            </w:pPr>
            <w:r>
              <w:rPr/>
              <w:t>31</w:t>
            </w:r>
          </w:p>
        </w:tc>
        <w:tc>
          <w:tcPr>
            <w:tcW w:type="dxa" w:w="5814"/>
          </w:tcPr>
          <w:p>
            <w:pPr>
              <w:pStyle w:val="null3"/>
            </w:pPr>
            <w:r>
              <w:rPr/>
              <w:t>（19）服务终止时，须在合同到期或提前终止后的15个工作日内，向采购人完整移交所有检测数据及原始记录，并确保移交资料的真实性与可追溯性，数据所有权归属采购人。</w:t>
            </w:r>
          </w:p>
        </w:tc>
      </w:tr>
      <w:tr>
        <w:tc>
          <w:tcPr>
            <w:tcW w:type="dxa" w:w="2076"/>
          </w:tcPr>
          <w:p/>
        </w:tc>
        <w:tc>
          <w:tcPr>
            <w:tcW w:type="dxa" w:w="415"/>
          </w:tcPr>
          <w:p>
            <w:pPr>
              <w:pStyle w:val="null3"/>
            </w:pPr>
            <w:r>
              <w:rPr/>
              <w:t>32</w:t>
            </w:r>
          </w:p>
        </w:tc>
        <w:tc>
          <w:tcPr>
            <w:tcW w:type="dxa" w:w="5814"/>
          </w:tcPr>
          <w:p>
            <w:pPr>
              <w:pStyle w:val="null3"/>
            </w:pPr>
            <w:r>
              <w:rPr/>
              <w:t>（20）服务方应建立争议处理机制，对检验结果存疑的样本，须在采购人提出复核申请后2小时内启动复检流程，并在原报告时限内出具复核结论。复检费用由责任方承担。</w:t>
            </w:r>
          </w:p>
        </w:tc>
      </w:tr>
      <w:tr>
        <w:tc>
          <w:tcPr>
            <w:tcW w:type="dxa" w:w="2076"/>
          </w:tcPr>
          <w:p/>
        </w:tc>
        <w:tc>
          <w:tcPr>
            <w:tcW w:type="dxa" w:w="415"/>
          </w:tcPr>
          <w:p>
            <w:pPr>
              <w:pStyle w:val="null3"/>
            </w:pPr>
            <w:r>
              <w:rPr/>
              <w:t>33</w:t>
            </w:r>
          </w:p>
        </w:tc>
        <w:tc>
          <w:tcPr>
            <w:tcW w:type="dxa" w:w="5814"/>
          </w:tcPr>
          <w:p>
            <w:pPr>
              <w:pStyle w:val="null3"/>
            </w:pPr>
            <w:r>
              <w:rPr/>
              <w:t>（21）所有电子数据存储和传输须采用加密技术，严格遵守《网络安全法》及个人信息保护相关规定，防止数据泄露或滥用。</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采购包2（精准医学中心标本外送委托检验服务（子包二））</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2年</w:t>
            </w:r>
          </w:p>
        </w:tc>
      </w:tr>
      <w:tr>
        <w:tc>
          <w:tcPr>
            <w:tcW w:type="dxa" w:w="4153"/>
          </w:tcPr>
          <w:p>
            <w:pPr>
              <w:pStyle w:val="null3"/>
            </w:pPr>
            <w:r>
              <w:rPr/>
              <w:t>标的提供的地点</w:t>
            </w:r>
          </w:p>
        </w:tc>
        <w:tc>
          <w:tcPr>
            <w:tcW w:type="dxa" w:w="4153"/>
          </w:tcPr>
          <w:p>
            <w:pPr>
              <w:pStyle w:val="null3"/>
            </w:pPr>
            <w:r>
              <w:rPr/>
              <w:t>普宁市人民医院</w:t>
            </w:r>
          </w:p>
        </w:tc>
      </w:tr>
      <w:tr>
        <w:tc>
          <w:tcPr>
            <w:tcW w:type="dxa" w:w="4153"/>
          </w:tcPr>
          <w:p>
            <w:pPr>
              <w:pStyle w:val="null3"/>
            </w:pPr>
            <w:r>
              <w:rPr/>
              <w:t>付款方式</w:t>
            </w:r>
          </w:p>
        </w:tc>
        <w:tc>
          <w:tcPr>
            <w:tcW w:type="dxa" w:w="4153"/>
          </w:tcPr>
          <w:p>
            <w:pPr>
              <w:pStyle w:val="null3"/>
            </w:pPr>
            <w:r>
              <w:rPr/>
              <w:t>1期：支付比例100%,服务费每月按实结算，经采购人对当月检验项目和数量核实无误后，当月服务费发票于次月5个工作日前送到采购人处复核，复核无误后5个工作日内支付</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1期：交付验收标准依次序对照适用标准为：⑴按广东省有关规定的规范要求进行验收；⑵符合中华人民共和国国家安全质量标准、环保标准或行业标准；⑶符合采购文件和响应承诺配置、参数及各项要求</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支付说明，支付方式：采用支票、银行汇付（含电汇）等形式</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投标人在报价时须在分项报价表列明下浮率，项目总报价计算方式为：年测算营业额×（1－下浮率）×服务期限（2年），本项目（子包二）年测算营业额约为1750000.00元。报价应当包括服务、人工、检验、运输、税费、管理、售后服务及合同实施过程中应预见和不可预见费用。</w:t>
            </w:r>
          </w:p>
        </w:tc>
      </w:tr>
      <w:tr>
        <w:tc>
          <w:tcPr>
            <w:tcW w:type="dxa" w:w="2076"/>
          </w:tcPr>
          <w:p>
            <w:pPr>
              <w:pStyle w:val="null3"/>
              <w:jc w:val="center"/>
            </w:pPr>
            <w:r>
              <w:rPr/>
              <w:t>★</w:t>
            </w:r>
          </w:p>
        </w:tc>
        <w:tc>
          <w:tcPr>
            <w:tcW w:type="dxa" w:w="2076"/>
          </w:tcPr>
          <w:p>
            <w:pPr>
              <w:pStyle w:val="null3"/>
              <w:jc w:val="center"/>
            </w:pPr>
            <w:r>
              <w:rPr/>
              <w:t>2</w:t>
            </w:r>
          </w:p>
        </w:tc>
        <w:tc>
          <w:tcPr>
            <w:tcW w:type="dxa" w:w="2076"/>
          </w:tcPr>
          <w:p>
            <w:pPr>
              <w:pStyle w:val="null3"/>
              <w:jc w:val="left"/>
            </w:pPr>
            <w:r>
              <w:rPr/>
              <w:t>营业收费标准</w:t>
            </w:r>
          </w:p>
        </w:tc>
        <w:tc>
          <w:tcPr>
            <w:tcW w:type="dxa" w:w="2076"/>
          </w:tcPr>
          <w:p>
            <w:pPr>
              <w:pStyle w:val="null3"/>
              <w:jc w:val="left"/>
            </w:pPr>
            <w:r>
              <w:rPr/>
              <w:t>执行公立医疗机构基本医疗服务价格项目目录收费标准三级。外送检验项目在《揭阳市公立医疗机构基本医疗服务价格项目目录(2021年版)》(以下简称《揭阳目录2021年版》)范围内有的，暂按《揭阳目录2021年版》收费标准执行，若在《揭阳目录2021年版》之后揭阳市有发布新的目录收费标准的，则按新的目录收费标准执行。若在新的目录收费标准范围内也没有的，则由采购人进行市场价格调查或询价后，经双方确认并报当地物价部门备案，最终以当地物价部门备案后的价格标准执行。</w:t>
            </w:r>
          </w:p>
        </w:tc>
      </w:tr>
      <w:tr>
        <w:tc>
          <w:tcPr>
            <w:tcW w:type="dxa" w:w="2076"/>
          </w:tcPr>
          <w:p>
            <w:pPr>
              <w:pStyle w:val="null3"/>
              <w:jc w:val="center"/>
            </w:pPr>
            <w:r>
              <w:rPr/>
              <w:t>★</w:t>
            </w:r>
          </w:p>
        </w:tc>
        <w:tc>
          <w:tcPr>
            <w:tcW w:type="dxa" w:w="2076"/>
          </w:tcPr>
          <w:p>
            <w:pPr>
              <w:pStyle w:val="null3"/>
              <w:jc w:val="center"/>
            </w:pPr>
            <w:r>
              <w:rPr/>
              <w:t>3</w:t>
            </w:r>
          </w:p>
        </w:tc>
        <w:tc>
          <w:tcPr>
            <w:tcW w:type="dxa" w:w="2076"/>
          </w:tcPr>
          <w:p>
            <w:pPr>
              <w:pStyle w:val="null3"/>
              <w:jc w:val="left"/>
            </w:pPr>
            <w:r>
              <w:rPr/>
              <w:t>结算要求</w:t>
            </w:r>
          </w:p>
        </w:tc>
        <w:tc>
          <w:tcPr>
            <w:tcW w:type="dxa" w:w="2076"/>
          </w:tcPr>
          <w:p>
            <w:pPr>
              <w:pStyle w:val="null3"/>
              <w:jc w:val="left"/>
            </w:pPr>
            <w:r>
              <w:rPr/>
              <w:t>按实结算，采购人按外送各检验项目相应的营业收费标准单价×（1-下浮率）计出结算单价，再依外送各检验项目每月实际的数量进行结算。</w:t>
            </w:r>
          </w:p>
        </w:tc>
      </w:tr>
      <w:tr>
        <w:tc>
          <w:tcPr>
            <w:tcW w:type="dxa" w:w="2076"/>
          </w:tcPr>
          <w:p>
            <w:pPr>
              <w:pStyle w:val="null3"/>
              <w:jc w:val="center"/>
            </w:pPr>
            <w:r>
              <w:rPr/>
              <w:t>★</w:t>
            </w:r>
          </w:p>
        </w:tc>
        <w:tc>
          <w:tcPr>
            <w:tcW w:type="dxa" w:w="2076"/>
          </w:tcPr>
          <w:p>
            <w:pPr>
              <w:pStyle w:val="null3"/>
              <w:jc w:val="center"/>
            </w:pPr>
            <w:r>
              <w:rPr/>
              <w:t>4</w:t>
            </w:r>
          </w:p>
        </w:tc>
        <w:tc>
          <w:tcPr>
            <w:tcW w:type="dxa" w:w="2076"/>
          </w:tcPr>
          <w:p>
            <w:pPr>
              <w:pStyle w:val="null3"/>
              <w:jc w:val="left"/>
            </w:pPr>
            <w:r>
              <w:rPr/>
              <w:t>其他服务要求</w:t>
            </w:r>
          </w:p>
        </w:tc>
        <w:tc>
          <w:tcPr>
            <w:tcW w:type="dxa" w:w="2076"/>
          </w:tcPr>
          <w:p>
            <w:pPr>
              <w:pStyle w:val="null3"/>
              <w:jc w:val="left"/>
            </w:pPr>
            <w:r>
              <w:rPr/>
              <w:t>服务方须承诺在合同履行期间具备当年度由卫健委认定的室间质量评价机构组织的临床检验室间质量评价证书，且参加项目须覆盖委托检验项目，确保委托项目检验结果的真实性。对于尚未开展室间质量评价的临床检验项目，应当开展室内质量控制并具备室内质量控制年度总结表。</w:t>
            </w:r>
          </w:p>
        </w:tc>
      </w:tr>
      <w:tr>
        <w:tc>
          <w:tcPr>
            <w:tcW w:type="dxa" w:w="2076"/>
          </w:tcPr>
          <w:p>
            <w:pPr>
              <w:pStyle w:val="null3"/>
              <w:jc w:val="center"/>
            </w:pPr>
            <w:r>
              <w:rPr/>
              <w:t>★</w:t>
            </w:r>
          </w:p>
        </w:tc>
        <w:tc>
          <w:tcPr>
            <w:tcW w:type="dxa" w:w="2076"/>
          </w:tcPr>
          <w:p>
            <w:pPr>
              <w:pStyle w:val="null3"/>
              <w:jc w:val="center"/>
            </w:pPr>
            <w:r>
              <w:rPr/>
              <w:t>5</w:t>
            </w:r>
          </w:p>
        </w:tc>
        <w:tc>
          <w:tcPr>
            <w:tcW w:type="dxa" w:w="2076"/>
          </w:tcPr>
          <w:p>
            <w:pPr>
              <w:pStyle w:val="null3"/>
              <w:jc w:val="left"/>
            </w:pPr>
            <w:r>
              <w:rPr/>
              <w:t>政府强制采购产品</w:t>
            </w:r>
          </w:p>
        </w:tc>
        <w:tc>
          <w:tcPr>
            <w:tcW w:type="dxa" w:w="2076"/>
          </w:tcPr>
          <w:p>
            <w:pPr>
              <w:pStyle w:val="null3"/>
              <w:jc w:val="left"/>
            </w:pPr>
            <w:r>
              <w:rPr/>
              <w:t>投标供应商报价的产品如涉及《财政部发展改革委&lt;关于印发节能产品政府采购品目清单的通知&gt;（财库〔2019〕19号）》文件中政府强制采购产品，如：台式计算机、便携式计算机、平板式微型计算机、激光打印机、针式打印机、液晶显示器、冷水机组、水源热泵机组、溴化锂吸收式冷水机组、多联式空调（热泵）机组（制冷量&gt;14000W）、单元式空气调节机（制冷量&gt;14000W）、机房空调、管型荧光灯镇流器、房间空气调节器、多联式空调（热泵）机组（制冷量≤14000W）、单元式空气调节机（制冷量≤14000W）、电热水器、普通照明用双端荧光灯、普通电视设备（电视机）、监视器、坐便器、蹲便器、小便器、水嘴等必须获得国家确定的认证机构出具的、处于有效期之内的节能产品认证证书。须提供产品在中国政府采购网（www.ccgp.gov.cn）或全国认证认可信息公共服务平台（cx.cnca.cn）节能产品认证信息查询界面截图或者提供产品获得国家确定的认证机构出具的、处于有效期之内的节能产品认证证书复印件（加盖投标供应商公章）。（若本项目无涉及上述节能产品政府强制采购产品的，投标供应商也可以在《商务条件响应表》对本条款进行响应，并注明本次采购内容无涉及相关节能产品政府强制采购产品。）</w:t>
            </w:r>
          </w:p>
        </w:tc>
      </w:tr>
      <w:tr>
        <w:tc>
          <w:tcPr>
            <w:tcW w:type="dxa" w:w="2076"/>
          </w:tcPr>
          <w:p/>
        </w:tc>
        <w:tc>
          <w:tcPr>
            <w:tcW w:type="dxa" w:w="2076"/>
          </w:tcPr>
          <w:p>
            <w:pPr>
              <w:pStyle w:val="null3"/>
              <w:jc w:val="center"/>
            </w:pPr>
            <w:r>
              <w:rPr/>
              <w:t>6</w:t>
            </w:r>
          </w:p>
        </w:tc>
        <w:tc>
          <w:tcPr>
            <w:tcW w:type="dxa" w:w="2076"/>
          </w:tcPr>
          <w:p>
            <w:pPr>
              <w:pStyle w:val="null3"/>
              <w:jc w:val="left"/>
            </w:pPr>
            <w:r>
              <w:rPr/>
              <w:t>其他要求</w:t>
            </w:r>
          </w:p>
        </w:tc>
        <w:tc>
          <w:tcPr>
            <w:tcW w:type="dxa" w:w="2076"/>
          </w:tcPr>
          <w:p>
            <w:pPr>
              <w:pStyle w:val="null3"/>
              <w:jc w:val="left"/>
            </w:pPr>
            <w:r>
              <w:rPr/>
              <w:t>（1）若本项目采购需求中部分涉及行业监督管理的，必须按行业监督管理要求实施。（2）投标人需按照采购需求特点和实现项目目标要求为本项目编制服务实施方案，方案内容包含：整体服务计划和流程、服务人员的安排和管理、技术支持情况、项目管理和进度控制方案、设备设施的使用和管理、标本收取和运输保管方案。（3）投标人需按照采购需求特点和实现项目目标要求为本项目编制质量保障措施方案，方案内容包含：质量保障计划、质量控制流程、质量管理措施、应急保障措施、环境保护措施、安全保障措施。</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技术测试和分析服务</w:t>
            </w:r>
          </w:p>
        </w:tc>
        <w:tc>
          <w:tcPr>
            <w:tcW w:type="dxa" w:w="933"/>
          </w:tcPr>
          <w:p>
            <w:pPr>
              <w:pStyle w:val="null3"/>
              <w:jc w:val="left"/>
            </w:pPr>
            <w:r>
              <w:rPr/>
              <w:t>精准医学中心标本外送委托检验服务（子包二）</w:t>
            </w:r>
          </w:p>
        </w:tc>
        <w:tc>
          <w:tcPr>
            <w:tcW w:type="dxa" w:w="933"/>
          </w:tcPr>
          <w:p>
            <w:pPr>
              <w:pStyle w:val="null3"/>
              <w:jc w:val="left"/>
            </w:pPr>
            <w:r>
              <w:rPr/>
              <w:t>年</w:t>
            </w:r>
          </w:p>
        </w:tc>
        <w:tc>
          <w:tcPr>
            <w:tcW w:type="dxa" w:w="933"/>
          </w:tcPr>
          <w:p>
            <w:pPr>
              <w:pStyle w:val="null3"/>
              <w:jc w:val="right"/>
            </w:pPr>
            <w:r>
              <w:rPr/>
              <w:t>2.00</w:t>
            </w:r>
          </w:p>
        </w:tc>
        <w:tc>
          <w:tcPr>
            <w:tcW w:type="dxa" w:w="933"/>
          </w:tcPr>
          <w:p>
            <w:pPr>
              <w:pStyle w:val="null3"/>
              <w:jc w:val="right"/>
            </w:pPr>
            <w:r>
              <w:rPr/>
              <w:t>875,000.00</w:t>
            </w:r>
          </w:p>
        </w:tc>
        <w:tc>
          <w:tcPr>
            <w:tcW w:type="dxa" w:w="933"/>
          </w:tcPr>
          <w:p>
            <w:pPr>
              <w:pStyle w:val="null3"/>
              <w:jc w:val="right"/>
            </w:pPr>
            <w:r>
              <w:rPr/>
              <w:t>1,750,000.00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精准医学中心标本外送委托检验服务（子包二）</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pPr>
            <w:r>
              <w:rPr/>
              <w:t>（一）精准医学中心标本外送委托检验服务内容</w:t>
            </w:r>
          </w:p>
          <w:p>
            <w:pPr>
              <w:pStyle w:val="null3"/>
            </w:pPr>
            <w:r>
              <w:rPr/>
              <w:t>为采购人院内临床需要但暂未开展的精准医学中心项目进行外送检验服务，具体外送检验服务项目范围详见附件2《精准医学中心项目外送检验明细表》，若需送检《精准医学中心项目外送检验明细表》范围外的检验项目必须经采购人相关部门同意后方可送检。</w:t>
            </w:r>
          </w:p>
          <w:p>
            <w:pPr>
              <w:pStyle w:val="null3"/>
              <w:jc w:val="both"/>
            </w:pPr>
            <w:r>
              <w:rPr/>
              <w:t>附件2：</w:t>
            </w:r>
          </w:p>
          <w:p>
            <w:pPr>
              <w:pStyle w:val="null3"/>
            </w:pPr>
            <w:r>
              <w:rPr/>
              <w:t>《精准医学中心项目外送检验明细表》</w:t>
            </w:r>
          </w:p>
          <w:tbl>
            <w:tblPr>
              <w:tblBorders>
                <w:top w:val="none" w:color="000000" w:sz="4"/>
                <w:left w:val="none" w:color="000000" w:sz="4"/>
                <w:bottom w:val="none" w:color="000000" w:sz="4"/>
                <w:right w:val="none" w:color="000000" w:sz="4"/>
                <w:insideH w:val="none"/>
                <w:insideV w:val="none"/>
              </w:tblBorders>
            </w:tblPr>
            <w:tblGrid>
              <w:gridCol w:w="5598"/>
            </w:tblGrid>
            <w:tr>
              <w:tc>
                <w:tcPr>
                  <w:tcW w:type="dxa" w:w="55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项目名称</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弓形虫DNA荧光定量</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单纯疱疹病毒Ⅱ型DNA荧光定性</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病原微生物宏基因组检测（DNA）</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病原微生物宏基因组检测（RNA）</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病原微生物宏基因组检测（DNA+RNA）</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CADASIL病NOTCH3基因测序</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急性淋巴细胞白血病免疫分型检测(32CD)</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急性髓系白血病免疫分型检测(36CD)</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AML 22种基因突变筛查组合</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AML/MDS/MPN 38种热点基因突变筛查组合</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FLT3-ITD基因突变检测</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MYD88基因L265P突变</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B系淋巴瘤相关62种基因突变</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MDS-MPN基因突变检测(38基因)</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MDS全基因组芯片检测</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多发性骨髓瘤 (MM)热点基因突变筛查</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噬血细胞综合征(HLH)拓展18种基因</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抗凝血精准用药分子检测组合</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多发性骨髓瘤(MM)/MM微小残留细胞相关CD系列检测(20CD)</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白血病/淋巴瘤微小残留病变细胞检测</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EML4-ALK基因融合（PCR）法</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MSI微卫星不稳定性（测序法）</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PIK3CA基因突变（外显子9/20）（测序法）</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同源重组修复（HRR）相关基因检测</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肺癌37基因个体化用药检测</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乳腺癌61基因个体化用药检测报告</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实体瘤化疗用药基因检测（高通量测序法）</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结直肠癌42基因个体化用药检测</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胃癌/食管癌42基因个体化用药基因检测</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先天性肌无力相关基因测试</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人乳头瘤细胞6+11型CNA荧光定量HPV6+11-DNA</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线粒体病相关基因整体检测（线粒体+核基因）</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BCR-ABL1融合基因罕见型筛查</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BCR-ABL1 p230</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高敏PNH(FLAER)检测</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TP53基因突变检测</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淋巴瘤免疫分型检测(36CD)</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高灵敏HBVDNA检测</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HIV1型荧光定性</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HIV1型荧光定量</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癫痫基因检测(原发性,继发性)</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21-羟化酶缺陷症基因检测</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肝豆状ATP7B基因编码区和部分含子检测</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BRAF V600E基因突变检测</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遗传性糖尿病相关基因检测</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高危HPV-DNA荧光定量</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肠道病毒通用型RNA</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JAK2-V617E基因突变定性检测</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白塞病HLA-B51基因检测</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NGS流产物组织缺染色体异常基因检测</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地高辛</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丙戊酸</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苯妥英钠(大仑丁)</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卡马西平</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万古霉素(VAN)</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普乐可复(FK506)</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雷帕霉素</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他克莫司</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苯妥英钠(液相色谱-串联质谱法)</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伏立康唑</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17-羟皮质类固醇(17-OHCS)</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17-酮皮质类固醇(17-KS)</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儿茶酚胺(ADR,NAD,DOP)</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儿茶酚胺7项</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红细胞CD55\CD59评估</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尿儿茶酚胺三项</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遗传性朊蛋白质PRNP基因检测</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胎儿染色体非整倍体无创产前基因检测</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硫唑嘌呤相关基因（TPMT）检测</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高灵敏度丙型肝炎RNA定量检测</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奥卡西平</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BCR-ABL1 p210</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BCR-ABL1 p190</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乙型肝炎病毒基因分型及耐药检测</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25羟维生素D测定</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HBV pgRNA 定量</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水痘-带状疱疹病毒(VZV-DNA)定性</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B族链球菌(GBS-DNA)定性</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无创胎儿染色体非整倍体产前检测</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男性不育Y染色体微缺失</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外周血染色体核型分析</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外周血淋巴细胞染色体核型分析(培养细胞的染色体分析)</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手足口病三项</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B群链球菌DNA定性</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血浆甲氧基肾上腺素类物质（三项）</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红细胞CD55、CD59</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外周血淋巴细胞染色体核型分析(培养细胞的染色体分析)</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普通PNHCD55/CD59评估(5CD，包括红细胞和粒细胞)</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BCR/ABL1分型定量</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JAK2-V617定性</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BCR/ABL1分型定性</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AML1-ETO(RUNX1-RUNX1T1)定量检测(RQ-PCR)</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CBF-MYH11融合基因定量检测(RQ-PCR)</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DEK-NUP214融合基因定量检测(RQ-PCR)</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MLL-AF9融合基因定量检测(RQ-PCR)</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融合基因PML/RARα分型+定量（初诊）</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PML-RARα融合基因定量检测(RQ-PCR)</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WT1基因定量检测(RQ-PCR)</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MLL-AF6(KMT2A-MLLT4)融合基因定量检测(RQ-PCR)</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MLL-ENL(KMT2A-MLLT1)定量检测(RQ-PCR)</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E2A-PBX1融合基因定量检测(RQ-PCR)</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MLL-AF4融合基因定量检测(RQ-PCR)</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SIL-TAL1融合基因定量检测(RQ-PCR)</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TEL-AML1融合基因定量检测(RQ-PCR)</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JAK2基因V617F突变定量检测(RQ-PCR)</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NPM1-ALK定量检测(RQ-PCR)</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FIP1L1-PDGFRa融合基因定量检测</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TEL-PDGFRB(ETV6-PDGFRB)融合基因定量检测(RQ-PCR)</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B细胞克隆性评估(IGH,IGK,IGL基因重排)</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T细胞克隆性评估(TCRG,TCRB,TCRD基因重排)</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BRAF-V600E基因突变检测</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骨髓移植供体细胞DNA嵌合率检测(供者+移植前受者)</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骨髓移植供体细胞DNA嵌合率检测(移植后受者)</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骨髓移植供体细胞DNA嵌合率检测(供者+移植前受者+移植后受者)</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HLA I类特异性抗体（单抗原）</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HLA II类特异性抗体（单抗原）</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生殖道多种病原体靶向测序</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SEPTIN9肠癌基因检测</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病原微生物16srDNA高通量测序</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不孕不育全外显子测序检测</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神经遗传全外显子组测序检测（先证者）</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强直性肌营养不良DM1型基因片段分析(CE)</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假肥大型肌营养不良DMD基因检测</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性别发育异常相关基因测序检测（包含CYP21A2基因）</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septin9肠癌甲基化检测</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肺癌早筛甲基化检查</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胃癌早筛甲基化检测</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DNA-病原微生物宏基因级检测</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RNA-病原微生物宏基因级检测</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膀胱癌Twist1基因甲基化检测</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实体肿瘤精准诊疗组合（FFPE)</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实体肿瘤精准诊疗组合（ctDNA）</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实体肿瘤精准诊疗相关基因测序检测(DNA，FFPE)</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实体肿瘤精准诊疗相关基因测序检测(DNA，ctDNA)</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胃肠间质瘤精准诊疗组合（FFPE)</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胃肠间质瘤精准诊疗组合（ctDNA)</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胃肠间质瘤相关基因测序检测组合（FFPE）</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胃肠间质瘤相关基因测序检测组合（ctDNA）</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胃肠道肿瘤易感基因突变检测组合（19基因)</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胃/食管癌精准诊疗组合（FFPE)</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胃/食管癌精准诊疗组合（ctDNA)</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胃癌相关基因测序检测组合（FFPE)</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胃癌相关基因测序检测组合（ctDNA)</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食管癌相关基因测序检测组合（FFPE）</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食管癌相关基因测序检测组合（ctDNA）</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胰腺癌精准诊疗组合（FFPE)</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胰腺癌精准诊疗组合（ctDNA)</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胰腺癌相关基因测序检测组合（FFPE）</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胰腺癌相关基因测序检测组合（ctDNA）</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胆管/肝癌精准诊疗组合（FFPE)</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胆管/肝癌精准诊疗套组合（ctDNA)</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肺癌精准诊疗组合（FFPE)</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肺癌精准诊疗组合（ctDNA）</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肺癌相关基因测序检测组合（ctDNA）</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肺癌相关基因测序检测组合（FFPE）</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肠癌精准诊疗组合（FFPE)</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肠癌精准诊疗组合（ctDNA)</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结直肠癌相关基因测序检测组合（FFPE）</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结直肠癌相关基因测序检测组合（ctDNA）</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乳腺癌精准诊疗组合（FFPE)</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乳腺癌精准诊疗组合（ctDNA)</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乳腺癌相关基因测序检测组合（FFPE）</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乳腺癌相关基因测序检测组合（ctDNA）</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前列腺癌精准诊疗组合（FFPE)</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前列腺癌精准诊疗组合（ctDNA)</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前列腺癌相关基因测序检测组合（FFPE）</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前列腺癌相关基因测序检测组合（ctDNA）</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膀胱癌精准诊疗组合（FFPE)</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膀胱癌精准诊疗组合（ctDNA)</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膀胱癌相关基因测序检测组合（FFPE）</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膀胱癌相关基因测序检测组合（ctDNA）</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卵巢癌精准诊疗组合（FFPE)</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卵巢癌精准诊疗组合（ctDNA)</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卵巢癌相关基因测序检测组合（FFPE）</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卵巢癌相关基因测序检测组合（ctDNA）</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子宫内膜癌精准诊疗组合（FFPE)</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子宫内膜癌精准诊疗组合（ctDNA)</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子宫内膜癌相关基因测序检测组合（FFPE）</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子宫内膜癌相关基因测序检测组合（ctDNA）</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黑色素瘤精准诊疗组合（FFPE)</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黑色素瘤精准诊疗组合（ctDNA)</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黑色素瘤相关基因测序检测组合（FFPE）</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黑色素瘤相关基因测序检测组合（ctDNA）</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胶质瘤精准诊疗组合（FFPE)</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胶质瘤精准诊疗组合（ctDNA)</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甲状腺癌精准诊疗组合（FFPE)</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甲状腺癌精准诊疗组合（ctDNA)</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软组织和骨肿瘤精准诊疗组合（FFPE)</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软组织和骨肿瘤精准诊疗组合（ctDNA)</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软组织和骨肿瘤相关基因测序检测组合（FFPE）</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软组织和骨肿瘤相关基因测序检测组合（ctDNA）</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肿瘤易感基因突变检测组合(109基因)</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实体肿瘤化疗药物相关基因多态性检测</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微卫星序列不稳定性检测(MSI，片段分析)</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乳腺癌/卵巢癌易感基因突变检测(21基因）</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中枢神经系统肿瘤相关分子检测组合(FFPE)</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BRAF基因突变热点检测(测序法，FFPE)</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NRAS基因突变热点检测(测序法，FFPE)</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乳腺癌复发风险21基因检测（SH-21，FFPE)</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遗传病全基因组测序（单人）</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遗传病全基因组测序（三人家系）</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染色体微阵列分析(750K，不孕不育)</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染色体微阵列分析(750，流产物)</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染色体微阵列分析(0ptima，流产物)</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人肠道病毒基因测序分型</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脑血管遗传病多基因测序</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脑小血管病相关基因测序</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肝豆状核变性ATP7B基因MLPA检测</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肝豆状核变性ATP7B基因测序</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遗传代谢病多基因测序</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遗传性痴呆症相关基因测序</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癫痫相关扩展基因测序检测</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RETT综合征MECP2基因检测</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Rett综合征MECP2基因MLPA检测</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脆性X综合征FMR1基因片段分析(CE)</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Prader Willi综合征/天使综合征(PWS/AS)拷贝数及甲基化检测</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周期性麻痹/瘫痪相关基因测序</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肌张力障碍相关基因测序</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强直性肌营养不良DM1型基因片段分析(CE)</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肯尼迪病AR基因片段分析(CE)</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遗传性周围神经病相关基因检测</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遗传性痉挛截瘫相关基因检测</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亨廷顿病HTT基因片段分析(CE)</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遗传性共济失调相关基因检测</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脊髓小脑共济失调SCA1/2/3型基因检测(CE)</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结节性硬化症TSC1与TSC2基因检测</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结节性硬化症TSC2基因MLPA检测</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结节性硬化症TSC1基因MLPA检测</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（遗传病)家族成员样本特定点突变检测</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(外来)特定点突变测序(单项)</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特定单基因遗传病相关基因检测</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遗传病全外显子组基因测序(单样本,Solo)</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遗传病全外显子组家系检测(Trio)，2-3人</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抗癫痫焦虑镇静催眠类安全用药基因检测,NGS</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精神类药物基因检测,NGS</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糖原累积症相关基因检测</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KRAS/NRAS/BRAF基因突变检测</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AML相关基因突变及融合检测组合（72突变+25融合）</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MPN相关基因突变及融合检测组合（74突变+25融合）</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MDS相关基因突变及融合检测组合（68突变+25融合）</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淋巴瘤相关基因突变检测组合（176基因）</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假性甲状旁腺机能减退综合征1a型GNAS基因测序</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JAK2基因外显子12热点突变检测</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马凡综合征和遗传性胸主动脉瘤/夹层相关基因测序检测</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MetaCAP病原微生物核酸高通量测序</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FLT3基因ITD突变检测(片段分析)</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FLT3基因TKD热点突变检测</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血液肿瘤IDH1/2基因突变检测</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AML相关基因突变及融合检测组合</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ALL相关基因突变及融合检测组合</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MPN相关基因突变及融合检测组合</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MDS相关基因突变及融合检测组合</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滤泡淋巴瘤预后相关基因突变检测组合</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弥漫大B细胞淋巴瘤相关基因突变检测组合</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SRY基因片段分析</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HLA-A,B,C,DRB1,DQB1等位基因确认分型</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HLA高分辨基因分型（11位点）</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HLA高分辨基因分型（6位点）</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HLA高分辨基因分型（5位点）</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染色体微阵列分析(HD，不孕不育)</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染色体微阵列分析(HD，流产物)</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染色体微阵列分析(750K，产后)</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染色体微阵列分析(HD，产后)</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ALL相关基因突变及融合检测组合（88突变+14融合）</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B-ALL相关基因突变及融合检测组合(50突变+14融合)</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T-ALL相关基因突变及融合检测组合(65突变+14融合)</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aCML与CNL鉴别相关基因突变融合检测(4突变+1融合)</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Ph样ALL相关基因筛查（表达+融合基因）</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HCL相关基因突变检测（35突变）</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LPL/WM相关基因突变检测（33突变）</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CLL/SLL相关基因突变检测（41突变）</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CML疾病进展相关基因突变检测（11突变）</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CMML相关基因测序检测（47突变）</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JMML相关基因测序检测（23突变）</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AA相关基因测序检测（5突变）</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MDS甲基化相关基因突变检测（6突变）</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多发性骨髓瘤相关基因突变检测（66突变）</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血液肿瘤NGS阳性位点后续检测</w:t>
                  </w:r>
                </w:p>
              </w:tc>
            </w:tr>
          </w:tbl>
          <w:p/>
        </w:tc>
      </w:tr>
      <w:tr>
        <w:tc>
          <w:tcPr>
            <w:tcW w:type="dxa" w:w="2076"/>
          </w:tcPr>
          <w:p/>
        </w:tc>
        <w:tc>
          <w:tcPr>
            <w:tcW w:type="dxa" w:w="415"/>
          </w:tcPr>
          <w:p>
            <w:pPr>
              <w:pStyle w:val="null3"/>
            </w:pPr>
            <w:r>
              <w:rPr/>
              <w:t>2</w:t>
            </w:r>
          </w:p>
        </w:tc>
        <w:tc>
          <w:tcPr>
            <w:tcW w:type="dxa" w:w="5814"/>
          </w:tcPr>
          <w:p>
            <w:pPr>
              <w:pStyle w:val="null3"/>
            </w:pPr>
            <w:r>
              <w:rPr/>
              <w:t>（二）服务要求</w:t>
            </w:r>
          </w:p>
          <w:p>
            <w:pPr>
              <w:pStyle w:val="null3"/>
            </w:pPr>
            <w:r>
              <w:rPr/>
              <w:t>1、标本接收、送检及检验：</w:t>
            </w:r>
          </w:p>
          <w:p>
            <w:pPr>
              <w:pStyle w:val="null3"/>
            </w:pPr>
            <w:r>
              <w:rPr/>
              <w:t>（1）为本项目配备专用车辆，用于接收标本，车辆需配备专用的车载冰箱或保温箱。冰箱或保温箱应配有相应的温度记录表，且每日至少进行一次清洁消毒，以确保标本质量。标本采用专线运输，样本的运送需符合《医学检验生物样本冷链物流运作规范》（GB/T 42186-2022）以及生物安全要求，以保障运输过程中样品的质量和环境安全。需规范运送可感染人类的病原微生物菌（毒）种或样本。对于有低温冷冻需求或特殊要求的样本，需依据具体项目与采购人进行协商。</w:t>
            </w:r>
          </w:p>
        </w:tc>
      </w:tr>
      <w:tr>
        <w:tc>
          <w:tcPr>
            <w:tcW w:type="dxa" w:w="2076"/>
          </w:tcPr>
          <w:p/>
        </w:tc>
        <w:tc>
          <w:tcPr>
            <w:tcW w:type="dxa" w:w="415"/>
          </w:tcPr>
          <w:p>
            <w:pPr>
              <w:pStyle w:val="null3"/>
            </w:pPr>
            <w:r>
              <w:rPr/>
              <w:t>3</w:t>
            </w:r>
          </w:p>
        </w:tc>
        <w:tc>
          <w:tcPr>
            <w:tcW w:type="dxa" w:w="5814"/>
          </w:tcPr>
          <w:p>
            <w:pPr>
              <w:pStyle w:val="null3"/>
            </w:pPr>
            <w:r>
              <w:rPr/>
              <w:t>（2）为本项目服务提供每天至少一次的上门接收标本的服务，时间为8:00至15:00，遇特殊标本可机动收取。</w:t>
            </w:r>
          </w:p>
        </w:tc>
      </w:tr>
      <w:tr>
        <w:tc>
          <w:tcPr>
            <w:tcW w:type="dxa" w:w="2076"/>
          </w:tcPr>
          <w:p/>
        </w:tc>
        <w:tc>
          <w:tcPr>
            <w:tcW w:type="dxa" w:w="415"/>
          </w:tcPr>
          <w:p>
            <w:pPr>
              <w:pStyle w:val="null3"/>
            </w:pPr>
            <w:r>
              <w:rPr/>
              <w:t>4</w:t>
            </w:r>
          </w:p>
        </w:tc>
        <w:tc>
          <w:tcPr>
            <w:tcW w:type="dxa" w:w="5814"/>
          </w:tcPr>
          <w:p>
            <w:pPr>
              <w:pStyle w:val="null3"/>
            </w:pPr>
            <w:r>
              <w:rPr/>
              <w:t>（3）应为本项目服务标本接收人员进行严格培训，负责标本质量的初检、标识的核对，标本的接收登记及包装储存。</w:t>
            </w:r>
          </w:p>
        </w:tc>
      </w:tr>
      <w:tr>
        <w:tc>
          <w:tcPr>
            <w:tcW w:type="dxa" w:w="2076"/>
          </w:tcPr>
          <w:p/>
        </w:tc>
        <w:tc>
          <w:tcPr>
            <w:tcW w:type="dxa" w:w="415"/>
          </w:tcPr>
          <w:p>
            <w:pPr>
              <w:pStyle w:val="null3"/>
            </w:pPr>
            <w:r>
              <w:rPr/>
              <w:t>5</w:t>
            </w:r>
          </w:p>
        </w:tc>
        <w:tc>
          <w:tcPr>
            <w:tcW w:type="dxa" w:w="5814"/>
          </w:tcPr>
          <w:p>
            <w:pPr>
              <w:pStyle w:val="null3"/>
            </w:pPr>
            <w:r>
              <w:rPr/>
              <w:t>（4）确保本项目服务及时接收、送检标本和及时检验。标本不符合检验要求时，应及时通知采购人重新取样。</w:t>
            </w:r>
          </w:p>
        </w:tc>
      </w:tr>
      <w:tr>
        <w:tc>
          <w:tcPr>
            <w:tcW w:type="dxa" w:w="2076"/>
          </w:tcPr>
          <w:p/>
        </w:tc>
        <w:tc>
          <w:tcPr>
            <w:tcW w:type="dxa" w:w="415"/>
          </w:tcPr>
          <w:p>
            <w:pPr>
              <w:pStyle w:val="null3"/>
            </w:pPr>
            <w:r>
              <w:rPr/>
              <w:t>6</w:t>
            </w:r>
          </w:p>
        </w:tc>
        <w:tc>
          <w:tcPr>
            <w:tcW w:type="dxa" w:w="5814"/>
          </w:tcPr>
          <w:p>
            <w:pPr>
              <w:pStyle w:val="null3"/>
            </w:pPr>
            <w:r>
              <w:rPr/>
              <w:t>（5）在采购人规定的时间内出具相应检验报告。如检验报告超出规定时间且未向采购人出具书面通知，造成恶劣影响的，包括造成医疗纠纷、投诉或受到行政监管机关的处罚等情况，服务方应承担相应的经济和法律责任。</w:t>
            </w:r>
          </w:p>
        </w:tc>
      </w:tr>
      <w:tr>
        <w:tc>
          <w:tcPr>
            <w:tcW w:type="dxa" w:w="2076"/>
          </w:tcPr>
          <w:p/>
        </w:tc>
        <w:tc>
          <w:tcPr>
            <w:tcW w:type="dxa" w:w="415"/>
          </w:tcPr>
          <w:p>
            <w:pPr>
              <w:pStyle w:val="null3"/>
            </w:pPr>
            <w:r>
              <w:rPr/>
              <w:t>7</w:t>
            </w:r>
          </w:p>
        </w:tc>
        <w:tc>
          <w:tcPr>
            <w:tcW w:type="dxa" w:w="5814"/>
          </w:tcPr>
          <w:p>
            <w:pPr>
              <w:pStyle w:val="null3"/>
            </w:pPr>
            <w:r>
              <w:rPr/>
              <w:t>（6）部分特殊检查项目需要的采样器、知情同意书、专用的患者资料登记申请单等由服务方提供。</w:t>
            </w:r>
          </w:p>
        </w:tc>
      </w:tr>
      <w:tr>
        <w:tc>
          <w:tcPr>
            <w:tcW w:type="dxa" w:w="2076"/>
          </w:tcPr>
          <w:p/>
        </w:tc>
        <w:tc>
          <w:tcPr>
            <w:tcW w:type="dxa" w:w="415"/>
          </w:tcPr>
          <w:p>
            <w:pPr>
              <w:pStyle w:val="null3"/>
            </w:pPr>
            <w:r>
              <w:rPr/>
              <w:t>8</w:t>
            </w:r>
          </w:p>
        </w:tc>
        <w:tc>
          <w:tcPr>
            <w:tcW w:type="dxa" w:w="5814"/>
          </w:tcPr>
          <w:p>
            <w:pPr>
              <w:pStyle w:val="null3"/>
            </w:pPr>
            <w:r>
              <w:rPr/>
              <w:t>2、提供结果查询：</w:t>
            </w:r>
          </w:p>
          <w:p>
            <w:pPr>
              <w:pStyle w:val="null3"/>
            </w:pPr>
            <w:r>
              <w:rPr/>
              <w:t>（1）为保证检验结果实时网络传送，实现实验室数据的汇总、储存、传输功能，需与医院LIS和HIS等管理系统对接，院方LIS系统可检索、核对结果。保证送检类别、数量、检验报告与HIS的医嘱一致。服务方负责信息系统对接费用、后期维护、故障处理等，信息系统故障处理响应时间不超过2小时。</w:t>
            </w:r>
          </w:p>
        </w:tc>
      </w:tr>
      <w:tr>
        <w:tc>
          <w:tcPr>
            <w:tcW w:type="dxa" w:w="2076"/>
          </w:tcPr>
          <w:p/>
        </w:tc>
        <w:tc>
          <w:tcPr>
            <w:tcW w:type="dxa" w:w="415"/>
          </w:tcPr>
          <w:p>
            <w:pPr>
              <w:pStyle w:val="null3"/>
            </w:pPr>
            <w:r>
              <w:rPr/>
              <w:t>9</w:t>
            </w:r>
          </w:p>
        </w:tc>
        <w:tc>
          <w:tcPr>
            <w:tcW w:type="dxa" w:w="5814"/>
          </w:tcPr>
          <w:p>
            <w:pPr>
              <w:pStyle w:val="null3"/>
            </w:pPr>
            <w:r>
              <w:rPr/>
              <w:t>（2）提供网上查询服务，以供随时查询进度和结果。</w:t>
            </w:r>
          </w:p>
        </w:tc>
      </w:tr>
      <w:tr>
        <w:tc>
          <w:tcPr>
            <w:tcW w:type="dxa" w:w="2076"/>
          </w:tcPr>
          <w:p/>
        </w:tc>
        <w:tc>
          <w:tcPr>
            <w:tcW w:type="dxa" w:w="415"/>
          </w:tcPr>
          <w:p>
            <w:pPr>
              <w:pStyle w:val="null3"/>
            </w:pPr>
            <w:r>
              <w:rPr/>
              <w:t>10</w:t>
            </w:r>
          </w:p>
        </w:tc>
        <w:tc>
          <w:tcPr>
            <w:tcW w:type="dxa" w:w="5814"/>
          </w:tcPr>
          <w:p>
            <w:pPr>
              <w:pStyle w:val="null3"/>
            </w:pPr>
            <w:r>
              <w:rPr/>
              <w:t>（3）提供电话查询服务，危急值专人电话跟进，确保患者检测信息与临床医生的畅通。</w:t>
            </w:r>
          </w:p>
        </w:tc>
      </w:tr>
      <w:tr>
        <w:tc>
          <w:tcPr>
            <w:tcW w:type="dxa" w:w="2076"/>
          </w:tcPr>
          <w:p/>
        </w:tc>
        <w:tc>
          <w:tcPr>
            <w:tcW w:type="dxa" w:w="415"/>
          </w:tcPr>
          <w:p>
            <w:pPr>
              <w:pStyle w:val="null3"/>
            </w:pPr>
            <w:r>
              <w:rPr/>
              <w:t>11</w:t>
            </w:r>
          </w:p>
        </w:tc>
        <w:tc>
          <w:tcPr>
            <w:tcW w:type="dxa" w:w="5814"/>
          </w:tcPr>
          <w:p>
            <w:pPr>
              <w:pStyle w:val="null3"/>
            </w:pPr>
            <w:r>
              <w:rPr/>
              <w:t>（4）医务人员可以随时调阅检验结果，服务方须保证病人的资料的准确性和检验结果的及时性，并提供系统使用的必要培训与技术支持。</w:t>
            </w:r>
          </w:p>
        </w:tc>
      </w:tr>
      <w:tr>
        <w:tc>
          <w:tcPr>
            <w:tcW w:type="dxa" w:w="2076"/>
          </w:tcPr>
          <w:p/>
        </w:tc>
        <w:tc>
          <w:tcPr>
            <w:tcW w:type="dxa" w:w="415"/>
          </w:tcPr>
          <w:p>
            <w:pPr>
              <w:pStyle w:val="null3"/>
            </w:pPr>
            <w:r>
              <w:rPr/>
              <w:t>12</w:t>
            </w:r>
          </w:p>
        </w:tc>
        <w:tc>
          <w:tcPr>
            <w:tcW w:type="dxa" w:w="5814"/>
          </w:tcPr>
          <w:p>
            <w:pPr>
              <w:pStyle w:val="null3"/>
            </w:pPr>
            <w:r>
              <w:rPr/>
              <w:t>（5）按照检测项目常规报告时间提供检测结果，并能满足采购人急诊项目的优先检测。</w:t>
            </w:r>
          </w:p>
        </w:tc>
      </w:tr>
      <w:tr>
        <w:tc>
          <w:tcPr>
            <w:tcW w:type="dxa" w:w="2076"/>
          </w:tcPr>
          <w:p/>
        </w:tc>
        <w:tc>
          <w:tcPr>
            <w:tcW w:type="dxa" w:w="415"/>
          </w:tcPr>
          <w:p>
            <w:pPr>
              <w:pStyle w:val="null3"/>
            </w:pPr>
            <w:r>
              <w:rPr/>
              <w:t>13</w:t>
            </w:r>
          </w:p>
        </w:tc>
        <w:tc>
          <w:tcPr>
            <w:tcW w:type="dxa" w:w="5814"/>
          </w:tcPr>
          <w:p>
            <w:pPr>
              <w:pStyle w:val="null3"/>
            </w:pPr>
            <w:r>
              <w:rPr/>
              <w:t>3、其他要求</w:t>
            </w:r>
          </w:p>
          <w:p>
            <w:pPr>
              <w:pStyle w:val="null3"/>
            </w:pPr>
            <w:r>
              <w:rPr/>
              <w:t>（1）须具有规范的标本接收、登记和包装流程，保证标本质量和安全，确保标本顺利交接，方便查核。配合采购人做好标本的采集沟通，运输。应承担运输中出现问题的一切负责，如标本丢失、污染等。</w:t>
            </w:r>
          </w:p>
        </w:tc>
      </w:tr>
      <w:tr>
        <w:tc>
          <w:tcPr>
            <w:tcW w:type="dxa" w:w="2076"/>
          </w:tcPr>
          <w:p/>
        </w:tc>
        <w:tc>
          <w:tcPr>
            <w:tcW w:type="dxa" w:w="415"/>
          </w:tcPr>
          <w:p>
            <w:pPr>
              <w:pStyle w:val="null3"/>
            </w:pPr>
            <w:r>
              <w:rPr/>
              <w:t>14</w:t>
            </w:r>
          </w:p>
        </w:tc>
        <w:tc>
          <w:tcPr>
            <w:tcW w:type="dxa" w:w="5814"/>
          </w:tcPr>
          <w:p>
            <w:pPr>
              <w:pStyle w:val="null3"/>
            </w:pPr>
            <w:r>
              <w:rPr/>
              <w:t>（2）配合采购人做好标本的采集沟通，运输。应承担运输过程中出现的一切问题的责任，如标本丢失、污染等情形。</w:t>
            </w:r>
          </w:p>
        </w:tc>
      </w:tr>
      <w:tr>
        <w:tc>
          <w:tcPr>
            <w:tcW w:type="dxa" w:w="2076"/>
          </w:tcPr>
          <w:p/>
        </w:tc>
        <w:tc>
          <w:tcPr>
            <w:tcW w:type="dxa" w:w="415"/>
          </w:tcPr>
          <w:p>
            <w:pPr>
              <w:pStyle w:val="null3"/>
            </w:pPr>
            <w:r>
              <w:rPr/>
              <w:t>15</w:t>
            </w:r>
          </w:p>
        </w:tc>
        <w:tc>
          <w:tcPr>
            <w:tcW w:type="dxa" w:w="5814"/>
          </w:tcPr>
          <w:p>
            <w:pPr>
              <w:pStyle w:val="null3"/>
            </w:pPr>
            <w:r>
              <w:rPr/>
              <w:t>（3）须保证本项目服务按国家检验质量规范要求进行操作，对检验结果的准确性负责，并对标本的检验报告承担相应的责任。</w:t>
            </w:r>
          </w:p>
        </w:tc>
      </w:tr>
      <w:tr>
        <w:tc>
          <w:tcPr>
            <w:tcW w:type="dxa" w:w="2076"/>
          </w:tcPr>
          <w:p/>
        </w:tc>
        <w:tc>
          <w:tcPr>
            <w:tcW w:type="dxa" w:w="415"/>
          </w:tcPr>
          <w:p>
            <w:pPr>
              <w:pStyle w:val="null3"/>
            </w:pPr>
            <w:r>
              <w:rPr/>
              <w:t>16</w:t>
            </w:r>
          </w:p>
        </w:tc>
        <w:tc>
          <w:tcPr>
            <w:tcW w:type="dxa" w:w="5814"/>
          </w:tcPr>
          <w:p>
            <w:pPr>
              <w:pStyle w:val="null3"/>
            </w:pPr>
            <w:r>
              <w:rPr/>
              <w:t>（4）若将部分项目委托具有相应资质的第三方进行检测，须就第三方出具的检测结果向采购人承担责任。</w:t>
            </w:r>
          </w:p>
        </w:tc>
      </w:tr>
      <w:tr>
        <w:tc>
          <w:tcPr>
            <w:tcW w:type="dxa" w:w="2076"/>
          </w:tcPr>
          <w:p/>
        </w:tc>
        <w:tc>
          <w:tcPr>
            <w:tcW w:type="dxa" w:w="415"/>
          </w:tcPr>
          <w:p>
            <w:pPr>
              <w:pStyle w:val="null3"/>
            </w:pPr>
            <w:r>
              <w:rPr/>
              <w:t>17</w:t>
            </w:r>
          </w:p>
        </w:tc>
        <w:tc>
          <w:tcPr>
            <w:tcW w:type="dxa" w:w="5814"/>
          </w:tcPr>
          <w:p>
            <w:pPr>
              <w:pStyle w:val="null3"/>
            </w:pPr>
            <w:r>
              <w:rPr/>
              <w:t>（5）应为本项目服务履行保密的义务，在未经采购人同意或授权前提下，不得向采购人及其工作人员以外的任何单位或个人泄露采购人委托检验的项目、检验的内容、检验的结果，但受检者及其授权代理人查询、咨询其检验项目事宜的除外。</w:t>
            </w:r>
          </w:p>
        </w:tc>
      </w:tr>
      <w:tr>
        <w:tc>
          <w:tcPr>
            <w:tcW w:type="dxa" w:w="2076"/>
          </w:tcPr>
          <w:p/>
        </w:tc>
        <w:tc>
          <w:tcPr>
            <w:tcW w:type="dxa" w:w="415"/>
          </w:tcPr>
          <w:p>
            <w:pPr>
              <w:pStyle w:val="null3"/>
            </w:pPr>
            <w:r>
              <w:rPr/>
              <w:t>18</w:t>
            </w:r>
          </w:p>
        </w:tc>
        <w:tc>
          <w:tcPr>
            <w:tcW w:type="dxa" w:w="5814"/>
          </w:tcPr>
          <w:p>
            <w:pPr>
              <w:pStyle w:val="null3"/>
            </w:pPr>
            <w:r>
              <w:rPr/>
              <w:t>（6）若标本在送检过程中出现延迟、遗漏、丢失等情况，应有完善的应急预案予以妥善解决，并承担因标本问题引起的纠纷以及赔偿责任。</w:t>
            </w:r>
          </w:p>
        </w:tc>
      </w:tr>
      <w:tr>
        <w:tc>
          <w:tcPr>
            <w:tcW w:type="dxa" w:w="2076"/>
          </w:tcPr>
          <w:p/>
        </w:tc>
        <w:tc>
          <w:tcPr>
            <w:tcW w:type="dxa" w:w="415"/>
          </w:tcPr>
          <w:p>
            <w:pPr>
              <w:pStyle w:val="null3"/>
            </w:pPr>
            <w:r>
              <w:rPr/>
              <w:t>19</w:t>
            </w:r>
          </w:p>
        </w:tc>
        <w:tc>
          <w:tcPr>
            <w:tcW w:type="dxa" w:w="5814"/>
          </w:tcPr>
          <w:p>
            <w:pPr>
              <w:pStyle w:val="null3"/>
            </w:pPr>
            <w:r>
              <w:rPr/>
              <w:t>（7）检验结果差错比≤万分之一。</w:t>
            </w:r>
          </w:p>
        </w:tc>
      </w:tr>
      <w:tr>
        <w:tc>
          <w:tcPr>
            <w:tcW w:type="dxa" w:w="2076"/>
          </w:tcPr>
          <w:p/>
        </w:tc>
        <w:tc>
          <w:tcPr>
            <w:tcW w:type="dxa" w:w="415"/>
          </w:tcPr>
          <w:p>
            <w:pPr>
              <w:pStyle w:val="null3"/>
            </w:pPr>
            <w:r>
              <w:rPr/>
              <w:t>20</w:t>
            </w:r>
          </w:p>
        </w:tc>
        <w:tc>
          <w:tcPr>
            <w:tcW w:type="dxa" w:w="5814"/>
          </w:tcPr>
          <w:p>
            <w:pPr>
              <w:pStyle w:val="null3"/>
            </w:pPr>
            <w:r>
              <w:rPr/>
              <w:t>（8）检验结果与诊断报告相符程度（不可前后矛盾）≥99.9%。</w:t>
            </w:r>
          </w:p>
        </w:tc>
      </w:tr>
      <w:tr>
        <w:tc>
          <w:tcPr>
            <w:tcW w:type="dxa" w:w="2076"/>
          </w:tcPr>
          <w:p/>
        </w:tc>
        <w:tc>
          <w:tcPr>
            <w:tcW w:type="dxa" w:w="415"/>
          </w:tcPr>
          <w:p>
            <w:pPr>
              <w:pStyle w:val="null3"/>
            </w:pPr>
            <w:r>
              <w:rPr/>
              <w:t>21</w:t>
            </w:r>
          </w:p>
        </w:tc>
        <w:tc>
          <w:tcPr>
            <w:tcW w:type="dxa" w:w="5814"/>
          </w:tcPr>
          <w:p>
            <w:pPr>
              <w:pStyle w:val="null3"/>
            </w:pPr>
            <w:r>
              <w:rPr/>
              <w:t>（9）如需召回检验报告的，应及时通过电话、微信、当面告知等任一方式通知采购人召回检验报告，并及时提供新的检验报告。</w:t>
            </w:r>
          </w:p>
        </w:tc>
      </w:tr>
      <w:tr>
        <w:tc>
          <w:tcPr>
            <w:tcW w:type="dxa" w:w="2076"/>
          </w:tcPr>
          <w:p/>
        </w:tc>
        <w:tc>
          <w:tcPr>
            <w:tcW w:type="dxa" w:w="415"/>
          </w:tcPr>
          <w:p>
            <w:pPr>
              <w:pStyle w:val="null3"/>
            </w:pPr>
            <w:r>
              <w:rPr/>
              <w:t>22</w:t>
            </w:r>
          </w:p>
        </w:tc>
        <w:tc>
          <w:tcPr>
            <w:tcW w:type="dxa" w:w="5814"/>
          </w:tcPr>
          <w:p>
            <w:pPr>
              <w:pStyle w:val="null3"/>
            </w:pPr>
            <w:r>
              <w:rPr/>
              <w:t>（10）检验报告单必须由具备相应资质的检验人员签发，上级医师复核。出现因检验结果错误导致采购人医疗纠纷等不良后果，服务方应当承担一切责任。</w:t>
            </w:r>
          </w:p>
        </w:tc>
      </w:tr>
      <w:tr>
        <w:tc>
          <w:tcPr>
            <w:tcW w:type="dxa" w:w="2076"/>
          </w:tcPr>
          <w:p/>
        </w:tc>
        <w:tc>
          <w:tcPr>
            <w:tcW w:type="dxa" w:w="415"/>
          </w:tcPr>
          <w:p>
            <w:pPr>
              <w:pStyle w:val="null3"/>
            </w:pPr>
            <w:r>
              <w:rPr/>
              <w:t>23</w:t>
            </w:r>
          </w:p>
        </w:tc>
        <w:tc>
          <w:tcPr>
            <w:tcW w:type="dxa" w:w="5814"/>
          </w:tcPr>
          <w:p>
            <w:pPr>
              <w:pStyle w:val="null3"/>
            </w:pPr>
            <w:r>
              <w:rPr/>
              <w:t>（11）检测实验室需符合《医疗机构临床实验室管理办法》等国家法律法规要求。</w:t>
            </w:r>
          </w:p>
        </w:tc>
      </w:tr>
      <w:tr>
        <w:tc>
          <w:tcPr>
            <w:tcW w:type="dxa" w:w="2076"/>
          </w:tcPr>
          <w:p/>
        </w:tc>
        <w:tc>
          <w:tcPr>
            <w:tcW w:type="dxa" w:w="415"/>
          </w:tcPr>
          <w:p>
            <w:pPr>
              <w:pStyle w:val="null3"/>
            </w:pPr>
            <w:r>
              <w:rPr/>
              <w:t>24</w:t>
            </w:r>
          </w:p>
        </w:tc>
        <w:tc>
          <w:tcPr>
            <w:tcW w:type="dxa" w:w="5814"/>
          </w:tcPr>
          <w:p>
            <w:pPr>
              <w:pStyle w:val="null3"/>
            </w:pPr>
            <w:r>
              <w:rPr/>
              <w:t>（12）检测样本、检测数据的所有权、使用权为采购人所有，未经许可不得挪作它用。</w:t>
            </w:r>
          </w:p>
        </w:tc>
      </w:tr>
      <w:tr>
        <w:tc>
          <w:tcPr>
            <w:tcW w:type="dxa" w:w="2076"/>
          </w:tcPr>
          <w:p/>
        </w:tc>
        <w:tc>
          <w:tcPr>
            <w:tcW w:type="dxa" w:w="415"/>
          </w:tcPr>
          <w:p>
            <w:pPr>
              <w:pStyle w:val="null3"/>
            </w:pPr>
            <w:r>
              <w:rPr/>
              <w:t>25</w:t>
            </w:r>
          </w:p>
        </w:tc>
        <w:tc>
          <w:tcPr>
            <w:tcW w:type="dxa" w:w="5814"/>
          </w:tcPr>
          <w:p>
            <w:pPr>
              <w:pStyle w:val="null3"/>
            </w:pPr>
            <w:r>
              <w:rPr/>
              <w:t>（13）检测后若有剩余标本，须按照国家法律法规及相关行业规定的保存期限保存剩余标本及处理标本。</w:t>
            </w:r>
          </w:p>
        </w:tc>
      </w:tr>
      <w:tr>
        <w:tc>
          <w:tcPr>
            <w:tcW w:type="dxa" w:w="2076"/>
          </w:tcPr>
          <w:p/>
        </w:tc>
        <w:tc>
          <w:tcPr>
            <w:tcW w:type="dxa" w:w="415"/>
          </w:tcPr>
          <w:p>
            <w:pPr>
              <w:pStyle w:val="null3"/>
            </w:pPr>
            <w:r>
              <w:rPr/>
              <w:t>26</w:t>
            </w:r>
          </w:p>
        </w:tc>
        <w:tc>
          <w:tcPr>
            <w:tcW w:type="dxa" w:w="5814"/>
          </w:tcPr>
          <w:p>
            <w:pPr>
              <w:pStyle w:val="null3"/>
            </w:pPr>
            <w:r>
              <w:rPr/>
              <w:t>（14）须保证检验结果的公正性，真实性不受任何诱使或压力的干扰。</w:t>
            </w:r>
          </w:p>
        </w:tc>
      </w:tr>
      <w:tr>
        <w:tc>
          <w:tcPr>
            <w:tcW w:type="dxa" w:w="2076"/>
          </w:tcPr>
          <w:p/>
        </w:tc>
        <w:tc>
          <w:tcPr>
            <w:tcW w:type="dxa" w:w="415"/>
          </w:tcPr>
          <w:p>
            <w:pPr>
              <w:pStyle w:val="null3"/>
            </w:pPr>
            <w:r>
              <w:rPr/>
              <w:t>27</w:t>
            </w:r>
          </w:p>
        </w:tc>
        <w:tc>
          <w:tcPr>
            <w:tcW w:type="dxa" w:w="5814"/>
          </w:tcPr>
          <w:p>
            <w:pPr>
              <w:pStyle w:val="null3"/>
            </w:pPr>
            <w:r>
              <w:rPr/>
              <w:t>（15）须建立快速的客户服务反应机制，如有针对服务方或与采购人和服务方双方有关的投诉或需处理的情况，须派代表在半日内到达医院及时沟通处理；若主要针对采购人的投诉或需处理的情况，应有义务协助采购人及时沟通处理。</w:t>
            </w:r>
          </w:p>
        </w:tc>
      </w:tr>
      <w:tr>
        <w:tc>
          <w:tcPr>
            <w:tcW w:type="dxa" w:w="2076"/>
          </w:tcPr>
          <w:p/>
        </w:tc>
        <w:tc>
          <w:tcPr>
            <w:tcW w:type="dxa" w:w="415"/>
          </w:tcPr>
          <w:p>
            <w:pPr>
              <w:pStyle w:val="null3"/>
            </w:pPr>
            <w:r>
              <w:rPr/>
              <w:t>28</w:t>
            </w:r>
          </w:p>
        </w:tc>
        <w:tc>
          <w:tcPr>
            <w:tcW w:type="dxa" w:w="5814"/>
          </w:tcPr>
          <w:p>
            <w:pPr>
              <w:pStyle w:val="null3"/>
            </w:pPr>
            <w:r>
              <w:rPr/>
              <w:t>（16）须安排相关的专家与采购人进行每年不低于一次学术讲座、学术交流、培训等。</w:t>
            </w:r>
          </w:p>
        </w:tc>
      </w:tr>
      <w:tr>
        <w:tc>
          <w:tcPr>
            <w:tcW w:type="dxa" w:w="2076"/>
          </w:tcPr>
          <w:p/>
        </w:tc>
        <w:tc>
          <w:tcPr>
            <w:tcW w:type="dxa" w:w="415"/>
          </w:tcPr>
          <w:p>
            <w:pPr>
              <w:pStyle w:val="null3"/>
            </w:pPr>
            <w:r>
              <w:rPr/>
              <w:t>29</w:t>
            </w:r>
          </w:p>
        </w:tc>
        <w:tc>
          <w:tcPr>
            <w:tcW w:type="dxa" w:w="5814"/>
          </w:tcPr>
          <w:p>
            <w:pPr>
              <w:pStyle w:val="null3"/>
            </w:pPr>
            <w:r>
              <w:rPr/>
              <w:t>（17）应根据采购人的需要安排专家到采购人处进行专业知识的培训及送检项目的沟通。</w:t>
            </w:r>
          </w:p>
        </w:tc>
      </w:tr>
      <w:tr>
        <w:tc>
          <w:tcPr>
            <w:tcW w:type="dxa" w:w="2076"/>
          </w:tcPr>
          <w:p/>
        </w:tc>
        <w:tc>
          <w:tcPr>
            <w:tcW w:type="dxa" w:w="415"/>
          </w:tcPr>
          <w:p>
            <w:pPr>
              <w:pStyle w:val="null3"/>
            </w:pPr>
            <w:r>
              <w:rPr/>
              <w:t>30</w:t>
            </w:r>
          </w:p>
        </w:tc>
        <w:tc>
          <w:tcPr>
            <w:tcW w:type="dxa" w:w="5814"/>
          </w:tcPr>
          <w:p>
            <w:pPr>
              <w:pStyle w:val="null3"/>
            </w:pPr>
            <w:r>
              <w:rPr/>
              <w:t>（18）部分项目在检测技术成熟、标本量达到本地化开展要求后，采购人有权决定是否继续外送。</w:t>
            </w:r>
          </w:p>
        </w:tc>
      </w:tr>
      <w:tr>
        <w:tc>
          <w:tcPr>
            <w:tcW w:type="dxa" w:w="2076"/>
          </w:tcPr>
          <w:p/>
        </w:tc>
        <w:tc>
          <w:tcPr>
            <w:tcW w:type="dxa" w:w="415"/>
          </w:tcPr>
          <w:p>
            <w:pPr>
              <w:pStyle w:val="null3"/>
            </w:pPr>
            <w:r>
              <w:rPr/>
              <w:t>31</w:t>
            </w:r>
          </w:p>
        </w:tc>
        <w:tc>
          <w:tcPr>
            <w:tcW w:type="dxa" w:w="5814"/>
          </w:tcPr>
          <w:p>
            <w:pPr>
              <w:pStyle w:val="null3"/>
            </w:pPr>
            <w:r>
              <w:rPr/>
              <w:t>（19）服务终止时，须在合同到期或提前终止后的15个工作日内，向采购人完整移交所有检测数据及原始记录，并确保移交资料的真实性与可追溯性，数据所有权归属采购人。</w:t>
            </w:r>
          </w:p>
        </w:tc>
      </w:tr>
      <w:tr>
        <w:tc>
          <w:tcPr>
            <w:tcW w:type="dxa" w:w="2076"/>
          </w:tcPr>
          <w:p/>
        </w:tc>
        <w:tc>
          <w:tcPr>
            <w:tcW w:type="dxa" w:w="415"/>
          </w:tcPr>
          <w:p>
            <w:pPr>
              <w:pStyle w:val="null3"/>
            </w:pPr>
            <w:r>
              <w:rPr/>
              <w:t>32</w:t>
            </w:r>
          </w:p>
        </w:tc>
        <w:tc>
          <w:tcPr>
            <w:tcW w:type="dxa" w:w="5814"/>
          </w:tcPr>
          <w:p>
            <w:pPr>
              <w:pStyle w:val="null3"/>
            </w:pPr>
            <w:r>
              <w:rPr/>
              <w:t>（20）服务方应建立争议处理机制，对检验结果存疑的样本，须在采购人提出复核申请后2小时内启动复检流程，并在原报告时限内出具复核结论。复检费用由责任方承担。</w:t>
            </w:r>
          </w:p>
        </w:tc>
      </w:tr>
      <w:tr>
        <w:tc>
          <w:tcPr>
            <w:tcW w:type="dxa" w:w="2076"/>
          </w:tcPr>
          <w:p/>
        </w:tc>
        <w:tc>
          <w:tcPr>
            <w:tcW w:type="dxa" w:w="415"/>
          </w:tcPr>
          <w:p>
            <w:pPr>
              <w:pStyle w:val="null3"/>
            </w:pPr>
            <w:r>
              <w:rPr/>
              <w:t>33</w:t>
            </w:r>
          </w:p>
        </w:tc>
        <w:tc>
          <w:tcPr>
            <w:tcW w:type="dxa" w:w="5814"/>
          </w:tcPr>
          <w:p>
            <w:pPr>
              <w:pStyle w:val="null3"/>
            </w:pPr>
            <w:r>
              <w:rPr/>
              <w:t>（21）所有电子数据存储和传输须采用加密技术，严格遵守《网络安全法》及个人信息保护相关规定，防止数据泄露或滥用。</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采购包3（病理科标本外送委托检验服务（子包三））</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2年</w:t>
            </w:r>
          </w:p>
        </w:tc>
      </w:tr>
      <w:tr>
        <w:tc>
          <w:tcPr>
            <w:tcW w:type="dxa" w:w="4153"/>
          </w:tcPr>
          <w:p>
            <w:pPr>
              <w:pStyle w:val="null3"/>
            </w:pPr>
            <w:r>
              <w:rPr/>
              <w:t>标的提供的地点</w:t>
            </w:r>
          </w:p>
        </w:tc>
        <w:tc>
          <w:tcPr>
            <w:tcW w:type="dxa" w:w="4153"/>
          </w:tcPr>
          <w:p>
            <w:pPr>
              <w:pStyle w:val="null3"/>
            </w:pPr>
            <w:r>
              <w:rPr/>
              <w:t>普宁市人民医院</w:t>
            </w:r>
          </w:p>
        </w:tc>
      </w:tr>
      <w:tr>
        <w:tc>
          <w:tcPr>
            <w:tcW w:type="dxa" w:w="4153"/>
          </w:tcPr>
          <w:p>
            <w:pPr>
              <w:pStyle w:val="null3"/>
            </w:pPr>
            <w:r>
              <w:rPr/>
              <w:t>付款方式</w:t>
            </w:r>
          </w:p>
        </w:tc>
        <w:tc>
          <w:tcPr>
            <w:tcW w:type="dxa" w:w="4153"/>
          </w:tcPr>
          <w:p>
            <w:pPr>
              <w:pStyle w:val="null3"/>
            </w:pPr>
            <w:r>
              <w:rPr/>
              <w:t>1期：支付比例100%,服务费每月按实结算，经采购人对当月检验项目和数量核实无误后，当月服务费发票于次月5个工作日前送到采购人处复核，复核无误后5个工作日内支付</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1期：交付验收标准依次序对照适用标准为：⑴按广东省有关规定的规范要求进行验收；⑵符合中华人民共和国国家安全质量标准、环保标准或行业标准；⑶符合采购文件和响应承诺配置、参数及各项要求</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支付说明，支付方式：采用支票、银行汇付（含电汇）等形式</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投标人在报价时须在分项报价表列明下浮率，项目总报价计算方式为：年测算营业额×（1－下浮率）×服务期限（2年），本项目（子包三）年测算营业额约为2000000.00元。报价应当包括服务、人工、检验、运输、税费、管理、售后服务及合同实施过程中应预见和不可预见费用。</w:t>
            </w:r>
          </w:p>
        </w:tc>
      </w:tr>
      <w:tr>
        <w:tc>
          <w:tcPr>
            <w:tcW w:type="dxa" w:w="2076"/>
          </w:tcPr>
          <w:p>
            <w:pPr>
              <w:pStyle w:val="null3"/>
              <w:jc w:val="center"/>
            </w:pPr>
            <w:r>
              <w:rPr/>
              <w:t>★</w:t>
            </w:r>
          </w:p>
        </w:tc>
        <w:tc>
          <w:tcPr>
            <w:tcW w:type="dxa" w:w="2076"/>
          </w:tcPr>
          <w:p>
            <w:pPr>
              <w:pStyle w:val="null3"/>
              <w:jc w:val="center"/>
            </w:pPr>
            <w:r>
              <w:rPr/>
              <w:t>2</w:t>
            </w:r>
          </w:p>
        </w:tc>
        <w:tc>
          <w:tcPr>
            <w:tcW w:type="dxa" w:w="2076"/>
          </w:tcPr>
          <w:p>
            <w:pPr>
              <w:pStyle w:val="null3"/>
              <w:jc w:val="left"/>
            </w:pPr>
            <w:r>
              <w:rPr/>
              <w:t>营业收费标准</w:t>
            </w:r>
          </w:p>
        </w:tc>
        <w:tc>
          <w:tcPr>
            <w:tcW w:type="dxa" w:w="2076"/>
          </w:tcPr>
          <w:p>
            <w:pPr>
              <w:pStyle w:val="null3"/>
              <w:jc w:val="left"/>
            </w:pPr>
            <w:r>
              <w:rPr/>
              <w:t>执行公立医疗机构基本医疗服务价格项目目录收费标准三级。外送检验项目在《揭阳市公立医疗机构基本医疗服务价格项目目录(2021年版)》(以下简称《揭阳目录2021年版》)范围内有的，暂按《揭阳目录2021年版》收费标准执行，若在《揭阳目录2021年版》之后揭阳市有发布新的目录收费标准的，则按新的目录收费标准执行。若在新的目录收费标准范围内也没有的，则由采购人进行市场价格调查或询价后，经双方确认并报当地物价部门备案，最终以当地物价部门备案后的价格标准执行。</w:t>
            </w:r>
          </w:p>
        </w:tc>
      </w:tr>
      <w:tr>
        <w:tc>
          <w:tcPr>
            <w:tcW w:type="dxa" w:w="2076"/>
          </w:tcPr>
          <w:p>
            <w:pPr>
              <w:pStyle w:val="null3"/>
              <w:jc w:val="center"/>
            </w:pPr>
            <w:r>
              <w:rPr/>
              <w:t>★</w:t>
            </w:r>
          </w:p>
        </w:tc>
        <w:tc>
          <w:tcPr>
            <w:tcW w:type="dxa" w:w="2076"/>
          </w:tcPr>
          <w:p>
            <w:pPr>
              <w:pStyle w:val="null3"/>
              <w:jc w:val="center"/>
            </w:pPr>
            <w:r>
              <w:rPr/>
              <w:t>3</w:t>
            </w:r>
          </w:p>
        </w:tc>
        <w:tc>
          <w:tcPr>
            <w:tcW w:type="dxa" w:w="2076"/>
          </w:tcPr>
          <w:p>
            <w:pPr>
              <w:pStyle w:val="null3"/>
              <w:jc w:val="left"/>
            </w:pPr>
            <w:r>
              <w:rPr/>
              <w:t>结算要求</w:t>
            </w:r>
          </w:p>
        </w:tc>
        <w:tc>
          <w:tcPr>
            <w:tcW w:type="dxa" w:w="2076"/>
          </w:tcPr>
          <w:p>
            <w:pPr>
              <w:pStyle w:val="null3"/>
              <w:jc w:val="left"/>
            </w:pPr>
            <w:r>
              <w:rPr/>
              <w:t>按实结算，采购人按外送各检验项目相应的营业收费标准单价×（1-下浮率）计出结算单价，再依外送各检验项目每月实际的数量进行结算。</w:t>
            </w:r>
          </w:p>
        </w:tc>
      </w:tr>
      <w:tr>
        <w:tc>
          <w:tcPr>
            <w:tcW w:type="dxa" w:w="2076"/>
          </w:tcPr>
          <w:p>
            <w:pPr>
              <w:pStyle w:val="null3"/>
              <w:jc w:val="center"/>
            </w:pPr>
            <w:r>
              <w:rPr/>
              <w:t>★</w:t>
            </w:r>
          </w:p>
        </w:tc>
        <w:tc>
          <w:tcPr>
            <w:tcW w:type="dxa" w:w="2076"/>
          </w:tcPr>
          <w:p>
            <w:pPr>
              <w:pStyle w:val="null3"/>
              <w:jc w:val="center"/>
            </w:pPr>
            <w:r>
              <w:rPr/>
              <w:t>4</w:t>
            </w:r>
          </w:p>
        </w:tc>
        <w:tc>
          <w:tcPr>
            <w:tcW w:type="dxa" w:w="2076"/>
          </w:tcPr>
          <w:p>
            <w:pPr>
              <w:pStyle w:val="null3"/>
              <w:jc w:val="left"/>
            </w:pPr>
            <w:r>
              <w:rPr/>
              <w:t>政府强制采购产品</w:t>
            </w:r>
          </w:p>
        </w:tc>
        <w:tc>
          <w:tcPr>
            <w:tcW w:type="dxa" w:w="2076"/>
          </w:tcPr>
          <w:p>
            <w:pPr>
              <w:pStyle w:val="null3"/>
              <w:jc w:val="left"/>
            </w:pPr>
            <w:r>
              <w:rPr/>
              <w:t>投标供应商报价的产品如涉及《财政部发展改革委&lt;关于印发节能产品政府采购品目清单的通知&gt;（财库〔2019〕19号）》文件中政府强制采购产品，如：台式计算机、便携式计算机、平板式微型计算机、激光打印机、针式打印机、液晶显示器、冷水机组、水源热泵机组、溴化锂吸收式冷水机组、多联式空调（热泵）机组（制冷量&gt;14000W）、单元式空气调节机（制冷量&gt;14000W）、机房空调、管型荧光灯镇流器、房间空气调节器、多联式空调（热泵）机组（制冷量≤14000W）、单元式空气调节机（制冷量≤14000W）、电热水器、普通照明用双端荧光灯、普通电视设备（电视机）、监视器、坐便器、蹲便器、小便器、水嘴等必须获得国家确定的认证机构出具的、处于有效期之内的节能产品认证证书。须提供产品在中国政府采购网（www.ccgp.gov.cn）或全国认证认可信息公共服务平台（cx.cnca.cn）节能产品认证信息查询界面截图或者提供产品获得国家确定的认证机构出具的、处于有效期之内的节能产品认证证书复印件（加盖投标供应商公章）。（若本项目无涉及上述节能产品政府强制采购产品的，投标供应商也可以在《商务条件响应表》对本条款进行响应，并注明本次采购内容无涉及相关节能产品政府强制采购产品。）</w:t>
            </w:r>
          </w:p>
        </w:tc>
      </w:tr>
      <w:tr>
        <w:tc>
          <w:tcPr>
            <w:tcW w:type="dxa" w:w="2076"/>
          </w:tcPr>
          <w:p/>
        </w:tc>
        <w:tc>
          <w:tcPr>
            <w:tcW w:type="dxa" w:w="2076"/>
          </w:tcPr>
          <w:p>
            <w:pPr>
              <w:pStyle w:val="null3"/>
              <w:jc w:val="center"/>
            </w:pPr>
            <w:r>
              <w:rPr/>
              <w:t>5</w:t>
            </w:r>
          </w:p>
        </w:tc>
        <w:tc>
          <w:tcPr>
            <w:tcW w:type="dxa" w:w="2076"/>
          </w:tcPr>
          <w:p>
            <w:pPr>
              <w:pStyle w:val="null3"/>
              <w:jc w:val="left"/>
            </w:pPr>
            <w:r>
              <w:rPr/>
              <w:t>其他要求</w:t>
            </w:r>
          </w:p>
        </w:tc>
        <w:tc>
          <w:tcPr>
            <w:tcW w:type="dxa" w:w="2076"/>
          </w:tcPr>
          <w:p>
            <w:pPr>
              <w:pStyle w:val="null3"/>
              <w:jc w:val="left"/>
            </w:pPr>
            <w:r>
              <w:rPr/>
              <w:t>（1）若本项目采购需求中部分涉及行业监督管理的，必须按行业监督管理要求实施。（2）投标人需按照采购需求特点和实现项目目标要求为本项目编制服务实施方案，方案内容包含：整体服务计划和流程、服务人员的安排和管理、技术支持情况、项目管理和进度控制方案、设备设施的使用和管理、标本收取和运输保管方案。（3）投标人需按照采购需求特点和实现项目目标要求为本项目编制质量保障措施方案，方案内容包含：质量保障计划、质量控制流程、质量管理措施、应急保障措施、环境保护措施、安全保障措施。</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技术测试和分析服务</w:t>
            </w:r>
          </w:p>
        </w:tc>
        <w:tc>
          <w:tcPr>
            <w:tcW w:type="dxa" w:w="933"/>
          </w:tcPr>
          <w:p>
            <w:pPr>
              <w:pStyle w:val="null3"/>
              <w:jc w:val="left"/>
            </w:pPr>
            <w:r>
              <w:rPr/>
              <w:t>病理科标本外送委托检验服务（子包三）</w:t>
            </w:r>
          </w:p>
        </w:tc>
        <w:tc>
          <w:tcPr>
            <w:tcW w:type="dxa" w:w="933"/>
          </w:tcPr>
          <w:p>
            <w:pPr>
              <w:pStyle w:val="null3"/>
              <w:jc w:val="left"/>
            </w:pPr>
            <w:r>
              <w:rPr/>
              <w:t>年</w:t>
            </w:r>
          </w:p>
        </w:tc>
        <w:tc>
          <w:tcPr>
            <w:tcW w:type="dxa" w:w="933"/>
          </w:tcPr>
          <w:p>
            <w:pPr>
              <w:pStyle w:val="null3"/>
              <w:jc w:val="right"/>
            </w:pPr>
            <w:r>
              <w:rPr/>
              <w:t>2.00</w:t>
            </w:r>
          </w:p>
        </w:tc>
        <w:tc>
          <w:tcPr>
            <w:tcW w:type="dxa" w:w="933"/>
          </w:tcPr>
          <w:p>
            <w:pPr>
              <w:pStyle w:val="null3"/>
              <w:jc w:val="right"/>
            </w:pPr>
            <w:r>
              <w:rPr/>
              <w:t>1,000,000.00</w:t>
            </w:r>
          </w:p>
        </w:tc>
        <w:tc>
          <w:tcPr>
            <w:tcW w:type="dxa" w:w="933"/>
          </w:tcPr>
          <w:p>
            <w:pPr>
              <w:pStyle w:val="null3"/>
              <w:jc w:val="right"/>
            </w:pPr>
            <w:r>
              <w:rPr/>
              <w:t>2,000,000.00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病理科标本外送委托检验服务（子包三）</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pPr>
            <w:r>
              <w:rPr/>
              <w:t>（一）病理科标本外送委托检验服务内容</w:t>
            </w:r>
          </w:p>
          <w:p>
            <w:pPr>
              <w:pStyle w:val="null3"/>
            </w:pPr>
            <w:r>
              <w:rPr/>
              <w:t>为采购人院内临床需要但暂未开展的病理科项目进行外送检验服务，具体外送检验服务项目范围详见附件3《病理科项目外送检验明细表》，若需送检《病理科项目外送检验明细表》范围外的检验项目必须经采购人相关部门同意后方可送检。</w:t>
            </w:r>
          </w:p>
          <w:p>
            <w:pPr>
              <w:pStyle w:val="null3"/>
              <w:jc w:val="both"/>
            </w:pPr>
            <w:r>
              <w:rPr/>
              <w:t>附件3：</w:t>
            </w:r>
          </w:p>
          <w:p>
            <w:pPr>
              <w:pStyle w:val="null3"/>
            </w:pPr>
            <w:r>
              <w:rPr/>
              <w:t>《病理科项目外送检验明细表》</w:t>
            </w:r>
          </w:p>
          <w:tbl>
            <w:tblPr>
              <w:tblBorders>
                <w:top w:val="none" w:color="000000" w:sz="4"/>
                <w:left w:val="none" w:color="000000" w:sz="4"/>
                <w:bottom w:val="none" w:color="000000" w:sz="4"/>
                <w:right w:val="none" w:color="000000" w:sz="4"/>
                <w:insideH w:val="none"/>
                <w:insideV w:val="none"/>
              </w:tblBorders>
            </w:tblPr>
            <w:tblGrid>
              <w:gridCol w:w="5586"/>
            </w:tblGrid>
            <w:tr>
              <w:tc>
                <w:tcPr>
                  <w:tcW w:type="dxa" w:w="55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项目名称</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国内远程病理会诊</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疑难病理会诊</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常规肾活检病理检查组合（共17项，5项免疫荧光）</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肾穿全套Ⅰ（50岁以下）</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肾穿全套Ⅱ（50岁以上）</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移植肾病理常规检查组合</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肾穿（电镜）</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肾穿（电镜）（免疫电镜）</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肝炎组合（16项）</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肝炎组合（34项）</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肝穿（电镜）（含特染）</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移植肝病理常规检查组合</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骨髓细胞形态学检测</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骨髓组织活检检查与诊断</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（血液病）骨髓活检组合（共10项，含免疫组化4项）</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（血液病）骨髓活检组合（共13项，含免疫组化7项）</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（血液病）骨髓活检组合（共15项，含免疫组化9项）</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精子超微形态学分析（1*2）</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精子超微形态学分析（3*2）</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液基薄层细胞制片术（非妇科）</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BRAF基因（V600E）体细胞突变</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STR嵌合率检测</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HLA高分辨基因分型（A、B、C、DRB1、DQB1、DPB1）</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ABL1激酶突变</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IGHV突变</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11q23.3/11q24.3基因缺失FISH检测</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12号染色体数目检测（组织）</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16q22/16q23缺失检测</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19p13.3数目异常检测</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1q21和1p36异常检测（组织）</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5q33.3数目异常检测</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6q27(MLLT4)缺失检测</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8号染色体数目检测（组织）</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ALK基因重排FISH检测</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ALK基因扩增检测</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API2/MALT1融合基因检测</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AR基因扩增检测</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ASPSCR1/TFE3基因融合检测</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AURKA基因扩增检测</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AURKB基因扩增检测</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BCL2/IGH融合基因检测</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BCL2基因断裂检测</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BCL6/IGH融合基因检测</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BCL6基因断裂检测</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BCOR/CCNB3融合基因</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BCOR基因断裂检测</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BEND2基因断裂检测</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BRAF/KIAA1549融合基因检测</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BRAF基因断裂</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BRD4/NUT融合基因检测</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C11orf95/RELA融合基因检测</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C11ORF95基因断裂</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C19MC基因扩增检测</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CAMTA1基因断裂检测</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CCND1/IGH融合基因检测</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CCND1基因断裂检测</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CCND1基因扩增检测</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CCND2基因断裂检测</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CDK4基因扩增检测</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CDK6基因扩增检测</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CDKN2A(P16)基因缺失检测</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CHD1基因缺失检测</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CIC/DUX4融合基因检测</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CIC/NUT融合基因检测</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CIC基因断裂检测</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CIITA（16p13）基因断裂检测</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CLDN18(3q22）基因断裂检测</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c-MET基因扩增检测</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C-MYC基因断裂检测</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COL1A1/PDGFB融合基因检测</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CRTC1基因断裂检测</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CSF1基因断裂检测</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CTNNB1基因缺失检测</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D11S1037缺失检测</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D16S2621缺失检测</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DDIT3 (CHOP))基因断裂检测</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DDIT3基因扩增检测</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DUX4/ERG融合基因检测</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DUX4/IGH融合基因检测</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EGFR基因扩增检测</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EP400基因断裂检测</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ERCC1基因扩增检测</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ERG、TMPRSS2、ETV1、ETV4基因异常检测</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ERG基因断裂检测</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ESR1基因扩增检测</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ETV1基因断裂检测</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ETV4基因断裂检测</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ETV6/NTRK3融合基因检测</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ETV6基因断裂检测</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EWSR1/ATF1基因融合检测</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EWSR1/CREB1基因融合检测</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EWSR1/FLI1融合基因检测</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EWSR1/WT1融合基因检测</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EWSR1基因断裂检测</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FGFR1基因扩增检测</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FGFR2基因断裂检测</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FKHR(FOXO1)基因断裂检测</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FOSB基因断裂检测</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FOS基因断裂检测</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FOXR2基因断裂检测</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FRS2基因扩增检测</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FUS基因断裂检测</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GLI1基因断裂检测</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GLI1基因扩增检测</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Her-2/neu基因扩增检测</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HMGA2基因断裂检测</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hWAPL基因扩增检测</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IGH基因断裂检测</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IRF4基因断裂检测</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ITK/SYK融合基因检测</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JAZF1基因断裂检测</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KIT基因缺失检测</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KMT2A基因缺失检测</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MALAT1基因断裂检测</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MALT1/IGH融合基因检测</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MALT1基因断裂检测</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MAML2基因断裂检测</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MDM2基因扩增检测</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MDM4基因扩增检测</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MECT1/MAML2融合基因检测</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MGEA5基因断裂检测</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MN1基因断裂检测</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MYB/NFIB融合基因检测</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MYB基因断裂检测</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MYB基因缺失检测</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MYC/IGH融合基因检测</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MYCN基因扩增检测</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MYC基因扩增检测</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MYEOV/IGH融合基因检测</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NCOA2基因断裂检测</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NCOA3基因断裂检测</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NCOA3基因扩增检测</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NFIB基因断裂检测</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NR4A3基因断裂检测</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NTRK1基因断裂检测</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NTRK2基因断裂检测</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NTRK3基因断裂检测</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NUT基因断裂检测</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P53基因缺失检测</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PAX3基因断裂检测</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PAX5/IGH融合基因检测</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PDGFB基因断裂检测</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PD-L1基因断裂检测</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PD-L1基因扩增检测</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PD-L2基因扩增检测</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PHF1基因断裂检测</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PIK3CA基因扩增检测</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PLAG1基因断裂检测</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PPARγ基因断裂检测</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PRCC/TFE3融合基因检测</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PRDM10基因断裂检测</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PRKACA基因断裂检测</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PTEN基因缺失检测</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RAD21基因扩增检测</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RARA基因断裂检测</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RB1基因缺失检测</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RELA基因断裂检测</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RET基因断裂检测</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SMARCA4基因缺失检测（组织）</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SMARCB1基因缺失检测</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SOX2基因扩增检测</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SRD基因缺失检测</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STAT6基因扩增检测</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SYT基因断裂检测</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TCF3/ZNF384融合基因检测</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TERC基因扩增检测</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TERT基因断裂检测</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TERT基因扩增检测</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TFE3基因断裂检测</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TFEB基因断裂检测</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TGFBR3/MGEA5融合基因检测</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TLX1（10q24）基因断裂检测</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TNFAIP3基因缺失检测</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TOP2A基因扩增检测</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TP53（17p13）基因断裂检测</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TP63基因断裂检测</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Twist基因扩增检测</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USP6基因断裂检测</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WT1基因断裂检测</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WT1基因缺失检测</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WWTR1/CAMTA1融合基因检测</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WWTR1基因断裂检测</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YWHAE基因断裂检测</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Y染色体数目检测（组织）</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ZNF217基因扩增检测</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NCOA1基因断裂</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IRF4/IGH融合基因检测</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FGFR1基因断裂</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TFCP-2基因断裂</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ESR1基因断裂</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SRF基因断裂</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PDGFRB基因断裂</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DLEU1 (13q14)基因缺失</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HER2基因扩增检测</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NTRK1/2/3基因断裂</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1p-/19q FISH检测</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CDK4基因扩增检测</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DDIT3(CHOP)基因断裂检测</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EWSR1基因检测</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MDM2基因扩增</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SYT基因融合</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荧光原位杂交FISH检测（其它特定基因）</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BCL-2重排 FISH检测（组织）</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BCL-6重排 FISH检测（组织）</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MYC重排 FISH检测（组织）</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IGH重排 FISH检测（组织）</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IGH/BCL2融合基因 FISH检测（组织）</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IGH/MYC融合基因 FISH检测（组织）</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MALT1重排 FISH检测（组织）</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API2-MALT1 FISH检测（组织）</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TP53基因缺失FISH检测（组织）</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ALK基因重排FISH检测</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PAX5/IGH 融合基因 FISH 检测</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IGH/CCND1融合基因FISH检测</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免疫球蛋白（Ig）基因重排</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TCR基因重排</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葡萄胎STR分子分型检测</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消化三癌甲基化检测（肠、胃、肝）</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高发六癌甲基化检测（肺、肠、食管、胃、肝、胰腺）</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膀胱癌Twist1基因甲基化检测</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BCR/ABL1融合基因探针检测</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MLL 重排探针 FISH检测</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MYC 8q24</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BCL-6重排</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BCL-2重排</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IGH 重排探针 FISH检测</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CBFβ 重排探针 FISH检测</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PML/RARA融合基因探针检测</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AML1/ETO融合基因探针检测</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IGH/CCND1探针 FISH检测</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D13S319/13q34 探针 FISH检测</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CKS1B/CDKN2C  探针 FISH检测 (1q21)</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IGH/FGFR3探针 FISH检测</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IGH/MAF探针 FISH检测</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CEP12 探针 FISH检测 (+12)</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ATM/CEP11 探针 FISH检测 (11q-)</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骨髓增生异常综合征（MDS）D20S108 探针FISH检测（20q-）</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骨髓增生异常综合征（MDS）D7S486/ CEP 7 探针FISH检测(7q-)</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骨髓增生异常综合征（MDS）D7S522/ CEP 7 探针FISH检测(7q-)</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骨髓增生异常综合征（MDS）CSF1R/D5S23,D5S721 探针FISH检测(5q-)</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骨髓增生异常综合征（MDS）EGR1/D5S23,D5S721 探针FISH检测(5q-)</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CEP X/Y探针FISH检测(X/Y)</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CEP8探针检测</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TP53/CEP17 探针FISH检测(17p-)</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RB1(13q14)探针 FISH检测（13q-）</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IGH/CCND3探针</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IGH/MAFB探针FISH检测</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BCR/ABL,ASS1</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IGH/BCL2融合基因（FISH）</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IGH/MYC融合基因FISH</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PDGFRB重排（FISH）</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TCF3(E2A)-PBX1融合基因</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MALT1重排（FISH）</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ETV6-RUNX1(TEL-AML1)融合基因（FISH）</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FGFR1重排（FISH）</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PDGFRA重排</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API2-MALT1 FISH检测</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JAK2 重排</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PRN1-EVI1融合基因FISH检测</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21号染色体内（iAMP21）基因扩增FISH检测</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CRLF2重排</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CEP4</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CEP10</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IRF4基因重排 FISH检测</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PH-LIKE ALL FISH 7探针重排组合</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骨髓增生异常综合征遗传学FISH检测组合（MDS 6项）</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骨髓增生异常综合征遗传学FISH检测组合（MDS 5项）</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多发性骨髓瘤遗传学FISH检测组合（MM 6项）</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慢性淋巴细胞白血病遗传学FISH检测组合（CLL 5项）</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多发性骨髓瘤预后FISH组合（GX）</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IGH重排组合</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MM遗传学组合</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MYD88基因L265P基因突变检测</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急慢性白血病/NHL/MDS全面CD系列（40CD）</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白血病/淋巴瘤免疫分型（28CD）</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MDS/AA鉴别检测（15CD）</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浆细胞肿瘤检测(18CD)</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微小残留（28CD）</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血小板无力症/巨大血小板检测(3CD)</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白血病抗原检测(15CD ZAP-70、CD38检测）</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PNH筛查</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高敏PNH</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外周血单核细胞表型分型（15CD）</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CLL/SLL检测ZAP-70、CD38（8CD）</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自身免疫性血细胞减少相关抗原检测</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NK细胞克隆性评估(CD158系列，10CD)</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人类白细胞分化抗原B27筛查</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PD-1检测（流式）</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免疫细胞因子六项（含IL-2R）（流式细胞术）</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14项细胞因子检测</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CD34+造血干细胞计数组合</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血小板相关抗体检测</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T淋巴细胞亚群</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活化T细胞组合</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调节T细胞</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T,B,NK淋巴亚群绝对计数</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流式感染指标监测（nCD64/HLA-DR）</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T细胞大颗粒淋巴细胞白血病筛查（15CD）</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活化NK细胞组合</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B淋巴细胞</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CD19+CD5+B淋巴细胞</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CD19+ B细胞/淋巴细胞</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外周血B淋巴细胞检测（CD19/CD20）绝对计数</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游离轻链组合（血清）</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游离轻链组合（尿液）</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遗传性肾病全谱基因检测</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Alport综合征基因检测</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类Alport综合征表型相关疾病</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囊性肾病表型相关疾病</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激素抵抗型肾病综合症检测</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代谢类肾病基因检测</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肾结石类疾病基因检测</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髓系血液肿瘤基因突变筛查（46基因）</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MDS基因突变筛查（中级33基因）</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MDS/MPN相关基因突变筛查（25基因）（血液病）</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MPN相关基因突变筛查（中级31基因）</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ALL相关54基因突变检测</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成熟B细胞淋巴瘤69基因突变检测</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成熟T/NK细胞淋巴瘤52基因突变检测</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多发性骨髓瘤热点基因突变筛查（64基因）</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CLL相关94种基因突变</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弥漫大B细胞淋巴瘤基因突变筛查（152基因）</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淋巴瘤血液肿瘤NGS基因检测（309基因）</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成熟B细胞淋巴瘤NGS基因检测（195基因）</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成熟T/NK细胞淋巴瘤NGS基因检测（155基因）</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血液髓系肿瘤NGS基因检测（279基因）</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多发性骨髓瘤NGS基因检测（208基因）</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血液肿瘤NGS基因检测（全序安plus）</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（融序安）血液肿瘤融合基因筛查（靶向RNA测序）</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血液肿瘤分子核型分析</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血液肿瘤全外显子测序分析</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靶向基因个体化用药组合（15项）</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靶向基因个体化用药组合（26项）</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靶向基因个体化用药组合（39项）</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遗传性肿瘤基因106基因检测</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林奇（Lynch）综合征基因5基因检测（EPCAM、MLH1、MSH2、MSH6、PMS2）</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肿瘤120基因HRD检测</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脑肿瘤DNA+RNA联合检测（含MSI）</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脑胶质瘤精选NGS组合</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脑膜瘤基因检测组合</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胶质瘤6基因检测（IDH1/2+1p-/19q+MGMT+TERT+BRAF）</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骨与软组织瘤DNA+RNA联合检测（含MSI）</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肉瘤86融合基因检测</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UCAD全基因组染色体异常MRD检测（肿瘤监测）</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UCAD全基因组染色体异常MRD检测*3次（肿瘤监测）</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肿瘤组合组织版（350基因）+染色体异常MRD（肿瘤监测）</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肿瘤个体化化疗26基因</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肿瘤放射治疗毒性预测基因检测42基因,61SNP位点</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FH基因体细胞突变检测</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FH基因遗传性突变检测</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甲状腺12基因检测</w:t>
                  </w:r>
                </w:p>
              </w:tc>
            </w:tr>
            <w:tr>
              <w:tc>
                <w:tcPr>
                  <w:tcW w:type="dxa" w:w="5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肿瘤个体化用药组合+MSI+TMB（350基因）（56项）</w:t>
                  </w:r>
                </w:p>
              </w:tc>
            </w:tr>
          </w:tbl>
          <w:p/>
        </w:tc>
      </w:tr>
      <w:tr>
        <w:tc>
          <w:tcPr>
            <w:tcW w:type="dxa" w:w="2076"/>
          </w:tcPr>
          <w:p/>
        </w:tc>
        <w:tc>
          <w:tcPr>
            <w:tcW w:type="dxa" w:w="415"/>
          </w:tcPr>
          <w:p>
            <w:pPr>
              <w:pStyle w:val="null3"/>
            </w:pPr>
            <w:r>
              <w:rPr/>
              <w:t>2</w:t>
            </w:r>
          </w:p>
        </w:tc>
        <w:tc>
          <w:tcPr>
            <w:tcW w:type="dxa" w:w="5814"/>
          </w:tcPr>
          <w:p>
            <w:pPr>
              <w:pStyle w:val="null3"/>
            </w:pPr>
            <w:r>
              <w:rPr/>
              <w:t>（二）服务要求</w:t>
            </w:r>
          </w:p>
          <w:p>
            <w:pPr>
              <w:pStyle w:val="null3"/>
            </w:pPr>
            <w:r>
              <w:rPr/>
              <w:t>1、标本接收、送检及检验：</w:t>
            </w:r>
          </w:p>
          <w:p>
            <w:pPr>
              <w:pStyle w:val="null3"/>
            </w:pPr>
            <w:r>
              <w:rPr/>
              <w:t>（1）为本项目配备专用车辆，用于接收标本，车辆需配备专用的车载冰箱或保温箱。冰箱或保温箱应配有相应的温度记录表，且每日至少进行一次清洁消毒，以确保标本质量。标本采用专线运输，样本的运送需符合《医学检验生物样本冷链物流运作规范》（GB/T 42186-2022）以及生物安全要求，以保障运输过程中样品的质量和环境安全。需规范运送可感染人类的病原微生物菌（毒）种或样本。对于有低温冷冻需求或特殊要求的样本，需依据具体项目与采购人进行协商。</w:t>
            </w:r>
          </w:p>
        </w:tc>
      </w:tr>
      <w:tr>
        <w:tc>
          <w:tcPr>
            <w:tcW w:type="dxa" w:w="2076"/>
          </w:tcPr>
          <w:p/>
        </w:tc>
        <w:tc>
          <w:tcPr>
            <w:tcW w:type="dxa" w:w="415"/>
          </w:tcPr>
          <w:p>
            <w:pPr>
              <w:pStyle w:val="null3"/>
            </w:pPr>
            <w:r>
              <w:rPr/>
              <w:t>3</w:t>
            </w:r>
          </w:p>
        </w:tc>
        <w:tc>
          <w:tcPr>
            <w:tcW w:type="dxa" w:w="5814"/>
          </w:tcPr>
          <w:p>
            <w:pPr>
              <w:pStyle w:val="null3"/>
            </w:pPr>
            <w:r>
              <w:rPr/>
              <w:t>（2）为本项目服务提供每天至少一次的上门接收标本的服务，时间为8:00至15:00，遇特殊标本可机动收取。</w:t>
            </w:r>
          </w:p>
        </w:tc>
      </w:tr>
      <w:tr>
        <w:tc>
          <w:tcPr>
            <w:tcW w:type="dxa" w:w="2076"/>
          </w:tcPr>
          <w:p/>
        </w:tc>
        <w:tc>
          <w:tcPr>
            <w:tcW w:type="dxa" w:w="415"/>
          </w:tcPr>
          <w:p>
            <w:pPr>
              <w:pStyle w:val="null3"/>
            </w:pPr>
            <w:r>
              <w:rPr/>
              <w:t>4</w:t>
            </w:r>
          </w:p>
        </w:tc>
        <w:tc>
          <w:tcPr>
            <w:tcW w:type="dxa" w:w="5814"/>
          </w:tcPr>
          <w:p>
            <w:pPr>
              <w:pStyle w:val="null3"/>
            </w:pPr>
            <w:r>
              <w:rPr/>
              <w:t>（3）应为本项目服务标本接收人员进行严格培训，负责标本质量的初检、标识的核对，标本的接收登记及包装储存。</w:t>
            </w:r>
          </w:p>
        </w:tc>
      </w:tr>
      <w:tr>
        <w:tc>
          <w:tcPr>
            <w:tcW w:type="dxa" w:w="2076"/>
          </w:tcPr>
          <w:p/>
        </w:tc>
        <w:tc>
          <w:tcPr>
            <w:tcW w:type="dxa" w:w="415"/>
          </w:tcPr>
          <w:p>
            <w:pPr>
              <w:pStyle w:val="null3"/>
            </w:pPr>
            <w:r>
              <w:rPr/>
              <w:t>5</w:t>
            </w:r>
          </w:p>
        </w:tc>
        <w:tc>
          <w:tcPr>
            <w:tcW w:type="dxa" w:w="5814"/>
          </w:tcPr>
          <w:p>
            <w:pPr>
              <w:pStyle w:val="null3"/>
            </w:pPr>
            <w:r>
              <w:rPr/>
              <w:t>（4）确保本项目服务及时接收、送检标本和及时检验。标本不符合检验要求时，应及时通知采购人重新取样。</w:t>
            </w:r>
          </w:p>
        </w:tc>
      </w:tr>
      <w:tr>
        <w:tc>
          <w:tcPr>
            <w:tcW w:type="dxa" w:w="2076"/>
          </w:tcPr>
          <w:p/>
        </w:tc>
        <w:tc>
          <w:tcPr>
            <w:tcW w:type="dxa" w:w="415"/>
          </w:tcPr>
          <w:p>
            <w:pPr>
              <w:pStyle w:val="null3"/>
            </w:pPr>
            <w:r>
              <w:rPr/>
              <w:t>6</w:t>
            </w:r>
          </w:p>
        </w:tc>
        <w:tc>
          <w:tcPr>
            <w:tcW w:type="dxa" w:w="5814"/>
          </w:tcPr>
          <w:p>
            <w:pPr>
              <w:pStyle w:val="null3"/>
            </w:pPr>
            <w:r>
              <w:rPr/>
              <w:t>（5）在采购人规定的时间内出具相应检验报告。如检验报告超出规定时间且未向采购人出具书面通知，造成恶劣影响的，包括造成医疗纠纷、投诉或受到行政监管机关的处罚等情况，服务方应承担相应的经济和法律责任。</w:t>
            </w:r>
          </w:p>
        </w:tc>
      </w:tr>
      <w:tr>
        <w:tc>
          <w:tcPr>
            <w:tcW w:type="dxa" w:w="2076"/>
          </w:tcPr>
          <w:p/>
        </w:tc>
        <w:tc>
          <w:tcPr>
            <w:tcW w:type="dxa" w:w="415"/>
          </w:tcPr>
          <w:p>
            <w:pPr>
              <w:pStyle w:val="null3"/>
            </w:pPr>
            <w:r>
              <w:rPr/>
              <w:t>7</w:t>
            </w:r>
          </w:p>
        </w:tc>
        <w:tc>
          <w:tcPr>
            <w:tcW w:type="dxa" w:w="5814"/>
          </w:tcPr>
          <w:p>
            <w:pPr>
              <w:pStyle w:val="null3"/>
            </w:pPr>
            <w:r>
              <w:rPr/>
              <w:t>（6）部分特殊检查项目需要的采样器、知情同意书、专用的患者资料登记申请单等由服务方提供。</w:t>
            </w:r>
          </w:p>
        </w:tc>
      </w:tr>
      <w:tr>
        <w:tc>
          <w:tcPr>
            <w:tcW w:type="dxa" w:w="2076"/>
          </w:tcPr>
          <w:p/>
        </w:tc>
        <w:tc>
          <w:tcPr>
            <w:tcW w:type="dxa" w:w="415"/>
          </w:tcPr>
          <w:p>
            <w:pPr>
              <w:pStyle w:val="null3"/>
            </w:pPr>
            <w:r>
              <w:rPr/>
              <w:t>8</w:t>
            </w:r>
          </w:p>
        </w:tc>
        <w:tc>
          <w:tcPr>
            <w:tcW w:type="dxa" w:w="5814"/>
          </w:tcPr>
          <w:p>
            <w:pPr>
              <w:pStyle w:val="null3"/>
            </w:pPr>
            <w:r>
              <w:rPr/>
              <w:t>2、提供结果查询：</w:t>
            </w:r>
          </w:p>
          <w:p>
            <w:pPr>
              <w:pStyle w:val="null3"/>
            </w:pPr>
            <w:r>
              <w:rPr/>
              <w:t>（1）为保证检验结果实时网络传送，实现实验室数据的汇总、储存、传输功能，需与医院LIS和HIS等管理系统对接，院方LIS系统可检索、核对结果。保证送检类别、数量、检验报告与HIS的医嘱一致。服务方负责信息系统对接费用、后期维护、故障处理等，信息系统故障处理响应时间不超过2小时。</w:t>
            </w:r>
          </w:p>
        </w:tc>
      </w:tr>
      <w:tr>
        <w:tc>
          <w:tcPr>
            <w:tcW w:type="dxa" w:w="2076"/>
          </w:tcPr>
          <w:p/>
        </w:tc>
        <w:tc>
          <w:tcPr>
            <w:tcW w:type="dxa" w:w="415"/>
          </w:tcPr>
          <w:p>
            <w:pPr>
              <w:pStyle w:val="null3"/>
            </w:pPr>
            <w:r>
              <w:rPr/>
              <w:t>9</w:t>
            </w:r>
          </w:p>
        </w:tc>
        <w:tc>
          <w:tcPr>
            <w:tcW w:type="dxa" w:w="5814"/>
          </w:tcPr>
          <w:p>
            <w:pPr>
              <w:pStyle w:val="null3"/>
            </w:pPr>
            <w:r>
              <w:rPr/>
              <w:t>（2）提供网上查询服务，以供随时查询进度和结果。</w:t>
            </w:r>
          </w:p>
        </w:tc>
      </w:tr>
      <w:tr>
        <w:tc>
          <w:tcPr>
            <w:tcW w:type="dxa" w:w="2076"/>
          </w:tcPr>
          <w:p/>
        </w:tc>
        <w:tc>
          <w:tcPr>
            <w:tcW w:type="dxa" w:w="415"/>
          </w:tcPr>
          <w:p>
            <w:pPr>
              <w:pStyle w:val="null3"/>
            </w:pPr>
            <w:r>
              <w:rPr/>
              <w:t>10</w:t>
            </w:r>
          </w:p>
        </w:tc>
        <w:tc>
          <w:tcPr>
            <w:tcW w:type="dxa" w:w="5814"/>
          </w:tcPr>
          <w:p>
            <w:pPr>
              <w:pStyle w:val="null3"/>
            </w:pPr>
            <w:r>
              <w:rPr/>
              <w:t>（3）提供电话查询服务，危急值专人电话跟进，确保患者检测信息与临床医生的畅通。</w:t>
            </w:r>
          </w:p>
        </w:tc>
      </w:tr>
      <w:tr>
        <w:tc>
          <w:tcPr>
            <w:tcW w:type="dxa" w:w="2076"/>
          </w:tcPr>
          <w:p/>
        </w:tc>
        <w:tc>
          <w:tcPr>
            <w:tcW w:type="dxa" w:w="415"/>
          </w:tcPr>
          <w:p>
            <w:pPr>
              <w:pStyle w:val="null3"/>
            </w:pPr>
            <w:r>
              <w:rPr/>
              <w:t>11</w:t>
            </w:r>
          </w:p>
        </w:tc>
        <w:tc>
          <w:tcPr>
            <w:tcW w:type="dxa" w:w="5814"/>
          </w:tcPr>
          <w:p>
            <w:pPr>
              <w:pStyle w:val="null3"/>
            </w:pPr>
            <w:r>
              <w:rPr/>
              <w:t>（4）医务人员可以随时调阅检验结果，服务方须保证病人的资料的准确性和检验结果的及时性，并提供系统使用的必要培训与技术支持。</w:t>
            </w:r>
          </w:p>
        </w:tc>
      </w:tr>
      <w:tr>
        <w:tc>
          <w:tcPr>
            <w:tcW w:type="dxa" w:w="2076"/>
          </w:tcPr>
          <w:p/>
        </w:tc>
        <w:tc>
          <w:tcPr>
            <w:tcW w:type="dxa" w:w="415"/>
          </w:tcPr>
          <w:p>
            <w:pPr>
              <w:pStyle w:val="null3"/>
            </w:pPr>
            <w:r>
              <w:rPr/>
              <w:t>12</w:t>
            </w:r>
          </w:p>
        </w:tc>
        <w:tc>
          <w:tcPr>
            <w:tcW w:type="dxa" w:w="5814"/>
          </w:tcPr>
          <w:p>
            <w:pPr>
              <w:pStyle w:val="null3"/>
            </w:pPr>
            <w:r>
              <w:rPr/>
              <w:t>（5）按照检测项目常规报告时间提供检测结果，并能满足采购人急诊项目的优先检测。</w:t>
            </w:r>
          </w:p>
        </w:tc>
      </w:tr>
      <w:tr>
        <w:tc>
          <w:tcPr>
            <w:tcW w:type="dxa" w:w="2076"/>
          </w:tcPr>
          <w:p/>
        </w:tc>
        <w:tc>
          <w:tcPr>
            <w:tcW w:type="dxa" w:w="415"/>
          </w:tcPr>
          <w:p>
            <w:pPr>
              <w:pStyle w:val="null3"/>
            </w:pPr>
            <w:r>
              <w:rPr/>
              <w:t>13</w:t>
            </w:r>
          </w:p>
        </w:tc>
        <w:tc>
          <w:tcPr>
            <w:tcW w:type="dxa" w:w="5814"/>
          </w:tcPr>
          <w:p>
            <w:pPr>
              <w:pStyle w:val="null3"/>
            </w:pPr>
            <w:r>
              <w:rPr/>
              <w:t>3、其他要求</w:t>
            </w:r>
          </w:p>
          <w:p>
            <w:pPr>
              <w:pStyle w:val="null3"/>
            </w:pPr>
            <w:r>
              <w:rPr/>
              <w:t>（1）须具有规范的标本接收、登记和包装流程，保证标本质量和安全，确保标本顺利交接，方便查核。配合采购人做好标本的采集沟通，运输。应承担运输中出现问题的一切负责，如标本丢失、污染等。</w:t>
            </w:r>
          </w:p>
        </w:tc>
      </w:tr>
      <w:tr>
        <w:tc>
          <w:tcPr>
            <w:tcW w:type="dxa" w:w="2076"/>
          </w:tcPr>
          <w:p/>
        </w:tc>
        <w:tc>
          <w:tcPr>
            <w:tcW w:type="dxa" w:w="415"/>
          </w:tcPr>
          <w:p>
            <w:pPr>
              <w:pStyle w:val="null3"/>
            </w:pPr>
            <w:r>
              <w:rPr/>
              <w:t>14</w:t>
            </w:r>
          </w:p>
        </w:tc>
        <w:tc>
          <w:tcPr>
            <w:tcW w:type="dxa" w:w="5814"/>
          </w:tcPr>
          <w:p>
            <w:pPr>
              <w:pStyle w:val="null3"/>
            </w:pPr>
            <w:r>
              <w:rPr/>
              <w:t>（2）配合采购人做好标本的采集沟通，运输。应承担运输过程中出现的一切问题的责任，如标本丢失、污染等情形。</w:t>
            </w:r>
          </w:p>
        </w:tc>
      </w:tr>
      <w:tr>
        <w:tc>
          <w:tcPr>
            <w:tcW w:type="dxa" w:w="2076"/>
          </w:tcPr>
          <w:p/>
        </w:tc>
        <w:tc>
          <w:tcPr>
            <w:tcW w:type="dxa" w:w="415"/>
          </w:tcPr>
          <w:p>
            <w:pPr>
              <w:pStyle w:val="null3"/>
            </w:pPr>
            <w:r>
              <w:rPr/>
              <w:t>15</w:t>
            </w:r>
          </w:p>
        </w:tc>
        <w:tc>
          <w:tcPr>
            <w:tcW w:type="dxa" w:w="5814"/>
          </w:tcPr>
          <w:p>
            <w:pPr>
              <w:pStyle w:val="null3"/>
            </w:pPr>
            <w:r>
              <w:rPr/>
              <w:t>（3）须保证本项目服务按国家检验质量规范要求进行操作，对检验结果的准确性负责，并对标本的检验报告承担相应的责任。</w:t>
            </w:r>
          </w:p>
        </w:tc>
      </w:tr>
      <w:tr>
        <w:tc>
          <w:tcPr>
            <w:tcW w:type="dxa" w:w="2076"/>
          </w:tcPr>
          <w:p/>
        </w:tc>
        <w:tc>
          <w:tcPr>
            <w:tcW w:type="dxa" w:w="415"/>
          </w:tcPr>
          <w:p>
            <w:pPr>
              <w:pStyle w:val="null3"/>
            </w:pPr>
            <w:r>
              <w:rPr/>
              <w:t>16</w:t>
            </w:r>
          </w:p>
        </w:tc>
        <w:tc>
          <w:tcPr>
            <w:tcW w:type="dxa" w:w="5814"/>
          </w:tcPr>
          <w:p>
            <w:pPr>
              <w:pStyle w:val="null3"/>
            </w:pPr>
            <w:r>
              <w:rPr/>
              <w:t>（4）若将部分项目委托具有相应资质的第三方进行检测，须就第三方出具的检测结果向采购人承担责任。</w:t>
            </w:r>
          </w:p>
        </w:tc>
      </w:tr>
      <w:tr>
        <w:tc>
          <w:tcPr>
            <w:tcW w:type="dxa" w:w="2076"/>
          </w:tcPr>
          <w:p/>
        </w:tc>
        <w:tc>
          <w:tcPr>
            <w:tcW w:type="dxa" w:w="415"/>
          </w:tcPr>
          <w:p>
            <w:pPr>
              <w:pStyle w:val="null3"/>
            </w:pPr>
            <w:r>
              <w:rPr/>
              <w:t>17</w:t>
            </w:r>
          </w:p>
        </w:tc>
        <w:tc>
          <w:tcPr>
            <w:tcW w:type="dxa" w:w="5814"/>
          </w:tcPr>
          <w:p>
            <w:pPr>
              <w:pStyle w:val="null3"/>
            </w:pPr>
            <w:r>
              <w:rPr/>
              <w:t>（5）应为本项目服务履行保密的义务，在未经采购人同意或授权前提下，不得向采购人及其工作人员以外的任何单位或个人泄露采购人委托检验的项目、检验的内容、检验的结果，但受检者及其授权代理人查询、咨询其检验项目事宜的除外。</w:t>
            </w:r>
          </w:p>
        </w:tc>
      </w:tr>
      <w:tr>
        <w:tc>
          <w:tcPr>
            <w:tcW w:type="dxa" w:w="2076"/>
          </w:tcPr>
          <w:p/>
        </w:tc>
        <w:tc>
          <w:tcPr>
            <w:tcW w:type="dxa" w:w="415"/>
          </w:tcPr>
          <w:p>
            <w:pPr>
              <w:pStyle w:val="null3"/>
            </w:pPr>
            <w:r>
              <w:rPr/>
              <w:t>18</w:t>
            </w:r>
          </w:p>
        </w:tc>
        <w:tc>
          <w:tcPr>
            <w:tcW w:type="dxa" w:w="5814"/>
          </w:tcPr>
          <w:p>
            <w:pPr>
              <w:pStyle w:val="null3"/>
            </w:pPr>
            <w:r>
              <w:rPr/>
              <w:t>（6）若标本在送检过程中出现延迟、遗漏、丢失等情况，应有完善的应急预案予以妥善解决，并承担因标本问题引起的纠纷以及赔偿责任。</w:t>
            </w:r>
          </w:p>
        </w:tc>
      </w:tr>
      <w:tr>
        <w:tc>
          <w:tcPr>
            <w:tcW w:type="dxa" w:w="2076"/>
          </w:tcPr>
          <w:p/>
        </w:tc>
        <w:tc>
          <w:tcPr>
            <w:tcW w:type="dxa" w:w="415"/>
          </w:tcPr>
          <w:p>
            <w:pPr>
              <w:pStyle w:val="null3"/>
            </w:pPr>
            <w:r>
              <w:rPr/>
              <w:t>19</w:t>
            </w:r>
          </w:p>
        </w:tc>
        <w:tc>
          <w:tcPr>
            <w:tcW w:type="dxa" w:w="5814"/>
          </w:tcPr>
          <w:p>
            <w:pPr>
              <w:pStyle w:val="null3"/>
            </w:pPr>
            <w:r>
              <w:rPr/>
              <w:t>（7）检验结果差错比≤万分之一。</w:t>
            </w:r>
          </w:p>
        </w:tc>
      </w:tr>
      <w:tr>
        <w:tc>
          <w:tcPr>
            <w:tcW w:type="dxa" w:w="2076"/>
          </w:tcPr>
          <w:p/>
        </w:tc>
        <w:tc>
          <w:tcPr>
            <w:tcW w:type="dxa" w:w="415"/>
          </w:tcPr>
          <w:p>
            <w:pPr>
              <w:pStyle w:val="null3"/>
            </w:pPr>
            <w:r>
              <w:rPr/>
              <w:t>20</w:t>
            </w:r>
          </w:p>
        </w:tc>
        <w:tc>
          <w:tcPr>
            <w:tcW w:type="dxa" w:w="5814"/>
          </w:tcPr>
          <w:p>
            <w:pPr>
              <w:pStyle w:val="null3"/>
            </w:pPr>
            <w:r>
              <w:rPr/>
              <w:t>（8）检验结果与诊断报告相符程度（不可前后矛盾）≥99.9%。</w:t>
            </w:r>
          </w:p>
        </w:tc>
      </w:tr>
      <w:tr>
        <w:tc>
          <w:tcPr>
            <w:tcW w:type="dxa" w:w="2076"/>
          </w:tcPr>
          <w:p/>
        </w:tc>
        <w:tc>
          <w:tcPr>
            <w:tcW w:type="dxa" w:w="415"/>
          </w:tcPr>
          <w:p>
            <w:pPr>
              <w:pStyle w:val="null3"/>
            </w:pPr>
            <w:r>
              <w:rPr/>
              <w:t>21</w:t>
            </w:r>
          </w:p>
        </w:tc>
        <w:tc>
          <w:tcPr>
            <w:tcW w:type="dxa" w:w="5814"/>
          </w:tcPr>
          <w:p>
            <w:pPr>
              <w:pStyle w:val="null3"/>
            </w:pPr>
            <w:r>
              <w:rPr/>
              <w:t>（9）如需召回检验报告的，应及时通过电话、微信、当面告知等任一方式通知采购人召回检验报告，并及时提供新的检验报告。</w:t>
            </w:r>
          </w:p>
        </w:tc>
      </w:tr>
      <w:tr>
        <w:tc>
          <w:tcPr>
            <w:tcW w:type="dxa" w:w="2076"/>
          </w:tcPr>
          <w:p/>
        </w:tc>
        <w:tc>
          <w:tcPr>
            <w:tcW w:type="dxa" w:w="415"/>
          </w:tcPr>
          <w:p>
            <w:pPr>
              <w:pStyle w:val="null3"/>
            </w:pPr>
            <w:r>
              <w:rPr/>
              <w:t>22</w:t>
            </w:r>
          </w:p>
        </w:tc>
        <w:tc>
          <w:tcPr>
            <w:tcW w:type="dxa" w:w="5814"/>
          </w:tcPr>
          <w:p>
            <w:pPr>
              <w:pStyle w:val="null3"/>
            </w:pPr>
            <w:r>
              <w:rPr/>
              <w:t>（10）检验报告单必须由具备相应资质的检验人员签发，上级医师复核。出现因检验结果错误导致采购人医疗纠纷等不良后果，服务方应当承担一切责任。</w:t>
            </w:r>
          </w:p>
        </w:tc>
      </w:tr>
      <w:tr>
        <w:tc>
          <w:tcPr>
            <w:tcW w:type="dxa" w:w="2076"/>
          </w:tcPr>
          <w:p/>
        </w:tc>
        <w:tc>
          <w:tcPr>
            <w:tcW w:type="dxa" w:w="415"/>
          </w:tcPr>
          <w:p>
            <w:pPr>
              <w:pStyle w:val="null3"/>
            </w:pPr>
            <w:r>
              <w:rPr/>
              <w:t>23</w:t>
            </w:r>
          </w:p>
        </w:tc>
        <w:tc>
          <w:tcPr>
            <w:tcW w:type="dxa" w:w="5814"/>
          </w:tcPr>
          <w:p>
            <w:pPr>
              <w:pStyle w:val="null3"/>
            </w:pPr>
            <w:r>
              <w:rPr/>
              <w:t>（11）检测实验室需符合《医疗机构临床实验室管理办法》等国家法律法规要求。</w:t>
            </w:r>
          </w:p>
        </w:tc>
      </w:tr>
      <w:tr>
        <w:tc>
          <w:tcPr>
            <w:tcW w:type="dxa" w:w="2076"/>
          </w:tcPr>
          <w:p/>
        </w:tc>
        <w:tc>
          <w:tcPr>
            <w:tcW w:type="dxa" w:w="415"/>
          </w:tcPr>
          <w:p>
            <w:pPr>
              <w:pStyle w:val="null3"/>
            </w:pPr>
            <w:r>
              <w:rPr/>
              <w:t>24</w:t>
            </w:r>
          </w:p>
        </w:tc>
        <w:tc>
          <w:tcPr>
            <w:tcW w:type="dxa" w:w="5814"/>
          </w:tcPr>
          <w:p>
            <w:pPr>
              <w:pStyle w:val="null3"/>
            </w:pPr>
            <w:r>
              <w:rPr/>
              <w:t>（12）检测样本、检测数据的所有权、使用权为采购人所有，未经许可不得挪作它用。</w:t>
            </w:r>
          </w:p>
        </w:tc>
      </w:tr>
      <w:tr>
        <w:tc>
          <w:tcPr>
            <w:tcW w:type="dxa" w:w="2076"/>
          </w:tcPr>
          <w:p/>
        </w:tc>
        <w:tc>
          <w:tcPr>
            <w:tcW w:type="dxa" w:w="415"/>
          </w:tcPr>
          <w:p>
            <w:pPr>
              <w:pStyle w:val="null3"/>
            </w:pPr>
            <w:r>
              <w:rPr/>
              <w:t>25</w:t>
            </w:r>
          </w:p>
        </w:tc>
        <w:tc>
          <w:tcPr>
            <w:tcW w:type="dxa" w:w="5814"/>
          </w:tcPr>
          <w:p>
            <w:pPr>
              <w:pStyle w:val="null3"/>
            </w:pPr>
            <w:r>
              <w:rPr/>
              <w:t>（13）检测后若有剩余标本，须按照国家法律法规及相关行业规定的保存期限保存剩余标本及处理标本。</w:t>
            </w:r>
          </w:p>
        </w:tc>
      </w:tr>
      <w:tr>
        <w:tc>
          <w:tcPr>
            <w:tcW w:type="dxa" w:w="2076"/>
          </w:tcPr>
          <w:p/>
        </w:tc>
        <w:tc>
          <w:tcPr>
            <w:tcW w:type="dxa" w:w="415"/>
          </w:tcPr>
          <w:p>
            <w:pPr>
              <w:pStyle w:val="null3"/>
            </w:pPr>
            <w:r>
              <w:rPr/>
              <w:t>26</w:t>
            </w:r>
          </w:p>
        </w:tc>
        <w:tc>
          <w:tcPr>
            <w:tcW w:type="dxa" w:w="5814"/>
          </w:tcPr>
          <w:p>
            <w:pPr>
              <w:pStyle w:val="null3"/>
            </w:pPr>
            <w:r>
              <w:rPr/>
              <w:t>（14）须保证检验结果的公正性，真实性不受任何诱使或压力的干扰。</w:t>
            </w:r>
          </w:p>
        </w:tc>
      </w:tr>
      <w:tr>
        <w:tc>
          <w:tcPr>
            <w:tcW w:type="dxa" w:w="2076"/>
          </w:tcPr>
          <w:p/>
        </w:tc>
        <w:tc>
          <w:tcPr>
            <w:tcW w:type="dxa" w:w="415"/>
          </w:tcPr>
          <w:p>
            <w:pPr>
              <w:pStyle w:val="null3"/>
            </w:pPr>
            <w:r>
              <w:rPr/>
              <w:t>27</w:t>
            </w:r>
          </w:p>
        </w:tc>
        <w:tc>
          <w:tcPr>
            <w:tcW w:type="dxa" w:w="5814"/>
          </w:tcPr>
          <w:p>
            <w:pPr>
              <w:pStyle w:val="null3"/>
            </w:pPr>
            <w:r>
              <w:rPr/>
              <w:t>（15）须建立快速的客户服务反应机制，如有针对服务方或与采购人和服务方双方有关的投诉或需处理的情况，须派代表在半日内到达医院及时沟通处理；若主要针对采购人的投诉或需处理的情况，应有义务协助采购人及时沟通处理。</w:t>
            </w:r>
          </w:p>
        </w:tc>
      </w:tr>
      <w:tr>
        <w:tc>
          <w:tcPr>
            <w:tcW w:type="dxa" w:w="2076"/>
          </w:tcPr>
          <w:p/>
        </w:tc>
        <w:tc>
          <w:tcPr>
            <w:tcW w:type="dxa" w:w="415"/>
          </w:tcPr>
          <w:p>
            <w:pPr>
              <w:pStyle w:val="null3"/>
            </w:pPr>
            <w:r>
              <w:rPr/>
              <w:t>28</w:t>
            </w:r>
          </w:p>
        </w:tc>
        <w:tc>
          <w:tcPr>
            <w:tcW w:type="dxa" w:w="5814"/>
          </w:tcPr>
          <w:p>
            <w:pPr>
              <w:pStyle w:val="null3"/>
            </w:pPr>
            <w:r>
              <w:rPr/>
              <w:t>（16）应根据采购人的需要安排专家到采购人处进行专业知识的培训及送检项目的沟通。须安排相关的专家与采购人进行每年不低于一次学术讲座、学术交流、培训等。</w:t>
            </w:r>
          </w:p>
        </w:tc>
      </w:tr>
      <w:tr>
        <w:tc>
          <w:tcPr>
            <w:tcW w:type="dxa" w:w="2076"/>
          </w:tcPr>
          <w:p/>
        </w:tc>
        <w:tc>
          <w:tcPr>
            <w:tcW w:type="dxa" w:w="415"/>
          </w:tcPr>
          <w:p>
            <w:pPr>
              <w:pStyle w:val="null3"/>
            </w:pPr>
            <w:r>
              <w:rPr/>
              <w:t>29</w:t>
            </w:r>
          </w:p>
        </w:tc>
        <w:tc>
          <w:tcPr>
            <w:tcW w:type="dxa" w:w="5814"/>
          </w:tcPr>
          <w:p>
            <w:pPr>
              <w:pStyle w:val="null3"/>
            </w:pPr>
            <w:r>
              <w:rPr/>
              <w:t>（17）服务方须具备完善的临床病理学术沟通平台，为采购人提供病理疑难病例的专业咨询、研讨支持及解决方案。</w:t>
            </w:r>
          </w:p>
        </w:tc>
      </w:tr>
      <w:tr>
        <w:tc>
          <w:tcPr>
            <w:tcW w:type="dxa" w:w="2076"/>
          </w:tcPr>
          <w:p/>
        </w:tc>
        <w:tc>
          <w:tcPr>
            <w:tcW w:type="dxa" w:w="415"/>
          </w:tcPr>
          <w:p>
            <w:pPr>
              <w:pStyle w:val="null3"/>
            </w:pPr>
            <w:r>
              <w:rPr/>
              <w:t>30</w:t>
            </w:r>
          </w:p>
        </w:tc>
        <w:tc>
          <w:tcPr>
            <w:tcW w:type="dxa" w:w="5814"/>
          </w:tcPr>
          <w:p>
            <w:pPr>
              <w:pStyle w:val="null3"/>
            </w:pPr>
            <w:r>
              <w:rPr/>
              <w:t>（18）部分项目在检测技术成熟、标本量达到本地化开展要求后，采购人有权决定是否继续外送。</w:t>
            </w:r>
          </w:p>
        </w:tc>
      </w:tr>
      <w:tr>
        <w:tc>
          <w:tcPr>
            <w:tcW w:type="dxa" w:w="2076"/>
          </w:tcPr>
          <w:p/>
        </w:tc>
        <w:tc>
          <w:tcPr>
            <w:tcW w:type="dxa" w:w="415"/>
          </w:tcPr>
          <w:p>
            <w:pPr>
              <w:pStyle w:val="null3"/>
            </w:pPr>
            <w:r>
              <w:rPr/>
              <w:t>31</w:t>
            </w:r>
          </w:p>
        </w:tc>
        <w:tc>
          <w:tcPr>
            <w:tcW w:type="dxa" w:w="5814"/>
          </w:tcPr>
          <w:p>
            <w:pPr>
              <w:pStyle w:val="null3"/>
            </w:pPr>
            <w:r>
              <w:rPr/>
              <w:t>（19）每个外送病例必须提供测序数据的中间文件，Bam文件须本地化储存，需提供过滤前后的数据，质控文件，每个检测病例的NGS报告PDF版。截止报告发出后半年内提供Bam文件。服务终止时，须在合同到期或提前终止后的15个工作日内，向采购人完整移交所有检测数据及原始记录，并确保移交资料的真实性与可追溯性，数据所有权归属采购人。</w:t>
            </w:r>
          </w:p>
        </w:tc>
      </w:tr>
      <w:tr>
        <w:tc>
          <w:tcPr>
            <w:tcW w:type="dxa" w:w="2076"/>
          </w:tcPr>
          <w:p/>
        </w:tc>
        <w:tc>
          <w:tcPr>
            <w:tcW w:type="dxa" w:w="415"/>
          </w:tcPr>
          <w:p>
            <w:pPr>
              <w:pStyle w:val="null3"/>
            </w:pPr>
            <w:r>
              <w:rPr/>
              <w:t>32</w:t>
            </w:r>
          </w:p>
        </w:tc>
        <w:tc>
          <w:tcPr>
            <w:tcW w:type="dxa" w:w="5814"/>
          </w:tcPr>
          <w:p>
            <w:pPr>
              <w:pStyle w:val="null3"/>
            </w:pPr>
            <w:r>
              <w:rPr/>
              <w:t>（20）服务方应建立争议处理机制，对检验结果存疑的样本，须在采购人提出复核申请后2小时内启动复检流程，并在原报告时限内出具复核结论。复检费用由责任方承担。</w:t>
            </w:r>
          </w:p>
        </w:tc>
      </w:tr>
      <w:tr>
        <w:tc>
          <w:tcPr>
            <w:tcW w:type="dxa" w:w="2076"/>
          </w:tcPr>
          <w:p/>
        </w:tc>
        <w:tc>
          <w:tcPr>
            <w:tcW w:type="dxa" w:w="415"/>
          </w:tcPr>
          <w:p>
            <w:pPr>
              <w:pStyle w:val="null3"/>
            </w:pPr>
            <w:r>
              <w:rPr/>
              <w:t>33</w:t>
            </w:r>
          </w:p>
        </w:tc>
        <w:tc>
          <w:tcPr>
            <w:tcW w:type="dxa" w:w="5814"/>
          </w:tcPr>
          <w:p>
            <w:pPr>
              <w:pStyle w:val="null3"/>
            </w:pPr>
            <w:r>
              <w:rPr/>
              <w:t>（21）为采购人的病理服务提供协助支持，保证服务过程遵守所有相关的法律、法规和行业准则，以确保服务的执行在各方面合法合规。所有电子数据存储和传输须采用加密技术，严格遵守《网络安全法》及个人信息保护相关规定，防止数据泄露或滥用。</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1.采购代理机构：本项目是指广东悦诚招标代理有限公司，负责整个采购活动的组织，依法负责编制和发布招标文件，对招标文件拥有最终的解释权，不以任何身份出任评标委员会成员。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普宁市人民医院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3</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p>
            <w:pPr>
              <w:pStyle w:val="null3"/>
            </w:pPr>
            <w:r>
              <w:rPr/>
              <w:t>采购包3：综合评分法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p>
            <w:pPr>
              <w:pStyle w:val="null3"/>
            </w:pPr>
            <w:r>
              <w:rPr/>
              <w:t>采购包2：总价</w:t>
            </w:r>
          </w:p>
          <w:p>
            <w:pPr>
              <w:pStyle w:val="null3"/>
            </w:pPr>
            <w:r>
              <w:rPr/>
              <w:t>采购包3：总价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p>
            <w:pPr>
              <w:pStyle w:val="null3"/>
            </w:pPr>
            <w:r>
              <w:rPr/>
              <w:t>采购包2：</w:t>
            </w:r>
            <w:r>
              <w:rPr/>
              <w:t>3家</w:t>
            </w:r>
          </w:p>
          <w:p>
            <w:pPr>
              <w:pStyle w:val="null3"/>
            </w:pPr>
            <w:r>
              <w:rPr/>
              <w:t>采购包3：</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p>
            <w:pPr>
              <w:pStyle w:val="null3"/>
            </w:pPr>
            <w:r>
              <w:rPr/>
              <w:t>采购包3：</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jc w:val="left"/>
            </w:pPr>
            <w:r>
              <w:rPr/>
              <w:t>采购包3：3家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兼投不兼中：本项目兼投不兼中，每个投标人最多只能被确定为1个子包的第一中标候选人。本项目按子包的顺序进行评审，依次按照评标总得分由高到低的顺序，每包组推荐3名中标候选人。已获得子包一的第一中标候选人资格的，将不具有子包二的候选人推荐资格；子包二从具有中标候选人资格的投标人中，排名最高的投标供应商为第一中标候选人，排名次高的投标供应商为第二中标候选人，以此类推。</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采购机构代理服务收费标准：按照国家计委颁布的《招标代理服务收费管理暂行办法》计价格[2002]1980号）执行计取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p>
            <w:pPr>
              <w:pStyle w:val="null3"/>
              <w:jc w:val="left"/>
            </w:pPr>
            <w:r>
              <w:rPr/>
              <w:t>采购包2：非专门面向中小企业</w:t>
            </w:r>
          </w:p>
          <w:p>
            <w:pPr>
              <w:pStyle w:val="null3"/>
              <w:jc w:val="left"/>
            </w:pPr>
            <w:r>
              <w:rPr/>
              <w:t>采购包3：非专门面向中小企业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广东悦诚招标代理有限公司</w:t>
      </w:r>
      <w:r>
        <w:rPr/>
        <w:t>代收。具体操作要求详见</w:t>
      </w:r>
      <w:r>
        <w:rPr/>
        <w:t>广东悦诚招标代理有限公司</w:t>
      </w:r>
      <w:r>
        <w:rPr/>
        <w:t>有关指引，递交事宜请自行咨询</w:t>
      </w:r>
      <w:r>
        <w:rPr/>
        <w:t>广东悦诚招标代理有限公司</w:t>
      </w:r>
      <w:r>
        <w:rPr/>
        <w:t>；请各投标人在投标文件递交截止时间前按须知前附表规定的金额递交至</w:t>
      </w:r>
      <w:r>
        <w:rPr/>
        <w:t>广东悦诚招标代理有限公司</w:t>
      </w:r>
      <w:r>
        <w:rPr/>
        <w:t>，到账情况以开标时</w:t>
      </w:r>
      <w:r>
        <w:rPr/>
        <w:t>广东悦诚招标代理有限公司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广东悦诚招标代理有限公司（yeucen.com）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广东悦诚招标代理有限公司（yeucen.com）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张先生</w:t>
      </w:r>
    </w:p>
    <w:p>
      <w:pPr>
        <w:pStyle w:val="null3"/>
        <w:ind w:firstLine="480"/>
      </w:pPr>
      <w:r>
        <w:rPr/>
        <w:t>电话：</w:t>
      </w:r>
      <w:r>
        <w:rPr/>
        <w:t>0663-6186588</w:t>
      </w:r>
    </w:p>
    <w:p>
      <w:pPr>
        <w:pStyle w:val="null3"/>
        <w:ind w:firstLine="480"/>
      </w:pPr>
      <w:r>
        <w:rPr/>
        <w:t>传真：</w:t>
      </w:r>
      <w:r>
        <w:rPr/>
        <w:t>0663-6186588</w:t>
      </w:r>
    </w:p>
    <w:p>
      <w:pPr>
        <w:pStyle w:val="null3"/>
        <w:ind w:firstLine="480"/>
      </w:pPr>
      <w:r>
        <w:rPr/>
        <w:t>邮箱：</w:t>
      </w:r>
      <w:r>
        <w:rPr/>
        <w:t>yeucen@163.com</w:t>
      </w:r>
    </w:p>
    <w:p>
      <w:pPr>
        <w:pStyle w:val="null3"/>
        <w:ind w:firstLine="480"/>
      </w:pPr>
      <w:r>
        <w:rPr/>
        <w:t>地址：</w:t>
      </w:r>
      <w:r>
        <w:rPr/>
        <w:t>普宁市普宁大道商业街南侧林青段西起第13幢</w:t>
      </w:r>
    </w:p>
    <w:p>
      <w:pPr>
        <w:pStyle w:val="null3"/>
        <w:ind w:firstLine="480"/>
      </w:pPr>
      <w:r>
        <w:rPr/>
        <w:t>邮编：</w:t>
      </w:r>
      <w:r>
        <w:rPr/>
        <w:t>515300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政府采购监督管理机构名称：普宁市财政局政府采购管理股</w:t>
      </w:r>
    </w:p>
    <w:p>
      <w:pPr>
        <w:pStyle w:val="null3"/>
      </w:pPr>
      <w:r>
        <w:rPr/>
        <w:t>地 址：广东省普宁市流沙西街道南平里11幢</w:t>
      </w:r>
    </w:p>
    <w:p>
      <w:pPr>
        <w:pStyle w:val="null3"/>
      </w:pPr>
      <w:r>
        <w:rPr/>
        <w:t>电 话：0663-2253011</w:t>
      </w:r>
    </w:p>
    <w:p>
      <w:pPr>
        <w:pStyle w:val="null3"/>
      </w:pPr>
      <w:r>
        <w:rPr/>
        <w:t>邮 编：515300</w:t>
      </w:r>
    </w:p>
    <w:p>
      <w:pPr>
        <w:pStyle w:val="null3"/>
      </w:pPr>
      <w:r>
        <w:rPr/>
        <w:t>传 真：0663-2218899</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检验科标本外送委托检验服务（子包一）)：综合评分法,是指投标文件满足招标文件全部实质性要求，且按照评审因素的量化指标评审得分最高的投标人为中标候选人的评标方法。（最低报价不是中标的唯一依据。）</w:t>
      </w:r>
    </w:p>
    <w:p>
      <w:pPr>
        <w:pStyle w:val="null3"/>
      </w:pPr>
      <w:r>
        <w:rPr/>
        <w:t>采购包2(精准医学中心标本外送委托检验服务（子包二）)：综合评分法,是指投标文件满足招标文件全部实质性要求，且按照评审因素的量化指标评审得分最高的投标人为中标候选人的评标方法。（最低报价不是中标的唯一依据。）</w:t>
      </w:r>
    </w:p>
    <w:p>
      <w:pPr>
        <w:pStyle w:val="null3"/>
      </w:pPr>
      <w:r>
        <w:rPr/>
        <w:t>采购包3(病理科标本外送委托检验服务（子包三）)：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广东悦诚招标代理有限公司</w:t>
      </w:r>
      <w:r>
        <w:rPr/>
        <w:t>统一对外发布。</w:t>
      </w:r>
    </w:p>
    <w:p>
      <w:pPr>
        <w:pStyle w:val="null3"/>
        <w:ind w:firstLine="480"/>
      </w:pPr>
      <w:r>
        <w:rPr/>
        <w:t>（2）对</w:t>
      </w:r>
      <w:r>
        <w:rPr/>
        <w:t>广东悦诚招标代理有限公司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采购包1（检验科标本外送委托检验服务（子包一））：</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采购包2（精准医学中心标本外送委托检验服务（子包二））：</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采购包3（病理科标本外送委托检验服务（子包三））：</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采购包1（检验科标本外送委托检验服务（子包一））：</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供应商必须是具有独立承担民事责任能力的在中华人民共和国境内注册的法人、其他组织或者自然人。【提供其取得登记管理机关依法给核准登记或者备案的有效身份凭证副本复印件加盖公章，例如：营业执照、事业单位法人证书、社会团体法人登记证书等。若投标人为法人单位的分支机构时，须同时提供所属法人单位为其出具的《项目投标授权书》及所属法人单位取得登记管理机关依法给核准登记或者备案的有效凭证副本，《项目投标授权书》可参照公告附件格式】</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供应商必须有依法缴纳税收和社会保障资金的良好记录。【投标时须提供《资格承诺函》，可参照公告附件格式】</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供应商必须具有良好的商业信誉和健全的财务会计制度。【投标时须提供《资格承诺函》，可参照公告附件格式】</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供应商必须具有履行合同所必需的设备和专业技术能力。【投标时须提供《设备和专业技术能力情况表》，可参照公告附件格式】</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供应商参加采购活动前3年内，在经营活动中没有重大违法记录。【投标时须提供《资格承诺函》，可参照公告附件格式。重大违法记录，是指供应商因违法经营受到刑事处罚或者责令停产停业、吊销许可证或者执照、较大数额罚款等行政处罚。（较大数额罚款按照发出行政处罚决定书部门所在省级政府，或实行垂直领导的国务院有关行政主管部门制定的较大数额罚款标准，或罚款决定之前需要举行听证会的金额标准来认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并对信用信息查询记录进行留存。如相关失信记录已失效，供应商须提供相关证明资料。【投标时须提供《企业信用自查承诺函》，可参照公告附件格式】</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参照投标（报价）函相关承诺格式内容。</w:t>
            </w:r>
          </w:p>
        </w:tc>
      </w:tr>
      <w:tr>
        <w:tc>
          <w:tcPr>
            <w:tcW w:type="dxa" w:w="890"/>
          </w:tcPr>
          <w:p>
            <w:pPr>
              <w:pStyle w:val="null3"/>
            </w:pPr>
            <w:r>
              <w:rPr/>
              <w:t>8</w:t>
            </w:r>
          </w:p>
        </w:tc>
        <w:tc>
          <w:tcPr>
            <w:tcW w:type="dxa" w:w="3178"/>
          </w:tcPr>
          <w:p>
            <w:pPr>
              <w:pStyle w:val="null3"/>
            </w:pPr>
            <w:r>
              <w:rPr/>
              <w:t>行业资质</w:t>
            </w:r>
          </w:p>
        </w:tc>
        <w:tc>
          <w:tcPr>
            <w:tcW w:type="dxa" w:w="4238"/>
          </w:tcPr>
          <w:p>
            <w:pPr>
              <w:pStyle w:val="null3"/>
            </w:pPr>
            <w:r>
              <w:rPr/>
              <w:t>供应商须具有卫生部门核发的有效期内的《医疗机构执业许可证》，并至少具有以下医学检验科一级诊疗科目的二级诊疗科目：临床体液、血液专业；临床微生物学专业；临床化学检验专业；临床免疫、血清学专业。</w:t>
            </w:r>
          </w:p>
        </w:tc>
      </w:tr>
      <w:tr>
        <w:tc>
          <w:tcPr>
            <w:tcW w:type="dxa" w:w="890"/>
          </w:tcPr>
          <w:p>
            <w:pPr>
              <w:pStyle w:val="null3"/>
            </w:pPr>
            <w:r>
              <w:rPr/>
              <w:t>9</w:t>
            </w:r>
          </w:p>
        </w:tc>
        <w:tc>
          <w:tcPr>
            <w:tcW w:type="dxa" w:w="3178"/>
          </w:tcPr>
          <w:p>
            <w:pPr>
              <w:pStyle w:val="null3"/>
            </w:pPr>
            <w:r>
              <w:rPr/>
              <w:t>本项目不属于专门面向中小企业采购的项目</w:t>
            </w:r>
          </w:p>
        </w:tc>
        <w:tc>
          <w:tcPr>
            <w:tcW w:type="dxa" w:w="4238"/>
          </w:tcPr>
          <w:p>
            <w:pPr>
              <w:pStyle w:val="null3"/>
            </w:pPr>
            <w:r>
              <w:rPr/>
              <w:t>本项目不属于专门面向中小企业采购的项目</w:t>
            </w:r>
          </w:p>
        </w:tc>
      </w:tr>
    </w:tbl>
    <w:p>
      <w:pPr>
        <w:pStyle w:val="null3"/>
      </w:pPr>
      <w:r>
        <w:rPr/>
        <w:t>采购包2（精准医学中心标本外送委托检验服务（子包二））：</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供应商必须是具有独立承担民事责任能力的在中华人民共和国境内注册的法人、其他组织或者自然人。【提供其取得登记管理机关依法给核准登记或者备案的有效身份凭证副本复印件加盖公章，例如：营业执照、事业单位法人证书、社会团体法人登记证书等。若投标人为法人单位的分支机构时，须同时提供所属法人单位为其出具的《项目投标授权书》及所属法人单位取得登记管理机关依法给核准登记或者备案的有效凭证副本，《项目投标授权书》可参照公告附件格式】</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供应商必须有依法缴纳税收和社会保障资金的良好记录。【投标时须提供《资格承诺函》，可参照公告附件格式】</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供应商必须具有良好的商业信誉和健全的财务会计制度。【投标时须提供《资格承诺函》，可参照公告附件格式】</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供应商必须具有履行合同所必需的设备和专业技术能力。【投标时须提供《设备和专业技术能力情况表》，可参照公告附件格式】</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供应商参加采购活动前3年内，在经营活动中没有重大违法记录。【投标时须提供《资格承诺函》，可参照公告附件格式。重大违法记录，是指供应商因违法经营受到刑事处罚或者责令停产停业、吊销许可证或者执照、较大数额罚款等行政处罚。（较大数额罚款按照发出行政处罚决定书部门所在省级政府，或实行垂直领导的国务院有关行政主管部门制定的较大数额罚款标准，或罚款决定之前需要举行听证会的金额标准来认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并对信用信息查询记录进行留存。如相关失信记录已失效，供应商须提供相关证明资料。【投标时须提供《企业信用自查承诺函》，可参照公告附件格式】</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参照投标（报价）函相关承诺格式内容。</w:t>
            </w:r>
          </w:p>
        </w:tc>
      </w:tr>
      <w:tr>
        <w:tc>
          <w:tcPr>
            <w:tcW w:type="dxa" w:w="890"/>
          </w:tcPr>
          <w:p>
            <w:pPr>
              <w:pStyle w:val="null3"/>
            </w:pPr>
            <w:r>
              <w:rPr/>
              <w:t>8</w:t>
            </w:r>
          </w:p>
        </w:tc>
        <w:tc>
          <w:tcPr>
            <w:tcW w:type="dxa" w:w="3178"/>
          </w:tcPr>
          <w:p>
            <w:pPr>
              <w:pStyle w:val="null3"/>
            </w:pPr>
            <w:r>
              <w:rPr/>
              <w:t>行业资质</w:t>
            </w:r>
          </w:p>
        </w:tc>
        <w:tc>
          <w:tcPr>
            <w:tcW w:type="dxa" w:w="4238"/>
          </w:tcPr>
          <w:p>
            <w:pPr>
              <w:pStyle w:val="null3"/>
            </w:pPr>
            <w:r>
              <w:rPr/>
              <w:t>供应商须具有卫生部门核发的有效期内的《医疗机构执业许可证》，并至少具有以下医学检验科一级诊疗科目的二级诊疗科目：临床细胞分子遗传学专业。</w:t>
            </w:r>
          </w:p>
        </w:tc>
      </w:tr>
      <w:tr>
        <w:tc>
          <w:tcPr>
            <w:tcW w:type="dxa" w:w="890"/>
          </w:tcPr>
          <w:p>
            <w:pPr>
              <w:pStyle w:val="null3"/>
            </w:pPr>
            <w:r>
              <w:rPr/>
              <w:t>9</w:t>
            </w:r>
          </w:p>
        </w:tc>
        <w:tc>
          <w:tcPr>
            <w:tcW w:type="dxa" w:w="3178"/>
          </w:tcPr>
          <w:p>
            <w:pPr>
              <w:pStyle w:val="null3"/>
            </w:pPr>
            <w:r>
              <w:rPr/>
              <w:t>本项目不属于专门面向中小企业采购的项目</w:t>
            </w:r>
          </w:p>
        </w:tc>
        <w:tc>
          <w:tcPr>
            <w:tcW w:type="dxa" w:w="4238"/>
          </w:tcPr>
          <w:p>
            <w:pPr>
              <w:pStyle w:val="null3"/>
            </w:pPr>
            <w:r>
              <w:rPr/>
              <w:t>本项目不属于专门面向中小企业采购的项目</w:t>
            </w:r>
          </w:p>
        </w:tc>
      </w:tr>
    </w:tbl>
    <w:p>
      <w:pPr>
        <w:pStyle w:val="null3"/>
      </w:pPr>
      <w:r>
        <w:rPr/>
        <w:t>采购包3（病理科标本外送委托检验服务（子包三））：</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供应商必须是具有独立承担民事责任能力的在中华人民共和国境内注册的法人、其他组织或者自然人。【提供其取得登记管理机关依法给核准登记或者备案的有效身份凭证副本复印件加盖公章，例如：营业执照、事业单位法人证书、社会团体法人登记证书等。若投标人为法人单位的分支机构时，须同时提供所属法人单位为其出具的《项目投标授权书》及所属法人单位取得登记管理机关依法给核准登记或者备案的有效凭证副本，《项目投标授权书》可参照公告附件格式】</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供应商必须有依法缴纳税收和社会保障资金的良好记录。【投标时须提供《资格承诺函》，可参照公告附件格式】</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供应商必须具有良好的商业信誉和健全的财务会计制度。【投标时须提供《资格承诺函》，可参照公告附件格式】</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供应商必须具有履行合同所必需的设备和专业技术能力。【投标时须提供《设备和专业技术能力情况表》，可参照公告附件格式】</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供应商参加采购活动前3年内，在经营活动中没有重大违法记录。【投标时须提供《资格承诺函》，可参照公告附件格式。重大违法记录，是指供应商因违法经营受到刑事处罚或者责令停产停业、吊销许可证或者执照、较大数额罚款等行政处罚。（较大数额罚款按照发出行政处罚决定书部门所在省级政府，或实行垂直领导的国务院有关行政主管部门制定的较大数额罚款标准，或罚款决定之前需要举行听证会的金额标准来认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并对信用信息查询记录进行留存。如相关失信记录已失效，供应商须提供相关证明资料。【投标时须提供《企业信用自查承诺函》，可参照公告附件格式】</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参照投标（报价）函相关承诺格式内容。</w:t>
            </w:r>
          </w:p>
        </w:tc>
      </w:tr>
      <w:tr>
        <w:tc>
          <w:tcPr>
            <w:tcW w:type="dxa" w:w="890"/>
          </w:tcPr>
          <w:p>
            <w:pPr>
              <w:pStyle w:val="null3"/>
            </w:pPr>
            <w:r>
              <w:rPr/>
              <w:t>8</w:t>
            </w:r>
          </w:p>
        </w:tc>
        <w:tc>
          <w:tcPr>
            <w:tcW w:type="dxa" w:w="3178"/>
          </w:tcPr>
          <w:p>
            <w:pPr>
              <w:pStyle w:val="null3"/>
            </w:pPr>
            <w:r>
              <w:rPr/>
              <w:t>行业资质</w:t>
            </w:r>
          </w:p>
        </w:tc>
        <w:tc>
          <w:tcPr>
            <w:tcW w:type="dxa" w:w="4238"/>
          </w:tcPr>
          <w:p>
            <w:pPr>
              <w:pStyle w:val="null3"/>
            </w:pPr>
            <w:r>
              <w:rPr/>
              <w:t>供应商须具有卫生部门核发的有效期内的《医疗机构执业许可证》，并至少具有病理科一级诊疗科目和具有以下医学检验科一级诊疗科目的二级诊疗科目：临床体液、血液专业；临床免疫、血清学专业。</w:t>
            </w:r>
          </w:p>
        </w:tc>
      </w:tr>
      <w:tr>
        <w:tc>
          <w:tcPr>
            <w:tcW w:type="dxa" w:w="890"/>
          </w:tcPr>
          <w:p>
            <w:pPr>
              <w:pStyle w:val="null3"/>
            </w:pPr>
            <w:r>
              <w:rPr/>
              <w:t>9</w:t>
            </w:r>
          </w:p>
        </w:tc>
        <w:tc>
          <w:tcPr>
            <w:tcW w:type="dxa" w:w="3178"/>
          </w:tcPr>
          <w:p>
            <w:pPr>
              <w:pStyle w:val="null3"/>
            </w:pPr>
            <w:r>
              <w:rPr/>
              <w:t>本项目不属于专门面向中小企业采购的项目</w:t>
            </w:r>
          </w:p>
        </w:tc>
        <w:tc>
          <w:tcPr>
            <w:tcW w:type="dxa" w:w="4238"/>
          </w:tcPr>
          <w:p>
            <w:pPr>
              <w:pStyle w:val="null3"/>
            </w:pPr>
            <w:r>
              <w:rPr/>
              <w:t>本项目不属于专门面向中小企业采购的项目</w:t>
            </w:r>
          </w:p>
        </w:tc>
      </w:tr>
    </w:tbl>
    <w:p>
      <w:pPr>
        <w:pStyle w:val="null3"/>
        <w:ind w:firstLine="480"/>
      </w:pPr>
      <w:r>
        <w:rPr/>
        <w:t>表二符合性审查表：</w:t>
      </w:r>
    </w:p>
    <w:p>
      <w:pPr>
        <w:pStyle w:val="null3"/>
      </w:pPr>
      <w:r>
        <w:rPr/>
        <w:t>采购包1（检验科标本外送委托检验服务（子包一））：</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投标报价唯一，不高于采购人需求规定的预算金额或最高限价，或投标报价没有明显低于其他通过符合性审查投标人的报价</w:t>
            </w:r>
          </w:p>
        </w:tc>
      </w:tr>
      <w:tr>
        <w:tc>
          <w:tcPr>
            <w:tcW w:type="dxa" w:w="890"/>
          </w:tcPr>
          <w:p>
            <w:pPr>
              <w:pStyle w:val="null3"/>
            </w:pPr>
            <w:r>
              <w:rPr/>
              <w:t>2</w:t>
            </w:r>
          </w:p>
        </w:tc>
        <w:tc>
          <w:tcPr>
            <w:tcW w:type="dxa" w:w="3178"/>
          </w:tcPr>
          <w:p>
            <w:pPr>
              <w:pStyle w:val="null3"/>
            </w:pPr>
            <w:r>
              <w:rPr/>
              <w:t>签署盖章</w:t>
            </w:r>
          </w:p>
        </w:tc>
        <w:tc>
          <w:tcPr>
            <w:tcW w:type="dxa" w:w="4238"/>
          </w:tcPr>
          <w:p>
            <w:pPr>
              <w:pStyle w:val="null3"/>
            </w:pPr>
            <w:r>
              <w:rPr/>
              <w:t>符合招标文件的签署、盖章要求</w:t>
            </w:r>
          </w:p>
        </w:tc>
      </w:tr>
      <w:tr>
        <w:tc>
          <w:tcPr>
            <w:tcW w:type="dxa" w:w="890"/>
          </w:tcPr>
          <w:p>
            <w:pPr>
              <w:pStyle w:val="null3"/>
            </w:pPr>
            <w:r>
              <w:rPr/>
              <w:t>3</w:t>
            </w:r>
          </w:p>
        </w:tc>
        <w:tc>
          <w:tcPr>
            <w:tcW w:type="dxa" w:w="3178"/>
          </w:tcPr>
          <w:p>
            <w:pPr>
              <w:pStyle w:val="null3"/>
            </w:pPr>
            <w:r>
              <w:rPr/>
              <w:t>法定代表人证明和授权证明</w:t>
            </w:r>
          </w:p>
        </w:tc>
        <w:tc>
          <w:tcPr>
            <w:tcW w:type="dxa" w:w="4238"/>
          </w:tcPr>
          <w:p>
            <w:pPr>
              <w:pStyle w:val="null3"/>
            </w:pPr>
            <w:r>
              <w:rPr/>
              <w:t>按招标文件要求提供《法定代表人/负责人资格证明书》，若有授权时须同时提供《法定代表人/负责人授权委托书》的，并附其相关人员身份证件正反面复印件</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符合招标文件投标有效期要求的</w:t>
            </w:r>
          </w:p>
        </w:tc>
      </w:tr>
      <w:tr>
        <w:tc>
          <w:tcPr>
            <w:tcW w:type="dxa" w:w="890"/>
          </w:tcPr>
          <w:p>
            <w:pPr>
              <w:pStyle w:val="null3"/>
            </w:pPr>
            <w:r>
              <w:rPr/>
              <w:t>5</w:t>
            </w:r>
          </w:p>
        </w:tc>
        <w:tc>
          <w:tcPr>
            <w:tcW w:type="dxa" w:w="3178"/>
          </w:tcPr>
          <w:p>
            <w:pPr>
              <w:pStyle w:val="null3"/>
            </w:pPr>
            <w:r>
              <w:rPr/>
              <w:t>实质性条款</w:t>
            </w:r>
          </w:p>
        </w:tc>
        <w:tc>
          <w:tcPr>
            <w:tcW w:type="dxa" w:w="4238"/>
          </w:tcPr>
          <w:p>
            <w:pPr>
              <w:pStyle w:val="null3"/>
            </w:pPr>
            <w:r>
              <w:rPr/>
              <w:t>满足招标文件中带★号的条款和指标，且符合招标文件的其他要求，没有重大偏离的</w:t>
            </w:r>
          </w:p>
        </w:tc>
      </w:tr>
      <w:tr>
        <w:tc>
          <w:tcPr>
            <w:tcW w:type="dxa" w:w="890"/>
          </w:tcPr>
          <w:p>
            <w:pPr>
              <w:pStyle w:val="null3"/>
            </w:pPr>
            <w:r>
              <w:rPr/>
              <w:t>6</w:t>
            </w:r>
          </w:p>
        </w:tc>
        <w:tc>
          <w:tcPr>
            <w:tcW w:type="dxa" w:w="3178"/>
          </w:tcPr>
          <w:p>
            <w:pPr>
              <w:pStyle w:val="null3"/>
            </w:pPr>
            <w:r>
              <w:rPr/>
              <w:t>未发现无效投标的其他情形的</w:t>
            </w:r>
          </w:p>
        </w:tc>
        <w:tc>
          <w:tcPr>
            <w:tcW w:type="dxa" w:w="4238"/>
          </w:tcPr>
          <w:p>
            <w:pPr>
              <w:pStyle w:val="null3"/>
            </w:pPr>
            <w:r>
              <w:rPr/>
              <w:t>（1）评标期间，投标人没有按评标委员会的要求提交经授权代表签字的澄清、说明、补正或改变了投标文件的实质性内容的；（2）经评标委员会认定投标文件提供虚假材料的；（3）投标人以他人的名义投标、串通投标、以行贿手段谋取中标或者以其他弄虚作假方式投标的；（4）投标人对采购人、采购代理机构、评标委员会及其工作人员施加影响，有碍招标公平、公正的；（5）投标文件附有采购人不能接受的条件；（6）出现不符合相关法律、法规要求的情况的。</w:t>
            </w:r>
          </w:p>
        </w:tc>
      </w:tr>
    </w:tbl>
    <w:p>
      <w:pPr>
        <w:pStyle w:val="null3"/>
      </w:pPr>
      <w:r>
        <w:rPr/>
        <w:t>采购包2（精准医学中心标本外送委托检验服务（子包二））：</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投标报价唯一，不高于采购人需求规定的预算金额或最高限价，或投标报价没有明显低于其他通过符合性审查投标人的报价</w:t>
            </w:r>
          </w:p>
        </w:tc>
      </w:tr>
      <w:tr>
        <w:tc>
          <w:tcPr>
            <w:tcW w:type="dxa" w:w="890"/>
          </w:tcPr>
          <w:p>
            <w:pPr>
              <w:pStyle w:val="null3"/>
            </w:pPr>
            <w:r>
              <w:rPr/>
              <w:t>2</w:t>
            </w:r>
          </w:p>
        </w:tc>
        <w:tc>
          <w:tcPr>
            <w:tcW w:type="dxa" w:w="3178"/>
          </w:tcPr>
          <w:p>
            <w:pPr>
              <w:pStyle w:val="null3"/>
            </w:pPr>
            <w:r>
              <w:rPr/>
              <w:t>签署盖章</w:t>
            </w:r>
          </w:p>
        </w:tc>
        <w:tc>
          <w:tcPr>
            <w:tcW w:type="dxa" w:w="4238"/>
          </w:tcPr>
          <w:p>
            <w:pPr>
              <w:pStyle w:val="null3"/>
            </w:pPr>
            <w:r>
              <w:rPr/>
              <w:t>符合招标文件的签署、盖章要求</w:t>
            </w:r>
          </w:p>
        </w:tc>
      </w:tr>
      <w:tr>
        <w:tc>
          <w:tcPr>
            <w:tcW w:type="dxa" w:w="890"/>
          </w:tcPr>
          <w:p>
            <w:pPr>
              <w:pStyle w:val="null3"/>
            </w:pPr>
            <w:r>
              <w:rPr/>
              <w:t>3</w:t>
            </w:r>
          </w:p>
        </w:tc>
        <w:tc>
          <w:tcPr>
            <w:tcW w:type="dxa" w:w="3178"/>
          </w:tcPr>
          <w:p>
            <w:pPr>
              <w:pStyle w:val="null3"/>
            </w:pPr>
            <w:r>
              <w:rPr/>
              <w:t>法定代表人证明和授权证明</w:t>
            </w:r>
          </w:p>
        </w:tc>
        <w:tc>
          <w:tcPr>
            <w:tcW w:type="dxa" w:w="4238"/>
          </w:tcPr>
          <w:p>
            <w:pPr>
              <w:pStyle w:val="null3"/>
            </w:pPr>
            <w:r>
              <w:rPr/>
              <w:t>按招标文件要求提供《法定代表人/负责人资格证明书》，若有授权时须同时提供《法定代表人/负责人授权委托书》的，并附其相关人员身份证件正反面复印件</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符合招标文件投标有效期要求的</w:t>
            </w:r>
          </w:p>
        </w:tc>
      </w:tr>
      <w:tr>
        <w:tc>
          <w:tcPr>
            <w:tcW w:type="dxa" w:w="890"/>
          </w:tcPr>
          <w:p>
            <w:pPr>
              <w:pStyle w:val="null3"/>
            </w:pPr>
            <w:r>
              <w:rPr/>
              <w:t>5</w:t>
            </w:r>
          </w:p>
        </w:tc>
        <w:tc>
          <w:tcPr>
            <w:tcW w:type="dxa" w:w="3178"/>
          </w:tcPr>
          <w:p>
            <w:pPr>
              <w:pStyle w:val="null3"/>
            </w:pPr>
            <w:r>
              <w:rPr/>
              <w:t>实质性条款</w:t>
            </w:r>
          </w:p>
        </w:tc>
        <w:tc>
          <w:tcPr>
            <w:tcW w:type="dxa" w:w="4238"/>
          </w:tcPr>
          <w:p>
            <w:pPr>
              <w:pStyle w:val="null3"/>
            </w:pPr>
            <w:r>
              <w:rPr/>
              <w:t>满足招标文件中带★号的条款和指标，且符合招标文件的其他要求，没有重大偏离的</w:t>
            </w:r>
          </w:p>
        </w:tc>
      </w:tr>
      <w:tr>
        <w:tc>
          <w:tcPr>
            <w:tcW w:type="dxa" w:w="890"/>
          </w:tcPr>
          <w:p>
            <w:pPr>
              <w:pStyle w:val="null3"/>
            </w:pPr>
            <w:r>
              <w:rPr/>
              <w:t>6</w:t>
            </w:r>
          </w:p>
        </w:tc>
        <w:tc>
          <w:tcPr>
            <w:tcW w:type="dxa" w:w="3178"/>
          </w:tcPr>
          <w:p>
            <w:pPr>
              <w:pStyle w:val="null3"/>
            </w:pPr>
            <w:r>
              <w:rPr/>
              <w:t>未发现无效投标的其他情形的</w:t>
            </w:r>
          </w:p>
        </w:tc>
        <w:tc>
          <w:tcPr>
            <w:tcW w:type="dxa" w:w="4238"/>
          </w:tcPr>
          <w:p>
            <w:pPr>
              <w:pStyle w:val="null3"/>
            </w:pPr>
            <w:r>
              <w:rPr/>
              <w:t>（1）评标期间，投标人没有按评标委员会的要求提交经授权代表签字的澄清、说明、补正或改变了投标文件的实质性内容的；（2）经评标委员会认定投标文件提供虚假材料的；（3）投标人以他人的名义投标、串通投标、以行贿手段谋取中标或者以其他弄虚作假方式投标的；（4）投标人对采购人、采购代理机构、评标委员会及其工作人员施加影响，有碍招标公平、公正的；（5）投标文件附有采购人不能接受的条件；（6）出现不符合相关法律、法规要求的情况的。</w:t>
            </w:r>
          </w:p>
        </w:tc>
      </w:tr>
    </w:tbl>
    <w:p>
      <w:pPr>
        <w:pStyle w:val="null3"/>
      </w:pPr>
      <w:r>
        <w:rPr/>
        <w:t>采购包3（病理科标本外送委托检验服务（子包三））：</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投标报价唯一，不高于采购人需求规定的预算金额或最高限价，或投标报价没有明显低于其他通过符合性审查投标人的报价</w:t>
            </w:r>
          </w:p>
        </w:tc>
      </w:tr>
      <w:tr>
        <w:tc>
          <w:tcPr>
            <w:tcW w:type="dxa" w:w="890"/>
          </w:tcPr>
          <w:p>
            <w:pPr>
              <w:pStyle w:val="null3"/>
            </w:pPr>
            <w:r>
              <w:rPr/>
              <w:t>2</w:t>
            </w:r>
          </w:p>
        </w:tc>
        <w:tc>
          <w:tcPr>
            <w:tcW w:type="dxa" w:w="3178"/>
          </w:tcPr>
          <w:p>
            <w:pPr>
              <w:pStyle w:val="null3"/>
            </w:pPr>
            <w:r>
              <w:rPr/>
              <w:t>签署盖章</w:t>
            </w:r>
          </w:p>
        </w:tc>
        <w:tc>
          <w:tcPr>
            <w:tcW w:type="dxa" w:w="4238"/>
          </w:tcPr>
          <w:p>
            <w:pPr>
              <w:pStyle w:val="null3"/>
            </w:pPr>
            <w:r>
              <w:rPr/>
              <w:t>符合招标文件的签署、盖章要求</w:t>
            </w:r>
          </w:p>
        </w:tc>
      </w:tr>
      <w:tr>
        <w:tc>
          <w:tcPr>
            <w:tcW w:type="dxa" w:w="890"/>
          </w:tcPr>
          <w:p>
            <w:pPr>
              <w:pStyle w:val="null3"/>
            </w:pPr>
            <w:r>
              <w:rPr/>
              <w:t>3</w:t>
            </w:r>
          </w:p>
        </w:tc>
        <w:tc>
          <w:tcPr>
            <w:tcW w:type="dxa" w:w="3178"/>
          </w:tcPr>
          <w:p>
            <w:pPr>
              <w:pStyle w:val="null3"/>
            </w:pPr>
            <w:r>
              <w:rPr/>
              <w:t>法定代表人证明和授权证明</w:t>
            </w:r>
          </w:p>
        </w:tc>
        <w:tc>
          <w:tcPr>
            <w:tcW w:type="dxa" w:w="4238"/>
          </w:tcPr>
          <w:p>
            <w:pPr>
              <w:pStyle w:val="null3"/>
            </w:pPr>
            <w:r>
              <w:rPr/>
              <w:t>按招标文件要求提供《法定代表人/负责人资格证明书》，若有授权时须同时提供《法定代表人/负责人授权委托书》的，并附其相关人员身份证件正反面复印件</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符合招标文件投标有效期要求的</w:t>
            </w:r>
          </w:p>
        </w:tc>
      </w:tr>
      <w:tr>
        <w:tc>
          <w:tcPr>
            <w:tcW w:type="dxa" w:w="890"/>
          </w:tcPr>
          <w:p>
            <w:pPr>
              <w:pStyle w:val="null3"/>
            </w:pPr>
            <w:r>
              <w:rPr/>
              <w:t>5</w:t>
            </w:r>
          </w:p>
        </w:tc>
        <w:tc>
          <w:tcPr>
            <w:tcW w:type="dxa" w:w="3178"/>
          </w:tcPr>
          <w:p>
            <w:pPr>
              <w:pStyle w:val="null3"/>
            </w:pPr>
            <w:r>
              <w:rPr/>
              <w:t>实质性条款</w:t>
            </w:r>
          </w:p>
        </w:tc>
        <w:tc>
          <w:tcPr>
            <w:tcW w:type="dxa" w:w="4238"/>
          </w:tcPr>
          <w:p>
            <w:pPr>
              <w:pStyle w:val="null3"/>
            </w:pPr>
            <w:r>
              <w:rPr/>
              <w:t>满足招标文件中带★号的条款和指标，且符合招标文件的其他要求，没有重大偏离的</w:t>
            </w:r>
          </w:p>
        </w:tc>
      </w:tr>
      <w:tr>
        <w:tc>
          <w:tcPr>
            <w:tcW w:type="dxa" w:w="890"/>
          </w:tcPr>
          <w:p>
            <w:pPr>
              <w:pStyle w:val="null3"/>
            </w:pPr>
            <w:r>
              <w:rPr/>
              <w:t>6</w:t>
            </w:r>
          </w:p>
        </w:tc>
        <w:tc>
          <w:tcPr>
            <w:tcW w:type="dxa" w:w="3178"/>
          </w:tcPr>
          <w:p>
            <w:pPr>
              <w:pStyle w:val="null3"/>
            </w:pPr>
            <w:r>
              <w:rPr/>
              <w:t>未发现无效投标的其他情形的</w:t>
            </w:r>
          </w:p>
        </w:tc>
        <w:tc>
          <w:tcPr>
            <w:tcW w:type="dxa" w:w="4238"/>
          </w:tcPr>
          <w:p>
            <w:pPr>
              <w:pStyle w:val="null3"/>
            </w:pPr>
            <w:r>
              <w:rPr/>
              <w:t>（1）评标期间，投标人没有按评标委员会的要求提交经授权代表签字的澄清、说明、补正或改变了投标文件的实质性内容的；（2）经评标委员会认定投标文件提供虚假材料的；（3）投标人以他人的名义投标、串通投标、以行贿手段谋取中标或者以其他弄虚作假方式投标的；（4）投标人对采购人、采购代理机构、评标委员会及其工作人员施加影响，有碍招标公平、公正的；（5）投标文件附有采购人不能接受的条件；（6）出现不符合相关法律、法规要求的情况的。</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采购包1(检验科标本外送委托检验服务（子包一）):</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技术部分40.0分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技术响应 (16.0分)</w:t>
            </w:r>
          </w:p>
        </w:tc>
        <w:tc>
          <w:tcPr>
            <w:tcW w:type="dxa" w:w="5076"/>
          </w:tcPr>
          <w:p>
            <w:pPr>
              <w:pStyle w:val="null3"/>
              <w:jc w:val="left"/>
            </w:pPr>
            <w:r>
              <w:rPr/>
              <w:t>满足或优于采购人需求中技术要求参数（条款）的每条得0.5分，最高得16分。注：不包含标“★”号参数（条款）。</w:t>
            </w:r>
          </w:p>
        </w:tc>
      </w:tr>
      <w:tr>
        <w:tc>
          <w:tcPr>
            <w:tcW w:type="dxa" w:w="922"/>
            <w:gridSpan w:val="2"/>
            <w:vMerge/>
          </w:tcPr>
          <w:p/>
        </w:tc>
        <w:tc>
          <w:tcPr>
            <w:tcW w:type="dxa" w:w="2307"/>
          </w:tcPr>
          <w:p>
            <w:pPr>
              <w:pStyle w:val="null3"/>
              <w:jc w:val="left"/>
            </w:pPr>
            <w:r>
              <w:rPr/>
              <w:t>服务实施方案 (24.0分)</w:t>
            </w:r>
          </w:p>
        </w:tc>
        <w:tc>
          <w:tcPr>
            <w:tcW w:type="dxa" w:w="5076"/>
          </w:tcPr>
          <w:p>
            <w:pPr>
              <w:pStyle w:val="null3"/>
              <w:jc w:val="left"/>
            </w:pPr>
            <w:r>
              <w:rPr/>
              <w:t>根据投标人按照商务要求编制的服务实施方案进行综合评价： （一）整体服务计划和流程 （1、投标人编制的整体服务计划和流程能够完全满足采购需求相关要求和实现项目目标要求的，得4分； 2、投标人编制的整体服务计划和流程不能够完全满足采购需求相关要求和实现项目目标要求的，得2分； 3、没有编制整体服务计划和流程的不得分。） （二）服务人员的安排和管理 （1、投标人编制的服务人员的安排和管理能够完全满足采购需求相关要求和实现项目目标要求的，得4分； 2、投标人编制的服务人员的安排和管理不能够完全满足采购需求相关要求和实现项目目标要求的，得2分； 3、没有编制服务人员的安排和管理的不得分。） （三）技术支持情况 （1、投标人编制的技术支持情况能够完全满足采购需求相关要求和实现项目目标要求的，得4分； 2、投标人编制的技术支持情况不能够完全满足采购需求相关要求和实现项目目标要求的，得2分； 3、没有编制技术支持情况的不得分。） （四）项目管理和进度控制方案 （1、投标人编制的项目管理和进度控制方案能够完全满足采购需求相关要求和实现项目目标要求的，得4分； 2、投标人编制的项目管理和进度控制方案不能够完全满足采购需求相关要求和实现项目目标要求的，得2分； 3、没有编制项目管理和进度控制方案的不得分。） （五）设备设施的使用和管理 （1、投标人编制的设备设施的使用和管理能够完全满足采购需求相关要求和实现项目目标要求的，得4分； 2、投标人编制的设备设施的使用和管理不能够完全满足采购需求相关要求和实现项目目标要求的，得2分； 3、没有编制设备设施的使用和管理的不得分。）（六）标本收取和运输保管方案（1、投标人编制的标本收取和运输保管方案能够完全满足采购需求相关要求和实现项目目标要求的，得4分； 2、投标人编制的标本收取和运输保管方案不能够完全满足采购需求相关要求和实现项目目标要求的，得2分； 3、没有编制标本收取和运输保管方案的不得分。）</w:t>
            </w:r>
          </w:p>
        </w:tc>
      </w:tr>
      <w:tr>
        <w:tc>
          <w:tcPr>
            <w:tcW w:type="dxa" w:w="922"/>
            <w:gridSpan w:val="2"/>
            <w:vMerge w:val="restart"/>
          </w:tcPr>
          <w:p>
            <w:pPr>
              <w:pStyle w:val="null3"/>
              <w:jc w:val="center"/>
            </w:pPr>
            <w:r>
              <w:rPr/>
              <w:t>商务部分</w:t>
            </w:r>
          </w:p>
        </w:tc>
        <w:tc>
          <w:tcPr>
            <w:tcW w:type="dxa" w:w="2307"/>
          </w:tcPr>
          <w:p>
            <w:pPr>
              <w:pStyle w:val="null3"/>
              <w:jc w:val="left"/>
            </w:pPr>
            <w:r>
              <w:rPr/>
              <w:t>项目经验 (6.0分)</w:t>
            </w:r>
          </w:p>
        </w:tc>
        <w:tc>
          <w:tcPr>
            <w:tcW w:type="dxa" w:w="5076"/>
          </w:tcPr>
          <w:p>
            <w:pPr>
              <w:pStyle w:val="null3"/>
              <w:jc w:val="left"/>
            </w:pPr>
            <w:r>
              <w:rPr/>
              <w:t>自2020年至今投标人独立中标或签订承担过与检验科标本外送委托检验服务相关项目经验的一个得2分，最高可得6分。注：须提供相关的中标通知书或合同复印件，否则不得分。</w:t>
            </w:r>
          </w:p>
        </w:tc>
      </w:tr>
      <w:tr>
        <w:tc>
          <w:tcPr>
            <w:tcW w:type="dxa" w:w="922"/>
            <w:gridSpan w:val="2"/>
            <w:vMerge/>
          </w:tcPr>
          <w:p/>
        </w:tc>
        <w:tc>
          <w:tcPr>
            <w:tcW w:type="dxa" w:w="2307"/>
          </w:tcPr>
          <w:p>
            <w:pPr>
              <w:pStyle w:val="null3"/>
              <w:jc w:val="left"/>
            </w:pPr>
            <w:r>
              <w:rPr/>
              <w:t>质量保障措施方案 (24.0分)</w:t>
            </w:r>
          </w:p>
        </w:tc>
        <w:tc>
          <w:tcPr>
            <w:tcW w:type="dxa" w:w="5076"/>
          </w:tcPr>
          <w:p>
            <w:pPr>
              <w:pStyle w:val="null3"/>
              <w:jc w:val="left"/>
            </w:pPr>
            <w:r>
              <w:rPr/>
              <w:t>根据投标人按照商务要求编制的质量保障措施方案进行综合评价： （一）质量保障计划 （1、投标人编制的质量保障计划能够完全满足采购需求相关要求和实现项目目标要求的，得4分； 2、投标人编制的质量保障计划不能够完全满足采购需求相关要求和实现项目目标要求的，得2分； 3、没有编制质量保障计划的不得分。） （二）质量控制流程 （1、投标人编制的质量控制流程能够完全满足采购需求相关要求和实现项目目标要求的，得4分； 2、投标人编制的质量控制流程不能够完全满足采购需求相关要求和实现项目目标要求的，得2分； 3、没有编制质量控制流程的不得分。） （三）质量管理措施 （1、投标人编制的质量管理措施能够完全满足采购需求相关要求和实现项目目标要求的，得4分； 2、投标人编制的质量管理措施不能够完全满足采购需求相关要求和实现项目目标要求的，得2分； 3、没有编制质量管理措施的不得分。） （四）应急保障措施 （1、投标人编制的应急保障措施能够完全满足采购需求相关要求和实现项目目标要求的，得4分； 2、投标人编制的应急保障措施不能够完全满足采购需求相关要求和实现项目目标要求的，得2分； 3、没有编制应急保障措施的不得分。） （五）环境保护措施 （1、投标人编制的环境保护措施能够完全满足采购需求相关要求和实现项目目标要求的，得4分； 2、投标人编制的环境保护措施不能够完全满足采购需求相关要求和实现项目目标要求的，得2分； 3、没有编制环境保护措施的不得分。） （六）安全保障措施 （1、投标人编制的安全保障措施能够完全满足采购需求相关要求和实现项目目标要求的，得4分； 2、投标人编制的安全保障措施不能够完全满足采购需求相关要求和实现项目目标要求的，得2分； 3、没有编制安全保障措施的不得分。）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采购包2(精准医学中心标本外送委托检验服务（子包二）):</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技术部分40.0分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技术响应 (16.0分)</w:t>
            </w:r>
          </w:p>
        </w:tc>
        <w:tc>
          <w:tcPr>
            <w:tcW w:type="dxa" w:w="5076"/>
          </w:tcPr>
          <w:p>
            <w:pPr>
              <w:pStyle w:val="null3"/>
              <w:jc w:val="left"/>
            </w:pPr>
            <w:r>
              <w:rPr/>
              <w:t>满足或优于采购人需求中技术要求参数（条款）的每条得0.5分，最高得16分。注：不包含标“★”号 参数（条款）。</w:t>
            </w:r>
          </w:p>
        </w:tc>
      </w:tr>
      <w:tr>
        <w:tc>
          <w:tcPr>
            <w:tcW w:type="dxa" w:w="922"/>
            <w:gridSpan w:val="2"/>
            <w:vMerge/>
          </w:tcPr>
          <w:p/>
        </w:tc>
        <w:tc>
          <w:tcPr>
            <w:tcW w:type="dxa" w:w="2307"/>
          </w:tcPr>
          <w:p>
            <w:pPr>
              <w:pStyle w:val="null3"/>
              <w:jc w:val="left"/>
            </w:pPr>
            <w:r>
              <w:rPr/>
              <w:t>服务实施方案 (24.0分)</w:t>
            </w:r>
          </w:p>
        </w:tc>
        <w:tc>
          <w:tcPr>
            <w:tcW w:type="dxa" w:w="5076"/>
          </w:tcPr>
          <w:p>
            <w:pPr>
              <w:pStyle w:val="null3"/>
              <w:jc w:val="left"/>
            </w:pPr>
            <w:r>
              <w:rPr/>
              <w:t>根据投标人按照商务要求编制的服务实施方案进行综合评价： （一）整体服务计划和流程 （1、投标人编制的整体服务计划和流程能够完全满足采购需求相关要求和实现项目目标要求的，得4分； 2、投标人编制的整体服务计划和流程不能够完全满足采购需求相关要求和实现项目目标要求的，得2分； 3、没有编制整体服务计划和流程的不得分。） （二）服务人员的安排和管理 （1、投标人编制的服务人员的安排和管理能够完全满足采购需求相关要求和实现项目目标要求的，得4分； 2、投标人编制的服务人员的安排和管理不能够完全满足采购需求相关要求和实现项目目标要求的，得2分； 3、没有编制服务人员的安排和管理的不得分。） （三）技术支持情况 （1、投标人编制的技术支持情况能够完全满足采购需求相关要求和实现项目目标要求的，得4分； 2、投标人编制的技术支持情况不能够完全满足采购需求相关要求和实现项目目标要求的，得2分； 3、没有编制技术支持情况的不得分。） （四）项目管理和进度控制方案 （1、投标人编制的项目管理和进度控制方案能够完全满足采购需求相关要求和实现项目目标要求的，得4分； 2、投标人编制的项目管理和进度控制方案不能够完全满足采购需求相关要求和实现项目目标要求的，得2分； 3、没有编制项目管理和进度控制方案的不得分。） （五）设备设施的使用和管理 （1、投标人编制的设备设施的使用和管理能够完全满足采购需求相关要求和实现项目目标要求的，得4分； 2、投标人编制的设备设施的使用和管理不能够完全满足采购需求相关要求和实现项目目标要求的，得2分； 3、没有编制设备设施的使用和管理的不得分。）（六）标本收取和运输保管方案（1、投标人编制的标本收取和运输保管方案能够完全满足采购需求相关要求和实现项目目标要求的，得4分； 2、投标人编制的标本收取和运输保管方案不能够完全满足采购需求相关要求和实现项目目标要求的，得2分； 3、没有编制标本收取和运输保管方案的不得分。）</w:t>
            </w:r>
          </w:p>
        </w:tc>
      </w:tr>
      <w:tr>
        <w:tc>
          <w:tcPr>
            <w:tcW w:type="dxa" w:w="922"/>
            <w:gridSpan w:val="2"/>
            <w:vMerge w:val="restart"/>
          </w:tcPr>
          <w:p>
            <w:pPr>
              <w:pStyle w:val="null3"/>
              <w:jc w:val="center"/>
            </w:pPr>
            <w:r>
              <w:rPr/>
              <w:t>商务部分</w:t>
            </w:r>
          </w:p>
        </w:tc>
        <w:tc>
          <w:tcPr>
            <w:tcW w:type="dxa" w:w="2307"/>
          </w:tcPr>
          <w:p>
            <w:pPr>
              <w:pStyle w:val="null3"/>
              <w:jc w:val="left"/>
            </w:pPr>
            <w:r>
              <w:rPr/>
              <w:t>项目经验 (6.0分)</w:t>
            </w:r>
          </w:p>
        </w:tc>
        <w:tc>
          <w:tcPr>
            <w:tcW w:type="dxa" w:w="5076"/>
          </w:tcPr>
          <w:p>
            <w:pPr>
              <w:pStyle w:val="null3"/>
              <w:jc w:val="left"/>
            </w:pPr>
            <w:r>
              <w:rPr/>
              <w:t>自2020年至今投标人独立中标或签订承担过与精准医学中心标本外送委托检验服务相关项目经验的一个得2分，最高可得6分。注：须提供相关的中标通知书或合同复印件，否则不得分。</w:t>
            </w:r>
          </w:p>
        </w:tc>
      </w:tr>
      <w:tr>
        <w:tc>
          <w:tcPr>
            <w:tcW w:type="dxa" w:w="922"/>
            <w:gridSpan w:val="2"/>
            <w:vMerge/>
          </w:tcPr>
          <w:p/>
        </w:tc>
        <w:tc>
          <w:tcPr>
            <w:tcW w:type="dxa" w:w="2307"/>
          </w:tcPr>
          <w:p>
            <w:pPr>
              <w:pStyle w:val="null3"/>
              <w:jc w:val="left"/>
            </w:pPr>
            <w:r>
              <w:rPr/>
              <w:t>质量保障措施方案 (24.0分)</w:t>
            </w:r>
          </w:p>
        </w:tc>
        <w:tc>
          <w:tcPr>
            <w:tcW w:type="dxa" w:w="5076"/>
          </w:tcPr>
          <w:p>
            <w:pPr>
              <w:pStyle w:val="null3"/>
              <w:jc w:val="left"/>
            </w:pPr>
            <w:r>
              <w:rPr/>
              <w:t>根据投标人按照商务要求编制的质量保障措施方案进行综合评价： （一）质量保障计划 （1、投标人编制的质量保障计划能够完全满足采购需求相关要求和实现项目目标要求的，得4分； 2、投标人编制的质量保障计划不能够完全满足采购需求相关要求和实现项目目标要求的，得2分； 3、没有编制质量保障计划的不得分。） （二）质量控制流程 （1、投标人编制的质量控制流程能够完全满足采购需求相关要求和实现项目目标要求的，得4分； 2、投标人编制的质量控制流程不能够完全满足采购需求相关要求和实现项目目标要求的，得2分； 3、没有编制质量控制流程的不得分。） （三）质量管理措施 （1、投标人编制的质量管理措施能够完全满足采购需求相关要求和实现项目目标要求的，得4分； 2、投标人编制的质量管理措施不能够完全满足采购需求相关要求和实现项目目标要求的，得2分； 3、没有编制质量管理措施的不得分。） （四）应急保障措施 （1、投标人编制的应急保障措施能够完全满足采购需求相关要求和实现项目目标要求的，得4分； 2、投标人编制的应急保障措施不能够完全满足采购需求相关要求和实现项目目标要求的，得2分； 3、没有编制应急保障措施的不得分。） （五）环境保护措施 （1、投标人编制的环境保护措施能够完全满足采购需求相关要求和实现项目目标要求的，得4分； 2、投标人编制的环境保护措施不能够完全满足采购需求相关要求和实现项目目标要求的，得2分； 3、没有编制环境保护措施的不得分。） （六）安全保障措施 （1、投标人编制的安全保障措施能够完全满足采购需求相关要求和实现项目目标要求的，得4分； 2、投标人编制的安全保障措施不能够完全满足采购需求相关要求和实现项目目标要求的，得2分； 3、没有编制安全保障措施的不得分。）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采购包3(病理科标本外送委托检验服务（子包三）):</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技术部分40.0分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技术响应 (16.0分)</w:t>
            </w:r>
          </w:p>
        </w:tc>
        <w:tc>
          <w:tcPr>
            <w:tcW w:type="dxa" w:w="5076"/>
          </w:tcPr>
          <w:p>
            <w:pPr>
              <w:pStyle w:val="null3"/>
              <w:jc w:val="left"/>
            </w:pPr>
            <w:r>
              <w:rPr/>
              <w:t>满足或优于采购人需求中技术要求参数（条款）的每条得0.5分，最高得16分。注：不包含标“★”号 参数（条款）。</w:t>
            </w:r>
          </w:p>
        </w:tc>
      </w:tr>
      <w:tr>
        <w:tc>
          <w:tcPr>
            <w:tcW w:type="dxa" w:w="922"/>
            <w:gridSpan w:val="2"/>
            <w:vMerge/>
          </w:tcPr>
          <w:p/>
        </w:tc>
        <w:tc>
          <w:tcPr>
            <w:tcW w:type="dxa" w:w="2307"/>
          </w:tcPr>
          <w:p>
            <w:pPr>
              <w:pStyle w:val="null3"/>
              <w:jc w:val="left"/>
            </w:pPr>
            <w:r>
              <w:rPr/>
              <w:t>服务实施方案 (24.0分)</w:t>
            </w:r>
          </w:p>
        </w:tc>
        <w:tc>
          <w:tcPr>
            <w:tcW w:type="dxa" w:w="5076"/>
          </w:tcPr>
          <w:p>
            <w:pPr>
              <w:pStyle w:val="null3"/>
              <w:jc w:val="left"/>
            </w:pPr>
            <w:r>
              <w:rPr/>
              <w:t>根据投标人按照商务要求编制的服务实施方案进行综合评价： （一）整体服务计划和流程 （1、投标人编制的整体服务计划和流程能够完全满足采购需求相关要求和实现项目目标要求的，得4分； 2、投标人编制的整体服务计划和流程不能够完全满足采购需求相关要求和实现项目目标要求的，得2分； 3、没有编制整体服务计划和流程的不得分。） （二）服务人员的安排和管理 （1、投标人编制的服务人员的安排和管理能够完全满足采购需求相关要求和实现项目目标要求的，得4分； 2、投标人编制的服务人员的安排和管理不能够完全满足采购需求相关要求和实现项目目标要求的，得2分； 3、没有编制服务人员的安排和管理的不得分。） （三）技术支持情况 （1、投标人编制的技术支持情况能够完全满足采购需求相关要求和实现项目目标要求的，得4分； 2、投标人编制的技术支持情况不能够完全满足采购需求相关要求和实现项目目标要求的，得2分； 3、没有编制技术支持情况的不得分。） （四）项目管理和进度控制方案 （1、投标人编制的项目管理和进度控制方案能够完全满足采购需求相关要求和实现项目目标要求的，得4分； 2、投标人编制的项目管理和进度控制方案不能够完全满足采购需求相关要求和实现项目目标要求的，得2分； 3、没有编制项目管理和进度控制方案的不得分。） （五）设备设施的使用和管理 （1、投标人编制的设备设施的使用和管理能够完全满足采购需求相关要求和实现项目目标要求的，得4分； 2、投标人编制的设备设施的使用和管理不能够完全满足采购需求相关要求和实现项目目标要求的，得2分； 3、没有编制设备设施的使用和管理的不得分。）（六）标本收取和运输保管方案（1、投标人编制的标本收取和运输保管方案能够完全满足采购需求相关要求和实现项目目标要求的，得4分； 2、投标人编制的标本收取和运输保管方案不能够完全满足采购需求相关要求和实现项目目标要求的，得2分； 3、没有编制标本收取和运输保管方案的不得分。）</w:t>
            </w:r>
          </w:p>
        </w:tc>
      </w:tr>
      <w:tr>
        <w:tc>
          <w:tcPr>
            <w:tcW w:type="dxa" w:w="922"/>
            <w:gridSpan w:val="2"/>
            <w:vMerge w:val="restart"/>
          </w:tcPr>
          <w:p>
            <w:pPr>
              <w:pStyle w:val="null3"/>
              <w:jc w:val="center"/>
            </w:pPr>
            <w:r>
              <w:rPr/>
              <w:t>商务部分</w:t>
            </w:r>
          </w:p>
        </w:tc>
        <w:tc>
          <w:tcPr>
            <w:tcW w:type="dxa" w:w="2307"/>
          </w:tcPr>
          <w:p>
            <w:pPr>
              <w:pStyle w:val="null3"/>
              <w:jc w:val="left"/>
            </w:pPr>
            <w:r>
              <w:rPr/>
              <w:t>项目经验 (6.0分)</w:t>
            </w:r>
          </w:p>
        </w:tc>
        <w:tc>
          <w:tcPr>
            <w:tcW w:type="dxa" w:w="5076"/>
          </w:tcPr>
          <w:p>
            <w:pPr>
              <w:pStyle w:val="null3"/>
              <w:jc w:val="left"/>
            </w:pPr>
            <w:r>
              <w:rPr/>
              <w:t>自2020年至今投标人独立中标或签订承担过与病理科标本外送委托检验服务相关项目经验的一个得2分，最高可得6分。注：须提供相关的中标通知书或合同复印件，否则不得分。</w:t>
            </w:r>
          </w:p>
        </w:tc>
      </w:tr>
      <w:tr>
        <w:tc>
          <w:tcPr>
            <w:tcW w:type="dxa" w:w="922"/>
            <w:gridSpan w:val="2"/>
            <w:vMerge/>
          </w:tcPr>
          <w:p/>
        </w:tc>
        <w:tc>
          <w:tcPr>
            <w:tcW w:type="dxa" w:w="2307"/>
          </w:tcPr>
          <w:p>
            <w:pPr>
              <w:pStyle w:val="null3"/>
              <w:jc w:val="left"/>
            </w:pPr>
            <w:r>
              <w:rPr/>
              <w:t>质量保障措施方案 (24.0分)</w:t>
            </w:r>
          </w:p>
        </w:tc>
        <w:tc>
          <w:tcPr>
            <w:tcW w:type="dxa" w:w="5076"/>
          </w:tcPr>
          <w:p>
            <w:pPr>
              <w:pStyle w:val="null3"/>
              <w:jc w:val="left"/>
            </w:pPr>
            <w:r>
              <w:rPr/>
              <w:t>根据投标人按照商务要求编制的质量保障措施方案进行综合评价： （一）质量保障计划 （1、投标人编制的质量保障计划能够完全满足采购需求相关要求和实现项目目标要求的，得4分； 2、投标人编制的质量保障计划不能够完全满足采购需求相关要求和实现项目目标要求的，得2分； 3、没有编制质量保障计划的不得分。） （二）质量控制流程 （1、投标人编制的质量控制流程能够完全满足采购需求相关要求和实现项目目标要求的，得4分； 2、投标人编制的质量控制流程不能够完全满足采购需求相关要求和实现项目目标要求的，得2分； 3、没有编制质量控制流程的不得分。） （三）质量管理措施 （1、投标人编制的质量管理措施能够完全满足采购需求相关要求和实现项目目标要求的，得4分； 2、投标人编制的质量管理措施不能够完全满足采购需求相关要求和实现项目目标要求的，得2分； 3、没有编制质量管理措施的不得分。） （四）应急保障措施 （1、投标人编制的应急保障措施能够完全满足采购需求相关要求和实现项目目标要求的，得4分； 2、投标人编制的应急保障措施不能够完全满足采购需求相关要求和实现项目目标要求的，得2分； 3、没有编制应急保障措施的不得分。） （五）环境保护措施 （1、投标人编制的环境保护措施能够完全满足采购需求相关要求和实现项目目标要求的，得4分； 2、投标人编制的环境保护措施不能够完全满足采购需求相关要求和实现项目目标要求的，得2分； 3、没有编制环境保护措施的不得分。） （六）安全保障措施 （1、投标人编制的安全保障措施能够完全满足采购需求相关要求和实现项目目标要求的，得4分； 2、投标人编制的安全保障措施不能够完全满足采购需求相关要求和实现项目目标要求的，得2分； 3、没有编制安全保障措施的不得分。）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采购包2：</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采购包3：</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7"/>
          <w:b/>
          <w:color w:val="222222"/>
          <w:shd w:fill="FFFFFF" w:val="clear"/>
        </w:rPr>
        <w:t>广东省政府采购</w:t>
      </w:r>
    </w:p>
    <w:p>
      <w:pPr>
        <w:pStyle w:val="null3"/>
        <w:spacing w:before="150" w:after="150"/>
        <w:jc w:val="both"/>
      </w:pPr>
      <w:r>
        <w:rPr>
          <w:sz w:val="27"/>
          <w:color w:val="222222"/>
          <w:shd w:fill="FFFFFF" w:val="clear"/>
        </w:rPr>
        <w:t xml:space="preserve"> </w:t>
      </w:r>
    </w:p>
    <w:p>
      <w:pPr>
        <w:pStyle w:val="null3"/>
        <w:jc w:val="center"/>
      </w:pPr>
      <w:r>
        <w:rPr>
          <w:sz w:val="27"/>
          <w:b/>
          <w:color w:val="222222"/>
          <w:shd w:fill="FFFFFF" w:val="clear"/>
        </w:rPr>
        <w:t>合　同　书</w:t>
      </w:r>
    </w:p>
    <w:p>
      <w:pPr>
        <w:pStyle w:val="null3"/>
        <w:jc w:val="center"/>
      </w:pPr>
      <w:r>
        <w:br/>
      </w:r>
      <w:r>
        <w:br/>
      </w:r>
      <w:r>
        <w:br/>
      </w:r>
      <w:r>
        <w:br/>
      </w:r>
      <w:r>
        <w:br/>
      </w:r>
      <w:r>
        <w:br/>
      </w:r>
      <w:r>
        <w:br/>
      </w:r>
      <w:r>
        <w:br/>
      </w:r>
      <w:r>
        <w:rPr>
          <w:sz w:val="27"/>
          <w:color w:val="222222"/>
          <w:shd w:fill="FFFFFF" w:val="clear"/>
        </w:rPr>
        <w:t xml:space="preserve"> </w:t>
      </w:r>
    </w:p>
    <w:p>
      <w:pPr>
        <w:pStyle w:val="null3"/>
        <w:jc w:val="center"/>
      </w:pPr>
      <w:r>
        <w:rPr>
          <w:sz w:val="28"/>
          <w:color w:val="222222"/>
          <w:shd w:fill="FFFFFF" w:val="clear"/>
        </w:rPr>
        <w:t>采购计划编号：</w:t>
      </w:r>
      <w:r>
        <w:rPr>
          <w:sz w:val="27"/>
          <w:color w:val="222222"/>
          <w:u w:val="single"/>
          <w:shd w:fill="FFFFFF" w:val="clear"/>
        </w:rPr>
        <w:t xml:space="preserve">                                                   </w:t>
      </w:r>
    </w:p>
    <w:p>
      <w:pPr>
        <w:pStyle w:val="null3"/>
        <w:spacing w:before="150" w:after="150"/>
        <w:jc w:val="both"/>
      </w:pPr>
      <w:r>
        <w:rPr>
          <w:sz w:val="27"/>
          <w:color w:val="222222"/>
          <w:shd w:fill="FFFFFF" w:val="clear"/>
        </w:rPr>
        <w:t xml:space="preserve"> </w:t>
      </w:r>
    </w:p>
    <w:p>
      <w:pPr>
        <w:pStyle w:val="null3"/>
        <w:jc w:val="center"/>
      </w:pPr>
      <w:r>
        <w:rPr>
          <w:sz w:val="28"/>
          <w:color w:val="222222"/>
          <w:shd w:fill="FFFFFF" w:val="clear"/>
        </w:rPr>
        <w:t>项目编号：</w:t>
      </w:r>
      <w:r>
        <w:rPr>
          <w:sz w:val="27"/>
          <w:color w:val="222222"/>
          <w:u w:val="single"/>
          <w:shd w:fill="FFFFFF" w:val="clear"/>
        </w:rPr>
        <w:t xml:space="preserve">                                                         </w:t>
      </w:r>
    </w:p>
    <w:p>
      <w:pPr>
        <w:pStyle w:val="null3"/>
        <w:spacing w:before="150" w:after="150"/>
        <w:jc w:val="both"/>
      </w:pPr>
      <w:r>
        <w:rPr>
          <w:sz w:val="27"/>
          <w:color w:val="222222"/>
          <w:shd w:fill="FFFFFF" w:val="clear"/>
        </w:rPr>
        <w:t xml:space="preserve"> </w:t>
      </w:r>
    </w:p>
    <w:p>
      <w:pPr>
        <w:pStyle w:val="null3"/>
        <w:jc w:val="center"/>
      </w:pPr>
      <w:r>
        <w:rPr>
          <w:sz w:val="28"/>
          <w:color w:val="222222"/>
          <w:shd w:fill="FFFFFF" w:val="clear"/>
        </w:rPr>
        <w:t>项目名称：</w:t>
      </w:r>
      <w:r>
        <w:rPr>
          <w:sz w:val="27"/>
          <w:color w:val="222222"/>
          <w:u w:val="single"/>
          <w:shd w:fill="FFFFFF" w:val="clear"/>
        </w:rPr>
        <w:t xml:space="preserve">                                                       </w:t>
      </w:r>
    </w:p>
    <w:p>
      <w:pPr>
        <w:pStyle w:val="null3"/>
        <w:jc w:val="both"/>
      </w:pPr>
      <w:r>
        <w:rPr>
          <w:sz w:val="27"/>
          <w:color w:val="222222"/>
          <w:shd w:fill="FFFFFF" w:val="clear"/>
        </w:rPr>
        <w:t xml:space="preserve"> </w:t>
      </w:r>
    </w:p>
    <w:p>
      <w:pPr>
        <w:pStyle w:val="null3"/>
        <w:jc w:val="both"/>
      </w:pPr>
      <w:r>
        <w:rPr>
          <w:sz w:val="27"/>
          <w:color w:val="222222"/>
          <w:shd w:fill="FFFFFF" w:val="clear"/>
        </w:rPr>
        <w:t xml:space="preserve"> </w:t>
      </w:r>
    </w:p>
    <w:p>
      <w:pPr>
        <w:pStyle w:val="null3"/>
        <w:jc w:val="both"/>
      </w:pPr>
      <w:r>
        <w:rPr>
          <w:sz w:val="27"/>
          <w:color w:val="222222"/>
          <w:shd w:fill="FFFFFF" w:val="clear"/>
        </w:rPr>
        <w:t xml:space="preserve"> </w:t>
      </w:r>
    </w:p>
    <w:p>
      <w:pPr>
        <w:pStyle w:val="null3"/>
        <w:jc w:val="both"/>
      </w:pPr>
      <w:r>
        <w:rPr>
          <w:sz w:val="27"/>
          <w:color w:val="222222"/>
          <w:shd w:fill="FFFFFF" w:val="clear"/>
        </w:rPr>
        <w:t xml:space="preserve"> </w:t>
      </w:r>
    </w:p>
    <w:p>
      <w:pPr>
        <w:pStyle w:val="null3"/>
        <w:jc w:val="both"/>
      </w:pPr>
      <w:r>
        <w:rPr>
          <w:sz w:val="27"/>
          <w:color w:val="222222"/>
          <w:shd w:fill="FFFFFF" w:val="clear"/>
        </w:rPr>
        <w:t xml:space="preserve"> </w:t>
      </w:r>
    </w:p>
    <w:p>
      <w:pPr>
        <w:pStyle w:val="null3"/>
        <w:jc w:val="both"/>
      </w:pPr>
      <w:r>
        <w:rPr>
          <w:sz w:val="27"/>
          <w:color w:val="222222"/>
          <w:shd w:fill="FFFFFF" w:val="clear"/>
        </w:rPr>
        <w:t xml:space="preserve"> </w:t>
      </w:r>
    </w:p>
    <w:p>
      <w:pPr>
        <w:pStyle w:val="null3"/>
        <w:jc w:val="both"/>
      </w:pPr>
      <w:r>
        <w:rPr>
          <w:sz w:val="27"/>
          <w:color w:val="222222"/>
          <w:shd w:fill="FFFFFF" w:val="clear"/>
        </w:rPr>
        <w:t xml:space="preserve"> </w:t>
      </w:r>
    </w:p>
    <w:p>
      <w:pPr>
        <w:pStyle w:val="null3"/>
        <w:jc w:val="both"/>
      </w:pPr>
      <w:r>
        <w:rPr>
          <w:sz w:val="27"/>
          <w:color w:val="222222"/>
          <w:shd w:fill="FFFFFF" w:val="clear"/>
        </w:rPr>
        <w:t xml:space="preserve"> </w:t>
      </w:r>
    </w:p>
    <w:p>
      <w:pPr>
        <w:pStyle w:val="null3"/>
        <w:jc w:val="both"/>
      </w:pPr>
      <w:r>
        <w:rPr>
          <w:sz w:val="27"/>
          <w:color w:val="222222"/>
          <w:shd w:fill="FFFFFF" w:val="clear"/>
        </w:rPr>
        <w:t xml:space="preserve"> </w:t>
      </w:r>
    </w:p>
    <w:p>
      <w:pPr>
        <w:pStyle w:val="null3"/>
        <w:jc w:val="both"/>
      </w:pPr>
      <w:r>
        <w:br/>
      </w:r>
      <w:r>
        <w:rPr>
          <w:sz w:val="27"/>
          <w:color w:val="222222"/>
          <w:shd w:fill="FFFFFF" w:val="clear"/>
        </w:rPr>
        <w:t xml:space="preserve"> </w:t>
      </w:r>
    </w:p>
    <w:p>
      <w:pPr>
        <w:pStyle w:val="null3"/>
        <w:jc w:val="both"/>
      </w:pPr>
      <w:r>
        <w:rPr>
          <w:sz w:val="27"/>
          <w:b/>
          <w:color w:val="222222"/>
          <w:shd w:fill="FFFFFF" w:val="clear"/>
        </w:rPr>
        <w:t>甲方：</w:t>
      </w:r>
      <w:r>
        <w:rPr>
          <w:sz w:val="27"/>
          <w:b/>
          <w:color w:val="222222"/>
          <w:shd w:fill="FFFFFF" w:val="clear"/>
        </w:rPr>
        <w:t xml:space="preserve"> </w:t>
      </w:r>
      <w:r>
        <w:rPr>
          <w:sz w:val="27"/>
          <w:color w:val="222222"/>
          <w:u w:val="single"/>
          <w:shd w:fill="FFFFFF" w:val="clear"/>
        </w:rPr>
        <w:t xml:space="preserve">   </w:t>
      </w:r>
    </w:p>
    <w:p>
      <w:pPr>
        <w:pStyle w:val="null3"/>
        <w:jc w:val="both"/>
      </w:pPr>
      <w:r>
        <w:rPr>
          <w:sz w:val="27"/>
          <w:color w:val="222222"/>
          <w:shd w:fill="FFFFFF" w:val="clear"/>
        </w:rPr>
        <w:t>电话：</w:t>
      </w:r>
      <w:r>
        <w:rPr>
          <w:sz w:val="27"/>
          <w:color w:val="222222"/>
          <w:shd w:fill="FFFFFF" w:val="clear"/>
        </w:rPr>
        <w:t xml:space="preserve"> </w:t>
      </w:r>
      <w:r>
        <w:rPr>
          <w:sz w:val="27"/>
          <w:color w:val="222222"/>
          <w:u w:val="single"/>
          <w:shd w:fill="FFFFFF" w:val="clear"/>
        </w:rPr>
        <w:t xml:space="preserve">   </w:t>
      </w:r>
      <w:r>
        <w:rPr>
          <w:sz w:val="27"/>
          <w:color w:val="222222"/>
          <w:shd w:fill="FFFFFF" w:val="clear"/>
        </w:rPr>
        <w:t>传真</w:t>
      </w:r>
      <w:r>
        <w:rPr>
          <w:sz w:val="27"/>
          <w:color w:val="222222"/>
          <w:shd w:fill="FFFFFF" w:val="clear"/>
        </w:rPr>
        <w:t xml:space="preserve"> ： </w:t>
      </w:r>
      <w:r>
        <w:rPr>
          <w:sz w:val="27"/>
          <w:color w:val="222222"/>
          <w:u w:val="single"/>
          <w:shd w:fill="FFFFFF" w:val="clear"/>
        </w:rPr>
        <w:t xml:space="preserve">   </w:t>
      </w:r>
      <w:r>
        <w:rPr>
          <w:sz w:val="27"/>
          <w:color w:val="222222"/>
          <w:shd w:fill="FFFFFF" w:val="clear"/>
        </w:rPr>
        <w:t>地址：</w:t>
      </w:r>
      <w:r>
        <w:rPr>
          <w:sz w:val="27"/>
          <w:color w:val="222222"/>
          <w:shd w:fill="FFFFFF" w:val="clear"/>
        </w:rPr>
        <w:t xml:space="preserve"> </w:t>
      </w:r>
      <w:r>
        <w:rPr>
          <w:sz w:val="27"/>
          <w:color w:val="222222"/>
          <w:u w:val="single"/>
          <w:shd w:fill="FFFFFF" w:val="clear"/>
        </w:rPr>
        <w:t xml:space="preserve">     </w:t>
      </w:r>
    </w:p>
    <w:p>
      <w:pPr>
        <w:pStyle w:val="null3"/>
        <w:jc w:val="both"/>
      </w:pPr>
      <w:r>
        <w:rPr>
          <w:sz w:val="27"/>
          <w:b/>
          <w:color w:val="222222"/>
          <w:shd w:fill="FFFFFF" w:val="clear"/>
        </w:rPr>
        <w:t>乙方：</w:t>
      </w:r>
      <w:r>
        <w:rPr>
          <w:sz w:val="27"/>
          <w:b/>
          <w:color w:val="222222"/>
          <w:shd w:fill="FFFFFF" w:val="clear"/>
        </w:rPr>
        <w:t xml:space="preserve"> </w:t>
      </w:r>
      <w:r>
        <w:rPr>
          <w:sz w:val="27"/>
          <w:color w:val="222222"/>
          <w:u w:val="single"/>
          <w:shd w:fill="FFFFFF" w:val="clear"/>
        </w:rPr>
        <w:t xml:space="preserve">   </w:t>
      </w:r>
    </w:p>
    <w:p>
      <w:pPr>
        <w:pStyle w:val="null3"/>
        <w:jc w:val="both"/>
      </w:pPr>
      <w:r>
        <w:rPr>
          <w:sz w:val="27"/>
          <w:color w:val="222222"/>
          <w:shd w:fill="FFFFFF" w:val="clear"/>
        </w:rPr>
        <w:t>电话：</w:t>
      </w:r>
      <w:r>
        <w:rPr>
          <w:sz w:val="27"/>
          <w:color w:val="222222"/>
          <w:shd w:fill="FFFFFF" w:val="clear"/>
        </w:rPr>
        <w:t xml:space="preserve"> </w:t>
      </w:r>
      <w:r>
        <w:rPr>
          <w:sz w:val="27"/>
          <w:color w:val="222222"/>
          <w:u w:val="single"/>
          <w:shd w:fill="FFFFFF" w:val="clear"/>
        </w:rPr>
        <w:t xml:space="preserve">    </w:t>
      </w:r>
      <w:r>
        <w:rPr>
          <w:sz w:val="27"/>
          <w:color w:val="222222"/>
          <w:shd w:fill="FFFFFF" w:val="clear"/>
        </w:rPr>
        <w:t>传真：</w:t>
      </w:r>
      <w:r>
        <w:rPr>
          <w:sz w:val="27"/>
          <w:color w:val="222222"/>
          <w:u w:val="single"/>
          <w:shd w:fill="FFFFFF" w:val="clear"/>
        </w:rPr>
        <w:t xml:space="preserve">     </w:t>
      </w:r>
      <w:r>
        <w:rPr>
          <w:sz w:val="27"/>
          <w:color w:val="222222"/>
          <w:shd w:fill="FFFFFF" w:val="clear"/>
        </w:rPr>
        <w:t>地址：</w:t>
      </w:r>
      <w:r>
        <w:rPr>
          <w:sz w:val="27"/>
          <w:color w:val="222222"/>
          <w:shd w:fill="FFFFFF" w:val="clear"/>
        </w:rPr>
        <w:t xml:space="preserve"> </w:t>
      </w:r>
      <w:r>
        <w:rPr>
          <w:sz w:val="27"/>
          <w:color w:val="222222"/>
          <w:u w:val="single"/>
          <w:shd w:fill="FFFFFF" w:val="clear"/>
        </w:rPr>
        <w:t xml:space="preserve">    </w:t>
      </w:r>
    </w:p>
    <w:p>
      <w:pPr>
        <w:pStyle w:val="null3"/>
        <w:spacing w:before="150" w:after="150"/>
        <w:jc w:val="both"/>
      </w:pPr>
      <w:r>
        <w:rPr>
          <w:sz w:val="27"/>
          <w:color w:val="222222"/>
          <w:shd w:fill="FFFFFF" w:val="clear"/>
        </w:rPr>
        <w:t xml:space="preserve"> </w:t>
      </w:r>
    </w:p>
    <w:p>
      <w:pPr>
        <w:pStyle w:val="null3"/>
        <w:jc w:val="both"/>
      </w:pPr>
      <w:r>
        <w:rPr>
          <w:sz w:val="27"/>
          <w:color w:val="222222"/>
          <w:shd w:fill="FFFFFF" w:val="clear"/>
        </w:rPr>
        <w:t xml:space="preserve">  根据 </w:t>
      </w:r>
      <w:r>
        <w:rPr>
          <w:sz w:val="27"/>
          <w:color w:val="222222"/>
          <w:u w:val="single"/>
          <w:shd w:fill="FFFFFF" w:val="clear"/>
        </w:rPr>
        <w:t xml:space="preserve">         项目 </w:t>
      </w:r>
      <w:r>
        <w:rPr>
          <w:sz w:val="27"/>
          <w:color w:val="222222"/>
          <w:shd w:fill="FFFFFF" w:val="clear"/>
        </w:rPr>
        <w:t>的采购结果，按照《中华人民共和国政府采购法》，《中华人民共和国民法典</w:t>
      </w:r>
      <w:r>
        <w:rPr>
          <w:sz w:val="27"/>
          <w:color w:val="222222"/>
          <w:shd w:fill="FFFFFF" w:val="clear"/>
        </w:rPr>
        <w:t>(合同编)》的规定，经双方协商，本着平等互利和诚实信用的原则，一致同意遵守本合同如下。</w:t>
      </w:r>
    </w:p>
    <w:p>
      <w:pPr>
        <w:pStyle w:val="null3"/>
        <w:jc w:val="both"/>
      </w:pPr>
      <w:r>
        <w:rPr>
          <w:sz w:val="27"/>
          <w:b/>
          <w:color w:val="222222"/>
          <w:shd w:fill="FFFFFF" w:val="clear"/>
        </w:rPr>
        <w:t>一、合同金额</w:t>
      </w:r>
    </w:p>
    <w:p>
      <w:pPr>
        <w:pStyle w:val="null3"/>
        <w:jc w:val="both"/>
      </w:pPr>
      <w:r>
        <w:rPr>
          <w:sz w:val="27"/>
          <w:color w:val="222222"/>
          <w:shd w:fill="FFFFFF" w:val="clear"/>
        </w:rPr>
        <w:t>　　合同金额为（大写）：</w:t>
      </w:r>
      <w:r>
        <w:rPr>
          <w:sz w:val="27"/>
          <w:color w:val="222222"/>
          <w:shd w:fill="FFFFFF" w:val="clear"/>
        </w:rPr>
        <w:t>_____________元（￥_________元）人民币。</w:t>
      </w:r>
    </w:p>
    <w:p>
      <w:pPr>
        <w:pStyle w:val="null3"/>
        <w:jc w:val="both"/>
      </w:pPr>
      <w:r>
        <w:rPr>
          <w:sz w:val="27"/>
          <w:b/>
          <w:color w:val="222222"/>
          <w:shd w:fill="FFFFFF" w:val="clear"/>
        </w:rPr>
        <w:t>二、服务范围</w:t>
      </w:r>
    </w:p>
    <w:p>
      <w:pPr>
        <w:pStyle w:val="null3"/>
        <w:jc w:val="both"/>
      </w:pPr>
      <w:r>
        <w:rPr>
          <w:sz w:val="27"/>
          <w:color w:val="222222"/>
          <w:shd w:fill="FFFFFF" w:val="clear"/>
        </w:rPr>
        <w:t>　　甲方聘请乙方提供以下服务：</w:t>
      </w:r>
    </w:p>
    <w:p>
      <w:pPr>
        <w:pStyle w:val="null3"/>
        <w:jc w:val="both"/>
      </w:pPr>
      <w:r>
        <w:rPr>
          <w:sz w:val="27"/>
          <w:color w:val="222222"/>
          <w:shd w:fill="FFFFFF" w:val="clear"/>
        </w:rPr>
        <w:t>1．</w:t>
      </w:r>
      <w:r>
        <w:rPr>
          <w:sz w:val="27"/>
          <w:color w:val="222222"/>
          <w:shd w:fill="FFFFFF" w:val="clear"/>
        </w:rPr>
        <w:t>。</w:t>
      </w:r>
    </w:p>
    <w:p>
      <w:pPr>
        <w:pStyle w:val="null3"/>
        <w:jc w:val="both"/>
      </w:pPr>
      <w:r>
        <w:rPr>
          <w:sz w:val="27"/>
          <w:color w:val="222222"/>
          <w:shd w:fill="FFFFFF" w:val="clear"/>
        </w:rPr>
        <w:t>2．</w:t>
      </w:r>
    </w:p>
    <w:p>
      <w:pPr>
        <w:pStyle w:val="null3"/>
        <w:jc w:val="both"/>
      </w:pPr>
      <w:r>
        <w:rPr>
          <w:sz w:val="27"/>
          <w:color w:val="222222"/>
          <w:shd w:fill="FFFFFF" w:val="clear"/>
        </w:rPr>
        <w:t>……</w:t>
      </w:r>
    </w:p>
    <w:p>
      <w:pPr>
        <w:pStyle w:val="null3"/>
        <w:jc w:val="both"/>
      </w:pPr>
      <w:r>
        <w:rPr>
          <w:sz w:val="27"/>
          <w:b/>
          <w:color w:val="222222"/>
          <w:shd w:fill="FFFFFF" w:val="clear"/>
        </w:rPr>
        <w:t>三、甲方乙方的权利和义务</w:t>
      </w:r>
    </w:p>
    <w:p>
      <w:pPr>
        <w:pStyle w:val="null3"/>
        <w:jc w:val="both"/>
      </w:pPr>
      <w:r>
        <w:rPr>
          <w:sz w:val="27"/>
          <w:color w:val="222222"/>
          <w:shd w:fill="FFFFFF" w:val="clear"/>
        </w:rPr>
        <w:t>1.甲方的权利和义务</w:t>
      </w:r>
    </w:p>
    <w:p>
      <w:pPr>
        <w:pStyle w:val="null3"/>
        <w:jc w:val="both"/>
      </w:pPr>
      <w:r>
        <w:rPr>
          <w:sz w:val="27"/>
          <w:color w:val="222222"/>
          <w:shd w:fill="FFFFFF" w:val="clear"/>
        </w:rPr>
        <w:t>2.乙方的权利和义务</w:t>
      </w:r>
    </w:p>
    <w:p>
      <w:pPr>
        <w:pStyle w:val="null3"/>
        <w:jc w:val="both"/>
      </w:pPr>
      <w:r>
        <w:rPr>
          <w:sz w:val="27"/>
          <w:b/>
          <w:color w:val="222222"/>
          <w:shd w:fill="FFFFFF" w:val="clear"/>
        </w:rPr>
        <w:t>四、服务期间（项目完成期限）</w:t>
      </w:r>
    </w:p>
    <w:p>
      <w:pPr>
        <w:pStyle w:val="null3"/>
        <w:jc w:val="both"/>
      </w:pPr>
      <w:r>
        <w:rPr>
          <w:sz w:val="27"/>
          <w:color w:val="222222"/>
          <w:shd w:fill="FFFFFF" w:val="clear"/>
        </w:rPr>
        <w:t>1.委托服务期间自______年______月______日至______年______月______日止。</w:t>
      </w:r>
    </w:p>
    <w:p>
      <w:pPr>
        <w:pStyle w:val="null3"/>
        <w:jc w:val="both"/>
      </w:pPr>
      <w:r>
        <w:rPr>
          <w:sz w:val="27"/>
          <w:b/>
          <w:color w:val="222222"/>
          <w:shd w:fill="FFFFFF" w:val="clear"/>
        </w:rPr>
        <w:t>五、付款方式</w:t>
      </w:r>
    </w:p>
    <w:p>
      <w:pPr>
        <w:pStyle w:val="null3"/>
        <w:jc w:val="both"/>
      </w:pPr>
      <w:r>
        <w:rPr>
          <w:sz w:val="27"/>
          <w:color w:val="222222"/>
          <w:shd w:fill="FFFFFF" w:val="clear"/>
        </w:rPr>
        <w:t>1.服务费每月按实结算，经采购人对当月检验项目和数量核实无误后，当月服务费发票于次月5个工作日前送到采购人处复核，复核无误后10个工作日内支付。</w:t>
      </w:r>
    </w:p>
    <w:p>
      <w:pPr>
        <w:pStyle w:val="null3"/>
        <w:jc w:val="both"/>
      </w:pPr>
      <w:r>
        <w:rPr>
          <w:sz w:val="27"/>
          <w:color w:val="222222"/>
          <w:shd w:fill="FFFFFF" w:val="clear"/>
        </w:rPr>
        <w:t>2.支付方式：采用支票、银行汇付（含电汇）等形式。</w:t>
      </w:r>
    </w:p>
    <w:p>
      <w:pPr>
        <w:pStyle w:val="null3"/>
        <w:jc w:val="both"/>
      </w:pPr>
      <w:r>
        <w:rPr>
          <w:sz w:val="27"/>
          <w:b/>
          <w:color w:val="222222"/>
          <w:shd w:fill="FFFFFF" w:val="clear"/>
        </w:rPr>
        <w:t>六、知识产权归属</w:t>
      </w:r>
    </w:p>
    <w:p>
      <w:pPr>
        <w:pStyle w:val="null3"/>
        <w:jc w:val="both"/>
      </w:pPr>
      <w:r>
        <w:rPr>
          <w:sz w:val="27"/>
          <w:b/>
          <w:color w:val="222222"/>
          <w:shd w:fill="FFFFFF" w:val="clear"/>
        </w:rPr>
        <w:t>七、保密</w:t>
      </w:r>
    </w:p>
    <w:p>
      <w:pPr>
        <w:pStyle w:val="null3"/>
        <w:jc w:val="both"/>
      </w:pPr>
      <w:r>
        <w:rPr>
          <w:sz w:val="27"/>
          <w:b/>
          <w:color w:val="222222"/>
          <w:shd w:fill="FFFFFF" w:val="clear"/>
        </w:rPr>
        <w:t>八、违约责任与赔偿损失</w:t>
      </w:r>
    </w:p>
    <w:p>
      <w:pPr>
        <w:pStyle w:val="null3"/>
        <w:jc w:val="both"/>
      </w:pPr>
      <w:r>
        <w:rPr>
          <w:sz w:val="27"/>
          <w:color w:val="222222"/>
          <w:shd w:fill="FFFFFF" w:val="clear"/>
        </w:rPr>
        <w:t>1.乙方提供的服务不符合本合同规定的，甲方有权拒收，并且乙方须向甲方支付本合同总价__%的违约金。</w:t>
      </w:r>
    </w:p>
    <w:p>
      <w:pPr>
        <w:pStyle w:val="null3"/>
        <w:jc w:val="both"/>
      </w:pPr>
      <w:r>
        <w:rPr>
          <w:sz w:val="27"/>
          <w:color w:val="222222"/>
          <w:shd w:fill="FFFFFF" w:val="clear"/>
        </w:rPr>
        <w:t>2.乙方未能按本合同规定的交货时间提供服务，从逾期之日起每日按本合同总价__‰的数额向甲方支付违约金；逾期半个月以上的，甲方有权终止合同，由此造成的甲方经济损失由乙方承担。</w:t>
      </w:r>
    </w:p>
    <w:p>
      <w:pPr>
        <w:pStyle w:val="null3"/>
        <w:jc w:val="both"/>
      </w:pPr>
      <w:r>
        <w:rPr>
          <w:sz w:val="27"/>
          <w:color w:val="222222"/>
          <w:shd w:fill="FFFFFF" w:val="clear"/>
        </w:rPr>
        <w:t>3.甲方无正当理由拒收接受服务，到期拒付服务款项的，甲方向乙方偿付本合同总的__%的违约金。甲方逾期付款，则每日按本合同总价的__‰向乙方偿付违约金。</w:t>
      </w:r>
    </w:p>
    <w:p>
      <w:pPr>
        <w:pStyle w:val="null3"/>
        <w:jc w:val="both"/>
      </w:pPr>
      <w:r>
        <w:rPr>
          <w:sz w:val="27"/>
          <w:color w:val="222222"/>
          <w:shd w:fill="FFFFFF" w:val="clear"/>
        </w:rPr>
        <w:t>4.其它违约责任按《中华人民共和国民法典(合同编)》处理。</w:t>
      </w:r>
    </w:p>
    <w:p>
      <w:pPr>
        <w:pStyle w:val="null3"/>
        <w:jc w:val="both"/>
      </w:pPr>
      <w:r>
        <w:rPr>
          <w:sz w:val="27"/>
          <w:b/>
          <w:color w:val="222222"/>
          <w:shd w:fill="FFFFFF" w:val="clear"/>
        </w:rPr>
        <w:t>九、争议的解决</w:t>
      </w:r>
    </w:p>
    <w:p>
      <w:pPr>
        <w:pStyle w:val="null3"/>
        <w:ind w:firstLine="400"/>
        <w:jc w:val="both"/>
      </w:pPr>
      <w:r>
        <w:rPr>
          <w:sz w:val="27"/>
          <w:color w:val="222222"/>
          <w:shd w:fill="FFFFFF" w:val="clear"/>
        </w:rPr>
        <w:t>合同执行过程中发生的任何争议，如双方不能通过友好协商解决，按相关法律法规处理。</w:t>
      </w:r>
      <w:r>
        <w:rPr>
          <w:sz w:val="27"/>
          <w:color w:val="222222"/>
          <w:shd w:fill="FFFFFF" w:val="clear"/>
        </w:rPr>
        <w:t xml:space="preserve">      </w:t>
      </w:r>
    </w:p>
    <w:p>
      <w:pPr>
        <w:pStyle w:val="null3"/>
        <w:jc w:val="both"/>
      </w:pPr>
      <w:r>
        <w:rPr>
          <w:sz w:val="27"/>
          <w:b/>
          <w:color w:val="222222"/>
          <w:shd w:fill="FFFFFF" w:val="clear"/>
        </w:rPr>
        <w:t>十、不可抗力</w:t>
      </w:r>
    </w:p>
    <w:p>
      <w:pPr>
        <w:pStyle w:val="null3"/>
        <w:jc w:val="both"/>
      </w:pPr>
      <w:r>
        <w:rPr>
          <w:sz w:val="27"/>
          <w:color w:val="222222"/>
          <w:shd w:fill="FFFFFF" w:val="clear"/>
        </w:rPr>
        <w:t>　　任何一方由于不可抗力原因不能履行合同时，应在不可抗力事件结束后</w:t>
      </w:r>
      <w:r>
        <w:rPr>
          <w:sz w:val="27"/>
          <w:color w:val="222222"/>
          <w:shd w:fill="FFFFFF" w:val="clear"/>
        </w:rPr>
        <w:t>1日内向对方通报，以减轻可能给对方造成的损失，在取得有关机构的不可抗力证明或双方谅解确认后，允许延期履行或修订合同，并根据情况可部分或全部免于承担违约责任。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7"/>
          <w:b/>
          <w:color w:val="222222"/>
          <w:shd w:fill="FFFFFF" w:val="clear"/>
        </w:rPr>
        <w:t>十一、税费</w:t>
      </w:r>
    </w:p>
    <w:p>
      <w:pPr>
        <w:pStyle w:val="null3"/>
        <w:jc w:val="both"/>
      </w:pPr>
      <w:r>
        <w:rPr>
          <w:sz w:val="27"/>
          <w:color w:val="222222"/>
          <w:shd w:fill="FFFFFF" w:val="clear"/>
        </w:rPr>
        <w:t>　　在中国境内、外发生的与本合同执行有关的一切税费均由乙方负担。</w:t>
      </w:r>
    </w:p>
    <w:p>
      <w:pPr>
        <w:pStyle w:val="null3"/>
        <w:jc w:val="both"/>
      </w:pPr>
      <w:r>
        <w:rPr>
          <w:sz w:val="27"/>
          <w:b/>
          <w:color w:val="222222"/>
          <w:shd w:fill="FFFFFF" w:val="clear"/>
        </w:rPr>
        <w:t>十二、其它</w:t>
      </w:r>
    </w:p>
    <w:p>
      <w:pPr>
        <w:pStyle w:val="null3"/>
        <w:jc w:val="both"/>
      </w:pPr>
      <w:r>
        <w:rPr>
          <w:sz w:val="27"/>
          <w:color w:val="222222"/>
          <w:shd w:fill="FFFFFF" w:val="clear"/>
        </w:rPr>
        <w:t>1.本合同所有附件、招标文件、投标文件、中标通知书均为合同的有效组成部分，与本合同具有同等法律效力。</w:t>
      </w:r>
    </w:p>
    <w:p>
      <w:pPr>
        <w:pStyle w:val="null3"/>
        <w:jc w:val="both"/>
      </w:pPr>
      <w:r>
        <w:rPr>
          <w:sz w:val="27"/>
          <w:color w:val="222222"/>
          <w:shd w:fill="FFFFFF" w:val="clear"/>
        </w:rPr>
        <w:t>2.在执行本合同的过程中，所有经双方签署确认的文件（包括会议纪要、补充协议、往来信函）即成为本合同的有效组成部分。</w:t>
      </w:r>
    </w:p>
    <w:p>
      <w:pPr>
        <w:pStyle w:val="null3"/>
        <w:jc w:val="both"/>
      </w:pPr>
      <w:r>
        <w:rPr>
          <w:sz w:val="27"/>
          <w:color w:val="222222"/>
          <w:shd w:fill="FFFFFF" w:val="clear"/>
        </w:rPr>
        <w:t>3.如一方地址、电话、传真号码有变更，应在变更当日内书面通知对方，否则，应承担相应责任。</w:t>
      </w:r>
    </w:p>
    <w:p>
      <w:pPr>
        <w:pStyle w:val="null3"/>
        <w:jc w:val="both"/>
      </w:pPr>
      <w:r>
        <w:rPr>
          <w:sz w:val="27"/>
          <w:color w:val="222222"/>
          <w:shd w:fill="FFFFFF" w:val="clear"/>
        </w:rPr>
        <w:t>4.除甲方事先书面同意外，乙方不得部分或全部转让其应履行的合同项下的义务。</w:t>
      </w:r>
    </w:p>
    <w:p>
      <w:pPr>
        <w:pStyle w:val="null3"/>
        <w:jc w:val="both"/>
      </w:pPr>
      <w:r>
        <w:rPr>
          <w:sz w:val="27"/>
          <w:b/>
          <w:color w:val="222222"/>
          <w:shd w:fill="FFFFFF" w:val="clear"/>
        </w:rPr>
        <w:t>十三、合同生效</w:t>
      </w:r>
    </w:p>
    <w:p>
      <w:pPr>
        <w:pStyle w:val="null3"/>
        <w:jc w:val="both"/>
      </w:pPr>
      <w:r>
        <w:rPr>
          <w:sz w:val="27"/>
          <w:color w:val="222222"/>
          <w:shd w:fill="FFFFFF" w:val="clear"/>
        </w:rPr>
        <w:t>1.本合同在甲乙双方法人代表或其授权代表签字盖章后生效。</w:t>
      </w:r>
    </w:p>
    <w:p>
      <w:pPr>
        <w:pStyle w:val="null3"/>
        <w:jc w:val="both"/>
      </w:pPr>
      <w:r>
        <w:rPr>
          <w:sz w:val="27"/>
          <w:color w:val="222222"/>
          <w:shd w:fill="FFFFFF" w:val="clear"/>
        </w:rPr>
        <w:t>2.本合同一式___份，双方各执___份，政府采购监管部门___份，采购代理机构___份，各份具有同等法律效力；本合同其它未尽事宜双方可另行签订补充协议明确。</w:t>
      </w:r>
    </w:p>
    <w:p>
      <w:pPr>
        <w:pStyle w:val="null3"/>
        <w:spacing w:before="150" w:after="150"/>
        <w:jc w:val="both"/>
      </w:pPr>
      <w:r>
        <w:rPr>
          <w:sz w:val="27"/>
          <w:color w:val="222222"/>
          <w:shd w:fill="FFFFFF" w:val="clear"/>
        </w:rPr>
        <w:t xml:space="preserve"> </w:t>
      </w:r>
    </w:p>
    <w:p>
      <w:pPr>
        <w:pStyle w:val="null3"/>
        <w:jc w:val="both"/>
      </w:pPr>
      <w:r>
        <w:rPr>
          <w:sz w:val="27"/>
          <w:b/>
          <w:color w:val="222222"/>
          <w:shd w:fill="FFFFFF" w:val="clear"/>
        </w:rPr>
        <w:t>甲方（盖章）：</w:t>
      </w:r>
      <w:r>
        <w:rPr>
          <w:sz w:val="27"/>
          <w:b/>
          <w:color w:val="222222"/>
          <w:shd w:fill="FFFFFF" w:val="clear"/>
        </w:rPr>
        <w:t xml:space="preserve">                                   乙方（盖章）：</w:t>
      </w:r>
    </w:p>
    <w:p>
      <w:pPr>
        <w:pStyle w:val="null3"/>
        <w:jc w:val="both"/>
      </w:pPr>
      <w:r>
        <w:rPr>
          <w:sz w:val="27"/>
          <w:b/>
          <w:color w:val="222222"/>
          <w:shd w:fill="FFFFFF" w:val="clear"/>
        </w:rPr>
        <w:t>代表：</w:t>
      </w:r>
      <w:r>
        <w:rPr>
          <w:sz w:val="27"/>
          <w:b/>
          <w:color w:val="222222"/>
          <w:shd w:fill="FFFFFF" w:val="clear"/>
        </w:rPr>
        <w:t xml:space="preserve">                                                代表：</w:t>
      </w:r>
    </w:p>
    <w:p>
      <w:pPr>
        <w:pStyle w:val="null3"/>
        <w:jc w:val="both"/>
      </w:pPr>
      <w:r>
        <w:rPr>
          <w:sz w:val="27"/>
          <w:color w:val="222222"/>
          <w:shd w:fill="FFFFFF" w:val="clear"/>
        </w:rPr>
        <w:t>签订地点：</w:t>
      </w:r>
    </w:p>
    <w:p>
      <w:pPr>
        <w:pStyle w:val="null3"/>
        <w:jc w:val="both"/>
      </w:pPr>
      <w:r>
        <w:rPr>
          <w:sz w:val="27"/>
          <w:color w:val="222222"/>
          <w:shd w:fill="FFFFFF" w:val="clear"/>
        </w:rPr>
        <w:t>签订日期：　　　年　　月　　日</w:t>
      </w:r>
      <w:r>
        <w:rPr>
          <w:sz w:val="27"/>
          <w:color w:val="222222"/>
          <w:shd w:fill="FFFFFF" w:val="clear"/>
        </w:rPr>
        <w:t xml:space="preserve">  签订日期：　　　年　　月　　日</w:t>
      </w:r>
    </w:p>
    <w:p>
      <w:pPr>
        <w:pStyle w:val="null3"/>
        <w:jc w:val="both"/>
      </w:pPr>
      <w:r>
        <w:rPr>
          <w:sz w:val="27"/>
          <w:color w:val="222222"/>
          <w:shd w:fill="FFFFFF" w:val="clear"/>
        </w:rPr>
        <w:t xml:space="preserve">                                                     开户名称：</w:t>
      </w:r>
    </w:p>
    <w:p>
      <w:pPr>
        <w:pStyle w:val="null3"/>
        <w:jc w:val="both"/>
      </w:pPr>
      <w:r>
        <w:rPr>
          <w:sz w:val="27"/>
          <w:color w:val="222222"/>
          <w:shd w:fill="FFFFFF" w:val="clear"/>
        </w:rPr>
        <w:t xml:space="preserve">                                                     银行帐号：</w:t>
      </w:r>
    </w:p>
    <w:p>
      <w:pPr>
        <w:pStyle w:val="null3"/>
        <w:jc w:val="both"/>
      </w:pPr>
      <w:r>
        <w:rPr>
          <w:sz w:val="27"/>
          <w:color w:val="222222"/>
          <w:shd w:fill="FFFFFF" w:val="clear"/>
        </w:rPr>
        <w:t xml:space="preserve">                                                     开 户 行：</w:t>
      </w:r>
    </w:p>
    <w:p>
      <w:pPr>
        <w:pStyle w:val="null3"/>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445281-2025-05330</w:t>
      </w:r>
    </w:p>
    <w:p>
      <w:pPr>
        <w:pStyle w:val="null3"/>
        <w:jc w:val="center"/>
        <w:outlineLvl w:val="3"/>
      </w:pPr>
      <w:r>
        <w:rPr>
          <w:sz w:val="24"/>
          <w:b/>
        </w:rPr>
        <w:t>采购项目编号：</w:t>
      </w:r>
      <w:r>
        <w:rPr>
          <w:sz w:val="24"/>
          <w:b/>
        </w:rPr>
        <w:t>YC025FGG08006GD（第二次）</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广东悦诚招标代理有限公司</w:t>
      </w:r>
    </w:p>
    <w:p>
      <w:pPr>
        <w:pStyle w:val="null3"/>
        <w:ind w:firstLine="480"/>
      </w:pPr>
      <w:r>
        <w:rPr/>
        <w:t xml:space="preserve"> 你方组织的</w:t>
      </w:r>
      <w:r>
        <w:rPr>
          <w:u w:val="single"/>
        </w:rPr>
        <w:t>“</w:t>
      </w:r>
      <w:r>
        <w:rPr>
          <w:u w:val="single"/>
        </w:rPr>
        <w:t>普宁市人民医院标本外送委托检验服务项目（第二次）</w:t>
      </w:r>
      <w:r>
        <w:rPr>
          <w:u w:val="single"/>
        </w:rPr>
        <w:t>”</w:t>
      </w:r>
      <w:r>
        <w:rPr/>
        <w:t>项目的招标[采购项目编号为：</w:t>
      </w:r>
      <w:r>
        <w:rPr>
          <w:u w:val="single"/>
        </w:rPr>
        <w:t>YC025FGG08006GD（第二次）</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普宁市人民医院标本外送委托检验服务项目（第二次）</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广东悦诚招标代理有限公司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普宁市人民医院标本外送委托检验服务项目（第二次）</w:t>
      </w:r>
      <w:r>
        <w:rPr/>
        <w:t>”项目采购[采购项目编号为</w:t>
      </w:r>
      <w:r>
        <w:rPr/>
        <w:t>YC025FGG08006GD（第二次）</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普宁市人民医院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广东悦诚招标代理有限公司</w:t>
      </w:r>
    </w:p>
    <w:p>
      <w:pPr>
        <w:pStyle w:val="null3"/>
        <w:ind w:firstLine="480"/>
      </w:pPr>
      <w:r>
        <w:rPr/>
        <w:t xml:space="preserve"> 如果我方在贵采购代理机构组织的</w:t>
      </w:r>
      <w:r>
        <w:rPr/>
        <w:t>普宁市人民医院标本外送委托检验服务项目（第二次）</w:t>
      </w:r>
      <w:r>
        <w:rPr/>
        <w:t>招标中获中标（采购项目编号：</w:t>
      </w:r>
      <w:r>
        <w:rPr/>
        <w:t>YC025FGG08006GD（第二次）</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广东悦诚招标代理有限公司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广东悦诚招标代理有限公司</w:t>
      </w:r>
    </w:p>
    <w:p>
      <w:pPr>
        <w:pStyle w:val="null3"/>
        <w:ind w:firstLine="480"/>
      </w:pPr>
      <w:r>
        <w:rPr/>
        <w:t>我单位已登记并准备参与“</w:t>
      </w:r>
      <w:r>
        <w:rPr/>
        <w:t>普宁市人民医院标本外送委托检验服务项目（第二次）</w:t>
      </w:r>
      <w:r>
        <w:rPr/>
        <w:t>”项目（采购项目编号：</w:t>
      </w:r>
      <w:r>
        <w:rPr/>
        <w:t>YC025FGG08006GD（第二次）</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