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440001-2025-33418</w:t>
      </w:r>
    </w:p>
    <w:p>
      <w:pPr>
        <w:pStyle w:val="null3"/>
        <w:jc w:val="center"/>
        <w:outlineLvl w:val="3"/>
      </w:pPr>
      <w:r>
        <w:rPr>
          <w:sz w:val="24"/>
          <w:b/>
        </w:rPr>
        <w:t>采购项目编号：</w:t>
      </w:r>
      <w:r>
        <w:rPr>
          <w:sz w:val="24"/>
          <w:b/>
        </w:rPr>
        <w:t>0835-250Z12305161</w:t>
      </w:r>
    </w:p>
    <w:p>
      <w:pPr>
        <w:pStyle w:val="null3"/>
        <w:jc w:val="center"/>
        <w:outlineLvl w:val="3"/>
      </w:pPr>
      <w:r>
        <w:rPr>
          <w:sz w:val="24"/>
          <w:b/>
        </w:rPr>
        <w:t>项目名称：</w:t>
      </w:r>
      <w:r>
        <w:rPr>
          <w:sz w:val="24"/>
          <w:b/>
        </w:rPr>
        <w:t>广东省方志馆日常运营管理与维护工作服务项目</w:t>
      </w:r>
    </w:p>
    <w:p>
      <w:pPr>
        <w:pStyle w:val="null3"/>
        <w:jc w:val="center"/>
        <w:outlineLvl w:val="3"/>
      </w:pPr>
      <w:r>
        <w:rPr>
          <w:sz w:val="24"/>
          <w:b/>
        </w:rPr>
        <w:t>采购人：</w:t>
      </w:r>
      <w:r>
        <w:rPr>
          <w:sz w:val="24"/>
          <w:b/>
        </w:rPr>
        <w:t>广东省方志馆</w:t>
      </w:r>
    </w:p>
    <w:p>
      <w:pPr>
        <w:pStyle w:val="null3"/>
        <w:jc w:val="center"/>
        <w:outlineLvl w:val="3"/>
      </w:pPr>
      <w:r>
        <w:rPr>
          <w:sz w:val="24"/>
          <w:b/>
        </w:rPr>
        <w:t>采购代理机构：</w:t>
      </w:r>
      <w:r>
        <w:rPr>
          <w:sz w:val="24"/>
          <w:b/>
        </w:rPr>
        <w:t>广东元正招标采购有限公司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广东元正招标采购有限公司</w:t>
      </w:r>
      <w:r>
        <w:rPr/>
        <w:t>受</w:t>
      </w:r>
      <w:r>
        <w:rPr/>
        <w:t>广东省方志馆</w:t>
      </w:r>
      <w:r>
        <w:rPr/>
        <w:t>的委托，采用</w:t>
      </w:r>
      <w:r>
        <w:rPr/>
        <w:t>公开招标</w:t>
      </w:r>
      <w:r>
        <w:rPr/>
        <w:t>方式组织采购</w:t>
      </w:r>
      <w:r>
        <w:rPr/>
        <w:t>广东省方志馆日常运营管理与维护工作服务项目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广东省方志馆日常运营管理与维护工作服务项目</w:t>
      </w:r>
    </w:p>
    <w:p>
      <w:pPr>
        <w:pStyle w:val="null3"/>
        <w:ind w:firstLine="480"/>
      </w:pPr>
      <w:r>
        <w:rPr/>
        <w:t>采购计划编号：</w:t>
      </w:r>
      <w:r>
        <w:rPr/>
        <w:t>440001-2025-33418</w:t>
      </w:r>
    </w:p>
    <w:p>
      <w:pPr>
        <w:pStyle w:val="null3"/>
        <w:ind w:firstLine="480"/>
      </w:pPr>
      <w:r>
        <w:rPr/>
        <w:t>采购项目编号：</w:t>
      </w:r>
      <w:r>
        <w:rPr/>
        <w:t>0835-250Z12305161</w:t>
      </w:r>
    </w:p>
    <w:p>
      <w:pPr>
        <w:pStyle w:val="null3"/>
        <w:ind w:firstLine="480"/>
      </w:pPr>
      <w:r>
        <w:rPr/>
        <w:t>采购方式：</w:t>
      </w:r>
      <w:r>
        <w:rPr/>
        <w:t>公开招标</w:t>
      </w:r>
    </w:p>
    <w:p>
      <w:pPr>
        <w:pStyle w:val="null3"/>
        <w:ind w:firstLine="480"/>
      </w:pPr>
      <w:r>
        <w:rPr/>
        <w:t>预算金额：</w:t>
      </w:r>
      <w:r>
        <w:rPr/>
        <w:t>3,720,000.00</w:t>
      </w:r>
      <w:r>
        <w:rPr/>
        <w:t>元</w:t>
      </w:r>
    </w:p>
    <w:p>
      <w:pPr>
        <w:pStyle w:val="null3"/>
        <w:outlineLvl w:val="3"/>
      </w:pPr>
      <w:r>
        <w:rPr>
          <w:sz w:val="24"/>
          <w:b/>
        </w:rPr>
        <w:t>2.项目内容及需求情况（采购项目技术规格、参数及要求）</w:t>
      </w:r>
    </w:p>
    <w:p>
      <w:pPr>
        <w:pStyle w:val="null3"/>
      </w:pPr>
      <w:r>
        <w:rPr/>
        <w:t>采购包1(广东省方志馆日常运营管理与维护工作服务项目):</w:t>
      </w:r>
    </w:p>
    <w:p>
      <w:pPr>
        <w:pStyle w:val="null3"/>
      </w:pPr>
      <w:r>
        <w:rPr/>
        <w:t>采购包预算金额：3,720,000.00元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广东省方志馆日常运营管理与维护工作服务项目</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合同履行期限：两年（2025年9月至2027年8月），具体以合同签订时间为准。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2）有依法缴纳税收和社会保障资金的良好记录：提供承诺函（格式可参考招标公告附件）。</w:t>
      </w:r>
    </w:p>
    <w:p>
      <w:pPr>
        <w:pStyle w:val="null3"/>
      </w:pPr>
      <w:r>
        <w:rPr/>
        <w:t>3）具有良好的商业信誉和健全的财务会计制度：提供承诺函（格式可参考招标公告附件）。</w:t>
      </w:r>
    </w:p>
    <w:p>
      <w:pPr>
        <w:pStyle w:val="null3"/>
      </w:pPr>
      <w:r>
        <w:rPr/>
        <w:t>4）履行合同所必需的设备和专业技术能力：提供承诺函（格式可参考招标公告附件）。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采购包1（广东省方志馆日常运营管理与维护工作服务项目）：</w:t>
      </w:r>
      <w:r>
        <w:rPr/>
        <w:t>本采购包整体专门面向中小企业，服务必须全部由中小企业提供。（中小企业须符合本项目采购标的对应行业的政策划分标准，监狱企业、残疾人福利单位视同小型、微型企业，供应商需提供《中小企业声明函》或属于监狱企业的证明材料或《残疾人福利性单位声明函》）。 注：中小企业以供应商填写的《中小企业声明函》（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中小企业须符合本项目采购标的对应招标文件中明确的所属行业：其他未列明行业（详见《第二章采购需求》“2.技术标准与要求”中对应的所属行业）的政策划分标准。</w:t>
      </w:r>
    </w:p>
    <w:p>
      <w:pPr>
        <w:pStyle w:val="null3"/>
        <w:outlineLvl w:val="3"/>
      </w:pPr>
      <w:r>
        <w:rPr>
          <w:sz w:val="24"/>
          <w:b/>
        </w:rPr>
        <w:t>3.本项目特定的资格要求：</w:t>
      </w:r>
    </w:p>
    <w:p>
      <w:pPr>
        <w:pStyle w:val="null3"/>
      </w:pPr>
      <w:r>
        <w:rPr/>
        <w:t>采购包1（广东省方志馆日常运营管理与维护工作服务项目）：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广东省方志馆</w:t>
      </w:r>
    </w:p>
    <w:p>
      <w:pPr>
        <w:pStyle w:val="null3"/>
        <w:ind w:firstLine="480"/>
      </w:pPr>
      <w:r>
        <w:rPr/>
        <w:t xml:space="preserve"> 地址：</w:t>
      </w:r>
      <w:r>
        <w:rPr/>
        <w:t>广州市天河区天河北路618号</w:t>
      </w:r>
    </w:p>
    <w:p>
      <w:pPr>
        <w:pStyle w:val="null3"/>
        <w:ind w:firstLine="480"/>
      </w:pPr>
      <w:r>
        <w:rPr/>
        <w:t xml:space="preserve"> 联系方式：</w:t>
      </w:r>
      <w:r>
        <w:rPr/>
        <w:t>020-87578029</w:t>
      </w:r>
    </w:p>
    <w:p>
      <w:pPr>
        <w:pStyle w:val="null3"/>
        <w:outlineLvl w:val="3"/>
      </w:pPr>
      <w:r>
        <w:rPr>
          <w:sz w:val="24"/>
          <w:b/>
        </w:rPr>
        <w:t xml:space="preserve"> 2.采购代理机构信息</w:t>
      </w:r>
    </w:p>
    <w:p>
      <w:pPr>
        <w:pStyle w:val="null3"/>
        <w:ind w:firstLine="480"/>
      </w:pPr>
      <w:r>
        <w:rPr/>
        <w:t xml:space="preserve"> 名称：</w:t>
      </w:r>
      <w:r>
        <w:rPr/>
        <w:t>广东元正招标采购有限公司</w:t>
      </w:r>
    </w:p>
    <w:p>
      <w:pPr>
        <w:pStyle w:val="null3"/>
        <w:ind w:firstLine="480"/>
      </w:pPr>
      <w:r>
        <w:rPr/>
        <w:t xml:space="preserve"> 地址：</w:t>
      </w:r>
      <w:r>
        <w:rPr/>
        <w:t>广东省广州市越秀区先烈中路102号华盛大厦北塔26楼2608</w:t>
      </w:r>
    </w:p>
    <w:p>
      <w:pPr>
        <w:pStyle w:val="null3"/>
        <w:ind w:firstLine="480"/>
      </w:pPr>
      <w:r>
        <w:rPr/>
        <w:t xml:space="preserve"> 联系方式：</w:t>
      </w:r>
      <w:r>
        <w:rPr/>
        <w:t>020-87258495-105、101、112、106</w:t>
      </w:r>
    </w:p>
    <w:p>
      <w:pPr>
        <w:pStyle w:val="null3"/>
        <w:outlineLvl w:val="3"/>
      </w:pPr>
      <w:r>
        <w:rPr>
          <w:sz w:val="24"/>
          <w:b/>
        </w:rPr>
        <w:t xml:space="preserve"> 3.项目联系方式</w:t>
      </w:r>
    </w:p>
    <w:p>
      <w:pPr>
        <w:pStyle w:val="null3"/>
        <w:ind w:firstLine="480"/>
      </w:pPr>
      <w:r>
        <w:rPr/>
        <w:t xml:space="preserve"> 项目联系人：</w:t>
      </w:r>
      <w:r>
        <w:rPr/>
        <w:t>陈丽莲、黄海琰、刘澳、戴肖玲</w:t>
      </w:r>
    </w:p>
    <w:p>
      <w:pPr>
        <w:pStyle w:val="null3"/>
        <w:ind w:firstLine="480"/>
      </w:pPr>
      <w:r>
        <w:rPr/>
        <w:t xml:space="preserve"> 电话：</w:t>
      </w:r>
      <w:r>
        <w:rPr/>
        <w:t>020-87258495-105、101、112、106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广东元正招标采购有限公司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shd w:fill="FFFFFF" w:val="clear"/>
        </w:rPr>
        <w:t>1.</w:t>
      </w:r>
      <w:r>
        <w:rPr>
          <w:sz w:val="21"/>
          <w:color w:val="000000"/>
          <w:shd w:fill="FFFFFF" w:val="clear"/>
        </w:rPr>
        <w:t>投标人必须对本项目所有内容进行投标，不允许只对其中部分内容进行投标。</w:t>
      </w:r>
    </w:p>
    <w:p>
      <w:pPr>
        <w:pStyle w:val="null3"/>
      </w:pPr>
      <w:r>
        <w:rPr>
          <w:sz w:val="21"/>
          <w:color w:val="000000"/>
          <w:shd w:fill="FFFFFF" w:val="clear"/>
        </w:rPr>
        <w:t>2.</w:t>
      </w:r>
      <w:r>
        <w:rPr>
          <w:sz w:val="21"/>
          <w:color w:val="000000"/>
          <w:shd w:fill="FFFFFF" w:val="clear"/>
        </w:rPr>
        <w:t>根据《关于印发中小企业划型标准规定的通知》（工信部联企业〔</w:t>
      </w:r>
      <w:r>
        <w:rPr>
          <w:sz w:val="21"/>
          <w:color w:val="000000"/>
          <w:shd w:fill="FFFFFF" w:val="clear"/>
        </w:rPr>
        <w:t>2011</w:t>
      </w:r>
      <w:r>
        <w:rPr>
          <w:sz w:val="21"/>
          <w:color w:val="000000"/>
          <w:shd w:fill="FFFFFF" w:val="clear"/>
        </w:rPr>
        <w:t>〕</w:t>
      </w:r>
      <w:r>
        <w:rPr>
          <w:sz w:val="21"/>
          <w:color w:val="000000"/>
          <w:shd w:fill="FFFFFF" w:val="clear"/>
        </w:rPr>
        <w:t>300</w:t>
      </w:r>
      <w:r>
        <w:rPr>
          <w:sz w:val="21"/>
          <w:color w:val="000000"/>
          <w:shd w:fill="FFFFFF" w:val="clear"/>
        </w:rPr>
        <w:t>号）规定，本项目采购标的对应的中小企业划分标准所属行业为：</w:t>
      </w:r>
      <w:r>
        <w:rPr>
          <w:sz w:val="21"/>
          <w:color w:val="000000"/>
          <w:u w:val="single"/>
          <w:shd w:fill="FFFFFF" w:val="clear"/>
        </w:rPr>
        <w:t>其他未列明行业</w:t>
      </w:r>
      <w:r>
        <w:rPr>
          <w:sz w:val="21"/>
          <w:color w:val="000000"/>
          <w:shd w:fill="FFFFFF" w:val="clear"/>
        </w:rPr>
        <w:t>。</w:t>
      </w:r>
    </w:p>
    <w:p>
      <w:pPr>
        <w:pStyle w:val="null3"/>
      </w:pPr>
      <w:r>
        <w:rPr>
          <w:sz w:val="20"/>
        </w:rPr>
        <w:t>3.</w:t>
      </w:r>
      <w:r>
        <w:rPr>
          <w:sz w:val="20"/>
        </w:rPr>
        <w:t>采购预算：人民币</w:t>
      </w:r>
      <w:r>
        <w:rPr>
          <w:sz w:val="20"/>
        </w:rPr>
        <w:t>3,720,000.00</w:t>
      </w:r>
      <w:r>
        <w:rPr>
          <w:sz w:val="20"/>
        </w:rPr>
        <w:t>元（</w:t>
      </w:r>
      <w:r>
        <w:rPr>
          <w:sz w:val="20"/>
        </w:rPr>
        <w:t>186</w:t>
      </w:r>
      <w:r>
        <w:rPr>
          <w:sz w:val="20"/>
        </w:rPr>
        <w:t>万元</w:t>
      </w:r>
      <w:r>
        <w:rPr>
          <w:sz w:val="20"/>
        </w:rPr>
        <w:t>/</w:t>
      </w:r>
      <w:r>
        <w:rPr>
          <w:sz w:val="20"/>
        </w:rPr>
        <w:t>年）</w:t>
      </w:r>
    </w:p>
    <w:p>
      <w:pPr>
        <w:pStyle w:val="null3"/>
      </w:pPr>
      <w:r>
        <w:rPr>
          <w:sz w:val="20"/>
        </w:rPr>
        <w:t>4.</w:t>
      </w:r>
      <w:r>
        <w:rPr>
          <w:sz w:val="20"/>
        </w:rPr>
        <w:t>服务期限：两年（</w:t>
      </w:r>
      <w:r>
        <w:rPr>
          <w:sz w:val="20"/>
        </w:rPr>
        <w:t>2025</w:t>
      </w:r>
      <w:r>
        <w:rPr>
          <w:sz w:val="20"/>
        </w:rPr>
        <w:t>年</w:t>
      </w:r>
      <w:r>
        <w:rPr>
          <w:sz w:val="20"/>
        </w:rPr>
        <w:t>9</w:t>
      </w:r>
      <w:r>
        <w:rPr>
          <w:sz w:val="20"/>
        </w:rPr>
        <w:t>月至</w:t>
      </w:r>
      <w:r>
        <w:rPr>
          <w:sz w:val="20"/>
        </w:rPr>
        <w:t>2027</w:t>
      </w:r>
      <w:r>
        <w:rPr>
          <w:sz w:val="20"/>
        </w:rPr>
        <w:t>年</w:t>
      </w:r>
      <w:r>
        <w:rPr>
          <w:sz w:val="20"/>
        </w:rPr>
        <w:t>8</w:t>
      </w:r>
      <w:r>
        <w:rPr>
          <w:sz w:val="20"/>
        </w:rPr>
        <w:t>月）</w:t>
      </w:r>
    </w:p>
    <w:p>
      <w:pPr>
        <w:pStyle w:val="null3"/>
      </w:pPr>
      <w:r>
        <w:rPr>
          <w:sz w:val="20"/>
        </w:rPr>
        <w:t>5.</w:t>
      </w:r>
      <w:r>
        <w:rPr>
          <w:sz w:val="20"/>
        </w:rPr>
        <w:t>本项目的核心服务（内容或要求）为：</w:t>
      </w:r>
      <w:r>
        <w:rPr>
          <w:sz w:val="20"/>
          <w:u w:val="single"/>
        </w:rPr>
        <w:t xml:space="preserve"> / </w:t>
      </w:r>
      <w:r>
        <w:rPr>
          <w:sz w:val="20"/>
        </w:rPr>
        <w:t>。本项目采用综合评分法，使用综合评分法的采购项目，提供相同品牌产品且通过资格审查、符合性审查</w:t>
      </w:r>
      <w:r>
        <w:rPr>
          <w:sz w:val="20"/>
        </w:rPr>
        <w:t>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sz w:val="20"/>
        </w:rPr>
        <w:t>6.</w:t>
      </w:r>
      <w:r>
        <w:rPr>
          <w:sz w:val="20"/>
        </w:rPr>
        <w:t>其他</w:t>
      </w:r>
      <w:r>
        <w:rPr>
          <w:sz w:val="20"/>
        </w:rPr>
        <w:t>要求</w:t>
      </w:r>
    </w:p>
    <w:p>
      <w:pPr>
        <w:pStyle w:val="null3"/>
      </w:pPr>
      <w:r>
        <w:rPr>
          <w:sz w:val="20"/>
        </w:rPr>
        <w:t>由供应商指派服务人员</w:t>
      </w:r>
      <w:r>
        <w:rPr>
          <w:sz w:val="20"/>
        </w:rPr>
        <w:t>17</w:t>
      </w:r>
      <w:r>
        <w:rPr>
          <w:sz w:val="20"/>
        </w:rPr>
        <w:t>人（具体人数由</w:t>
      </w:r>
      <w:r>
        <w:rPr>
          <w:sz w:val="20"/>
        </w:rPr>
        <w:t>招标人</w:t>
      </w:r>
      <w:r>
        <w:rPr>
          <w:sz w:val="20"/>
        </w:rPr>
        <w:t>根据实际需求确定），</w:t>
      </w:r>
      <w:r>
        <w:rPr>
          <w:sz w:val="20"/>
        </w:rPr>
        <w:t>人员工资总额不超过</w:t>
      </w:r>
      <w:r>
        <w:rPr>
          <w:sz w:val="20"/>
        </w:rPr>
        <w:t>186</w:t>
      </w:r>
      <w:r>
        <w:rPr>
          <w:sz w:val="20"/>
        </w:rPr>
        <w:t>万元</w:t>
      </w:r>
      <w:r>
        <w:rPr>
          <w:sz w:val="20"/>
        </w:rPr>
        <w:t>/</w:t>
      </w:r>
      <w:r>
        <w:rPr>
          <w:sz w:val="20"/>
        </w:rPr>
        <w:t>年，其中含服务费不超过</w:t>
      </w:r>
      <w:r>
        <w:rPr>
          <w:sz w:val="20"/>
        </w:rPr>
        <w:t>100</w:t>
      </w:r>
      <w:r>
        <w:rPr>
          <w:sz w:val="20"/>
        </w:rPr>
        <w:t>元</w:t>
      </w:r>
      <w:r>
        <w:rPr>
          <w:sz w:val="20"/>
        </w:rPr>
        <w:t>/</w:t>
      </w:r>
      <w:r>
        <w:rPr>
          <w:sz w:val="20"/>
        </w:rPr>
        <w:t>人</w:t>
      </w:r>
      <w:r>
        <w:rPr>
          <w:sz w:val="20"/>
        </w:rPr>
        <w:t>/</w:t>
      </w:r>
      <w:r>
        <w:rPr>
          <w:sz w:val="20"/>
        </w:rPr>
        <w:t>月</w:t>
      </w:r>
      <w:r>
        <w:rPr>
          <w:sz w:val="20"/>
        </w:rPr>
        <w:t>。</w:t>
      </w:r>
    </w:p>
    <w:p>
      <w:pPr>
        <w:pStyle w:val="null3"/>
      </w:pPr>
      <w:r>
        <w:rPr/>
        <w:t>采购包1（广东省方志馆日常运营管理与维护工作服务项目）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两年（2025年9月至2027年8月），具体以合同签订时间为准。</w:t>
            </w:r>
          </w:p>
        </w:tc>
      </w:tr>
      <w:tr>
        <w:tc>
          <w:tcPr>
            <w:tcW w:type="dxa" w:w="4153"/>
          </w:tcPr>
          <w:p>
            <w:pPr>
              <w:pStyle w:val="null3"/>
            </w:pPr>
            <w:r>
              <w:rPr/>
              <w:t>标的提供的地点</w:t>
            </w:r>
          </w:p>
        </w:tc>
        <w:tc>
          <w:tcPr>
            <w:tcW w:type="dxa" w:w="4153"/>
          </w:tcPr>
          <w:p>
            <w:pPr>
              <w:pStyle w:val="null3"/>
            </w:pPr>
            <w:r>
              <w:rPr/>
              <w:t>采购人指定服务地点。</w:t>
            </w:r>
          </w:p>
        </w:tc>
      </w:tr>
      <w:tr>
        <w:tc>
          <w:tcPr>
            <w:tcW w:type="dxa" w:w="4153"/>
          </w:tcPr>
          <w:p>
            <w:pPr>
              <w:pStyle w:val="null3"/>
            </w:pPr>
            <w:r>
              <w:rPr/>
              <w:t>付款方式</w:t>
            </w:r>
          </w:p>
        </w:tc>
        <w:tc>
          <w:tcPr>
            <w:tcW w:type="dxa" w:w="4153"/>
          </w:tcPr>
          <w:p>
            <w:pPr>
              <w:pStyle w:val="null3"/>
            </w:pPr>
            <w:r>
              <w:rPr/>
              <w:t>1期：支付比例100%,（1）付款方式：按月结算，次月10日前支付给中标供应商，每月支付金额=实际服务人数*各岗位包干报价，支付资金来源为财政拨款。财政资金的支付以采购人向财政部门提出办理财政支付申请手续的时间为准，在规定时间内提出支付申请手续后即视为采购人已经按期支付。中标供应商应按法律有关要求及时结算服务人员的月工资 。 （2）在采购人银行发生的银行费用由采购人承担，在采购人银行以外发生的银行费用由中标供应商承担。 （3）支付劳务费时中标供应商承担必须提供正规发票，且收款方、出具发票方、合同 乙方均必须与中标供应商名称一致。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1期：满足国家及行业强制性标准及规范并实质性满足招标文件和采购人的要求。供应商不得将其服务内容以任何形式分包给其他企业、组织或个人。 验收服务质量的方式：由甲方组织每季度对中标单位进行考核。 验收（检查）标准：按国家及地方的相关法律法规政策文件及相关验收规范、评定标准及招标文件规定及中标人投标文件承诺的服务要求。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广东省方志馆日常运营管理与维护工作服务项目</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1,860,000.00</w:t>
            </w:r>
          </w:p>
        </w:tc>
        <w:tc>
          <w:tcPr>
            <w:tcW w:type="dxa" w:w="933"/>
          </w:tcPr>
          <w:p>
            <w:pPr>
              <w:pStyle w:val="null3"/>
              <w:jc w:val="right"/>
            </w:pPr>
            <w:r>
              <w:rPr/>
              <w:t>3,720,000.00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广东省方志馆日常运营管理与维护工作服务项目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一、项目概况</w:t>
            </w:r>
          </w:p>
          <w:p>
            <w:pPr>
              <w:pStyle w:val="null3"/>
            </w:pPr>
            <w:r>
              <w:rPr>
                <w:sz w:val="21"/>
              </w:rPr>
              <w:t>因广东省方志馆相关工作需要，加强和改善我单位的规范化管理，现拟通过采用公开招标的方式招标，聘请一家供应商负责广东省方志馆的日常运营管理与维护工作服务项目。</w:t>
            </w:r>
          </w:p>
        </w:tc>
      </w:tr>
      <w:tr>
        <w:tc>
          <w:tcPr>
            <w:tcW w:type="dxa" w:w="2076"/>
          </w:tcPr>
          <w:p/>
        </w:tc>
        <w:tc>
          <w:tcPr>
            <w:tcW w:type="dxa" w:w="415"/>
          </w:tcPr>
          <w:p>
            <w:pPr>
              <w:pStyle w:val="null3"/>
            </w:pPr>
            <w:r>
              <w:rPr/>
              <w:t>2</w:t>
            </w:r>
          </w:p>
        </w:tc>
        <w:tc>
          <w:tcPr>
            <w:tcW w:type="dxa" w:w="5814"/>
          </w:tcPr>
          <w:p>
            <w:pPr>
              <w:pStyle w:val="null3"/>
            </w:pPr>
            <w:r>
              <w:rPr>
                <w:sz w:val="20"/>
              </w:rPr>
              <w:t>二、服务内容</w:t>
            </w:r>
          </w:p>
          <w:p>
            <w:pPr>
              <w:pStyle w:val="null3"/>
            </w:pPr>
            <w:r>
              <w:rPr>
                <w:sz w:val="20"/>
              </w:rPr>
              <w:t>1</w:t>
            </w:r>
            <w:r>
              <w:rPr>
                <w:sz w:val="20"/>
              </w:rPr>
              <w:t>、负责广东省方志馆各岗位的日常工作（包括但不限于行政助理、会计、展厅主管、讲解员、图书管理员、计算机管理员、司机、辅助工等）；</w:t>
            </w:r>
          </w:p>
          <w:p>
            <w:pPr>
              <w:pStyle w:val="null3"/>
            </w:pPr>
            <w:r>
              <w:rPr>
                <w:sz w:val="20"/>
              </w:rPr>
              <w:t>2</w:t>
            </w:r>
            <w:r>
              <w:rPr>
                <w:sz w:val="20"/>
              </w:rPr>
              <w:t>、完成临时交办的各项任务。</w:t>
            </w:r>
          </w:p>
          <w:p>
            <w:pPr>
              <w:pStyle w:val="null3"/>
            </w:pPr>
            <w:r>
              <w:rPr>
                <w:sz w:val="21"/>
              </w:rPr>
              <w:t>3</w:t>
            </w:r>
            <w:r>
              <w:rPr>
                <w:sz w:val="21"/>
              </w:rPr>
              <w:t>、为保证项目服务质量，响应供应商需制定项目相关服务方案、服务质量保证措施、内部管理方案、应急处理机制及培训方案等。</w:t>
            </w:r>
          </w:p>
        </w:tc>
      </w:tr>
      <w:tr>
        <w:tc>
          <w:tcPr>
            <w:tcW w:type="dxa" w:w="2076"/>
          </w:tcPr>
          <w:p/>
        </w:tc>
        <w:tc>
          <w:tcPr>
            <w:tcW w:type="dxa" w:w="415"/>
          </w:tcPr>
          <w:p>
            <w:pPr>
              <w:pStyle w:val="null3"/>
            </w:pPr>
            <w:r>
              <w:rPr/>
              <w:t>3</w:t>
            </w:r>
          </w:p>
        </w:tc>
        <w:tc>
          <w:tcPr>
            <w:tcW w:type="dxa" w:w="5814"/>
          </w:tcPr>
          <w:p>
            <w:pPr>
              <w:pStyle w:val="null3"/>
            </w:pPr>
            <w:r>
              <w:rPr>
                <w:sz w:val="20"/>
              </w:rPr>
              <w:t>三、人员配置</w:t>
            </w:r>
          </w:p>
          <w:p>
            <w:pPr>
              <w:pStyle w:val="null3"/>
              <w:ind w:firstLine="402"/>
              <w:jc w:val="both"/>
            </w:pPr>
            <w:r>
              <w:rPr>
                <w:sz w:val="20"/>
                <w:b/>
                <w:color w:val="000000"/>
              </w:rPr>
              <w:t>1.</w:t>
            </w:r>
            <w:r>
              <w:rPr>
                <w:sz w:val="20"/>
                <w:b/>
                <w:color w:val="000000"/>
              </w:rPr>
              <w:t>行政助理（1人）</w:t>
            </w:r>
          </w:p>
          <w:p>
            <w:pPr>
              <w:pStyle w:val="null3"/>
              <w:ind w:firstLine="400"/>
              <w:jc w:val="both"/>
            </w:pPr>
            <w:r>
              <w:rPr>
                <w:sz w:val="20"/>
                <w:color w:val="000000"/>
              </w:rPr>
              <w:t>（1）遵守中华人民共和国宪法和法律，具有良好的品行和职业道德；</w:t>
            </w:r>
          </w:p>
          <w:p>
            <w:pPr>
              <w:pStyle w:val="null3"/>
              <w:ind w:firstLine="400"/>
              <w:jc w:val="both"/>
            </w:pPr>
            <w:r>
              <w:rPr>
                <w:sz w:val="20"/>
                <w:color w:val="000000"/>
              </w:rPr>
              <w:t>（2）具有大学本科及以上学历，中文、经济学、新闻传播学、人力资源等专业优先；</w:t>
            </w:r>
          </w:p>
          <w:p>
            <w:pPr>
              <w:pStyle w:val="null3"/>
              <w:ind w:firstLine="400"/>
              <w:jc w:val="both"/>
            </w:pPr>
            <w:r>
              <w:rPr>
                <w:sz w:val="20"/>
                <w:color w:val="000000"/>
              </w:rPr>
              <w:t>（3）有较好的文字功底，有文字工作经验者优先；</w:t>
            </w:r>
          </w:p>
          <w:p>
            <w:pPr>
              <w:pStyle w:val="null3"/>
              <w:ind w:firstLine="400"/>
              <w:jc w:val="both"/>
            </w:pPr>
            <w:r>
              <w:rPr>
                <w:sz w:val="20"/>
                <w:color w:val="000000"/>
              </w:rPr>
              <w:t>（4）有较好的沟通协调能力。</w:t>
            </w:r>
          </w:p>
          <w:p>
            <w:pPr>
              <w:pStyle w:val="null3"/>
              <w:ind w:firstLine="402"/>
              <w:jc w:val="both"/>
            </w:pPr>
            <w:r>
              <w:rPr>
                <w:sz w:val="20"/>
                <w:b/>
                <w:color w:val="000000"/>
              </w:rPr>
              <w:t>2.</w:t>
            </w:r>
            <w:r>
              <w:rPr>
                <w:sz w:val="20"/>
                <w:b/>
                <w:color w:val="000000"/>
              </w:rPr>
              <w:t>会计（1 人）</w:t>
            </w:r>
          </w:p>
          <w:p>
            <w:pPr>
              <w:pStyle w:val="null3"/>
              <w:ind w:firstLine="400"/>
              <w:jc w:val="both"/>
            </w:pPr>
            <w:r>
              <w:rPr>
                <w:sz w:val="20"/>
                <w:color w:val="000000"/>
              </w:rPr>
              <w:t>（1）遵守中华人民共和国宪法和法律，具有良好的品行和职业道德；</w:t>
            </w:r>
          </w:p>
          <w:p>
            <w:pPr>
              <w:pStyle w:val="null3"/>
              <w:ind w:firstLine="400"/>
              <w:jc w:val="both"/>
            </w:pPr>
            <w:r>
              <w:rPr>
                <w:sz w:val="20"/>
                <w:color w:val="000000"/>
              </w:rPr>
              <w:t>（2）具有大专及以上学历，会计类专业，有 2 年以上会计工作经验。</w:t>
            </w:r>
          </w:p>
          <w:p>
            <w:pPr>
              <w:pStyle w:val="null3"/>
              <w:ind w:firstLine="402"/>
              <w:jc w:val="both"/>
            </w:pPr>
            <w:r>
              <w:rPr>
                <w:sz w:val="20"/>
                <w:b/>
                <w:color w:val="000000"/>
              </w:rPr>
              <w:t>3.</w:t>
            </w:r>
            <w:r>
              <w:rPr>
                <w:sz w:val="20"/>
                <w:b/>
                <w:color w:val="000000"/>
              </w:rPr>
              <w:t>展厅主管（2人）</w:t>
            </w:r>
          </w:p>
          <w:p>
            <w:pPr>
              <w:pStyle w:val="null3"/>
              <w:ind w:firstLine="400"/>
              <w:jc w:val="both"/>
            </w:pPr>
            <w:r>
              <w:rPr>
                <w:sz w:val="20"/>
                <w:color w:val="000000"/>
              </w:rPr>
              <w:t>（1）遵守中华人民共和国宪法和法律，具有良好的品行和职业道德；</w:t>
            </w:r>
          </w:p>
          <w:p>
            <w:pPr>
              <w:pStyle w:val="null3"/>
              <w:ind w:firstLine="400"/>
              <w:jc w:val="both"/>
            </w:pPr>
            <w:r>
              <w:rPr>
                <w:sz w:val="20"/>
                <w:color w:val="000000"/>
              </w:rPr>
              <w:t>（2）有较好的文字功底和沟通协调能力；</w:t>
            </w:r>
          </w:p>
          <w:p>
            <w:pPr>
              <w:pStyle w:val="null3"/>
              <w:ind w:firstLine="400"/>
              <w:jc w:val="both"/>
            </w:pPr>
            <w:r>
              <w:rPr>
                <w:sz w:val="20"/>
                <w:color w:val="000000"/>
              </w:rPr>
              <w:t>（3）能较好完成展厅管理工作。</w:t>
            </w:r>
          </w:p>
          <w:p>
            <w:pPr>
              <w:pStyle w:val="null3"/>
              <w:ind w:firstLine="402"/>
              <w:jc w:val="both"/>
            </w:pPr>
            <w:r>
              <w:rPr>
                <w:sz w:val="20"/>
                <w:b/>
                <w:color w:val="000000"/>
              </w:rPr>
              <w:t>4.</w:t>
            </w:r>
            <w:r>
              <w:rPr>
                <w:sz w:val="20"/>
                <w:b/>
                <w:color w:val="000000"/>
              </w:rPr>
              <w:t>古籍修复员（1名）</w:t>
            </w:r>
          </w:p>
          <w:p>
            <w:pPr>
              <w:pStyle w:val="null3"/>
              <w:ind w:firstLine="400"/>
              <w:jc w:val="both"/>
            </w:pPr>
            <w:r>
              <w:rPr>
                <w:sz w:val="20"/>
                <w:color w:val="000000"/>
              </w:rPr>
              <w:t>（1）遵守中华人民共和国宪法和法律，具有良好的品行和职业道德。</w:t>
            </w:r>
          </w:p>
          <w:p>
            <w:pPr>
              <w:pStyle w:val="null3"/>
              <w:ind w:firstLine="400"/>
              <w:jc w:val="both"/>
            </w:pPr>
            <w:r>
              <w:rPr>
                <w:sz w:val="20"/>
                <w:color w:val="000000"/>
              </w:rPr>
              <w:t>（2）专业不限，对古籍有兴趣，有强烈的文化保护意识。</w:t>
            </w:r>
          </w:p>
          <w:p>
            <w:pPr>
              <w:pStyle w:val="null3"/>
              <w:ind w:firstLine="400"/>
              <w:jc w:val="both"/>
            </w:pPr>
            <w:r>
              <w:rPr>
                <w:sz w:val="20"/>
                <w:color w:val="000000"/>
              </w:rPr>
              <w:t>（3）工作细心、耐心、有责任心；能全心全力投入工作的学生优先；能吃苦耐劳。</w:t>
            </w:r>
          </w:p>
          <w:p>
            <w:pPr>
              <w:pStyle w:val="null3"/>
              <w:ind w:firstLine="400"/>
              <w:jc w:val="both"/>
            </w:pPr>
            <w:r>
              <w:rPr>
                <w:sz w:val="20"/>
                <w:color w:val="000000"/>
              </w:rPr>
              <w:t>（4）了解广东地理、历史、风俗等知识者优先。</w:t>
            </w:r>
          </w:p>
          <w:p>
            <w:pPr>
              <w:pStyle w:val="null3"/>
              <w:ind w:firstLine="402"/>
              <w:jc w:val="both"/>
            </w:pPr>
            <w:r>
              <w:rPr>
                <w:sz w:val="20"/>
                <w:b/>
                <w:color w:val="000000"/>
              </w:rPr>
              <w:t>5.</w:t>
            </w:r>
            <w:r>
              <w:rPr>
                <w:sz w:val="20"/>
                <w:b/>
                <w:color w:val="000000"/>
              </w:rPr>
              <w:t>讲解员（4 人）</w:t>
            </w:r>
          </w:p>
          <w:p>
            <w:pPr>
              <w:pStyle w:val="null3"/>
              <w:ind w:firstLine="400"/>
              <w:jc w:val="both"/>
            </w:pPr>
            <w:r>
              <w:rPr>
                <w:sz w:val="20"/>
                <w:color w:val="000000"/>
              </w:rPr>
              <w:t>（1）遵守中华人民共和国宪法和法律，具有良好的品行和职业道德；</w:t>
            </w:r>
          </w:p>
          <w:p>
            <w:pPr>
              <w:pStyle w:val="null3"/>
              <w:ind w:firstLine="400"/>
              <w:jc w:val="both"/>
            </w:pPr>
            <w:r>
              <w:rPr>
                <w:sz w:val="20"/>
                <w:color w:val="000000"/>
              </w:rPr>
              <w:t>（2）具有大学本科及以上，广告学、中文、经济学、新闻传播学、艺术类专业等；</w:t>
            </w:r>
          </w:p>
          <w:p>
            <w:pPr>
              <w:pStyle w:val="null3"/>
              <w:ind w:firstLine="400"/>
              <w:jc w:val="both"/>
            </w:pPr>
            <w:r>
              <w:rPr>
                <w:sz w:val="20"/>
                <w:color w:val="000000"/>
              </w:rPr>
              <w:t>（3）个人形象佳，有较好沟通协调和语言表达能力；</w:t>
            </w:r>
          </w:p>
          <w:p>
            <w:pPr>
              <w:pStyle w:val="null3"/>
              <w:ind w:firstLine="400"/>
              <w:jc w:val="both"/>
            </w:pPr>
            <w:r>
              <w:rPr>
                <w:sz w:val="20"/>
                <w:color w:val="000000"/>
              </w:rPr>
              <w:t>（4 ）了解广东地理、历史、风俗等知识者优先。</w:t>
            </w:r>
          </w:p>
          <w:p>
            <w:pPr>
              <w:pStyle w:val="null3"/>
              <w:ind w:firstLine="402"/>
              <w:jc w:val="both"/>
            </w:pPr>
            <w:r>
              <w:rPr>
                <w:sz w:val="20"/>
                <w:b/>
                <w:color w:val="000000"/>
              </w:rPr>
              <w:t>6.</w:t>
            </w:r>
            <w:r>
              <w:rPr>
                <w:sz w:val="20"/>
                <w:b/>
                <w:color w:val="000000"/>
              </w:rPr>
              <w:t>图书管理员（2 人）</w:t>
            </w:r>
          </w:p>
          <w:p>
            <w:pPr>
              <w:pStyle w:val="null3"/>
              <w:ind w:firstLine="400"/>
              <w:jc w:val="both"/>
            </w:pPr>
            <w:r>
              <w:rPr>
                <w:sz w:val="20"/>
                <w:color w:val="000000"/>
              </w:rPr>
              <w:t>（1）遵守中华人民共和国宪法和法律，具有良好的品行和职业道德；</w:t>
            </w:r>
          </w:p>
          <w:p>
            <w:pPr>
              <w:pStyle w:val="null3"/>
              <w:ind w:firstLine="400"/>
              <w:jc w:val="both"/>
            </w:pPr>
            <w:r>
              <w:rPr>
                <w:sz w:val="20"/>
                <w:color w:val="000000"/>
              </w:rPr>
              <w:t>（2）具有大学本科及以上，图书情报学，信息管理学等相关专业；</w:t>
            </w:r>
          </w:p>
          <w:p>
            <w:pPr>
              <w:pStyle w:val="null3"/>
              <w:ind w:firstLine="400"/>
              <w:jc w:val="both"/>
            </w:pPr>
            <w:r>
              <w:rPr>
                <w:sz w:val="20"/>
                <w:color w:val="000000"/>
              </w:rPr>
              <w:t>（3）有图书馆、档案馆相关工作经验者优先考虑。</w:t>
            </w:r>
          </w:p>
          <w:p>
            <w:pPr>
              <w:pStyle w:val="null3"/>
              <w:ind w:firstLine="402"/>
              <w:jc w:val="both"/>
            </w:pPr>
            <w:r>
              <w:rPr>
                <w:sz w:val="20"/>
                <w:b/>
                <w:color w:val="000000"/>
              </w:rPr>
              <w:t>7.</w:t>
            </w:r>
            <w:r>
              <w:rPr>
                <w:sz w:val="20"/>
                <w:b/>
                <w:color w:val="000000"/>
              </w:rPr>
              <w:t>计算机管理员（2 人）</w:t>
            </w:r>
          </w:p>
          <w:p>
            <w:pPr>
              <w:pStyle w:val="null3"/>
              <w:ind w:firstLine="400"/>
              <w:jc w:val="both"/>
            </w:pPr>
            <w:r>
              <w:rPr>
                <w:sz w:val="20"/>
                <w:color w:val="000000"/>
              </w:rPr>
              <w:t>（1）遵守中华人民共和国宪法和法律，具有良好的品行和职业道德；</w:t>
            </w:r>
          </w:p>
          <w:p>
            <w:pPr>
              <w:pStyle w:val="null3"/>
              <w:ind w:firstLine="400"/>
              <w:jc w:val="both"/>
            </w:pPr>
            <w:r>
              <w:rPr>
                <w:sz w:val="20"/>
                <w:color w:val="000000"/>
              </w:rPr>
              <w:t>（2）具有计算机、网络相关专业，大专以上学历。</w:t>
            </w:r>
          </w:p>
          <w:p>
            <w:pPr>
              <w:pStyle w:val="null3"/>
              <w:ind w:firstLine="400"/>
              <w:jc w:val="both"/>
            </w:pPr>
            <w:r>
              <w:rPr>
                <w:sz w:val="20"/>
                <w:color w:val="000000"/>
              </w:rPr>
              <w:t>（3）有网络管理和软件系统维护工作基础，优先考虑。</w:t>
            </w:r>
          </w:p>
          <w:p>
            <w:pPr>
              <w:pStyle w:val="null3"/>
              <w:ind w:firstLine="402"/>
              <w:jc w:val="both"/>
            </w:pPr>
            <w:r>
              <w:rPr>
                <w:sz w:val="20"/>
                <w:b/>
                <w:color w:val="000000"/>
              </w:rPr>
              <w:t>8.</w:t>
            </w:r>
            <w:r>
              <w:rPr>
                <w:sz w:val="20"/>
                <w:b/>
                <w:color w:val="000000"/>
              </w:rPr>
              <w:t>司机（1人）</w:t>
            </w:r>
          </w:p>
          <w:p>
            <w:pPr>
              <w:pStyle w:val="null3"/>
              <w:ind w:firstLine="400"/>
              <w:jc w:val="both"/>
            </w:pPr>
            <w:r>
              <w:rPr>
                <w:sz w:val="20"/>
                <w:color w:val="000000"/>
              </w:rPr>
              <w:t>（1）遵守中华人民共和国宪法和法律，具有良好的品行和职业道德；</w:t>
            </w:r>
          </w:p>
          <w:p>
            <w:pPr>
              <w:pStyle w:val="null3"/>
              <w:ind w:firstLine="400"/>
              <w:jc w:val="both"/>
            </w:pPr>
            <w:r>
              <w:rPr>
                <w:sz w:val="20"/>
                <w:color w:val="000000"/>
              </w:rPr>
              <w:t>（2）具有 B2 驾驶证，有驾驶经验者优先。</w:t>
            </w:r>
          </w:p>
          <w:p>
            <w:pPr>
              <w:pStyle w:val="null3"/>
              <w:ind w:firstLine="402"/>
              <w:jc w:val="both"/>
            </w:pPr>
            <w:r>
              <w:rPr>
                <w:sz w:val="20"/>
                <w:b/>
                <w:color w:val="000000"/>
              </w:rPr>
              <w:t>9.</w:t>
            </w:r>
            <w:r>
              <w:rPr>
                <w:sz w:val="20"/>
                <w:b/>
                <w:color w:val="000000"/>
              </w:rPr>
              <w:t>辅助工（3人）</w:t>
            </w:r>
          </w:p>
          <w:p>
            <w:pPr>
              <w:pStyle w:val="null3"/>
              <w:ind w:firstLine="400"/>
              <w:jc w:val="both"/>
            </w:pPr>
            <w:r>
              <w:rPr>
                <w:sz w:val="20"/>
                <w:color w:val="000000"/>
              </w:rPr>
              <w:t>（1）遵守中华人民共和国宪法和法律，具有良好的品行和职业道德；</w:t>
            </w:r>
          </w:p>
          <w:p>
            <w:pPr>
              <w:pStyle w:val="null3"/>
              <w:ind w:firstLine="400"/>
              <w:jc w:val="both"/>
            </w:pPr>
            <w:r>
              <w:rPr>
                <w:sz w:val="20"/>
                <w:color w:val="000000"/>
              </w:rPr>
              <w:t>（2）具有高中以上学历；</w:t>
            </w:r>
          </w:p>
          <w:p>
            <w:pPr>
              <w:pStyle w:val="null3"/>
              <w:ind w:firstLine="400"/>
              <w:jc w:val="both"/>
            </w:pPr>
            <w:r>
              <w:rPr>
                <w:sz w:val="20"/>
                <w:color w:val="000000"/>
              </w:rPr>
              <w:t>（3）吃苦耐劳，有较好沟通协调能力；</w:t>
            </w:r>
          </w:p>
          <w:p>
            <w:pPr>
              <w:pStyle w:val="null3"/>
            </w:pPr>
            <w:r>
              <w:rPr>
                <w:sz w:val="21"/>
                <w:b/>
                <w:color w:val="000000"/>
              </w:rPr>
              <w:t>备注：供应商应安排专人负责与采购人沟通协调服务需求、协调管理团队人员工作，完成采购人各岗位的工作。</w:t>
            </w:r>
          </w:p>
        </w:tc>
      </w:tr>
      <w:tr>
        <w:tc>
          <w:tcPr>
            <w:tcW w:type="dxa" w:w="2076"/>
          </w:tcPr>
          <w:p/>
        </w:tc>
        <w:tc>
          <w:tcPr>
            <w:tcW w:type="dxa" w:w="415"/>
          </w:tcPr>
          <w:p>
            <w:pPr>
              <w:pStyle w:val="null3"/>
            </w:pPr>
            <w:r>
              <w:rPr/>
              <w:t>4</w:t>
            </w:r>
          </w:p>
        </w:tc>
        <w:tc>
          <w:tcPr>
            <w:tcW w:type="dxa" w:w="5814"/>
          </w:tcPr>
          <w:p>
            <w:pPr>
              <w:pStyle w:val="null3"/>
            </w:pPr>
            <w:r>
              <w:rPr>
                <w:sz w:val="20"/>
              </w:rPr>
              <w:t>四、其他要求</w:t>
            </w:r>
          </w:p>
          <w:p>
            <w:pPr>
              <w:pStyle w:val="null3"/>
            </w:pPr>
            <w:r>
              <w:rPr>
                <w:sz w:val="20"/>
              </w:rPr>
              <w:t>1</w:t>
            </w:r>
            <w:r>
              <w:rPr>
                <w:sz w:val="20"/>
              </w:rPr>
              <w:t>、▲对派出采购人指定场所的服务人员，成交供应商有义务按照采购人的要求并参考采购人的规章制订相应的规章制度（包括但不限于工作时间、工作要求、工作完成标准等）予以规范，以加强管理。</w:t>
            </w:r>
          </w:p>
          <w:p>
            <w:pPr>
              <w:pStyle w:val="null3"/>
            </w:pPr>
            <w:r>
              <w:rPr>
                <w:sz w:val="21"/>
              </w:rPr>
              <w:t>2</w:t>
            </w:r>
            <w:r>
              <w:rPr>
                <w:sz w:val="21"/>
              </w:rPr>
              <w:t>、</w:t>
            </w:r>
            <w:r>
              <w:rPr>
                <w:sz w:val="21"/>
              </w:rPr>
              <w:t>▲</w:t>
            </w:r>
            <w:r>
              <w:rPr>
                <w:sz w:val="21"/>
              </w:rPr>
              <w:t>成交供应商应组织对其服务人员进行保密培训，并须确保成交供应商服务人员保守采购人的商业秘密和其他保密信息，并对成交供应商人员泄密而导致的采购人经济损失或其他不良影响承担相应的法律责任。</w:t>
            </w:r>
          </w:p>
        </w:tc>
      </w:tr>
      <w:tr>
        <w:tc>
          <w:tcPr>
            <w:tcW w:type="dxa" w:w="2076"/>
          </w:tcPr>
          <w:p/>
        </w:tc>
        <w:tc>
          <w:tcPr>
            <w:tcW w:type="dxa" w:w="415"/>
          </w:tcPr>
          <w:p>
            <w:pPr>
              <w:pStyle w:val="null3"/>
            </w:pPr>
            <w:r>
              <w:rPr/>
              <w:t>5</w:t>
            </w:r>
          </w:p>
        </w:tc>
        <w:tc>
          <w:tcPr>
            <w:tcW w:type="dxa" w:w="5814"/>
          </w:tcPr>
          <w:p>
            <w:pPr>
              <w:pStyle w:val="null3"/>
            </w:pPr>
            <w:r>
              <w:rPr>
                <w:sz w:val="21"/>
              </w:rPr>
              <w:t>五、投标人提出服务质量保证措施，并出具相应的方案。</w:t>
            </w:r>
          </w:p>
        </w:tc>
      </w:tr>
      <w:tr>
        <w:tc>
          <w:tcPr>
            <w:tcW w:type="dxa" w:w="2076"/>
          </w:tcPr>
          <w:p/>
        </w:tc>
        <w:tc>
          <w:tcPr>
            <w:tcW w:type="dxa" w:w="415"/>
          </w:tcPr>
          <w:p>
            <w:pPr>
              <w:pStyle w:val="null3"/>
            </w:pPr>
            <w:r>
              <w:rPr/>
              <w:t>6</w:t>
            </w:r>
          </w:p>
        </w:tc>
        <w:tc>
          <w:tcPr>
            <w:tcW w:type="dxa" w:w="5814"/>
          </w:tcPr>
          <w:p>
            <w:pPr>
              <w:pStyle w:val="null3"/>
            </w:pPr>
            <w:r>
              <w:rPr>
                <w:sz w:val="21"/>
              </w:rPr>
              <w:t>六、投标人内部管理方案。</w:t>
            </w:r>
          </w:p>
        </w:tc>
      </w:tr>
      <w:tr>
        <w:tc>
          <w:tcPr>
            <w:tcW w:type="dxa" w:w="2076"/>
          </w:tcPr>
          <w:p/>
        </w:tc>
        <w:tc>
          <w:tcPr>
            <w:tcW w:type="dxa" w:w="415"/>
          </w:tcPr>
          <w:p>
            <w:pPr>
              <w:pStyle w:val="null3"/>
            </w:pPr>
            <w:r>
              <w:rPr/>
              <w:t>7</w:t>
            </w:r>
          </w:p>
        </w:tc>
        <w:tc>
          <w:tcPr>
            <w:tcW w:type="dxa" w:w="5814"/>
          </w:tcPr>
          <w:p>
            <w:pPr>
              <w:pStyle w:val="null3"/>
            </w:pPr>
            <w:r>
              <w:rPr>
                <w:sz w:val="21"/>
              </w:rPr>
              <w:t>七、投标人对突发事件的应急处理机制。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1.采购代理机构：本项目是指广东元正招标采购有限公司，负责整个采购活动的组织，依法负责编制和发布招标文件，对招标文件拥有最终的解释权，不以任何身份出任评标委员会成员。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广东省方志馆</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中标人在领取《中标通知书》时须向招标代理机构交纳中标服务费，收费标准参照中华人民共和国国家发展计划委员会颁发的计价格〔2002〕1980号、发改办价格〔2003〕857号及发改价格〔2011〕534号文规定的标准费率收取，按中标金额计算。不足5000元按5000元收取。中标服务费不在投标报价中单列。 中标服务费支付方式：一次性以银行划帐的形式支付。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广东元正招标采购有限公司</w:t>
      </w:r>
      <w:r>
        <w:rPr/>
        <w:t>代收。具体操作要求详见</w:t>
      </w:r>
      <w:r>
        <w:rPr/>
        <w:t>广东元正招标采购有限公司</w:t>
      </w:r>
      <w:r>
        <w:rPr/>
        <w:t>有关指引，递交事宜请自行咨询</w:t>
      </w:r>
      <w:r>
        <w:rPr/>
        <w:t>广东元正招标采购有限公司</w:t>
      </w:r>
      <w:r>
        <w:rPr/>
        <w:t>；请各投标人在投标文件递交截止时间前按须知前附表规定的金额递交至</w:t>
      </w:r>
      <w:r>
        <w:rPr/>
        <w:t>广东元正招标采购有限公司</w:t>
      </w:r>
      <w:r>
        <w:rPr/>
        <w:t>，到账情况以开标时</w:t>
      </w:r>
      <w:r>
        <w:rPr/>
        <w:t>广东元正招标采购有限公司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020-87258495</w:t>
      </w:r>
    </w:p>
    <w:p>
      <w:pPr>
        <w:pStyle w:val="null3"/>
        <w:ind w:firstLine="480"/>
      </w:pPr>
      <w:r>
        <w:rPr/>
        <w:t>传真：</w:t>
      </w:r>
      <w:r>
        <w:rPr/>
        <w:t>020-87284598</w:t>
      </w:r>
    </w:p>
    <w:p>
      <w:pPr>
        <w:pStyle w:val="null3"/>
        <w:ind w:firstLine="480"/>
      </w:pPr>
      <w:r>
        <w:rPr/>
        <w:t>邮箱：</w:t>
      </w:r>
      <w:r>
        <w:rPr/>
        <w:t>gdyzgys@163.com</w:t>
      </w:r>
    </w:p>
    <w:p>
      <w:pPr>
        <w:pStyle w:val="null3"/>
        <w:ind w:firstLine="480"/>
      </w:pPr>
      <w:r>
        <w:rPr/>
        <w:t>地址：</w:t>
      </w:r>
      <w:r>
        <w:rPr/>
        <w:t>广东省广州市越秀区先烈中路102号华盛大厦北塔26楼2608室</w:t>
      </w:r>
    </w:p>
    <w:p>
      <w:pPr>
        <w:pStyle w:val="null3"/>
        <w:ind w:firstLine="480"/>
      </w:pPr>
      <w:r>
        <w:rPr/>
        <w:t>邮编：</w:t>
      </w:r>
      <w:r>
        <w:rPr/>
        <w:t>510075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方志馆日常运营管理与维护工作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广东元正招标采购有限公司</w:t>
      </w:r>
      <w:r>
        <w:rPr/>
        <w:t>统一对外发布。</w:t>
      </w:r>
    </w:p>
    <w:p>
      <w:pPr>
        <w:pStyle w:val="null3"/>
        <w:ind w:firstLine="480"/>
      </w:pPr>
      <w:r>
        <w:rPr/>
        <w:t>（2）对</w:t>
      </w:r>
      <w:r>
        <w:rPr/>
        <w:t>广东元正招标采购有限公司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采购包1（广东省方志馆日常运营管理与维护工作服务项目）：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采购包1（广东省方志馆日常运营管理与维护工作服务项目）：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提供承诺函（格式可参考招标公告附件）。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提供承诺函（格式可参考招标公告附件）。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提供承诺函（格式可参考招标公告附件）。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整体专门面向中小企业，服务必须全部由中小企业提供。（中小企业须符合本项目采购标的对应行业的政策划分标准，监狱企业、残疾人福利单位视同小型、微型企业，供应商需提供《中小企业声明函》或属于监狱企业的证明材料或《残疾人福利性单位声明函》）。 注：中小企业以供应商填写的《中小企业声明函》（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中小企业须符合本项目采购标的对应招标文件中明确的所属行业：其他未列明行业（详见《第二章采购需求》“2.技术标准与要求”中对应的所属行业）的政策划分标准。</w:t>
            </w:r>
          </w:p>
        </w:tc>
      </w:tr>
    </w:tbl>
    <w:p>
      <w:pPr>
        <w:pStyle w:val="null3"/>
        <w:ind w:firstLine="480"/>
      </w:pPr>
      <w:r>
        <w:rPr/>
        <w:t>表二符合性审查表：</w:t>
      </w:r>
    </w:p>
    <w:p>
      <w:pPr>
        <w:pStyle w:val="null3"/>
      </w:pPr>
      <w:r>
        <w:rPr/>
        <w:t>采购包1（广东省方志馆日常运营管理与维护工作服务项目）：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提交了投标函，投标有效期符合要求。</w:t>
            </w:r>
          </w:p>
        </w:tc>
      </w:tr>
      <w:tr>
        <w:tc>
          <w:tcPr>
            <w:tcW w:type="dxa" w:w="890"/>
          </w:tcPr>
          <w:p>
            <w:pPr>
              <w:pStyle w:val="null3"/>
            </w:pPr>
            <w:r>
              <w:rPr/>
              <w:t>2</w:t>
            </w:r>
          </w:p>
        </w:tc>
        <w:tc>
          <w:tcPr>
            <w:tcW w:type="dxa" w:w="3178"/>
          </w:tcPr>
          <w:p>
            <w:pPr>
              <w:pStyle w:val="null3"/>
            </w:pPr>
            <w:r>
              <w:rPr/>
              <w:t>投标文件内容、签署、盖章</w:t>
            </w:r>
          </w:p>
        </w:tc>
        <w:tc>
          <w:tcPr>
            <w:tcW w:type="dxa" w:w="4238"/>
          </w:tcPr>
          <w:p>
            <w:pPr>
              <w:pStyle w:val="null3"/>
            </w:pPr>
            <w:r>
              <w:rPr/>
              <w:t>投标内容基本完整，无重大错漏（包括报价），并按招标文件要求的式样签署、盖章。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投标报价是固定唯一价且没有超过项目最高限价。</w:t>
            </w:r>
          </w:p>
        </w:tc>
      </w:tr>
      <w:tr>
        <w:tc>
          <w:tcPr>
            <w:tcW w:type="dxa" w:w="890"/>
          </w:tcPr>
          <w:p>
            <w:pPr>
              <w:pStyle w:val="null3"/>
            </w:pPr>
            <w:r>
              <w:rPr/>
              <w:t>4</w:t>
            </w:r>
          </w:p>
        </w:tc>
        <w:tc>
          <w:tcPr>
            <w:tcW w:type="dxa" w:w="3178"/>
          </w:tcPr>
          <w:p>
            <w:pPr>
              <w:pStyle w:val="null3"/>
            </w:pPr>
            <w:r>
              <w:rPr/>
              <w:t>投标报价合理性</w:t>
            </w:r>
          </w:p>
        </w:tc>
        <w:tc>
          <w:tcPr>
            <w:tcW w:type="dxa" w:w="4238"/>
          </w:tcPr>
          <w:p>
            <w:pPr>
              <w:pStyle w:val="null3"/>
            </w:pPr>
            <w:r>
              <w:rPr/>
              <w:t>不属于：投标报价明显不合理，有可能影响服务质量或者不能诚信履约，在评标现场合理的时间内投标人不能证明其报价合理性的。</w:t>
            </w:r>
          </w:p>
        </w:tc>
      </w:tr>
      <w:tr>
        <w:tc>
          <w:tcPr>
            <w:tcW w:type="dxa" w:w="890"/>
          </w:tcPr>
          <w:p>
            <w:pPr>
              <w:pStyle w:val="null3"/>
            </w:pPr>
            <w:r>
              <w:rPr/>
              <w:t>5</w:t>
            </w:r>
          </w:p>
        </w:tc>
        <w:tc>
          <w:tcPr>
            <w:tcW w:type="dxa" w:w="3178"/>
          </w:tcPr>
          <w:p>
            <w:pPr>
              <w:pStyle w:val="null3"/>
            </w:pPr>
            <w:r>
              <w:rPr/>
              <w:t>无效的情形</w:t>
            </w:r>
          </w:p>
        </w:tc>
        <w:tc>
          <w:tcPr>
            <w:tcW w:type="dxa" w:w="4238"/>
          </w:tcPr>
          <w:p>
            <w:pPr>
              <w:pStyle w:val="null3"/>
            </w:pPr>
            <w:r>
              <w:rPr/>
              <w:t>不属于法律、法规、规章规定无效投标的其他情形。</w:t>
            </w:r>
          </w:p>
        </w:tc>
      </w:tr>
      <w:tr>
        <w:tc>
          <w:tcPr>
            <w:tcW w:type="dxa" w:w="890"/>
          </w:tcPr>
          <w:p>
            <w:pPr>
              <w:pStyle w:val="null3"/>
            </w:pPr>
            <w:r>
              <w:rPr/>
              <w:t>6</w:t>
            </w:r>
          </w:p>
        </w:tc>
        <w:tc>
          <w:tcPr>
            <w:tcW w:type="dxa" w:w="3178"/>
          </w:tcPr>
          <w:p>
            <w:pPr>
              <w:pStyle w:val="null3"/>
            </w:pPr>
            <w:r>
              <w:rPr/>
              <w:t>★号条款满足采购项目内容要求</w:t>
            </w:r>
          </w:p>
        </w:tc>
        <w:tc>
          <w:tcPr>
            <w:tcW w:type="dxa" w:w="4238"/>
          </w:tcPr>
          <w:p>
            <w:pPr>
              <w:pStyle w:val="null3"/>
            </w:pPr>
            <w:r>
              <w:rPr/>
              <w:t>投标文件实质性响应招标文件“★”要求，且无经评委认定为无效标的内容和条款。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采购包1(广东省方志馆日常运营管理与维护工作服务项目):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带“▲”号参数响应程度 (3.0分)</w:t>
            </w:r>
          </w:p>
        </w:tc>
        <w:tc>
          <w:tcPr>
            <w:tcW w:type="dxa" w:w="5076"/>
          </w:tcPr>
          <w:p>
            <w:pPr>
              <w:pStyle w:val="null3"/>
              <w:jc w:val="left"/>
            </w:pPr>
            <w:r>
              <w:rPr/>
              <w:t>根据投标人对招标文件“第二章采购需求”中“▲”号重要技术参数的响应程度进行评审：完全满足或优于采购需求中“▲”号（共2项）每响应一项重要技术参数要求的得1.5分；最高得3分。 未按照招标文件要求响应不得分。</w:t>
            </w:r>
          </w:p>
        </w:tc>
      </w:tr>
      <w:tr>
        <w:tc>
          <w:tcPr>
            <w:tcW w:type="dxa" w:w="922"/>
            <w:gridSpan w:val="2"/>
            <w:vMerge/>
          </w:tcPr>
          <w:p/>
        </w:tc>
        <w:tc>
          <w:tcPr>
            <w:tcW w:type="dxa" w:w="2307"/>
          </w:tcPr>
          <w:p>
            <w:pPr>
              <w:pStyle w:val="null3"/>
              <w:jc w:val="left"/>
            </w:pPr>
            <w:r>
              <w:rPr/>
              <w:t>对项目的理解、实施的重点、难点分析及对策 (8.0分)</w:t>
            </w:r>
          </w:p>
        </w:tc>
        <w:tc>
          <w:tcPr>
            <w:tcW w:type="dxa" w:w="5076"/>
          </w:tcPr>
          <w:p>
            <w:pPr>
              <w:pStyle w:val="null3"/>
              <w:jc w:val="left"/>
            </w:pPr>
            <w:r>
              <w:rPr/>
              <w:t>1.根据投标人对采购需求书“ 一、项目概况”对项目需求的理解、项目实施的重点、难点分析及对策针对性强，可操作性高，得8分； 2.对项目需求的理解、项目实施的重点、难点分析及对策针对性较强，可操作性较高，得5分； 3.对项目需求的理解、项目实施的重点、难点分析及对策针对性一般，可操作性一般，得3分； 4.对项目需求的理解、项目实施的重点、难点分析及对策简单不够深入，有一定的针对性，可操作性不高，得1分。 5.无提供相关内容不得分。</w:t>
            </w:r>
          </w:p>
        </w:tc>
      </w:tr>
      <w:tr>
        <w:tc>
          <w:tcPr>
            <w:tcW w:type="dxa" w:w="922"/>
            <w:gridSpan w:val="2"/>
            <w:vMerge/>
          </w:tcPr>
          <w:p/>
        </w:tc>
        <w:tc>
          <w:tcPr>
            <w:tcW w:type="dxa" w:w="2307"/>
          </w:tcPr>
          <w:p>
            <w:pPr>
              <w:pStyle w:val="null3"/>
              <w:jc w:val="left"/>
            </w:pPr>
            <w:r>
              <w:rPr/>
              <w:t>服务方案 (12.0分)</w:t>
            </w:r>
          </w:p>
        </w:tc>
        <w:tc>
          <w:tcPr>
            <w:tcW w:type="dxa" w:w="5076"/>
          </w:tcPr>
          <w:p>
            <w:pPr>
              <w:pStyle w:val="null3"/>
              <w:jc w:val="left"/>
            </w:pPr>
            <w:r>
              <w:rPr/>
              <w:t>根据投标人对采购需求书“二、服务内容”提供的服务方案（包括但不限于对服务项目的理解、服务流程服务架构等内容）进行评审： 1、服务内容全面具体、服务流程详细、服务架构方案合理，可操作性强，得12分； 2、服务内容较为全面、服务流程一般、能基本把握住重点，服务架构方案基本合理，可操作性一般，得8分； 3、服务内容不全面、服务流程不够详细、无法把握住重点，服务架构方案较为不合理、不可行，得3分； 4、未提供方案的，不得分。</w:t>
            </w:r>
          </w:p>
        </w:tc>
      </w:tr>
      <w:tr>
        <w:tc>
          <w:tcPr>
            <w:tcW w:type="dxa" w:w="922"/>
            <w:gridSpan w:val="2"/>
            <w:vMerge/>
          </w:tcPr>
          <w:p/>
        </w:tc>
        <w:tc>
          <w:tcPr>
            <w:tcW w:type="dxa" w:w="2307"/>
          </w:tcPr>
          <w:p>
            <w:pPr>
              <w:pStyle w:val="null3"/>
              <w:jc w:val="left"/>
            </w:pPr>
            <w:r>
              <w:rPr/>
              <w:t>服务质量保证措施 (9.0分)</w:t>
            </w:r>
          </w:p>
        </w:tc>
        <w:tc>
          <w:tcPr>
            <w:tcW w:type="dxa" w:w="5076"/>
          </w:tcPr>
          <w:p>
            <w:pPr>
              <w:pStyle w:val="null3"/>
              <w:jc w:val="left"/>
            </w:pPr>
            <w:r>
              <w:rPr/>
              <w:t>根据供应商提供的服务质量保证措施（包括但不限于对各项服务质量的承诺及具体措施等）进行评审： 1、针对本项目质量保证承诺及措施具体详细，内容合理可行的，得9分； 2、有针对本项目质量保证承诺及措施，内容合理可行的，得6分； 3、针对本项目质量保证承诺或措施的内容不合理不可行的，得2分； 4、未提供内容的，不得分。</w:t>
            </w:r>
          </w:p>
        </w:tc>
      </w:tr>
      <w:tr>
        <w:tc>
          <w:tcPr>
            <w:tcW w:type="dxa" w:w="922"/>
            <w:gridSpan w:val="2"/>
            <w:vMerge/>
          </w:tcPr>
          <w:p/>
        </w:tc>
        <w:tc>
          <w:tcPr>
            <w:tcW w:type="dxa" w:w="2307"/>
          </w:tcPr>
          <w:p>
            <w:pPr>
              <w:pStyle w:val="null3"/>
              <w:jc w:val="left"/>
            </w:pPr>
            <w:r>
              <w:rPr/>
              <w:t>内部管理方案 (9.0分)</w:t>
            </w:r>
          </w:p>
        </w:tc>
        <w:tc>
          <w:tcPr>
            <w:tcW w:type="dxa" w:w="5076"/>
          </w:tcPr>
          <w:p>
            <w:pPr>
              <w:pStyle w:val="null3"/>
              <w:jc w:val="left"/>
            </w:pPr>
            <w:r>
              <w:rPr/>
              <w:t>根据供应商提供的内部管理方案（包括但不限于内部管理制度、财务管理制度、人员管理制度及安全、保密制度等内容）进行评审： 1、具有完善的内部管理制度、财务管理制度及人员管理制度，安全、保密制度完善，可操作性强，得9分； 2、内部管理制度、财务管理制度及人员管理制度，安全、保密制度基本完善，能基本把握住重点，措施较合理，得6分； 3、内部管理制度、财务管理制度及人员管理制度一般，安全、保密制度基本完善，无法把握住重点，可操作性一般，得2分； 4、未提供内容的，不得分。</w:t>
            </w:r>
          </w:p>
        </w:tc>
      </w:tr>
      <w:tr>
        <w:tc>
          <w:tcPr>
            <w:tcW w:type="dxa" w:w="922"/>
            <w:gridSpan w:val="2"/>
            <w:vMerge/>
          </w:tcPr>
          <w:p/>
        </w:tc>
        <w:tc>
          <w:tcPr>
            <w:tcW w:type="dxa" w:w="2307"/>
          </w:tcPr>
          <w:p>
            <w:pPr>
              <w:pStyle w:val="null3"/>
              <w:jc w:val="left"/>
            </w:pPr>
            <w:r>
              <w:rPr/>
              <w:t>应急处理机制 (9.0分)</w:t>
            </w:r>
          </w:p>
        </w:tc>
        <w:tc>
          <w:tcPr>
            <w:tcW w:type="dxa" w:w="5076"/>
          </w:tcPr>
          <w:p>
            <w:pPr>
              <w:pStyle w:val="null3"/>
              <w:jc w:val="left"/>
            </w:pPr>
            <w:r>
              <w:rPr/>
              <w:t>根据供应商提供的应急处理机制（包括但不限于服务纠纷、人员流失应急补充服务能力、突发事故应急处理预案等内容）进行评审： 1、所提供的方案及措施详细具体，针对临时性、应急事件处理工作强、反应迅速，有序调配、符合实际、安全，可操作性高，得9分； 2、所提供的方案及措施可行，有针对临时性、应急性事件处理方案，得6分； 3、所提供的方案及措施只有简单描述，且可操作性不足，得2分； 4、未提供方案的，不得分。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供应商提供2022年1月1日至今，承接的同类服务项目业绩，每提供一项业绩得2分，本项最高得10分。 注：须提供合同关键页复印件（含签订合同双方的单位名称、合同项目名称、项目金额与签订合同双方的落款 盖章、签订日期的关键页）作为同类业绩证明材料，未提供不得分。</w:t>
            </w:r>
          </w:p>
        </w:tc>
      </w:tr>
      <w:tr>
        <w:tc>
          <w:tcPr>
            <w:tcW w:type="dxa" w:w="922"/>
            <w:gridSpan w:val="2"/>
            <w:vMerge/>
          </w:tcPr>
          <w:p/>
        </w:tc>
        <w:tc>
          <w:tcPr>
            <w:tcW w:type="dxa" w:w="2307"/>
          </w:tcPr>
          <w:p>
            <w:pPr>
              <w:pStyle w:val="null3"/>
              <w:jc w:val="left"/>
            </w:pPr>
            <w:r>
              <w:rPr/>
              <w:t>同类业绩满意度评价 (5.0分)</w:t>
            </w:r>
          </w:p>
        </w:tc>
        <w:tc>
          <w:tcPr>
            <w:tcW w:type="dxa" w:w="5076"/>
          </w:tcPr>
          <w:p>
            <w:pPr>
              <w:pStyle w:val="null3"/>
              <w:jc w:val="left"/>
            </w:pPr>
            <w:r>
              <w:rPr/>
              <w:t>满足上述“同类业绩”要求的有效业绩，获得客户满意度评价为满意或优或百分制得分为90分（及以上）或同等评价的，每提供一个得1.0分，最高得5分。 注：提供有效的客户满意度评价证明材料，不提供不得分。</w:t>
            </w:r>
          </w:p>
        </w:tc>
      </w:tr>
      <w:tr>
        <w:tc>
          <w:tcPr>
            <w:tcW w:type="dxa" w:w="922"/>
            <w:gridSpan w:val="2"/>
            <w:vMerge/>
          </w:tcPr>
          <w:p/>
        </w:tc>
        <w:tc>
          <w:tcPr>
            <w:tcW w:type="dxa" w:w="2307"/>
          </w:tcPr>
          <w:p>
            <w:pPr>
              <w:pStyle w:val="null3"/>
              <w:jc w:val="left"/>
            </w:pPr>
            <w:r>
              <w:rPr/>
              <w:t>投标人认证情况 (9.0分)</w:t>
            </w:r>
          </w:p>
        </w:tc>
        <w:tc>
          <w:tcPr>
            <w:tcW w:type="dxa" w:w="5076"/>
          </w:tcPr>
          <w:p>
            <w:pPr>
              <w:pStyle w:val="null3"/>
              <w:jc w:val="left"/>
            </w:pPr>
            <w:r>
              <w:rPr/>
              <w:t>获得有效期内的质量管理体系认证证书、环境管理体系认证证书、职业健康安全管理体系认证证书，每提供1个得3分，最高得9分。 提供证书扫描件及在全国认证认可信息公共服务平台上对证书的查询结果截图为证明材料。</w:t>
            </w:r>
          </w:p>
        </w:tc>
      </w:tr>
      <w:tr>
        <w:tc>
          <w:tcPr>
            <w:tcW w:type="dxa" w:w="922"/>
            <w:gridSpan w:val="2"/>
            <w:vMerge/>
          </w:tcPr>
          <w:p/>
        </w:tc>
        <w:tc>
          <w:tcPr>
            <w:tcW w:type="dxa" w:w="2307"/>
          </w:tcPr>
          <w:p>
            <w:pPr>
              <w:pStyle w:val="null3"/>
              <w:jc w:val="left"/>
            </w:pPr>
            <w:r>
              <w:rPr/>
              <w:t>投标人企业服务响应情况 (6.0分)</w:t>
            </w:r>
          </w:p>
        </w:tc>
        <w:tc>
          <w:tcPr>
            <w:tcW w:type="dxa" w:w="5076"/>
          </w:tcPr>
          <w:p>
            <w:pPr>
              <w:pStyle w:val="null3"/>
              <w:jc w:val="left"/>
            </w:pPr>
            <w:r>
              <w:rPr/>
              <w:t>1.投标人在采购人提出服务要求后1小时内（含1小时）响应（给予解答、指导，排除有关问题）的，得3分；1小时以上2小时内（含2小时）响应（给予解答、指导，排除有关问题）的，得2分； 2小时以上3小时内（含3小时）响应（给予解答、指导，排除有关问题）的，得1分； 2.投标人在采购人提出服务要求后3小时内（含3小时）赶到现场提供服务的，得3分； 4小时内（含4小时）赶到现场提供服务的，得2分；5小时内（含5小时）赶到现场提供服务的，得1分； 本项最高得6分；无或其他不得分。 注：1.需提供加盖投标人公章的承诺函扫描件（格式自拟）； 2.无或缺项或未按要求递交证明材料的不得分。</w:t>
            </w:r>
          </w:p>
        </w:tc>
      </w:tr>
      <w:tr>
        <w:tc>
          <w:tcPr>
            <w:tcW w:type="dxa" w:w="922"/>
            <w:gridSpan w:val="2"/>
            <w:vMerge/>
          </w:tcPr>
          <w:p/>
        </w:tc>
        <w:tc>
          <w:tcPr>
            <w:tcW w:type="dxa" w:w="2307"/>
          </w:tcPr>
          <w:p>
            <w:pPr>
              <w:pStyle w:val="null3"/>
              <w:jc w:val="left"/>
            </w:pPr>
            <w:r>
              <w:rPr/>
              <w:t>投标人项目管理人员配置 (10.0分)</w:t>
            </w:r>
          </w:p>
        </w:tc>
        <w:tc>
          <w:tcPr>
            <w:tcW w:type="dxa" w:w="5076"/>
          </w:tcPr>
          <w:p>
            <w:pPr>
              <w:pStyle w:val="null3"/>
              <w:jc w:val="left"/>
            </w:pPr>
            <w:r>
              <w:rPr/>
              <w:t>1.为本项目配备的项目负责人具有人力资源管理师资格证书一级得2分，二级得1分，最高得2分。 2.为本项目配备的项目负责人具有初级经济师职称的得1分，中级或以上经济师职称的得2分，最高得2分。 3.为本项目配备的其他管理人员具有二级或以上人力资源管理师资格证得2分，初级经济师职称的得1分，中级或以上经济师职称的得2分，最高得3分。 4.为本项目配备的财务人员，具有会计职称等级初级的得1分，会计职称等级中级或以上的得3分，最高得3分。 以上最高累计10分。其他情况不得分。 （须提供人员名单，投标人单位在职证明文件（用工证明文件或劳动合同或社保证明）扫描件）及身份证、职称证书扫描件并加盖公章，否则不得分。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440001-2025-33418</w:t>
      </w:r>
    </w:p>
    <w:p>
      <w:pPr>
        <w:pStyle w:val="null3"/>
        <w:jc w:val="center"/>
        <w:outlineLvl w:val="3"/>
      </w:pPr>
      <w:r>
        <w:rPr>
          <w:sz w:val="24"/>
          <w:b/>
        </w:rPr>
        <w:t>采购项目编号：</w:t>
      </w:r>
      <w:r>
        <w:rPr>
          <w:sz w:val="24"/>
          <w:b/>
        </w:rPr>
        <w:t>0835-250Z12305161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广东元正招标采购有限公司</w:t>
      </w:r>
    </w:p>
    <w:p>
      <w:pPr>
        <w:pStyle w:val="null3"/>
        <w:ind w:firstLine="480"/>
      </w:pPr>
      <w:r>
        <w:rPr/>
        <w:t xml:space="preserve"> 你方组织的</w:t>
      </w:r>
      <w:r>
        <w:rPr>
          <w:u w:val="single"/>
        </w:rPr>
        <w:t>“</w:t>
      </w:r>
      <w:r>
        <w:rPr>
          <w:u w:val="single"/>
        </w:rPr>
        <w:t>广东省方志馆日常运营管理与维护工作服务项目</w:t>
      </w:r>
      <w:r>
        <w:rPr>
          <w:u w:val="single"/>
        </w:rPr>
        <w:t>”</w:t>
      </w:r>
      <w:r>
        <w:rPr/>
        <w:t>项目的招标[采购项目编号为：</w:t>
      </w:r>
      <w:r>
        <w:rPr>
          <w:u w:val="single"/>
        </w:rPr>
        <w:t>0835-250Z12305161</w:t>
      </w:r>
      <w:r>
        <w:rPr/>
        <w:t>]，我方愿参与投标。</w:t>
      </w:r>
    </w:p>
    <w:p>
      <w:pPr>
        <w:pStyle w:val="null3"/>
        <w:ind w:firstLine="480"/>
      </w:pPr>
      <w:r>
        <w:rPr/>
        <w:t>我方确认收到贵方提供的</w:t>
      </w:r>
      <w:r>
        <w:rPr>
          <w:u w:val="single"/>
        </w:rPr>
        <w:t>“</w:t>
      </w:r>
      <w:r>
        <w:rPr>
          <w:u w:val="single"/>
        </w:rPr>
        <w:t>广东省方志馆日常运营管理与维护工作服务项目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广东元正招标采购有限公司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广东省方志馆日常运营管理与维护工作服务项目</w:t>
      </w:r>
      <w:r>
        <w:rPr/>
        <w:t>”项目采购[采购项目编号为</w:t>
      </w:r>
      <w:r>
        <w:rPr/>
        <w:t>0835-250Z12305161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广东省方志馆</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广东元正招标采购有限公司</w:t>
      </w:r>
    </w:p>
    <w:p>
      <w:pPr>
        <w:pStyle w:val="null3"/>
        <w:ind w:firstLine="480"/>
      </w:pPr>
      <w:r>
        <w:rPr/>
        <w:t xml:space="preserve"> 如果我方在贵采购代理机构组织的</w:t>
      </w:r>
      <w:r>
        <w:rPr/>
        <w:t>广东省方志馆日常运营管理与维护工作服务项目</w:t>
      </w:r>
      <w:r>
        <w:rPr/>
        <w:t>招标中获中标（采购项目编号：</w:t>
      </w:r>
      <w:r>
        <w:rPr/>
        <w:t>0835-250Z12305161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广东元正招标采购有限公司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广东元正招标采购有限公司</w:t>
      </w:r>
    </w:p>
    <w:p>
      <w:pPr>
        <w:pStyle w:val="null3"/>
        <w:ind w:firstLine="480"/>
      </w:pPr>
      <w:r>
        <w:rPr/>
        <w:t>我单位已登记并准备参与“</w:t>
      </w:r>
      <w:r>
        <w:rPr/>
        <w:t>广东省方志馆日常运营管理与维护工作服务项目</w:t>
      </w:r>
      <w:r>
        <w:rPr/>
        <w:t>”项目（采购项目编号：</w:t>
      </w:r>
      <w:r>
        <w:rPr/>
        <w:t>0835-250Z12305161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