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68CA60">
      <w:pPr>
        <w:pStyle w:val="2"/>
        <w:spacing w:before="0" w:after="0" w:line="360" w:lineRule="auto"/>
        <w:jc w:val="left"/>
        <w:rPr>
          <w:rFonts w:hint="eastAsia" w:ascii="宋体" w:hAnsi="宋体" w:eastAsia="宋体" w:cs="宋体"/>
          <w:color w:val="auto"/>
          <w:sz w:val="28"/>
          <w:szCs w:val="28"/>
        </w:rPr>
      </w:pPr>
      <w:r>
        <w:rPr>
          <w:rFonts w:hint="eastAsia" w:ascii="宋体" w:hAnsi="宋体" w:eastAsia="宋体" w:cs="宋体"/>
          <w:color w:val="auto"/>
          <w:sz w:val="32"/>
          <w:szCs w:val="32"/>
        </w:rPr>
        <w:t>合同草案条款</w:t>
      </w:r>
    </w:p>
    <w:p w14:paraId="62A7DE0D">
      <w:pPr>
        <w:pStyle w:val="5"/>
        <w:spacing w:line="360" w:lineRule="auto"/>
        <w:ind w:firstLine="482"/>
        <w:jc w:val="left"/>
        <w:rPr>
          <w:rFonts w:cs="宋体"/>
          <w:color w:val="auto"/>
        </w:rPr>
      </w:pPr>
      <w:r>
        <w:rPr>
          <w:rFonts w:hint="eastAsia" w:cs="宋体"/>
          <w:b/>
          <w:bCs/>
          <w:color w:val="auto"/>
        </w:rPr>
        <w:t>说明：此合同为格式模板合同，仅作为采购人与成交供应商签订合同之时的参考，除实质性要求外，双方可根据实际情况对合同进行调整。</w:t>
      </w:r>
    </w:p>
    <w:p w14:paraId="33BFCB25">
      <w:pPr>
        <w:wordWrap w:val="0"/>
        <w:topLinePunct/>
        <w:adjustRightInd w:val="0"/>
        <w:snapToGrid w:val="0"/>
        <w:spacing w:line="360" w:lineRule="auto"/>
        <w:ind w:firstLine="480" w:firstLineChars="200"/>
        <w:rPr>
          <w:rFonts w:ascii="宋体" w:hAnsi="宋体" w:cs="宋体"/>
          <w:snapToGrid w:val="0"/>
          <w:color w:val="auto"/>
          <w:szCs w:val="24"/>
        </w:rPr>
      </w:pPr>
      <w:r>
        <w:rPr>
          <w:rFonts w:hint="eastAsia" w:ascii="宋体" w:hAnsi="宋体" w:cs="宋体"/>
          <w:snapToGrid w:val="0"/>
          <w:color w:val="auto"/>
          <w:szCs w:val="24"/>
        </w:rPr>
        <w:t>合同编号：</w:t>
      </w:r>
      <w:r>
        <w:rPr>
          <w:rFonts w:hint="eastAsia" w:ascii="宋体" w:hAnsi="宋体" w:cs="宋体"/>
          <w:snapToGrid w:val="0"/>
          <w:color w:val="auto"/>
          <w:szCs w:val="24"/>
          <w:u w:val="single"/>
        </w:rPr>
        <w:t xml:space="preserve">          </w:t>
      </w:r>
      <w:r>
        <w:rPr>
          <w:rFonts w:hint="eastAsia" w:ascii="宋体" w:hAnsi="宋体" w:cs="宋体"/>
          <w:snapToGrid w:val="0"/>
          <w:color w:val="auto"/>
          <w:szCs w:val="24"/>
        </w:rPr>
        <w:t>(与项目编号一致)</w:t>
      </w:r>
    </w:p>
    <w:p w14:paraId="26D5B980">
      <w:pPr>
        <w:wordWrap w:val="0"/>
        <w:topLinePunct/>
        <w:adjustRightInd w:val="0"/>
        <w:snapToGrid w:val="0"/>
        <w:spacing w:line="360" w:lineRule="auto"/>
        <w:ind w:firstLine="480" w:firstLineChars="200"/>
        <w:rPr>
          <w:rFonts w:ascii="宋体" w:hAnsi="宋体" w:cs="宋体"/>
          <w:snapToGrid w:val="0"/>
          <w:color w:val="auto"/>
          <w:szCs w:val="24"/>
          <w:u w:val="single"/>
        </w:rPr>
      </w:pPr>
      <w:r>
        <w:rPr>
          <w:rFonts w:hint="eastAsia" w:ascii="宋体" w:hAnsi="宋体" w:cs="宋体"/>
          <w:snapToGrid w:val="0"/>
          <w:color w:val="auto"/>
          <w:szCs w:val="24"/>
        </w:rPr>
        <w:t>计划号/备案号：</w:t>
      </w:r>
      <w:r>
        <w:rPr>
          <w:rFonts w:hint="eastAsia" w:ascii="宋体" w:hAnsi="宋体" w:cs="宋体"/>
          <w:snapToGrid w:val="0"/>
          <w:color w:val="auto"/>
          <w:szCs w:val="24"/>
          <w:u w:val="single"/>
        </w:rPr>
        <w:t xml:space="preserve">                </w:t>
      </w:r>
    </w:p>
    <w:p w14:paraId="3418CEB4">
      <w:pPr>
        <w:wordWrap w:val="0"/>
        <w:topLinePunct/>
        <w:adjustRightInd w:val="0"/>
        <w:snapToGrid w:val="0"/>
        <w:spacing w:line="360" w:lineRule="auto"/>
        <w:ind w:firstLine="480" w:firstLineChars="200"/>
        <w:rPr>
          <w:rFonts w:ascii="宋体" w:hAnsi="宋体" w:cs="宋体"/>
          <w:snapToGrid w:val="0"/>
          <w:color w:val="auto"/>
          <w:szCs w:val="24"/>
          <w:u w:val="single"/>
        </w:rPr>
      </w:pPr>
      <w:r>
        <w:rPr>
          <w:rFonts w:hint="eastAsia" w:ascii="宋体" w:hAnsi="宋体" w:cs="宋体"/>
          <w:snapToGrid w:val="0"/>
          <w:color w:val="auto"/>
          <w:szCs w:val="24"/>
        </w:rPr>
        <w:t>签订地点：</w:t>
      </w:r>
      <w:r>
        <w:rPr>
          <w:rFonts w:hint="eastAsia" w:ascii="宋体" w:hAnsi="宋体" w:cs="宋体"/>
          <w:snapToGrid w:val="0"/>
          <w:color w:val="auto"/>
          <w:szCs w:val="24"/>
          <w:u w:val="single"/>
        </w:rPr>
        <w:t xml:space="preserve">                     </w:t>
      </w:r>
    </w:p>
    <w:p w14:paraId="5D32AEA3">
      <w:pPr>
        <w:wordWrap w:val="0"/>
        <w:topLinePunct/>
        <w:adjustRightInd w:val="0"/>
        <w:snapToGrid w:val="0"/>
        <w:spacing w:line="360" w:lineRule="auto"/>
        <w:ind w:firstLine="480" w:firstLineChars="200"/>
        <w:rPr>
          <w:rFonts w:ascii="宋体" w:hAnsi="宋体" w:cs="宋体"/>
          <w:snapToGrid w:val="0"/>
          <w:color w:val="auto"/>
          <w:szCs w:val="24"/>
          <w:u w:val="single"/>
        </w:rPr>
      </w:pPr>
      <w:r>
        <w:rPr>
          <w:rFonts w:hint="eastAsia" w:ascii="宋体" w:hAnsi="宋体" w:cs="宋体"/>
          <w:snapToGrid w:val="0"/>
          <w:color w:val="auto"/>
          <w:szCs w:val="24"/>
        </w:rPr>
        <w:t>签订时间：</w:t>
      </w:r>
      <w:r>
        <w:rPr>
          <w:rFonts w:hint="eastAsia" w:ascii="宋体" w:hAnsi="宋体" w:cs="宋体"/>
          <w:snapToGrid w:val="0"/>
          <w:color w:val="auto"/>
          <w:szCs w:val="24"/>
          <w:u w:val="single"/>
        </w:rPr>
        <w:t xml:space="preserve">                     </w:t>
      </w:r>
    </w:p>
    <w:p w14:paraId="22F2F769">
      <w:pPr>
        <w:wordWrap w:val="0"/>
        <w:topLinePunct/>
        <w:adjustRightInd w:val="0"/>
        <w:snapToGrid w:val="0"/>
        <w:spacing w:line="360" w:lineRule="auto"/>
        <w:ind w:firstLine="480" w:firstLineChars="200"/>
        <w:rPr>
          <w:rFonts w:ascii="宋体" w:hAnsi="宋体" w:cs="宋体"/>
          <w:snapToGrid w:val="0"/>
          <w:color w:val="auto"/>
          <w:szCs w:val="24"/>
          <w:u w:val="single"/>
        </w:rPr>
      </w:pPr>
      <w:r>
        <w:rPr>
          <w:rFonts w:hint="eastAsia" w:ascii="宋体" w:hAnsi="宋体" w:cs="宋体"/>
          <w:snapToGrid w:val="0"/>
          <w:color w:val="auto"/>
          <w:szCs w:val="24"/>
        </w:rPr>
        <w:t>采购人名称(甲方)：</w:t>
      </w:r>
      <w:r>
        <w:rPr>
          <w:rFonts w:hint="eastAsia" w:ascii="宋体" w:hAnsi="宋体" w:cs="宋体"/>
          <w:snapToGrid w:val="0"/>
          <w:color w:val="auto"/>
          <w:szCs w:val="24"/>
          <w:u w:val="single"/>
        </w:rPr>
        <w:t xml:space="preserve">                              </w:t>
      </w:r>
    </w:p>
    <w:p w14:paraId="5409DDFF">
      <w:pPr>
        <w:wordWrap w:val="0"/>
        <w:topLinePunct/>
        <w:adjustRightInd w:val="0"/>
        <w:snapToGrid w:val="0"/>
        <w:spacing w:line="360" w:lineRule="auto"/>
        <w:ind w:firstLine="480" w:firstLineChars="200"/>
        <w:rPr>
          <w:rFonts w:ascii="宋体" w:hAnsi="宋体" w:cs="宋体"/>
          <w:snapToGrid w:val="0"/>
          <w:color w:val="auto"/>
          <w:szCs w:val="24"/>
          <w:u w:val="single"/>
        </w:rPr>
      </w:pPr>
      <w:r>
        <w:rPr>
          <w:rFonts w:hint="eastAsia" w:ascii="宋体" w:hAnsi="宋体" w:cs="宋体"/>
          <w:snapToGrid w:val="0"/>
          <w:color w:val="auto"/>
          <w:szCs w:val="24"/>
        </w:rPr>
        <w:t>成交人名称(乙方)：</w:t>
      </w:r>
      <w:r>
        <w:rPr>
          <w:rFonts w:hint="eastAsia" w:ascii="宋体" w:hAnsi="宋体" w:cs="宋体"/>
          <w:snapToGrid w:val="0"/>
          <w:color w:val="auto"/>
          <w:szCs w:val="24"/>
          <w:u w:val="single"/>
        </w:rPr>
        <w:t xml:space="preserve">                          </w:t>
      </w:r>
    </w:p>
    <w:p w14:paraId="0A95F894">
      <w:pPr>
        <w:wordWrap w:val="0"/>
        <w:topLinePunct/>
        <w:adjustRightInd w:val="0"/>
        <w:snapToGrid w:val="0"/>
        <w:spacing w:line="360" w:lineRule="auto"/>
        <w:ind w:firstLine="480" w:firstLineChars="200"/>
        <w:rPr>
          <w:rFonts w:ascii="宋体" w:hAnsi="宋体" w:cs="宋体"/>
          <w:snapToGrid w:val="0"/>
          <w:color w:val="auto"/>
          <w:szCs w:val="24"/>
        </w:rPr>
      </w:pPr>
      <w:r>
        <w:rPr>
          <w:rFonts w:hint="eastAsia" w:ascii="宋体" w:hAnsi="宋体" w:cs="宋体"/>
          <w:snapToGrid w:val="0"/>
          <w:color w:val="auto"/>
          <w:szCs w:val="24"/>
        </w:rPr>
        <w:t>合同类型：买卖合同</w:t>
      </w:r>
    </w:p>
    <w:p w14:paraId="3DAEDCDD">
      <w:pPr>
        <w:spacing w:line="360" w:lineRule="auto"/>
        <w:ind w:firstLine="480" w:firstLineChars="200"/>
        <w:rPr>
          <w:rFonts w:ascii="宋体" w:hAnsi="宋体" w:cs="宋体"/>
          <w:color w:val="auto"/>
          <w:kern w:val="0"/>
          <w:szCs w:val="24"/>
        </w:rPr>
      </w:pPr>
      <w:bookmarkStart w:id="0" w:name="_Toc15652"/>
      <w:bookmarkStart w:id="1" w:name="_Toc217446107"/>
      <w:bookmarkStart w:id="2" w:name="_Toc984"/>
      <w:bookmarkStart w:id="3" w:name="_Toc575"/>
      <w:bookmarkStart w:id="4" w:name="_Toc19327"/>
      <w:bookmarkStart w:id="5" w:name="_Toc28607"/>
      <w:bookmarkStart w:id="6" w:name="_Toc12107"/>
      <w:bookmarkStart w:id="7" w:name="_Toc29921"/>
      <w:bookmarkStart w:id="8" w:name="_Toc20353"/>
      <w:r>
        <w:rPr>
          <w:rFonts w:hint="eastAsia" w:ascii="宋体" w:hAnsi="宋体" w:cs="宋体"/>
          <w:color w:val="auto"/>
          <w:kern w:val="0"/>
          <w:szCs w:val="24"/>
        </w:rPr>
        <w:t>根据《中华人民共和国政府采购法》、《中华人民共和国民法典》及XXXX采购项目（项目编号：XXXX）的《</w:t>
      </w:r>
      <w:r>
        <w:rPr>
          <w:rFonts w:hint="eastAsia" w:ascii="宋体" w:hAnsi="宋体" w:cs="宋体"/>
          <w:color w:val="auto"/>
          <w:kern w:val="0"/>
          <w:szCs w:val="24"/>
          <w:lang w:val="en-US" w:eastAsia="zh-CN"/>
        </w:rPr>
        <w:t>竞争性谈判文件</w:t>
      </w:r>
      <w:r>
        <w:rPr>
          <w:rFonts w:hint="eastAsia" w:ascii="宋体" w:hAnsi="宋体" w:cs="宋体"/>
          <w:color w:val="auto"/>
          <w:kern w:val="0"/>
          <w:szCs w:val="24"/>
        </w:rPr>
        <w:t>》、乙方的《响应文件》及《成交通知书》，甲、乙双方同意签订本合同。详细技术说明及其他有关合同项目的特定信息由合同附件予以说明，合同附件及本项目的</w:t>
      </w:r>
      <w:r>
        <w:rPr>
          <w:rFonts w:hint="eastAsia" w:ascii="宋体" w:hAnsi="宋体" w:cs="宋体"/>
          <w:color w:val="auto"/>
          <w:kern w:val="0"/>
          <w:szCs w:val="24"/>
          <w:lang w:val="en-US" w:eastAsia="zh-CN"/>
        </w:rPr>
        <w:t>竞争性谈判文件</w:t>
      </w:r>
      <w:r>
        <w:rPr>
          <w:rFonts w:hint="eastAsia" w:ascii="宋体" w:hAnsi="宋体" w:cs="宋体"/>
          <w:color w:val="auto"/>
          <w:kern w:val="0"/>
          <w:szCs w:val="24"/>
        </w:rPr>
        <w:t>、响应文件、《成交通知书》等均为本合同不可分割的部分。双方同意共同遵守如下条款：</w:t>
      </w:r>
    </w:p>
    <w:p w14:paraId="6F925D8A">
      <w:pPr>
        <w:wordWrap w:val="0"/>
        <w:topLinePunct/>
        <w:adjustRightInd w:val="0"/>
        <w:snapToGrid w:val="0"/>
        <w:spacing w:line="360" w:lineRule="auto"/>
        <w:ind w:left="480" w:leftChars="200"/>
        <w:outlineLvl w:val="1"/>
        <w:rPr>
          <w:rFonts w:ascii="宋体" w:hAnsi="宋体" w:cs="宋体"/>
          <w:b/>
          <w:color w:val="auto"/>
          <w:szCs w:val="24"/>
        </w:rPr>
      </w:pPr>
      <w:r>
        <w:rPr>
          <w:rFonts w:hint="eastAsia" w:ascii="宋体" w:hAnsi="宋体" w:cs="宋体"/>
          <w:b/>
          <w:color w:val="auto"/>
          <w:szCs w:val="24"/>
        </w:rPr>
        <w:t>一、合同标的</w:t>
      </w:r>
      <w:bookmarkEnd w:id="0"/>
      <w:bookmarkEnd w:id="1"/>
      <w:bookmarkEnd w:id="2"/>
      <w:bookmarkEnd w:id="3"/>
      <w:bookmarkEnd w:id="4"/>
      <w:bookmarkEnd w:id="5"/>
      <w:bookmarkEnd w:id="6"/>
      <w:bookmarkEnd w:id="7"/>
      <w:bookmarkEnd w:id="8"/>
    </w:p>
    <w:tbl>
      <w:tblPr>
        <w:tblStyle w:val="3"/>
        <w:tblW w:w="945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15"/>
        <w:gridCol w:w="1298"/>
        <w:gridCol w:w="774"/>
        <w:gridCol w:w="963"/>
        <w:gridCol w:w="1159"/>
        <w:gridCol w:w="1270"/>
        <w:gridCol w:w="1351"/>
        <w:gridCol w:w="1123"/>
      </w:tblGrid>
      <w:tr w14:paraId="48921B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7" w:hRule="atLeast"/>
          <w:jc w:val="center"/>
        </w:trPr>
        <w:tc>
          <w:tcPr>
            <w:tcW w:w="1515" w:type="dxa"/>
            <w:tcBorders>
              <w:top w:val="single" w:color="auto" w:sz="4" w:space="0"/>
              <w:left w:val="single" w:color="auto" w:sz="4" w:space="0"/>
              <w:bottom w:val="single" w:color="auto" w:sz="4" w:space="0"/>
              <w:right w:val="single" w:color="auto" w:sz="4" w:space="0"/>
            </w:tcBorders>
            <w:noWrap w:val="0"/>
            <w:vAlign w:val="center"/>
          </w:tcPr>
          <w:p w14:paraId="07E96CFC">
            <w:pPr>
              <w:wordWrap w:val="0"/>
              <w:topLinePunct/>
              <w:adjustRightInd w:val="0"/>
              <w:snapToGrid w:val="0"/>
              <w:spacing w:line="360" w:lineRule="auto"/>
              <w:jc w:val="center"/>
              <w:rPr>
                <w:rFonts w:ascii="宋体" w:hAnsi="宋体" w:cs="宋体"/>
                <w:b/>
                <w:bCs/>
                <w:color w:val="auto"/>
                <w:sz w:val="21"/>
                <w:szCs w:val="24"/>
              </w:rPr>
            </w:pPr>
            <w:r>
              <w:rPr>
                <w:rFonts w:hint="eastAsia" w:ascii="宋体" w:hAnsi="宋体" w:cs="宋体"/>
                <w:b/>
                <w:bCs/>
                <w:color w:val="auto"/>
                <w:sz w:val="21"/>
                <w:szCs w:val="24"/>
              </w:rPr>
              <w:t>货物品名</w:t>
            </w:r>
          </w:p>
        </w:tc>
        <w:tc>
          <w:tcPr>
            <w:tcW w:w="1298" w:type="dxa"/>
            <w:tcBorders>
              <w:top w:val="single" w:color="auto" w:sz="4" w:space="0"/>
              <w:left w:val="single" w:color="auto" w:sz="4" w:space="0"/>
              <w:bottom w:val="single" w:color="auto" w:sz="4" w:space="0"/>
              <w:right w:val="single" w:color="auto" w:sz="4" w:space="0"/>
            </w:tcBorders>
            <w:noWrap w:val="0"/>
            <w:vAlign w:val="center"/>
          </w:tcPr>
          <w:p w14:paraId="3B0EE32A">
            <w:pPr>
              <w:wordWrap w:val="0"/>
              <w:topLinePunct/>
              <w:adjustRightInd w:val="0"/>
              <w:snapToGrid w:val="0"/>
              <w:spacing w:line="360" w:lineRule="auto"/>
              <w:jc w:val="center"/>
              <w:rPr>
                <w:rFonts w:ascii="宋体" w:hAnsi="宋体" w:cs="宋体"/>
                <w:b/>
                <w:bCs/>
                <w:color w:val="auto"/>
                <w:sz w:val="21"/>
                <w:szCs w:val="24"/>
              </w:rPr>
            </w:pPr>
            <w:r>
              <w:rPr>
                <w:rFonts w:hint="eastAsia" w:ascii="宋体" w:hAnsi="宋体" w:cs="宋体"/>
                <w:b/>
                <w:bCs/>
                <w:color w:val="auto"/>
                <w:sz w:val="21"/>
                <w:szCs w:val="24"/>
              </w:rPr>
              <w:t>规格</w:t>
            </w:r>
          </w:p>
          <w:p w14:paraId="2BA58682">
            <w:pPr>
              <w:wordWrap w:val="0"/>
              <w:topLinePunct/>
              <w:adjustRightInd w:val="0"/>
              <w:snapToGrid w:val="0"/>
              <w:spacing w:line="360" w:lineRule="auto"/>
              <w:jc w:val="center"/>
              <w:rPr>
                <w:rFonts w:ascii="宋体" w:hAnsi="宋体" w:cs="宋体"/>
                <w:b/>
                <w:bCs/>
                <w:color w:val="auto"/>
                <w:sz w:val="21"/>
                <w:szCs w:val="24"/>
              </w:rPr>
            </w:pPr>
            <w:r>
              <w:rPr>
                <w:rFonts w:hint="eastAsia" w:ascii="宋体" w:hAnsi="宋体" w:cs="宋体"/>
                <w:b/>
                <w:bCs/>
                <w:color w:val="auto"/>
                <w:sz w:val="21"/>
                <w:szCs w:val="24"/>
              </w:rPr>
              <w:t>型号</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1E681B92">
            <w:pPr>
              <w:wordWrap w:val="0"/>
              <w:topLinePunct/>
              <w:adjustRightInd w:val="0"/>
              <w:snapToGrid w:val="0"/>
              <w:spacing w:line="360" w:lineRule="auto"/>
              <w:jc w:val="center"/>
              <w:rPr>
                <w:rFonts w:ascii="宋体" w:hAnsi="宋体" w:cs="宋体"/>
                <w:b/>
                <w:bCs/>
                <w:color w:val="auto"/>
                <w:sz w:val="21"/>
                <w:szCs w:val="24"/>
              </w:rPr>
            </w:pPr>
            <w:r>
              <w:rPr>
                <w:rFonts w:hint="eastAsia" w:ascii="宋体" w:hAnsi="宋体" w:cs="宋体"/>
                <w:b/>
                <w:bCs/>
                <w:color w:val="auto"/>
                <w:sz w:val="21"/>
                <w:szCs w:val="24"/>
              </w:rPr>
              <w:t>单位</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309699A4">
            <w:pPr>
              <w:wordWrap w:val="0"/>
              <w:topLinePunct/>
              <w:adjustRightInd w:val="0"/>
              <w:snapToGrid w:val="0"/>
              <w:spacing w:line="360" w:lineRule="auto"/>
              <w:jc w:val="center"/>
              <w:rPr>
                <w:rFonts w:ascii="宋体" w:hAnsi="宋体" w:cs="宋体"/>
                <w:b/>
                <w:bCs/>
                <w:color w:val="auto"/>
                <w:sz w:val="21"/>
                <w:szCs w:val="24"/>
              </w:rPr>
            </w:pPr>
            <w:r>
              <w:rPr>
                <w:rFonts w:hint="eastAsia" w:ascii="宋体" w:hAnsi="宋体" w:cs="宋体"/>
                <w:b/>
                <w:bCs/>
                <w:color w:val="auto"/>
                <w:sz w:val="21"/>
                <w:szCs w:val="24"/>
              </w:rPr>
              <w:t>数量</w:t>
            </w:r>
          </w:p>
        </w:tc>
        <w:tc>
          <w:tcPr>
            <w:tcW w:w="1159" w:type="dxa"/>
            <w:tcBorders>
              <w:top w:val="single" w:color="auto" w:sz="4" w:space="0"/>
              <w:left w:val="single" w:color="auto" w:sz="4" w:space="0"/>
              <w:bottom w:val="single" w:color="auto" w:sz="4" w:space="0"/>
              <w:right w:val="single" w:color="auto" w:sz="4" w:space="0"/>
            </w:tcBorders>
            <w:noWrap w:val="0"/>
            <w:vAlign w:val="center"/>
          </w:tcPr>
          <w:p w14:paraId="5BD75DF2">
            <w:pPr>
              <w:wordWrap w:val="0"/>
              <w:topLinePunct/>
              <w:adjustRightInd w:val="0"/>
              <w:snapToGrid w:val="0"/>
              <w:spacing w:line="360" w:lineRule="auto"/>
              <w:jc w:val="center"/>
              <w:rPr>
                <w:rFonts w:ascii="宋体" w:hAnsi="宋体" w:cs="宋体"/>
                <w:b/>
                <w:bCs/>
                <w:color w:val="auto"/>
                <w:sz w:val="21"/>
                <w:szCs w:val="24"/>
              </w:rPr>
            </w:pPr>
            <w:r>
              <w:rPr>
                <w:rFonts w:hint="eastAsia" w:ascii="宋体" w:hAnsi="宋体" w:cs="宋体"/>
                <w:b/>
                <w:bCs/>
                <w:color w:val="auto"/>
                <w:sz w:val="21"/>
                <w:szCs w:val="24"/>
              </w:rPr>
              <w:t>单价</w:t>
            </w:r>
          </w:p>
          <w:p w14:paraId="22E75942">
            <w:pPr>
              <w:wordWrap w:val="0"/>
              <w:topLinePunct/>
              <w:adjustRightInd w:val="0"/>
              <w:snapToGrid w:val="0"/>
              <w:spacing w:line="360" w:lineRule="auto"/>
              <w:jc w:val="center"/>
              <w:rPr>
                <w:rFonts w:ascii="宋体" w:hAnsi="宋体" w:cs="宋体"/>
                <w:b/>
                <w:bCs/>
                <w:color w:val="auto"/>
                <w:sz w:val="21"/>
                <w:szCs w:val="24"/>
              </w:rPr>
            </w:pPr>
            <w:r>
              <w:rPr>
                <w:rFonts w:hint="eastAsia" w:ascii="宋体" w:hAnsi="宋体" w:cs="宋体"/>
                <w:b/>
                <w:bCs/>
                <w:color w:val="auto"/>
                <w:sz w:val="21"/>
                <w:szCs w:val="24"/>
              </w:rPr>
              <w:t>(元)</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53818B4C">
            <w:pPr>
              <w:wordWrap w:val="0"/>
              <w:topLinePunct/>
              <w:adjustRightInd w:val="0"/>
              <w:snapToGrid w:val="0"/>
              <w:spacing w:line="360" w:lineRule="auto"/>
              <w:jc w:val="center"/>
              <w:rPr>
                <w:rFonts w:ascii="宋体" w:hAnsi="宋体" w:cs="宋体"/>
                <w:b/>
                <w:bCs/>
                <w:color w:val="auto"/>
                <w:sz w:val="21"/>
                <w:szCs w:val="24"/>
              </w:rPr>
            </w:pPr>
            <w:r>
              <w:rPr>
                <w:rFonts w:hint="eastAsia" w:ascii="宋体" w:hAnsi="宋体" w:cs="宋体"/>
                <w:b/>
                <w:bCs/>
                <w:color w:val="auto"/>
                <w:sz w:val="21"/>
                <w:szCs w:val="24"/>
              </w:rPr>
              <w:t>总价</w:t>
            </w:r>
          </w:p>
          <w:p w14:paraId="4DC34A1A">
            <w:pPr>
              <w:wordWrap w:val="0"/>
              <w:topLinePunct/>
              <w:adjustRightInd w:val="0"/>
              <w:snapToGrid w:val="0"/>
              <w:spacing w:line="360" w:lineRule="auto"/>
              <w:jc w:val="center"/>
              <w:rPr>
                <w:rFonts w:ascii="宋体" w:hAnsi="宋体" w:cs="宋体"/>
                <w:b/>
                <w:bCs/>
                <w:color w:val="auto"/>
                <w:sz w:val="21"/>
                <w:szCs w:val="24"/>
              </w:rPr>
            </w:pPr>
            <w:r>
              <w:rPr>
                <w:rFonts w:hint="eastAsia" w:ascii="宋体" w:hAnsi="宋体" w:cs="宋体"/>
                <w:b/>
                <w:bCs/>
                <w:color w:val="auto"/>
                <w:sz w:val="21"/>
                <w:szCs w:val="24"/>
              </w:rPr>
              <w:t>(元)</w:t>
            </w:r>
          </w:p>
        </w:tc>
        <w:tc>
          <w:tcPr>
            <w:tcW w:w="1351" w:type="dxa"/>
            <w:tcBorders>
              <w:top w:val="single" w:color="auto" w:sz="4" w:space="0"/>
              <w:left w:val="single" w:color="auto" w:sz="4" w:space="0"/>
              <w:bottom w:val="single" w:color="auto" w:sz="4" w:space="0"/>
              <w:right w:val="single" w:color="auto" w:sz="4" w:space="0"/>
            </w:tcBorders>
            <w:noWrap w:val="0"/>
            <w:vAlign w:val="center"/>
          </w:tcPr>
          <w:p w14:paraId="5B7BBEE7">
            <w:pPr>
              <w:wordWrap w:val="0"/>
              <w:topLinePunct/>
              <w:adjustRightInd w:val="0"/>
              <w:snapToGrid w:val="0"/>
              <w:spacing w:line="360" w:lineRule="auto"/>
              <w:jc w:val="center"/>
              <w:rPr>
                <w:rFonts w:ascii="宋体" w:hAnsi="宋体" w:cs="宋体"/>
                <w:b/>
                <w:bCs/>
                <w:color w:val="auto"/>
                <w:sz w:val="21"/>
                <w:szCs w:val="24"/>
              </w:rPr>
            </w:pPr>
            <w:r>
              <w:rPr>
                <w:rFonts w:hint="eastAsia" w:ascii="宋体" w:hAnsi="宋体" w:cs="宋体"/>
                <w:b/>
                <w:bCs/>
                <w:color w:val="auto"/>
                <w:sz w:val="21"/>
                <w:szCs w:val="24"/>
              </w:rPr>
              <w:t>随机</w:t>
            </w:r>
          </w:p>
          <w:p w14:paraId="6C477FA3">
            <w:pPr>
              <w:wordWrap w:val="0"/>
              <w:topLinePunct/>
              <w:adjustRightInd w:val="0"/>
              <w:snapToGrid w:val="0"/>
              <w:spacing w:line="360" w:lineRule="auto"/>
              <w:jc w:val="center"/>
              <w:rPr>
                <w:rFonts w:ascii="宋体" w:hAnsi="宋体" w:cs="宋体"/>
                <w:b/>
                <w:bCs/>
                <w:color w:val="auto"/>
                <w:sz w:val="21"/>
                <w:szCs w:val="24"/>
              </w:rPr>
            </w:pPr>
            <w:r>
              <w:rPr>
                <w:rFonts w:hint="eastAsia" w:ascii="宋体" w:hAnsi="宋体" w:cs="宋体"/>
                <w:b/>
                <w:bCs/>
                <w:color w:val="auto"/>
                <w:sz w:val="21"/>
                <w:szCs w:val="24"/>
              </w:rPr>
              <w:t>配件</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5353CF8E">
            <w:pPr>
              <w:wordWrap w:val="0"/>
              <w:topLinePunct/>
              <w:adjustRightInd w:val="0"/>
              <w:snapToGrid w:val="0"/>
              <w:spacing w:line="360" w:lineRule="auto"/>
              <w:jc w:val="center"/>
              <w:rPr>
                <w:rFonts w:ascii="宋体" w:hAnsi="宋体" w:cs="宋体"/>
                <w:b/>
                <w:bCs/>
                <w:color w:val="auto"/>
                <w:sz w:val="21"/>
                <w:szCs w:val="24"/>
              </w:rPr>
            </w:pPr>
            <w:r>
              <w:rPr>
                <w:rFonts w:hint="eastAsia" w:ascii="宋体" w:hAnsi="宋体" w:cs="宋体"/>
                <w:b/>
                <w:bCs/>
                <w:color w:val="auto"/>
                <w:sz w:val="21"/>
                <w:szCs w:val="24"/>
              </w:rPr>
              <w:t>履约时间</w:t>
            </w:r>
          </w:p>
        </w:tc>
      </w:tr>
      <w:tr w14:paraId="64B479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1515" w:type="dxa"/>
            <w:tcBorders>
              <w:top w:val="single" w:color="auto" w:sz="4" w:space="0"/>
              <w:left w:val="single" w:color="auto" w:sz="4" w:space="0"/>
              <w:bottom w:val="single" w:color="auto" w:sz="4" w:space="0"/>
              <w:right w:val="single" w:color="auto" w:sz="4" w:space="0"/>
            </w:tcBorders>
            <w:noWrap w:val="0"/>
            <w:vAlign w:val="top"/>
          </w:tcPr>
          <w:p w14:paraId="13D42544">
            <w:pPr>
              <w:wordWrap w:val="0"/>
              <w:topLinePunct/>
              <w:adjustRightInd w:val="0"/>
              <w:snapToGrid w:val="0"/>
              <w:spacing w:line="360" w:lineRule="auto"/>
              <w:jc w:val="center"/>
              <w:rPr>
                <w:rFonts w:ascii="宋体" w:hAnsi="宋体" w:cs="宋体"/>
                <w:color w:val="auto"/>
                <w:sz w:val="21"/>
                <w:szCs w:val="21"/>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7AD6D229">
            <w:pPr>
              <w:wordWrap w:val="0"/>
              <w:topLinePunct/>
              <w:adjustRightInd w:val="0"/>
              <w:snapToGrid w:val="0"/>
              <w:spacing w:line="360" w:lineRule="auto"/>
              <w:jc w:val="center"/>
              <w:rPr>
                <w:rFonts w:ascii="宋体" w:hAnsi="宋体" w:cs="宋体"/>
                <w:color w:val="auto"/>
                <w:sz w:val="21"/>
                <w:szCs w:val="24"/>
              </w:rPr>
            </w:pPr>
            <w:r>
              <w:rPr>
                <w:rFonts w:hint="eastAsia" w:ascii="宋体" w:hAnsi="宋体" w:cs="宋体"/>
                <w:color w:val="auto"/>
                <w:sz w:val="21"/>
                <w:szCs w:val="24"/>
              </w:rPr>
              <w:t> </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141026D0">
            <w:pPr>
              <w:wordWrap w:val="0"/>
              <w:topLinePunct/>
              <w:adjustRightInd w:val="0"/>
              <w:snapToGrid w:val="0"/>
              <w:spacing w:line="360" w:lineRule="auto"/>
              <w:jc w:val="center"/>
              <w:rPr>
                <w:rFonts w:ascii="宋体" w:hAnsi="宋体" w:cs="宋体"/>
                <w:color w:val="auto"/>
                <w:sz w:val="21"/>
                <w:szCs w:val="24"/>
              </w:rPr>
            </w:pPr>
            <w:r>
              <w:rPr>
                <w:rFonts w:hint="eastAsia" w:ascii="宋体" w:hAnsi="宋体" w:cs="宋体"/>
                <w:color w:val="auto"/>
                <w:sz w:val="21"/>
                <w:szCs w:val="24"/>
              </w:rPr>
              <w:t> </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56668B2C">
            <w:pPr>
              <w:wordWrap w:val="0"/>
              <w:topLinePunct/>
              <w:adjustRightInd w:val="0"/>
              <w:snapToGrid w:val="0"/>
              <w:spacing w:line="360" w:lineRule="auto"/>
              <w:jc w:val="center"/>
              <w:rPr>
                <w:rFonts w:ascii="宋体" w:hAnsi="宋体" w:cs="宋体"/>
                <w:color w:val="auto"/>
                <w:sz w:val="21"/>
                <w:szCs w:val="24"/>
              </w:rPr>
            </w:pPr>
            <w:r>
              <w:rPr>
                <w:rFonts w:hint="eastAsia" w:ascii="宋体" w:hAnsi="宋体" w:cs="宋体"/>
                <w:color w:val="auto"/>
                <w:sz w:val="21"/>
                <w:szCs w:val="24"/>
              </w:rPr>
              <w:t> </w:t>
            </w:r>
          </w:p>
        </w:tc>
        <w:tc>
          <w:tcPr>
            <w:tcW w:w="1159" w:type="dxa"/>
            <w:tcBorders>
              <w:top w:val="single" w:color="auto" w:sz="4" w:space="0"/>
              <w:left w:val="single" w:color="auto" w:sz="4" w:space="0"/>
              <w:bottom w:val="single" w:color="auto" w:sz="4" w:space="0"/>
              <w:right w:val="single" w:color="auto" w:sz="4" w:space="0"/>
            </w:tcBorders>
            <w:noWrap w:val="0"/>
            <w:vAlign w:val="center"/>
          </w:tcPr>
          <w:p w14:paraId="5C64FBCA">
            <w:pPr>
              <w:wordWrap w:val="0"/>
              <w:topLinePunct/>
              <w:adjustRightInd w:val="0"/>
              <w:snapToGrid w:val="0"/>
              <w:spacing w:line="360" w:lineRule="auto"/>
              <w:jc w:val="center"/>
              <w:rPr>
                <w:rFonts w:ascii="宋体" w:hAnsi="宋体" w:cs="宋体"/>
                <w:color w:val="auto"/>
                <w:sz w:val="21"/>
                <w:szCs w:val="24"/>
              </w:rPr>
            </w:pPr>
            <w:r>
              <w:rPr>
                <w:rFonts w:hint="eastAsia" w:ascii="宋体" w:hAnsi="宋体" w:cs="宋体"/>
                <w:color w:val="auto"/>
                <w:sz w:val="21"/>
                <w:szCs w:val="24"/>
              </w:rPr>
              <w:t> </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7C6521A3">
            <w:pPr>
              <w:wordWrap w:val="0"/>
              <w:topLinePunct/>
              <w:adjustRightInd w:val="0"/>
              <w:snapToGrid w:val="0"/>
              <w:spacing w:line="360" w:lineRule="auto"/>
              <w:jc w:val="center"/>
              <w:rPr>
                <w:rFonts w:ascii="宋体" w:hAnsi="宋体" w:cs="宋体"/>
                <w:color w:val="auto"/>
                <w:sz w:val="21"/>
                <w:szCs w:val="24"/>
              </w:rPr>
            </w:pPr>
            <w:r>
              <w:rPr>
                <w:rFonts w:hint="eastAsia" w:ascii="宋体" w:hAnsi="宋体" w:cs="宋体"/>
                <w:color w:val="auto"/>
                <w:sz w:val="21"/>
                <w:szCs w:val="24"/>
              </w:rPr>
              <w:t> </w:t>
            </w:r>
          </w:p>
        </w:tc>
        <w:tc>
          <w:tcPr>
            <w:tcW w:w="1351" w:type="dxa"/>
            <w:tcBorders>
              <w:top w:val="single" w:color="auto" w:sz="4" w:space="0"/>
              <w:left w:val="single" w:color="auto" w:sz="4" w:space="0"/>
              <w:bottom w:val="single" w:color="auto" w:sz="4" w:space="0"/>
              <w:right w:val="single" w:color="auto" w:sz="4" w:space="0"/>
            </w:tcBorders>
            <w:noWrap w:val="0"/>
            <w:vAlign w:val="center"/>
          </w:tcPr>
          <w:p w14:paraId="0B1EFFCA">
            <w:pPr>
              <w:wordWrap w:val="0"/>
              <w:topLinePunct/>
              <w:adjustRightInd w:val="0"/>
              <w:snapToGrid w:val="0"/>
              <w:spacing w:line="360" w:lineRule="auto"/>
              <w:jc w:val="center"/>
              <w:rPr>
                <w:rFonts w:ascii="宋体" w:hAnsi="宋体" w:cs="宋体"/>
                <w:color w:val="auto"/>
                <w:sz w:val="21"/>
                <w:szCs w:val="24"/>
              </w:rPr>
            </w:pPr>
            <w:r>
              <w:rPr>
                <w:rFonts w:hint="eastAsia" w:ascii="宋体" w:hAnsi="宋体" w:cs="宋体"/>
                <w:color w:val="auto"/>
                <w:sz w:val="21"/>
                <w:szCs w:val="24"/>
              </w:rPr>
              <w:t> </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6905D5AA">
            <w:pPr>
              <w:wordWrap w:val="0"/>
              <w:topLinePunct/>
              <w:adjustRightInd w:val="0"/>
              <w:snapToGrid w:val="0"/>
              <w:spacing w:line="360" w:lineRule="auto"/>
              <w:jc w:val="center"/>
              <w:rPr>
                <w:rFonts w:ascii="宋体" w:hAnsi="宋体" w:cs="宋体"/>
                <w:color w:val="auto"/>
                <w:sz w:val="21"/>
                <w:szCs w:val="24"/>
              </w:rPr>
            </w:pPr>
            <w:r>
              <w:rPr>
                <w:rFonts w:hint="eastAsia" w:ascii="宋体" w:hAnsi="宋体" w:cs="宋体"/>
                <w:color w:val="auto"/>
                <w:sz w:val="21"/>
                <w:szCs w:val="24"/>
              </w:rPr>
              <w:t> </w:t>
            </w:r>
          </w:p>
        </w:tc>
      </w:tr>
      <w:tr w14:paraId="7ACB3A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1515" w:type="dxa"/>
            <w:tcBorders>
              <w:top w:val="single" w:color="auto" w:sz="4" w:space="0"/>
              <w:left w:val="single" w:color="auto" w:sz="4" w:space="0"/>
              <w:bottom w:val="single" w:color="auto" w:sz="4" w:space="0"/>
              <w:right w:val="single" w:color="auto" w:sz="4" w:space="0"/>
            </w:tcBorders>
            <w:noWrap w:val="0"/>
            <w:vAlign w:val="top"/>
          </w:tcPr>
          <w:p w14:paraId="059EF4ED">
            <w:pPr>
              <w:wordWrap w:val="0"/>
              <w:topLinePunct/>
              <w:adjustRightInd w:val="0"/>
              <w:snapToGrid w:val="0"/>
              <w:spacing w:line="360" w:lineRule="auto"/>
              <w:jc w:val="center"/>
              <w:rPr>
                <w:rFonts w:ascii="宋体" w:hAnsi="宋体" w:cs="宋体"/>
                <w:color w:val="auto"/>
                <w:sz w:val="21"/>
                <w:szCs w:val="21"/>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6925A060">
            <w:pPr>
              <w:wordWrap w:val="0"/>
              <w:topLinePunct/>
              <w:adjustRightInd w:val="0"/>
              <w:snapToGrid w:val="0"/>
              <w:spacing w:line="360" w:lineRule="auto"/>
              <w:jc w:val="center"/>
              <w:rPr>
                <w:rFonts w:ascii="宋体" w:hAnsi="宋体" w:cs="宋体"/>
                <w:color w:val="auto"/>
                <w:sz w:val="21"/>
                <w:szCs w:val="24"/>
              </w:rPr>
            </w:pPr>
            <w:r>
              <w:rPr>
                <w:rFonts w:hint="eastAsia" w:ascii="宋体" w:hAnsi="宋体" w:cs="宋体"/>
                <w:color w:val="auto"/>
                <w:sz w:val="21"/>
                <w:szCs w:val="24"/>
              </w:rPr>
              <w:t> </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01511065">
            <w:pPr>
              <w:wordWrap w:val="0"/>
              <w:topLinePunct/>
              <w:adjustRightInd w:val="0"/>
              <w:snapToGrid w:val="0"/>
              <w:spacing w:line="360" w:lineRule="auto"/>
              <w:jc w:val="center"/>
              <w:rPr>
                <w:rFonts w:ascii="宋体" w:hAnsi="宋体" w:cs="宋体"/>
                <w:color w:val="auto"/>
                <w:sz w:val="21"/>
                <w:szCs w:val="24"/>
              </w:rPr>
            </w:pPr>
            <w:r>
              <w:rPr>
                <w:rFonts w:hint="eastAsia" w:ascii="宋体" w:hAnsi="宋体" w:cs="宋体"/>
                <w:color w:val="auto"/>
                <w:sz w:val="21"/>
                <w:szCs w:val="24"/>
              </w:rPr>
              <w:t> </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15C7261B">
            <w:pPr>
              <w:wordWrap w:val="0"/>
              <w:topLinePunct/>
              <w:adjustRightInd w:val="0"/>
              <w:snapToGrid w:val="0"/>
              <w:spacing w:line="360" w:lineRule="auto"/>
              <w:jc w:val="center"/>
              <w:rPr>
                <w:rFonts w:ascii="宋体" w:hAnsi="宋体" w:cs="宋体"/>
                <w:color w:val="auto"/>
                <w:sz w:val="21"/>
                <w:szCs w:val="24"/>
              </w:rPr>
            </w:pPr>
            <w:r>
              <w:rPr>
                <w:rFonts w:hint="eastAsia" w:ascii="宋体" w:hAnsi="宋体" w:cs="宋体"/>
                <w:color w:val="auto"/>
                <w:sz w:val="21"/>
                <w:szCs w:val="24"/>
              </w:rPr>
              <w:t> </w:t>
            </w:r>
          </w:p>
        </w:tc>
        <w:tc>
          <w:tcPr>
            <w:tcW w:w="1159" w:type="dxa"/>
            <w:tcBorders>
              <w:top w:val="single" w:color="auto" w:sz="4" w:space="0"/>
              <w:left w:val="single" w:color="auto" w:sz="4" w:space="0"/>
              <w:bottom w:val="single" w:color="auto" w:sz="4" w:space="0"/>
              <w:right w:val="single" w:color="auto" w:sz="4" w:space="0"/>
            </w:tcBorders>
            <w:noWrap w:val="0"/>
            <w:vAlign w:val="center"/>
          </w:tcPr>
          <w:p w14:paraId="634B5C07">
            <w:pPr>
              <w:wordWrap w:val="0"/>
              <w:topLinePunct/>
              <w:adjustRightInd w:val="0"/>
              <w:snapToGrid w:val="0"/>
              <w:spacing w:line="360" w:lineRule="auto"/>
              <w:jc w:val="center"/>
              <w:rPr>
                <w:rFonts w:ascii="宋体" w:hAnsi="宋体" w:cs="宋体"/>
                <w:color w:val="auto"/>
                <w:sz w:val="21"/>
                <w:szCs w:val="24"/>
              </w:rPr>
            </w:pPr>
            <w:r>
              <w:rPr>
                <w:rFonts w:hint="eastAsia" w:ascii="宋体" w:hAnsi="宋体" w:cs="宋体"/>
                <w:color w:val="auto"/>
                <w:sz w:val="21"/>
                <w:szCs w:val="24"/>
              </w:rPr>
              <w:t> </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215D77C6">
            <w:pPr>
              <w:wordWrap w:val="0"/>
              <w:topLinePunct/>
              <w:adjustRightInd w:val="0"/>
              <w:snapToGrid w:val="0"/>
              <w:spacing w:line="360" w:lineRule="auto"/>
              <w:jc w:val="center"/>
              <w:rPr>
                <w:rFonts w:ascii="宋体" w:hAnsi="宋体" w:cs="宋体"/>
                <w:color w:val="auto"/>
                <w:sz w:val="21"/>
                <w:szCs w:val="24"/>
              </w:rPr>
            </w:pPr>
            <w:r>
              <w:rPr>
                <w:rFonts w:hint="eastAsia" w:ascii="宋体" w:hAnsi="宋体" w:cs="宋体"/>
                <w:color w:val="auto"/>
                <w:sz w:val="21"/>
                <w:szCs w:val="24"/>
              </w:rPr>
              <w:t> </w:t>
            </w:r>
          </w:p>
        </w:tc>
        <w:tc>
          <w:tcPr>
            <w:tcW w:w="1351" w:type="dxa"/>
            <w:tcBorders>
              <w:top w:val="single" w:color="auto" w:sz="4" w:space="0"/>
              <w:left w:val="single" w:color="auto" w:sz="4" w:space="0"/>
              <w:bottom w:val="single" w:color="auto" w:sz="4" w:space="0"/>
              <w:right w:val="single" w:color="auto" w:sz="4" w:space="0"/>
            </w:tcBorders>
            <w:noWrap w:val="0"/>
            <w:vAlign w:val="center"/>
          </w:tcPr>
          <w:p w14:paraId="47D8AD98">
            <w:pPr>
              <w:wordWrap w:val="0"/>
              <w:topLinePunct/>
              <w:adjustRightInd w:val="0"/>
              <w:snapToGrid w:val="0"/>
              <w:spacing w:line="360" w:lineRule="auto"/>
              <w:jc w:val="center"/>
              <w:rPr>
                <w:rFonts w:ascii="宋体" w:hAnsi="宋体" w:cs="宋体"/>
                <w:color w:val="auto"/>
                <w:sz w:val="21"/>
                <w:szCs w:val="24"/>
              </w:rPr>
            </w:pPr>
            <w:r>
              <w:rPr>
                <w:rFonts w:hint="eastAsia" w:ascii="宋体" w:hAnsi="宋体" w:cs="宋体"/>
                <w:color w:val="auto"/>
                <w:sz w:val="21"/>
                <w:szCs w:val="24"/>
              </w:rPr>
              <w:t> </w:t>
            </w:r>
          </w:p>
        </w:tc>
        <w:tc>
          <w:tcPr>
            <w:tcW w:w="1123" w:type="dxa"/>
            <w:tcBorders>
              <w:top w:val="single" w:color="auto" w:sz="4" w:space="0"/>
              <w:left w:val="single" w:color="auto" w:sz="4" w:space="0"/>
              <w:bottom w:val="single" w:color="auto" w:sz="4" w:space="0"/>
              <w:right w:val="single" w:color="auto" w:sz="4" w:space="0"/>
            </w:tcBorders>
            <w:noWrap w:val="0"/>
            <w:vAlign w:val="center"/>
          </w:tcPr>
          <w:p w14:paraId="67D102E0">
            <w:pPr>
              <w:wordWrap w:val="0"/>
              <w:topLinePunct/>
              <w:adjustRightInd w:val="0"/>
              <w:snapToGrid w:val="0"/>
              <w:spacing w:line="360" w:lineRule="auto"/>
              <w:jc w:val="center"/>
              <w:rPr>
                <w:rFonts w:ascii="宋体" w:hAnsi="宋体" w:cs="宋体"/>
                <w:color w:val="auto"/>
                <w:sz w:val="21"/>
                <w:szCs w:val="24"/>
              </w:rPr>
            </w:pPr>
            <w:r>
              <w:rPr>
                <w:rFonts w:hint="eastAsia" w:ascii="宋体" w:hAnsi="宋体" w:cs="宋体"/>
                <w:color w:val="auto"/>
                <w:sz w:val="21"/>
                <w:szCs w:val="24"/>
              </w:rPr>
              <w:t> </w:t>
            </w:r>
          </w:p>
        </w:tc>
      </w:tr>
      <w:tr w14:paraId="5D2552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1515" w:type="dxa"/>
            <w:tcBorders>
              <w:top w:val="single" w:color="auto" w:sz="4" w:space="0"/>
              <w:left w:val="single" w:color="auto" w:sz="4" w:space="0"/>
              <w:bottom w:val="single" w:color="auto" w:sz="4" w:space="0"/>
              <w:right w:val="single" w:color="auto" w:sz="4" w:space="0"/>
            </w:tcBorders>
            <w:noWrap w:val="0"/>
            <w:vAlign w:val="top"/>
          </w:tcPr>
          <w:p w14:paraId="0DA9425C">
            <w:pPr>
              <w:wordWrap w:val="0"/>
              <w:topLinePunct/>
              <w:adjustRightInd w:val="0"/>
              <w:snapToGrid w:val="0"/>
              <w:spacing w:line="360" w:lineRule="auto"/>
              <w:jc w:val="center"/>
              <w:rPr>
                <w:rFonts w:ascii="宋体" w:hAnsi="宋体" w:cs="宋体"/>
                <w:color w:val="auto"/>
                <w:sz w:val="21"/>
                <w:szCs w:val="21"/>
              </w:rPr>
            </w:pPr>
            <w:bookmarkStart w:id="9" w:name="_Toc2729"/>
            <w:bookmarkStart w:id="10" w:name="_Toc15734"/>
            <w:bookmarkStart w:id="11" w:name="_Toc22308"/>
            <w:bookmarkStart w:id="12" w:name="_Toc217446108"/>
            <w:bookmarkStart w:id="13" w:name="_Toc29426"/>
            <w:bookmarkStart w:id="14" w:name="_Toc31626"/>
            <w:bookmarkStart w:id="15" w:name="_Toc22148"/>
            <w:bookmarkStart w:id="16" w:name="_Toc4409"/>
            <w:bookmarkStart w:id="17" w:name="_Toc8483"/>
          </w:p>
        </w:tc>
        <w:tc>
          <w:tcPr>
            <w:tcW w:w="1298" w:type="dxa"/>
            <w:tcBorders>
              <w:top w:val="single" w:color="auto" w:sz="4" w:space="0"/>
              <w:left w:val="single" w:color="auto" w:sz="4" w:space="0"/>
              <w:bottom w:val="single" w:color="auto" w:sz="4" w:space="0"/>
              <w:right w:val="single" w:color="auto" w:sz="4" w:space="0"/>
            </w:tcBorders>
            <w:noWrap w:val="0"/>
            <w:vAlign w:val="center"/>
          </w:tcPr>
          <w:p w14:paraId="33505F89">
            <w:pPr>
              <w:wordWrap w:val="0"/>
              <w:topLinePunct/>
              <w:adjustRightInd w:val="0"/>
              <w:snapToGrid w:val="0"/>
              <w:spacing w:line="360" w:lineRule="auto"/>
              <w:jc w:val="center"/>
              <w:rPr>
                <w:rFonts w:ascii="宋体" w:hAnsi="宋体" w:cs="宋体"/>
                <w:color w:val="auto"/>
                <w:sz w:val="21"/>
                <w:szCs w:val="24"/>
              </w:rPr>
            </w:pPr>
          </w:p>
        </w:tc>
        <w:tc>
          <w:tcPr>
            <w:tcW w:w="774" w:type="dxa"/>
            <w:tcBorders>
              <w:top w:val="single" w:color="auto" w:sz="4" w:space="0"/>
              <w:left w:val="single" w:color="auto" w:sz="4" w:space="0"/>
              <w:bottom w:val="single" w:color="auto" w:sz="4" w:space="0"/>
              <w:right w:val="single" w:color="auto" w:sz="4" w:space="0"/>
            </w:tcBorders>
            <w:noWrap w:val="0"/>
            <w:vAlign w:val="center"/>
          </w:tcPr>
          <w:p w14:paraId="56208F88">
            <w:pPr>
              <w:wordWrap w:val="0"/>
              <w:topLinePunct/>
              <w:adjustRightInd w:val="0"/>
              <w:snapToGrid w:val="0"/>
              <w:spacing w:line="360" w:lineRule="auto"/>
              <w:jc w:val="center"/>
              <w:rPr>
                <w:rFonts w:ascii="宋体" w:hAnsi="宋体" w:cs="宋体"/>
                <w:color w:val="auto"/>
                <w:sz w:val="21"/>
                <w:szCs w:val="24"/>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31C5EA3F">
            <w:pPr>
              <w:wordWrap w:val="0"/>
              <w:topLinePunct/>
              <w:adjustRightInd w:val="0"/>
              <w:snapToGrid w:val="0"/>
              <w:spacing w:line="360" w:lineRule="auto"/>
              <w:jc w:val="center"/>
              <w:rPr>
                <w:rFonts w:ascii="宋体" w:hAnsi="宋体" w:cs="宋体"/>
                <w:color w:val="auto"/>
                <w:sz w:val="21"/>
                <w:szCs w:val="24"/>
              </w:rPr>
            </w:pPr>
          </w:p>
        </w:tc>
        <w:tc>
          <w:tcPr>
            <w:tcW w:w="1159" w:type="dxa"/>
            <w:tcBorders>
              <w:top w:val="single" w:color="auto" w:sz="4" w:space="0"/>
              <w:left w:val="single" w:color="auto" w:sz="4" w:space="0"/>
              <w:bottom w:val="single" w:color="auto" w:sz="4" w:space="0"/>
              <w:right w:val="single" w:color="auto" w:sz="4" w:space="0"/>
            </w:tcBorders>
            <w:noWrap w:val="0"/>
            <w:vAlign w:val="center"/>
          </w:tcPr>
          <w:p w14:paraId="0D95F327">
            <w:pPr>
              <w:wordWrap w:val="0"/>
              <w:topLinePunct/>
              <w:adjustRightInd w:val="0"/>
              <w:snapToGrid w:val="0"/>
              <w:spacing w:line="360" w:lineRule="auto"/>
              <w:jc w:val="center"/>
              <w:rPr>
                <w:rFonts w:ascii="宋体" w:hAnsi="宋体" w:cs="宋体"/>
                <w:color w:val="auto"/>
                <w:sz w:val="21"/>
                <w:szCs w:val="24"/>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2EB8AC7D">
            <w:pPr>
              <w:wordWrap w:val="0"/>
              <w:topLinePunct/>
              <w:adjustRightInd w:val="0"/>
              <w:snapToGrid w:val="0"/>
              <w:spacing w:line="360" w:lineRule="auto"/>
              <w:jc w:val="center"/>
              <w:rPr>
                <w:rFonts w:ascii="宋体" w:hAnsi="宋体" w:cs="宋体"/>
                <w:color w:val="auto"/>
                <w:sz w:val="21"/>
                <w:szCs w:val="24"/>
              </w:rPr>
            </w:pPr>
          </w:p>
        </w:tc>
        <w:tc>
          <w:tcPr>
            <w:tcW w:w="1351" w:type="dxa"/>
            <w:tcBorders>
              <w:top w:val="single" w:color="auto" w:sz="4" w:space="0"/>
              <w:left w:val="single" w:color="auto" w:sz="4" w:space="0"/>
              <w:bottom w:val="single" w:color="auto" w:sz="4" w:space="0"/>
              <w:right w:val="single" w:color="auto" w:sz="4" w:space="0"/>
            </w:tcBorders>
            <w:noWrap w:val="0"/>
            <w:vAlign w:val="center"/>
          </w:tcPr>
          <w:p w14:paraId="62080B92">
            <w:pPr>
              <w:wordWrap w:val="0"/>
              <w:topLinePunct/>
              <w:adjustRightInd w:val="0"/>
              <w:snapToGrid w:val="0"/>
              <w:spacing w:line="360" w:lineRule="auto"/>
              <w:jc w:val="center"/>
              <w:rPr>
                <w:rFonts w:ascii="宋体" w:hAnsi="宋体" w:cs="宋体"/>
                <w:color w:val="auto"/>
                <w:sz w:val="21"/>
                <w:szCs w:val="24"/>
              </w:rPr>
            </w:pPr>
          </w:p>
        </w:tc>
        <w:tc>
          <w:tcPr>
            <w:tcW w:w="1123" w:type="dxa"/>
            <w:tcBorders>
              <w:top w:val="single" w:color="auto" w:sz="4" w:space="0"/>
              <w:left w:val="single" w:color="auto" w:sz="4" w:space="0"/>
              <w:bottom w:val="single" w:color="auto" w:sz="4" w:space="0"/>
              <w:right w:val="single" w:color="auto" w:sz="4" w:space="0"/>
            </w:tcBorders>
            <w:noWrap w:val="0"/>
            <w:vAlign w:val="center"/>
          </w:tcPr>
          <w:p w14:paraId="123B9383">
            <w:pPr>
              <w:wordWrap w:val="0"/>
              <w:topLinePunct/>
              <w:adjustRightInd w:val="0"/>
              <w:snapToGrid w:val="0"/>
              <w:spacing w:line="360" w:lineRule="auto"/>
              <w:jc w:val="center"/>
              <w:rPr>
                <w:rFonts w:ascii="宋体" w:hAnsi="宋体" w:cs="宋体"/>
                <w:color w:val="auto"/>
                <w:sz w:val="21"/>
                <w:szCs w:val="24"/>
              </w:rPr>
            </w:pPr>
          </w:p>
        </w:tc>
      </w:tr>
      <w:tr w14:paraId="092392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1515" w:type="dxa"/>
            <w:tcBorders>
              <w:top w:val="single" w:color="auto" w:sz="4" w:space="0"/>
              <w:left w:val="single" w:color="auto" w:sz="4" w:space="0"/>
              <w:bottom w:val="single" w:color="auto" w:sz="4" w:space="0"/>
              <w:right w:val="single" w:color="auto" w:sz="4" w:space="0"/>
            </w:tcBorders>
            <w:noWrap w:val="0"/>
            <w:vAlign w:val="top"/>
          </w:tcPr>
          <w:p w14:paraId="0A878A80">
            <w:pPr>
              <w:wordWrap w:val="0"/>
              <w:topLinePunct/>
              <w:adjustRightInd w:val="0"/>
              <w:snapToGrid w:val="0"/>
              <w:spacing w:line="360" w:lineRule="auto"/>
              <w:jc w:val="center"/>
              <w:rPr>
                <w:rFonts w:ascii="宋体" w:hAnsi="宋体" w:cs="宋体"/>
                <w:color w:val="auto"/>
                <w:sz w:val="21"/>
                <w:szCs w:val="21"/>
              </w:rPr>
            </w:pPr>
          </w:p>
        </w:tc>
        <w:tc>
          <w:tcPr>
            <w:tcW w:w="1298" w:type="dxa"/>
            <w:tcBorders>
              <w:top w:val="single" w:color="auto" w:sz="4" w:space="0"/>
              <w:left w:val="single" w:color="auto" w:sz="4" w:space="0"/>
              <w:bottom w:val="single" w:color="auto" w:sz="4" w:space="0"/>
              <w:right w:val="single" w:color="auto" w:sz="4" w:space="0"/>
            </w:tcBorders>
            <w:noWrap w:val="0"/>
            <w:vAlign w:val="center"/>
          </w:tcPr>
          <w:p w14:paraId="2C053BA0">
            <w:pPr>
              <w:wordWrap w:val="0"/>
              <w:topLinePunct/>
              <w:adjustRightInd w:val="0"/>
              <w:snapToGrid w:val="0"/>
              <w:spacing w:line="360" w:lineRule="auto"/>
              <w:jc w:val="center"/>
              <w:rPr>
                <w:rFonts w:ascii="宋体" w:hAnsi="宋体" w:cs="宋体"/>
                <w:color w:val="auto"/>
                <w:sz w:val="21"/>
                <w:szCs w:val="24"/>
              </w:rPr>
            </w:pPr>
          </w:p>
        </w:tc>
        <w:tc>
          <w:tcPr>
            <w:tcW w:w="774" w:type="dxa"/>
            <w:tcBorders>
              <w:top w:val="single" w:color="auto" w:sz="4" w:space="0"/>
              <w:left w:val="single" w:color="auto" w:sz="4" w:space="0"/>
              <w:bottom w:val="single" w:color="auto" w:sz="4" w:space="0"/>
              <w:right w:val="single" w:color="auto" w:sz="4" w:space="0"/>
            </w:tcBorders>
            <w:noWrap w:val="0"/>
            <w:vAlign w:val="center"/>
          </w:tcPr>
          <w:p w14:paraId="28DCFA6D">
            <w:pPr>
              <w:wordWrap w:val="0"/>
              <w:topLinePunct/>
              <w:adjustRightInd w:val="0"/>
              <w:snapToGrid w:val="0"/>
              <w:spacing w:line="360" w:lineRule="auto"/>
              <w:jc w:val="center"/>
              <w:rPr>
                <w:rFonts w:ascii="宋体" w:hAnsi="宋体" w:cs="宋体"/>
                <w:color w:val="auto"/>
                <w:sz w:val="21"/>
                <w:szCs w:val="24"/>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258B951E">
            <w:pPr>
              <w:wordWrap w:val="0"/>
              <w:topLinePunct/>
              <w:adjustRightInd w:val="0"/>
              <w:snapToGrid w:val="0"/>
              <w:spacing w:line="360" w:lineRule="auto"/>
              <w:jc w:val="center"/>
              <w:rPr>
                <w:rFonts w:ascii="宋体" w:hAnsi="宋体" w:cs="宋体"/>
                <w:color w:val="auto"/>
                <w:sz w:val="21"/>
                <w:szCs w:val="24"/>
              </w:rPr>
            </w:pPr>
          </w:p>
        </w:tc>
        <w:tc>
          <w:tcPr>
            <w:tcW w:w="1159" w:type="dxa"/>
            <w:tcBorders>
              <w:top w:val="single" w:color="auto" w:sz="4" w:space="0"/>
              <w:left w:val="single" w:color="auto" w:sz="4" w:space="0"/>
              <w:bottom w:val="single" w:color="auto" w:sz="4" w:space="0"/>
              <w:right w:val="single" w:color="auto" w:sz="4" w:space="0"/>
            </w:tcBorders>
            <w:noWrap w:val="0"/>
            <w:vAlign w:val="center"/>
          </w:tcPr>
          <w:p w14:paraId="029084A3">
            <w:pPr>
              <w:wordWrap w:val="0"/>
              <w:topLinePunct/>
              <w:adjustRightInd w:val="0"/>
              <w:snapToGrid w:val="0"/>
              <w:spacing w:line="360" w:lineRule="auto"/>
              <w:jc w:val="center"/>
              <w:rPr>
                <w:rFonts w:ascii="宋体" w:hAnsi="宋体" w:cs="宋体"/>
                <w:color w:val="auto"/>
                <w:sz w:val="21"/>
                <w:szCs w:val="24"/>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150F3966">
            <w:pPr>
              <w:wordWrap w:val="0"/>
              <w:topLinePunct/>
              <w:adjustRightInd w:val="0"/>
              <w:snapToGrid w:val="0"/>
              <w:spacing w:line="360" w:lineRule="auto"/>
              <w:jc w:val="center"/>
              <w:rPr>
                <w:rFonts w:ascii="宋体" w:hAnsi="宋体" w:cs="宋体"/>
                <w:color w:val="auto"/>
                <w:sz w:val="21"/>
                <w:szCs w:val="24"/>
              </w:rPr>
            </w:pPr>
          </w:p>
        </w:tc>
        <w:tc>
          <w:tcPr>
            <w:tcW w:w="1351" w:type="dxa"/>
            <w:tcBorders>
              <w:top w:val="single" w:color="auto" w:sz="4" w:space="0"/>
              <w:left w:val="single" w:color="auto" w:sz="4" w:space="0"/>
              <w:bottom w:val="single" w:color="auto" w:sz="4" w:space="0"/>
              <w:right w:val="single" w:color="auto" w:sz="4" w:space="0"/>
            </w:tcBorders>
            <w:noWrap w:val="0"/>
            <w:vAlign w:val="center"/>
          </w:tcPr>
          <w:p w14:paraId="09CBEA01">
            <w:pPr>
              <w:wordWrap w:val="0"/>
              <w:topLinePunct/>
              <w:adjustRightInd w:val="0"/>
              <w:snapToGrid w:val="0"/>
              <w:spacing w:line="360" w:lineRule="auto"/>
              <w:jc w:val="center"/>
              <w:rPr>
                <w:rFonts w:ascii="宋体" w:hAnsi="宋体" w:cs="宋体"/>
                <w:color w:val="auto"/>
                <w:sz w:val="21"/>
                <w:szCs w:val="24"/>
              </w:rPr>
            </w:pPr>
          </w:p>
        </w:tc>
        <w:tc>
          <w:tcPr>
            <w:tcW w:w="1123" w:type="dxa"/>
            <w:tcBorders>
              <w:top w:val="single" w:color="auto" w:sz="4" w:space="0"/>
              <w:left w:val="single" w:color="auto" w:sz="4" w:space="0"/>
              <w:bottom w:val="single" w:color="auto" w:sz="4" w:space="0"/>
              <w:right w:val="single" w:color="auto" w:sz="4" w:space="0"/>
            </w:tcBorders>
            <w:noWrap w:val="0"/>
            <w:vAlign w:val="center"/>
          </w:tcPr>
          <w:p w14:paraId="1F22D6BB">
            <w:pPr>
              <w:wordWrap w:val="0"/>
              <w:topLinePunct/>
              <w:adjustRightInd w:val="0"/>
              <w:snapToGrid w:val="0"/>
              <w:spacing w:line="360" w:lineRule="auto"/>
              <w:jc w:val="center"/>
              <w:rPr>
                <w:rFonts w:ascii="宋体" w:hAnsi="宋体" w:cs="宋体"/>
                <w:color w:val="auto"/>
                <w:sz w:val="21"/>
                <w:szCs w:val="24"/>
              </w:rPr>
            </w:pPr>
          </w:p>
        </w:tc>
      </w:tr>
    </w:tbl>
    <w:p w14:paraId="0D95F541">
      <w:pPr>
        <w:wordWrap w:val="0"/>
        <w:topLinePunct/>
        <w:adjustRightInd w:val="0"/>
        <w:snapToGrid w:val="0"/>
        <w:spacing w:line="360" w:lineRule="auto"/>
        <w:ind w:left="480" w:leftChars="200"/>
        <w:outlineLvl w:val="1"/>
        <w:rPr>
          <w:rFonts w:ascii="宋体" w:hAnsi="宋体" w:cs="宋体"/>
          <w:b/>
          <w:color w:val="auto"/>
          <w:szCs w:val="24"/>
        </w:rPr>
      </w:pPr>
      <w:r>
        <w:rPr>
          <w:rFonts w:hint="eastAsia" w:ascii="宋体" w:hAnsi="宋体" w:cs="宋体"/>
          <w:b/>
          <w:color w:val="auto"/>
          <w:szCs w:val="24"/>
        </w:rPr>
        <w:t>二、合同</w:t>
      </w:r>
      <w:bookmarkEnd w:id="9"/>
      <w:bookmarkEnd w:id="10"/>
      <w:bookmarkEnd w:id="11"/>
      <w:bookmarkEnd w:id="12"/>
      <w:r>
        <w:rPr>
          <w:rFonts w:hint="eastAsia" w:ascii="宋体" w:hAnsi="宋体" w:cs="宋体"/>
          <w:b/>
          <w:color w:val="auto"/>
          <w:szCs w:val="24"/>
        </w:rPr>
        <w:t>价款</w:t>
      </w:r>
      <w:bookmarkEnd w:id="13"/>
      <w:bookmarkEnd w:id="14"/>
      <w:bookmarkEnd w:id="15"/>
      <w:bookmarkEnd w:id="16"/>
      <w:bookmarkEnd w:id="17"/>
    </w:p>
    <w:p w14:paraId="35B684E7">
      <w:pPr>
        <w:tabs>
          <w:tab w:val="left" w:pos="0"/>
        </w:tabs>
        <w:wordWrap w:val="0"/>
        <w:topLinePunct/>
        <w:spacing w:line="360" w:lineRule="auto"/>
        <w:ind w:firstLine="480" w:firstLineChars="200"/>
        <w:jc w:val="left"/>
        <w:rPr>
          <w:rFonts w:ascii="宋体" w:hAnsi="宋体" w:cs="宋体"/>
          <w:snapToGrid w:val="0"/>
          <w:color w:val="auto"/>
          <w:szCs w:val="24"/>
        </w:rPr>
      </w:pPr>
      <w:bookmarkStart w:id="18" w:name="_Toc14789"/>
      <w:bookmarkStart w:id="19" w:name="_Toc217446109"/>
      <w:bookmarkStart w:id="20" w:name="_Toc11736"/>
      <w:bookmarkStart w:id="21" w:name="_Toc8140"/>
      <w:bookmarkStart w:id="22" w:name="_Toc16934"/>
      <w:bookmarkStart w:id="23" w:name="_Toc7853"/>
      <w:bookmarkStart w:id="24" w:name="_Toc13646"/>
      <w:bookmarkStart w:id="25" w:name="_Toc30015"/>
      <w:bookmarkStart w:id="26" w:name="_Toc23012"/>
      <w:r>
        <w:rPr>
          <w:rFonts w:hint="eastAsia" w:ascii="宋体" w:hAnsi="宋体" w:cs="宋体"/>
          <w:snapToGrid w:val="0"/>
          <w:color w:val="auto"/>
          <w:szCs w:val="24"/>
        </w:rPr>
        <w:t>合同总价为人民币大写：</w:t>
      </w:r>
      <w:r>
        <w:rPr>
          <w:rFonts w:hint="eastAsia" w:ascii="宋体" w:hAnsi="宋体" w:cs="宋体"/>
          <w:snapToGrid w:val="0"/>
          <w:color w:val="auto"/>
          <w:szCs w:val="24"/>
          <w:u w:val="single"/>
        </w:rPr>
        <w:t xml:space="preserve">                </w:t>
      </w:r>
      <w:r>
        <w:rPr>
          <w:rFonts w:hint="eastAsia" w:ascii="宋体" w:hAnsi="宋体" w:cs="宋体"/>
          <w:snapToGrid w:val="0"/>
          <w:color w:val="auto"/>
          <w:szCs w:val="24"/>
        </w:rPr>
        <w:t>元，即￥</w:t>
      </w:r>
      <w:r>
        <w:rPr>
          <w:rFonts w:hint="eastAsia" w:ascii="宋体" w:hAnsi="宋体" w:cs="宋体"/>
          <w:snapToGrid w:val="0"/>
          <w:color w:val="auto"/>
          <w:szCs w:val="24"/>
          <w:u w:val="single"/>
        </w:rPr>
        <w:t xml:space="preserve">        </w:t>
      </w:r>
      <w:r>
        <w:rPr>
          <w:rFonts w:hint="eastAsia" w:ascii="宋体" w:hAnsi="宋体" w:cs="宋体"/>
          <w:snapToGrid w:val="0"/>
          <w:color w:val="auto"/>
          <w:szCs w:val="24"/>
        </w:rPr>
        <w:t>元；本项目为固定单价合同，投标报价中的单价是履行合同的最终单价，最终结算价款为供货数量*</w:t>
      </w:r>
      <w:r>
        <w:rPr>
          <w:rFonts w:hint="eastAsia" w:ascii="宋体" w:hAnsi="宋体" w:cs="宋体"/>
          <w:color w:val="auto"/>
          <w:sz w:val="24"/>
          <w:szCs w:val="24"/>
          <w:lang w:val="en-US" w:eastAsia="zh-CN"/>
        </w:rPr>
        <w:t>成交</w:t>
      </w:r>
      <w:r>
        <w:rPr>
          <w:rFonts w:hint="eastAsia" w:ascii="宋体" w:hAnsi="宋体" w:cs="宋体"/>
          <w:snapToGrid w:val="0"/>
          <w:color w:val="auto"/>
          <w:szCs w:val="24"/>
        </w:rPr>
        <w:t>单价。报价包括完成本项目所涉及人工、材料、检测、试验、运输、验收、管理、保险、利润、税费、人工费及保修期内保修服务等所有其他与本项目有关的一切费用。</w:t>
      </w:r>
    </w:p>
    <w:p w14:paraId="59E496BB">
      <w:pPr>
        <w:wordWrap w:val="0"/>
        <w:topLinePunct/>
        <w:adjustRightInd w:val="0"/>
        <w:snapToGrid w:val="0"/>
        <w:spacing w:line="360" w:lineRule="auto"/>
        <w:ind w:left="480" w:leftChars="200"/>
        <w:outlineLvl w:val="1"/>
        <w:rPr>
          <w:rFonts w:ascii="宋体" w:hAnsi="宋体" w:cs="宋体"/>
          <w:b/>
          <w:color w:val="auto"/>
          <w:szCs w:val="24"/>
        </w:rPr>
      </w:pPr>
      <w:r>
        <w:rPr>
          <w:rFonts w:hint="eastAsia" w:ascii="宋体" w:hAnsi="宋体" w:cs="宋体"/>
          <w:b/>
          <w:color w:val="auto"/>
          <w:szCs w:val="24"/>
        </w:rPr>
        <w:t>三、</w:t>
      </w:r>
      <w:bookmarkEnd w:id="18"/>
      <w:bookmarkEnd w:id="19"/>
      <w:bookmarkEnd w:id="20"/>
      <w:bookmarkEnd w:id="21"/>
      <w:bookmarkEnd w:id="22"/>
      <w:bookmarkEnd w:id="23"/>
      <w:bookmarkEnd w:id="24"/>
      <w:bookmarkEnd w:id="25"/>
      <w:bookmarkEnd w:id="26"/>
      <w:r>
        <w:rPr>
          <w:rFonts w:hint="eastAsia" w:ascii="宋体" w:hAnsi="宋体" w:cs="宋体"/>
          <w:b/>
          <w:color w:val="auto"/>
          <w:szCs w:val="24"/>
        </w:rPr>
        <w:t>其他要求</w:t>
      </w:r>
    </w:p>
    <w:p w14:paraId="161B1F4A">
      <w:pPr>
        <w:tabs>
          <w:tab w:val="left" w:pos="0"/>
        </w:tabs>
        <w:wordWrap w:val="0"/>
        <w:topLinePunct/>
        <w:spacing w:line="360" w:lineRule="auto"/>
        <w:ind w:firstLine="480" w:firstLineChars="200"/>
        <w:jc w:val="left"/>
        <w:rPr>
          <w:rFonts w:hint="eastAsia" w:ascii="宋体" w:hAnsi="宋体" w:eastAsia="宋体" w:cs="宋体"/>
          <w:snapToGrid w:val="0"/>
          <w:color w:val="auto"/>
          <w:szCs w:val="24"/>
        </w:rPr>
      </w:pPr>
      <w:bookmarkStart w:id="27" w:name="_Toc12856"/>
      <w:bookmarkStart w:id="28" w:name="_Toc24782"/>
      <w:r>
        <w:rPr>
          <w:rFonts w:hint="eastAsia" w:ascii="宋体" w:hAnsi="宋体" w:eastAsia="宋体" w:cs="宋体"/>
          <w:snapToGrid w:val="0"/>
          <w:color w:val="auto"/>
          <w:szCs w:val="24"/>
        </w:rPr>
        <w:t>1.供货要求</w:t>
      </w:r>
    </w:p>
    <w:p w14:paraId="4E39A187">
      <w:pPr>
        <w:tabs>
          <w:tab w:val="left" w:pos="0"/>
        </w:tabs>
        <w:wordWrap w:val="0"/>
        <w:topLinePunct/>
        <w:spacing w:line="360" w:lineRule="auto"/>
        <w:ind w:firstLine="480" w:firstLineChars="200"/>
        <w:jc w:val="left"/>
        <w:rPr>
          <w:rFonts w:hint="eastAsia" w:ascii="宋体" w:hAnsi="宋体" w:eastAsia="宋体" w:cs="宋体"/>
          <w:snapToGrid w:val="0"/>
          <w:color w:val="auto"/>
          <w:szCs w:val="24"/>
        </w:rPr>
      </w:pPr>
      <w:r>
        <w:rPr>
          <w:rFonts w:hint="eastAsia" w:ascii="宋体" w:hAnsi="宋体" w:eastAsia="宋体" w:cs="宋体"/>
          <w:snapToGrid w:val="0"/>
          <w:color w:val="auto"/>
          <w:szCs w:val="24"/>
        </w:rPr>
        <w:t>（1）</w:t>
      </w:r>
      <w:r>
        <w:rPr>
          <w:rFonts w:hint="eastAsia" w:ascii="宋体" w:hAnsi="宋体" w:cs="宋体"/>
          <w:color w:val="auto"/>
          <w:sz w:val="24"/>
          <w:szCs w:val="24"/>
          <w:lang w:val="en-US" w:eastAsia="zh-CN"/>
        </w:rPr>
        <w:t>成交</w:t>
      </w:r>
      <w:r>
        <w:rPr>
          <w:rFonts w:hint="eastAsia" w:ascii="宋体" w:hAnsi="宋体" w:eastAsia="宋体" w:cs="宋体"/>
          <w:snapToGrid w:val="0"/>
          <w:color w:val="auto"/>
          <w:szCs w:val="24"/>
        </w:rPr>
        <w:t>供应商向采购人配送的耗材/试剂，其质量应符合国家及行业相关规定。</w:t>
      </w:r>
      <w:r>
        <w:rPr>
          <w:rFonts w:hint="eastAsia" w:ascii="宋体" w:hAnsi="宋体" w:cs="宋体"/>
          <w:color w:val="auto"/>
          <w:sz w:val="24"/>
          <w:szCs w:val="24"/>
          <w:lang w:val="en-US" w:eastAsia="zh-CN"/>
        </w:rPr>
        <w:t>成交</w:t>
      </w:r>
      <w:r>
        <w:rPr>
          <w:rFonts w:hint="eastAsia" w:ascii="宋体" w:hAnsi="宋体" w:eastAsia="宋体" w:cs="宋体"/>
          <w:snapToGrid w:val="0"/>
          <w:color w:val="auto"/>
          <w:szCs w:val="24"/>
        </w:rPr>
        <w:t>供应商应保证所配送的耗材/试剂原产地真实，医用耗材/试剂是全新的、未使用过的，具有医用耗材/试剂检验报告书等书面文件。</w:t>
      </w:r>
      <w:r>
        <w:rPr>
          <w:rFonts w:hint="eastAsia" w:ascii="宋体" w:hAnsi="宋体" w:cs="宋体"/>
          <w:color w:val="auto"/>
          <w:sz w:val="24"/>
          <w:szCs w:val="24"/>
          <w:lang w:val="en-US" w:eastAsia="zh-CN"/>
        </w:rPr>
        <w:t>成交</w:t>
      </w:r>
      <w:r>
        <w:rPr>
          <w:rFonts w:hint="eastAsia" w:ascii="宋体" w:hAnsi="宋体" w:eastAsia="宋体" w:cs="宋体"/>
          <w:snapToGrid w:val="0"/>
          <w:color w:val="auto"/>
          <w:szCs w:val="24"/>
        </w:rPr>
        <w:t>供应商不得以假充真，以次充好。</w:t>
      </w:r>
    </w:p>
    <w:p w14:paraId="7A462DE7">
      <w:pPr>
        <w:tabs>
          <w:tab w:val="left" w:pos="0"/>
        </w:tabs>
        <w:wordWrap w:val="0"/>
        <w:topLinePunct/>
        <w:spacing w:line="360" w:lineRule="auto"/>
        <w:ind w:firstLine="480" w:firstLineChars="200"/>
        <w:jc w:val="left"/>
        <w:rPr>
          <w:rFonts w:hint="eastAsia" w:ascii="宋体" w:hAnsi="宋体" w:eastAsia="宋体" w:cs="宋体"/>
          <w:snapToGrid w:val="0"/>
          <w:color w:val="auto"/>
          <w:szCs w:val="24"/>
        </w:rPr>
      </w:pPr>
      <w:r>
        <w:rPr>
          <w:rFonts w:hint="eastAsia" w:ascii="宋体" w:hAnsi="宋体" w:eastAsia="宋体" w:cs="宋体"/>
          <w:snapToGrid w:val="0"/>
          <w:color w:val="auto"/>
          <w:szCs w:val="24"/>
        </w:rPr>
        <w:t>（2）</w:t>
      </w:r>
      <w:r>
        <w:rPr>
          <w:rFonts w:hint="eastAsia" w:ascii="宋体" w:hAnsi="宋体" w:cs="宋体"/>
          <w:color w:val="auto"/>
          <w:sz w:val="24"/>
          <w:szCs w:val="24"/>
          <w:lang w:val="en-US" w:eastAsia="zh-CN"/>
        </w:rPr>
        <w:t>成交</w:t>
      </w:r>
      <w:r>
        <w:rPr>
          <w:rFonts w:hint="eastAsia" w:ascii="宋体" w:hAnsi="宋体" w:eastAsia="宋体" w:cs="宋体"/>
          <w:snapToGrid w:val="0"/>
          <w:color w:val="auto"/>
          <w:szCs w:val="24"/>
        </w:rPr>
        <w:t>供应商必须提供其具备医疗器械经营企业的有关合法有效的手续，按照采购人要求提供相关证明文件。</w:t>
      </w:r>
      <w:r>
        <w:rPr>
          <w:rFonts w:hint="eastAsia" w:ascii="宋体" w:hAnsi="宋体" w:cs="宋体"/>
          <w:color w:val="auto"/>
          <w:sz w:val="24"/>
          <w:szCs w:val="24"/>
          <w:lang w:val="en-US" w:eastAsia="zh-CN"/>
        </w:rPr>
        <w:t>成交</w:t>
      </w:r>
      <w:r>
        <w:rPr>
          <w:rFonts w:hint="eastAsia" w:ascii="宋体" w:hAnsi="宋体" w:eastAsia="宋体" w:cs="宋体"/>
          <w:snapToGrid w:val="0"/>
          <w:color w:val="auto"/>
          <w:szCs w:val="24"/>
        </w:rPr>
        <w:t>供应商应确保文件真实有效。在合同履行期间，如遇资质文件发生变动，</w:t>
      </w:r>
      <w:r>
        <w:rPr>
          <w:rFonts w:hint="eastAsia" w:ascii="宋体" w:hAnsi="宋体" w:cs="宋体"/>
          <w:color w:val="auto"/>
          <w:sz w:val="24"/>
          <w:szCs w:val="24"/>
          <w:lang w:val="en-US" w:eastAsia="zh-CN"/>
        </w:rPr>
        <w:t>成交</w:t>
      </w:r>
      <w:r>
        <w:rPr>
          <w:rFonts w:hint="eastAsia" w:ascii="宋体" w:hAnsi="宋体" w:eastAsia="宋体" w:cs="宋体"/>
          <w:snapToGrid w:val="0"/>
          <w:color w:val="auto"/>
          <w:szCs w:val="24"/>
        </w:rPr>
        <w:t>供应商须在3日内提供变更后的相关资质交设备科存档。</w:t>
      </w:r>
    </w:p>
    <w:p w14:paraId="360A7FE8">
      <w:pPr>
        <w:tabs>
          <w:tab w:val="left" w:pos="0"/>
        </w:tabs>
        <w:wordWrap w:val="0"/>
        <w:topLinePunct/>
        <w:spacing w:line="360" w:lineRule="auto"/>
        <w:ind w:firstLine="480" w:firstLineChars="200"/>
        <w:jc w:val="left"/>
        <w:rPr>
          <w:rFonts w:hint="eastAsia" w:ascii="宋体" w:hAnsi="宋体" w:eastAsia="宋体" w:cs="宋体"/>
          <w:snapToGrid w:val="0"/>
          <w:color w:val="auto"/>
          <w:szCs w:val="24"/>
        </w:rPr>
      </w:pPr>
      <w:r>
        <w:rPr>
          <w:rFonts w:hint="eastAsia" w:ascii="宋体" w:hAnsi="宋体" w:eastAsia="宋体" w:cs="宋体"/>
          <w:snapToGrid w:val="0"/>
          <w:color w:val="auto"/>
          <w:szCs w:val="24"/>
        </w:rPr>
        <w:t>（3）</w:t>
      </w:r>
      <w:r>
        <w:rPr>
          <w:rFonts w:hint="eastAsia" w:ascii="宋体" w:hAnsi="宋体" w:cs="宋体"/>
          <w:color w:val="auto"/>
          <w:sz w:val="24"/>
          <w:szCs w:val="24"/>
          <w:lang w:val="en-US" w:eastAsia="zh-CN"/>
        </w:rPr>
        <w:t>成交</w:t>
      </w:r>
      <w:r>
        <w:rPr>
          <w:rFonts w:hint="eastAsia" w:ascii="宋体" w:hAnsi="宋体" w:eastAsia="宋体" w:cs="宋体"/>
          <w:snapToGrid w:val="0"/>
          <w:color w:val="auto"/>
          <w:szCs w:val="24"/>
        </w:rPr>
        <w:t>供应商所配送的产品有效期限不得少于整个产品有效期的四分之三以上，确保采购人在使用耗材/试剂的过程中安全、有效。</w:t>
      </w:r>
    </w:p>
    <w:p w14:paraId="28257737">
      <w:pPr>
        <w:tabs>
          <w:tab w:val="left" w:pos="0"/>
        </w:tabs>
        <w:wordWrap w:val="0"/>
        <w:topLinePunct/>
        <w:spacing w:line="360" w:lineRule="auto"/>
        <w:ind w:firstLine="480" w:firstLineChars="200"/>
        <w:jc w:val="left"/>
        <w:rPr>
          <w:rFonts w:hint="eastAsia" w:ascii="宋体" w:hAnsi="宋体" w:eastAsia="宋体" w:cs="宋体"/>
          <w:snapToGrid w:val="0"/>
          <w:color w:val="auto"/>
          <w:szCs w:val="24"/>
        </w:rPr>
      </w:pPr>
      <w:r>
        <w:rPr>
          <w:rFonts w:hint="eastAsia" w:ascii="宋体" w:hAnsi="宋体" w:eastAsia="宋体" w:cs="宋体"/>
          <w:snapToGrid w:val="0"/>
          <w:color w:val="auto"/>
          <w:szCs w:val="24"/>
        </w:rPr>
        <w:t>（4）</w:t>
      </w:r>
      <w:r>
        <w:rPr>
          <w:rFonts w:hint="eastAsia" w:ascii="宋体" w:hAnsi="宋体" w:cs="宋体"/>
          <w:color w:val="auto"/>
          <w:sz w:val="24"/>
          <w:szCs w:val="24"/>
          <w:lang w:val="en-US" w:eastAsia="zh-CN"/>
        </w:rPr>
        <w:t>成交</w:t>
      </w:r>
      <w:r>
        <w:rPr>
          <w:rFonts w:hint="eastAsia" w:ascii="宋体" w:hAnsi="宋体" w:eastAsia="宋体" w:cs="宋体"/>
          <w:snapToGrid w:val="0"/>
          <w:color w:val="auto"/>
          <w:szCs w:val="24"/>
        </w:rPr>
        <w:t>供应商应根据采购人需求，向采购人提供相应的耗材/试剂使用培训。</w:t>
      </w:r>
    </w:p>
    <w:p w14:paraId="30ACB21D">
      <w:pPr>
        <w:tabs>
          <w:tab w:val="left" w:pos="0"/>
        </w:tabs>
        <w:wordWrap w:val="0"/>
        <w:topLinePunct/>
        <w:spacing w:line="360" w:lineRule="auto"/>
        <w:ind w:firstLine="480" w:firstLineChars="200"/>
        <w:jc w:val="left"/>
        <w:rPr>
          <w:rFonts w:hint="eastAsia" w:ascii="宋体" w:hAnsi="宋体" w:eastAsia="宋体" w:cs="宋体"/>
          <w:snapToGrid w:val="0"/>
          <w:color w:val="auto"/>
          <w:szCs w:val="24"/>
        </w:rPr>
      </w:pPr>
      <w:r>
        <w:rPr>
          <w:rFonts w:hint="eastAsia" w:ascii="宋体" w:hAnsi="宋体" w:eastAsia="宋体" w:cs="宋体"/>
          <w:snapToGrid w:val="0"/>
          <w:color w:val="auto"/>
          <w:szCs w:val="24"/>
        </w:rPr>
        <w:t>（5）</w:t>
      </w:r>
      <w:r>
        <w:rPr>
          <w:rFonts w:hint="eastAsia" w:ascii="宋体" w:hAnsi="宋体" w:cs="宋体"/>
          <w:color w:val="auto"/>
          <w:sz w:val="24"/>
          <w:szCs w:val="24"/>
          <w:lang w:val="en-US" w:eastAsia="zh-CN"/>
        </w:rPr>
        <w:t>成交</w:t>
      </w:r>
      <w:r>
        <w:rPr>
          <w:rFonts w:hint="eastAsia" w:ascii="宋体" w:hAnsi="宋体" w:eastAsia="宋体" w:cs="宋体"/>
          <w:snapToGrid w:val="0"/>
          <w:color w:val="auto"/>
          <w:szCs w:val="24"/>
        </w:rPr>
        <w:t>供应商提供的耗材/试剂需保证为合法来源。且</w:t>
      </w:r>
      <w:r>
        <w:rPr>
          <w:rFonts w:hint="eastAsia" w:ascii="宋体" w:hAnsi="宋体" w:eastAsia="宋体" w:cs="宋体"/>
          <w:snapToGrid w:val="0"/>
          <w:color w:val="auto"/>
          <w:szCs w:val="24"/>
          <w:lang w:val="en-US" w:eastAsia="zh-CN"/>
        </w:rPr>
        <w:t>交货时</w:t>
      </w:r>
      <w:r>
        <w:rPr>
          <w:rFonts w:hint="eastAsia" w:ascii="宋体" w:hAnsi="宋体" w:eastAsia="宋体" w:cs="宋体"/>
          <w:snapToGrid w:val="0"/>
          <w:color w:val="auto"/>
          <w:szCs w:val="24"/>
        </w:rPr>
        <w:t>需提供该经销商具有有效授权权限的相关证明文件，证明文件需能显示产品生产厂家对参选产品授权链条的完整性（签订合同后、供货前交于采购人存档）。</w:t>
      </w:r>
    </w:p>
    <w:p w14:paraId="4ABFA1DD">
      <w:pPr>
        <w:tabs>
          <w:tab w:val="left" w:pos="0"/>
        </w:tabs>
        <w:wordWrap w:val="0"/>
        <w:topLinePunct/>
        <w:spacing w:line="360" w:lineRule="auto"/>
        <w:ind w:firstLine="480" w:firstLineChars="200"/>
        <w:jc w:val="left"/>
        <w:rPr>
          <w:rFonts w:hint="eastAsia" w:ascii="宋体" w:hAnsi="宋体" w:eastAsia="宋体" w:cs="宋体"/>
          <w:snapToGrid w:val="0"/>
          <w:color w:val="auto"/>
          <w:szCs w:val="24"/>
        </w:rPr>
      </w:pPr>
      <w:r>
        <w:rPr>
          <w:rFonts w:hint="eastAsia" w:ascii="宋体" w:hAnsi="宋体" w:eastAsia="宋体" w:cs="宋体"/>
          <w:snapToGrid w:val="0"/>
          <w:color w:val="auto"/>
          <w:szCs w:val="24"/>
        </w:rPr>
        <w:t>2.采购人向</w:t>
      </w:r>
      <w:r>
        <w:rPr>
          <w:rFonts w:hint="eastAsia" w:ascii="宋体" w:hAnsi="宋体" w:cs="宋体"/>
          <w:color w:val="auto"/>
          <w:sz w:val="24"/>
          <w:szCs w:val="24"/>
          <w:lang w:val="en-US" w:eastAsia="zh-CN"/>
        </w:rPr>
        <w:t>成交</w:t>
      </w:r>
      <w:r>
        <w:rPr>
          <w:rFonts w:hint="eastAsia" w:ascii="宋体" w:hAnsi="宋体" w:eastAsia="宋体" w:cs="宋体"/>
          <w:snapToGrid w:val="0"/>
          <w:color w:val="auto"/>
          <w:szCs w:val="24"/>
        </w:rPr>
        <w:t>供应商发出配送通知，明确配送品种、规格、数量等信息。</w:t>
      </w:r>
      <w:r>
        <w:rPr>
          <w:rFonts w:hint="eastAsia" w:ascii="宋体" w:hAnsi="宋体" w:cs="宋体"/>
          <w:color w:val="auto"/>
          <w:sz w:val="24"/>
          <w:szCs w:val="24"/>
          <w:lang w:val="en-US" w:eastAsia="zh-CN"/>
        </w:rPr>
        <w:t>成交</w:t>
      </w:r>
      <w:r>
        <w:rPr>
          <w:rFonts w:hint="eastAsia" w:ascii="宋体" w:hAnsi="宋体" w:eastAsia="宋体" w:cs="宋体"/>
          <w:snapToGrid w:val="0"/>
          <w:color w:val="auto"/>
          <w:szCs w:val="24"/>
        </w:rPr>
        <w:t>供应商每次配送的时间和数量必须严格按照采购人发送的配送通知执行。急救耗材/试剂应在30分钟内响应，配送时间不应超过4小时，一般耗材/试剂应在2小时内响应，配送时间不应超过48小时。</w:t>
      </w:r>
    </w:p>
    <w:p w14:paraId="0233F807">
      <w:pPr>
        <w:tabs>
          <w:tab w:val="left" w:pos="0"/>
        </w:tabs>
        <w:wordWrap w:val="0"/>
        <w:topLinePunct/>
        <w:spacing w:line="360" w:lineRule="auto"/>
        <w:ind w:firstLine="480" w:firstLineChars="200"/>
        <w:jc w:val="left"/>
        <w:rPr>
          <w:rFonts w:hint="eastAsia" w:ascii="宋体" w:hAnsi="宋体" w:eastAsia="宋体" w:cs="宋体"/>
          <w:snapToGrid w:val="0"/>
          <w:color w:val="auto"/>
          <w:szCs w:val="24"/>
        </w:rPr>
      </w:pPr>
      <w:r>
        <w:rPr>
          <w:rFonts w:hint="eastAsia" w:ascii="宋体" w:hAnsi="宋体" w:eastAsia="宋体" w:cs="宋体"/>
          <w:snapToGrid w:val="0"/>
          <w:color w:val="auto"/>
          <w:szCs w:val="24"/>
        </w:rPr>
        <w:t>3.如执行过程中，政策要求以上产品应在专门平台采购的，成交供应商无需继续供货，采购人按政策规定执行，采购人的需求量未达到拟采购数量的，采购人不做补偿/赔偿。</w:t>
      </w:r>
    </w:p>
    <w:p w14:paraId="40D301C8">
      <w:pPr>
        <w:tabs>
          <w:tab w:val="left" w:pos="0"/>
        </w:tabs>
        <w:wordWrap w:val="0"/>
        <w:topLinePunct/>
        <w:spacing w:line="360" w:lineRule="auto"/>
        <w:ind w:firstLine="480" w:firstLineChars="200"/>
        <w:jc w:val="left"/>
        <w:rPr>
          <w:rFonts w:hint="eastAsia" w:ascii="宋体" w:hAnsi="宋体" w:eastAsia="宋体" w:cs="宋体"/>
          <w:snapToGrid w:val="0"/>
          <w:color w:val="auto"/>
          <w:szCs w:val="24"/>
        </w:rPr>
      </w:pPr>
      <w:r>
        <w:rPr>
          <w:rFonts w:hint="eastAsia" w:ascii="宋体" w:hAnsi="宋体" w:eastAsia="宋体" w:cs="宋体"/>
          <w:snapToGrid w:val="0"/>
          <w:color w:val="auto"/>
          <w:szCs w:val="24"/>
        </w:rPr>
        <w:t>4.在本项目的服务期内涉及需集中带量采购的耗材将交于集中带量采购供应商供货，对应货物采购自动终止，如本项目的中标供应商为集中带量采购供应商库成员，则双方在集中带量采购制度下重新签订供货合同。投标人在投标时需承诺完全理解并同意采购人因集中带量采购制度调整可能出现的合同终止以及其他政策性变化导致的合同变动及终止，并在合同终止后不因此与采购人发生法律纠纷。</w:t>
      </w:r>
    </w:p>
    <w:p w14:paraId="6E231661">
      <w:pPr>
        <w:wordWrap w:val="0"/>
        <w:topLinePunct/>
        <w:adjustRightInd w:val="0"/>
        <w:snapToGrid w:val="0"/>
        <w:spacing w:line="360" w:lineRule="auto"/>
        <w:ind w:left="480" w:leftChars="200"/>
        <w:outlineLvl w:val="1"/>
        <w:rPr>
          <w:rFonts w:ascii="宋体" w:hAnsi="宋体" w:cs="宋体"/>
          <w:b/>
          <w:color w:val="auto"/>
          <w:szCs w:val="24"/>
        </w:rPr>
      </w:pPr>
      <w:r>
        <w:rPr>
          <w:rFonts w:hint="eastAsia" w:ascii="宋体" w:hAnsi="宋体" w:cs="宋体"/>
          <w:b/>
          <w:color w:val="auto"/>
          <w:szCs w:val="24"/>
        </w:rPr>
        <w:t>四、</w:t>
      </w:r>
      <w:r>
        <w:rPr>
          <w:rFonts w:hint="eastAsia" w:ascii="宋体" w:hAnsi="宋体" w:cs="宋体"/>
          <w:b/>
          <w:bCs/>
          <w:color w:val="auto"/>
          <w:szCs w:val="24"/>
        </w:rPr>
        <w:t>履约时间、地点及交货要求</w:t>
      </w:r>
      <w:bookmarkEnd w:id="27"/>
      <w:bookmarkEnd w:id="28"/>
    </w:p>
    <w:p w14:paraId="7D3DAC62">
      <w:pPr>
        <w:keepNext/>
        <w:keepLines/>
        <w:numPr>
          <w:ilvl w:val="4"/>
          <w:numId w:val="0"/>
        </w:numPr>
        <w:spacing w:line="360" w:lineRule="auto"/>
        <w:ind w:firstLine="480" w:firstLineChars="200"/>
        <w:rPr>
          <w:rFonts w:ascii="宋体" w:hAnsi="宋体" w:cs="宋体"/>
          <w:bCs/>
          <w:color w:val="auto"/>
          <w:kern w:val="0"/>
          <w:szCs w:val="24"/>
        </w:rPr>
      </w:pPr>
      <w:r>
        <w:rPr>
          <w:rFonts w:hint="eastAsia" w:ascii="宋体" w:hAnsi="宋体" w:cs="宋体"/>
          <w:bCs/>
          <w:color w:val="auto"/>
          <w:kern w:val="0"/>
          <w:szCs w:val="24"/>
        </w:rPr>
        <w:t>(一)履约时间：</w:t>
      </w:r>
    </w:p>
    <w:p w14:paraId="4BCC39BB">
      <w:pPr>
        <w:tabs>
          <w:tab w:val="left" w:pos="420"/>
        </w:tabs>
        <w:spacing w:line="360" w:lineRule="auto"/>
        <w:ind w:left="480" w:leftChars="200"/>
        <w:rPr>
          <w:rFonts w:hint="eastAsia" w:ascii="宋体" w:hAnsi="宋体" w:cs="宋体"/>
          <w:color w:val="auto"/>
          <w:szCs w:val="24"/>
          <w:highlight w:val="none"/>
        </w:rPr>
      </w:pPr>
      <w:r>
        <w:rPr>
          <w:rFonts w:hint="eastAsia" w:ascii="宋体" w:hAnsi="宋体" w:cs="宋体"/>
          <w:color w:val="auto"/>
          <w:szCs w:val="24"/>
          <w:highlight w:val="none"/>
          <w:lang w:val="en-US" w:eastAsia="zh-CN"/>
        </w:rPr>
        <w:t>自</w:t>
      </w:r>
      <w:r>
        <w:rPr>
          <w:rFonts w:hint="eastAsia" w:ascii="宋体" w:hAnsi="宋体" w:cs="宋体"/>
          <w:color w:val="auto"/>
          <w:szCs w:val="24"/>
          <w:highlight w:val="none"/>
        </w:rPr>
        <w:t>合同签订</w:t>
      </w:r>
      <w:r>
        <w:rPr>
          <w:rFonts w:hint="eastAsia" w:ascii="宋体" w:hAnsi="宋体" w:cs="宋体"/>
          <w:color w:val="auto"/>
          <w:szCs w:val="24"/>
          <w:highlight w:val="none"/>
          <w:lang w:val="en-US" w:eastAsia="zh-CN"/>
        </w:rPr>
        <w:t>之日起</w:t>
      </w:r>
      <w:r>
        <w:rPr>
          <w:rFonts w:hint="eastAsia" w:ascii="宋体" w:hAnsi="宋体" w:cs="宋体"/>
          <w:color w:val="auto"/>
          <w:szCs w:val="24"/>
          <w:highlight w:val="none"/>
        </w:rPr>
        <w:t xml:space="preserve"> </w:t>
      </w:r>
      <w:r>
        <w:rPr>
          <w:rFonts w:hint="eastAsia" w:ascii="宋体" w:hAnsi="宋体" w:cs="宋体"/>
          <w:color w:val="auto"/>
          <w:szCs w:val="24"/>
          <w:highlight w:val="none"/>
          <w:lang w:val="en-US" w:eastAsia="zh-CN"/>
        </w:rPr>
        <w:t>365</w:t>
      </w:r>
      <w:r>
        <w:rPr>
          <w:rFonts w:hint="eastAsia" w:ascii="宋体" w:hAnsi="宋体" w:cs="宋体"/>
          <w:color w:val="auto"/>
          <w:szCs w:val="24"/>
          <w:highlight w:val="none"/>
        </w:rPr>
        <w:t>日。</w:t>
      </w:r>
    </w:p>
    <w:p w14:paraId="218BC77A">
      <w:pPr>
        <w:tabs>
          <w:tab w:val="left" w:pos="420"/>
        </w:tabs>
        <w:spacing w:line="360" w:lineRule="auto"/>
        <w:ind w:left="480" w:leftChars="200"/>
        <w:rPr>
          <w:rFonts w:ascii="宋体" w:hAnsi="宋体" w:cs="宋体"/>
          <w:color w:val="auto"/>
          <w:szCs w:val="24"/>
        </w:rPr>
      </w:pPr>
      <w:r>
        <w:rPr>
          <w:rFonts w:hint="eastAsia" w:ascii="宋体" w:hAnsi="宋体" w:cs="宋体"/>
          <w:color w:val="auto"/>
          <w:szCs w:val="24"/>
        </w:rPr>
        <w:t>(二)履约地点：</w:t>
      </w:r>
      <w:r>
        <w:rPr>
          <w:rFonts w:hint="eastAsia" w:ascii="宋体" w:hAnsi="宋体" w:cs="宋体"/>
          <w:color w:val="auto"/>
        </w:rPr>
        <w:t>采购人指定地点</w:t>
      </w:r>
    </w:p>
    <w:p w14:paraId="686A8219">
      <w:pPr>
        <w:tabs>
          <w:tab w:val="left" w:pos="420"/>
        </w:tabs>
        <w:spacing w:line="360" w:lineRule="auto"/>
        <w:ind w:left="480" w:leftChars="200"/>
        <w:rPr>
          <w:rFonts w:ascii="宋体" w:hAnsi="宋体" w:cs="宋体"/>
          <w:color w:val="auto"/>
          <w:szCs w:val="24"/>
        </w:rPr>
      </w:pPr>
      <w:r>
        <w:rPr>
          <w:rFonts w:hint="eastAsia" w:ascii="宋体" w:hAnsi="宋体" w:cs="宋体"/>
          <w:color w:val="auto"/>
          <w:szCs w:val="24"/>
        </w:rPr>
        <w:t>(三)交货：</w:t>
      </w:r>
    </w:p>
    <w:p w14:paraId="2EF681BC">
      <w:pPr>
        <w:widowControl/>
        <w:tabs>
          <w:tab w:val="left" w:pos="360"/>
        </w:tabs>
        <w:snapToGrid w:val="0"/>
        <w:spacing w:line="360" w:lineRule="auto"/>
        <w:ind w:firstLine="480" w:firstLineChars="200"/>
        <w:rPr>
          <w:rFonts w:ascii="宋体" w:hAnsi="宋体" w:cs="宋体"/>
          <w:color w:val="auto"/>
          <w:szCs w:val="24"/>
          <w:u w:val="single"/>
        </w:rPr>
      </w:pPr>
      <w:r>
        <w:rPr>
          <w:rFonts w:hint="eastAsia" w:ascii="宋体" w:hAnsi="宋体" w:cs="宋体"/>
          <w:color w:val="auto"/>
          <w:szCs w:val="24"/>
          <w:shd w:val="clear" w:color="auto" w:fill="FFFFFF"/>
        </w:rPr>
        <w:t>1、交货地点及联系人：</w:t>
      </w:r>
      <w:r>
        <w:rPr>
          <w:rFonts w:hint="eastAsia" w:ascii="宋体" w:hAnsi="宋体" w:cs="宋体"/>
          <w:color w:val="auto"/>
          <w:szCs w:val="24"/>
        </w:rPr>
        <w:t>乙方负责办理运输和保险，将货物运抵甲方指定地点，有关运输、保险和装卸等一切相关的费用由乙方承担。</w:t>
      </w:r>
    </w:p>
    <w:p w14:paraId="1397FCBD">
      <w:pPr>
        <w:widowControl/>
        <w:tabs>
          <w:tab w:val="left" w:pos="360"/>
        </w:tabs>
        <w:snapToGrid w:val="0"/>
        <w:spacing w:line="360" w:lineRule="auto"/>
        <w:ind w:firstLine="480" w:firstLineChars="200"/>
        <w:rPr>
          <w:rFonts w:ascii="宋体" w:hAnsi="宋体" w:cs="宋体"/>
          <w:color w:val="auto"/>
          <w:szCs w:val="24"/>
        </w:rPr>
      </w:pPr>
      <w:r>
        <w:rPr>
          <w:rFonts w:hint="eastAsia" w:ascii="宋体" w:hAnsi="宋体" w:cs="宋体"/>
          <w:color w:val="auto"/>
          <w:szCs w:val="24"/>
          <w:shd w:val="clear" w:color="auto" w:fill="FFFFFF"/>
        </w:rPr>
        <w:t>2、</w:t>
      </w:r>
      <w:r>
        <w:rPr>
          <w:rFonts w:hint="eastAsia" w:ascii="宋体" w:hAnsi="宋体" w:cs="宋体"/>
          <w:color w:val="auto"/>
          <w:szCs w:val="24"/>
        </w:rPr>
        <w:t>供应商应在货物送达到甲方指定地点</w:t>
      </w:r>
      <w:r>
        <w:rPr>
          <w:rFonts w:hint="eastAsia" w:ascii="宋体" w:hAnsi="宋体" w:cs="宋体"/>
          <w:color w:val="auto"/>
          <w:szCs w:val="24"/>
          <w:u w:val="single"/>
        </w:rPr>
        <w:t xml:space="preserve">  七  </w:t>
      </w:r>
      <w:r>
        <w:rPr>
          <w:rFonts w:hint="eastAsia" w:ascii="宋体" w:hAnsi="宋体" w:cs="宋体"/>
          <w:color w:val="auto"/>
          <w:szCs w:val="24"/>
        </w:rPr>
        <w:t>日前，向甲方提供货物卸车、清点计划（内容包括：合同号、名称、数量、价格、箱数、型号规格、重量和体积、拟发运的时间及其他必要的说明），并于发运的同时通知甲方，分批送货的每次均按照此要求执行。</w:t>
      </w:r>
    </w:p>
    <w:p w14:paraId="5774861A">
      <w:pPr>
        <w:widowControl/>
        <w:tabs>
          <w:tab w:val="left" w:pos="0"/>
        </w:tabs>
        <w:snapToGrid w:val="0"/>
        <w:spacing w:line="360" w:lineRule="auto"/>
        <w:ind w:firstLine="480" w:firstLineChars="200"/>
        <w:rPr>
          <w:rFonts w:ascii="宋体" w:hAnsi="宋体" w:cs="宋体"/>
          <w:color w:val="auto"/>
          <w:szCs w:val="24"/>
        </w:rPr>
      </w:pPr>
      <w:r>
        <w:rPr>
          <w:rFonts w:hint="eastAsia" w:ascii="宋体" w:hAnsi="宋体" w:cs="宋体"/>
          <w:color w:val="auto"/>
          <w:szCs w:val="24"/>
        </w:rPr>
        <w:t>3、开箱清点及初步检验时双方应派人员参加。凡由于乙方对合同货物包装不善、标记不明、防护措施不当或在合同货物装箱前保管不良，致使合同货物遭到损坏或丢失，乙方应负责免费更换或补足，并承担由此给甲方造成的一切损失。</w:t>
      </w:r>
    </w:p>
    <w:p w14:paraId="1B692D97">
      <w:pPr>
        <w:widowControl/>
        <w:tabs>
          <w:tab w:val="left" w:pos="0"/>
        </w:tabs>
        <w:snapToGrid w:val="0"/>
        <w:spacing w:line="360" w:lineRule="auto"/>
        <w:ind w:firstLine="480" w:firstLineChars="200"/>
        <w:rPr>
          <w:rFonts w:ascii="宋体" w:hAnsi="宋体" w:cs="宋体"/>
          <w:color w:val="auto"/>
          <w:szCs w:val="24"/>
        </w:rPr>
      </w:pPr>
      <w:r>
        <w:rPr>
          <w:rFonts w:hint="eastAsia" w:ascii="宋体" w:hAnsi="宋体" w:cs="宋体"/>
          <w:color w:val="auto"/>
          <w:szCs w:val="24"/>
        </w:rPr>
        <w:t>4、货物涉及政府采购商品包装和快递包装的，货物送达至甲方指定地点后，甲方将对乙方是否按照</w:t>
      </w:r>
      <w:r>
        <w:rPr>
          <w:rFonts w:hint="eastAsia" w:ascii="宋体" w:hAnsi="宋体" w:cs="宋体"/>
          <w:color w:val="auto"/>
          <w:szCs w:val="24"/>
          <w:lang w:val="en-US" w:eastAsia="zh-CN"/>
        </w:rPr>
        <w:t>竞争性谈判文件</w:t>
      </w:r>
      <w:r>
        <w:rPr>
          <w:rFonts w:hint="eastAsia" w:ascii="宋体" w:hAnsi="宋体" w:cs="宋体"/>
          <w:color w:val="auto"/>
          <w:szCs w:val="24"/>
        </w:rPr>
        <w:t>规定的包装要求进行验收，不符合包装要求的，甲方有权拒收并要求乙方负责免费更换，并承担由此给甲方造成的一切损失。</w:t>
      </w:r>
    </w:p>
    <w:p w14:paraId="65E38B7F">
      <w:pPr>
        <w:widowControl/>
        <w:tabs>
          <w:tab w:val="left" w:pos="0"/>
        </w:tabs>
        <w:snapToGrid w:val="0"/>
        <w:spacing w:line="360" w:lineRule="auto"/>
        <w:ind w:firstLine="480" w:firstLineChars="200"/>
        <w:rPr>
          <w:rFonts w:ascii="宋体" w:hAnsi="宋体" w:cs="宋体"/>
          <w:color w:val="auto"/>
          <w:szCs w:val="24"/>
        </w:rPr>
      </w:pPr>
      <w:r>
        <w:rPr>
          <w:rFonts w:hint="eastAsia" w:ascii="宋体" w:hAnsi="宋体" w:cs="宋体"/>
          <w:color w:val="auto"/>
          <w:szCs w:val="24"/>
        </w:rPr>
        <w:t>5、供应商所提供的货物若发现有诸如数量、型号和外观尺寸与合同不符，或产生更换或补货等情形并导致工期延误，采购人有权根据合同有关条款的规定对因此造成的直接损失向供应商索赔。</w:t>
      </w:r>
    </w:p>
    <w:p w14:paraId="2E860F37">
      <w:pPr>
        <w:wordWrap w:val="0"/>
        <w:topLinePunct/>
        <w:adjustRightInd w:val="0"/>
        <w:snapToGrid w:val="0"/>
        <w:spacing w:line="360" w:lineRule="auto"/>
        <w:ind w:left="480" w:leftChars="200"/>
        <w:outlineLvl w:val="1"/>
        <w:rPr>
          <w:rFonts w:ascii="宋体" w:hAnsi="宋体" w:cs="宋体"/>
          <w:b/>
          <w:bCs/>
          <w:color w:val="auto"/>
          <w:szCs w:val="24"/>
        </w:rPr>
      </w:pPr>
      <w:bookmarkStart w:id="29" w:name="_Toc15528"/>
      <w:bookmarkStart w:id="30" w:name="_Toc25730"/>
      <w:r>
        <w:rPr>
          <w:rFonts w:hint="eastAsia" w:ascii="宋体" w:hAnsi="宋体" w:cs="宋体"/>
          <w:b/>
          <w:bCs/>
          <w:color w:val="auto"/>
          <w:szCs w:val="24"/>
        </w:rPr>
        <w:t>五、包装方式及运输要求</w:t>
      </w:r>
      <w:bookmarkEnd w:id="29"/>
      <w:bookmarkEnd w:id="30"/>
    </w:p>
    <w:p w14:paraId="07F5D751">
      <w:pPr>
        <w:numPr>
          <w:ilvl w:val="3"/>
          <w:numId w:val="0"/>
        </w:numPr>
        <w:tabs>
          <w:tab w:val="left" w:pos="0"/>
        </w:tabs>
        <w:wordWrap w:val="0"/>
        <w:topLinePunct/>
        <w:spacing w:line="360" w:lineRule="auto"/>
        <w:ind w:firstLine="480" w:firstLineChars="200"/>
        <w:rPr>
          <w:rFonts w:hint="eastAsia" w:ascii="宋体" w:hAnsi="宋体" w:cs="宋体"/>
          <w:color w:val="auto"/>
          <w:szCs w:val="24"/>
        </w:rPr>
      </w:pPr>
      <w:r>
        <w:rPr>
          <w:rFonts w:hint="eastAsia" w:ascii="宋体" w:hAnsi="宋体" w:cs="宋体"/>
          <w:color w:val="auto"/>
          <w:szCs w:val="24"/>
          <w:lang w:eastAsia="zh-CN"/>
        </w:rPr>
        <w:t>（</w:t>
      </w:r>
      <w:r>
        <w:rPr>
          <w:rFonts w:hint="eastAsia" w:ascii="宋体" w:hAnsi="宋体" w:cs="宋体"/>
          <w:color w:val="auto"/>
          <w:szCs w:val="24"/>
          <w:lang w:val="en-US" w:eastAsia="zh-CN"/>
        </w:rPr>
        <w:t>一</w:t>
      </w:r>
      <w:r>
        <w:rPr>
          <w:rFonts w:hint="eastAsia" w:ascii="宋体" w:hAnsi="宋体" w:cs="宋体"/>
          <w:color w:val="auto"/>
          <w:szCs w:val="24"/>
          <w:lang w:eastAsia="zh-CN"/>
        </w:rPr>
        <w:t>）</w:t>
      </w:r>
      <w:r>
        <w:rPr>
          <w:rFonts w:hint="eastAsia" w:ascii="宋体" w:hAnsi="宋体" w:cs="宋体"/>
          <w:color w:val="auto"/>
          <w:sz w:val="24"/>
          <w:szCs w:val="24"/>
          <w:lang w:val="en-US" w:eastAsia="zh-CN"/>
        </w:rPr>
        <w:t>成交</w:t>
      </w:r>
      <w:r>
        <w:rPr>
          <w:rFonts w:hint="eastAsia" w:ascii="宋体" w:hAnsi="宋体" w:cs="宋体"/>
          <w:color w:val="auto"/>
          <w:szCs w:val="24"/>
        </w:rPr>
        <w:t>供应商向采购人配送的耗材/试剂应使用原厂包装物并符合国家规定、符合要求的中文说明书、标签和包装标识，耗材/试剂包装上（大小包装等）必须附有名称、型号、批号、规格、有效期等国家规定的中文标识。每个包装箱内应附一份合格证明，如非整件则须附有加盖鲜章的合格证明的复印件，否则，采购人不予验收。</w:t>
      </w:r>
    </w:p>
    <w:p w14:paraId="26A24EAF">
      <w:pPr>
        <w:numPr>
          <w:ilvl w:val="3"/>
          <w:numId w:val="0"/>
        </w:numPr>
        <w:tabs>
          <w:tab w:val="left" w:pos="0"/>
        </w:tabs>
        <w:wordWrap w:val="0"/>
        <w:topLinePunct/>
        <w:spacing w:line="360" w:lineRule="auto"/>
        <w:ind w:firstLine="480" w:firstLineChars="200"/>
        <w:rPr>
          <w:rFonts w:hint="eastAsia" w:ascii="宋体" w:hAnsi="宋体" w:cs="宋体"/>
          <w:color w:val="auto"/>
          <w:szCs w:val="24"/>
        </w:rPr>
      </w:pPr>
      <w:r>
        <w:rPr>
          <w:rFonts w:hint="eastAsia" w:ascii="宋体" w:hAnsi="宋体" w:cs="宋体"/>
          <w:color w:val="auto"/>
          <w:szCs w:val="24"/>
          <w:lang w:eastAsia="zh-CN"/>
        </w:rPr>
        <w:t>（</w:t>
      </w:r>
      <w:r>
        <w:rPr>
          <w:rFonts w:hint="eastAsia" w:ascii="宋体" w:hAnsi="宋体" w:cs="宋体"/>
          <w:color w:val="auto"/>
          <w:szCs w:val="24"/>
          <w:lang w:val="en-US" w:eastAsia="zh-CN"/>
        </w:rPr>
        <w:t>二</w:t>
      </w:r>
      <w:r>
        <w:rPr>
          <w:rFonts w:hint="eastAsia" w:ascii="宋体" w:hAnsi="宋体" w:cs="宋体"/>
          <w:color w:val="auto"/>
          <w:szCs w:val="24"/>
          <w:lang w:eastAsia="zh-CN"/>
        </w:rPr>
        <w:t>）</w:t>
      </w:r>
      <w:r>
        <w:rPr>
          <w:rFonts w:hint="eastAsia" w:ascii="宋体" w:hAnsi="宋体" w:cs="宋体"/>
          <w:color w:val="auto"/>
          <w:szCs w:val="24"/>
        </w:rPr>
        <w:t>为保障耗材/试剂运输转运过程中的安全，本项目所有耗材/试剂的包装要求除按照《财政部等三部门联合印发商品包装和快递包装政府采购需求标准（试行）》（财库办〔2020〕123号）中《商品包装政府采购需求标准（试行）》及《快递包装政府采购需求标准（试行）》规定的要求外，</w:t>
      </w:r>
      <w:r>
        <w:rPr>
          <w:rFonts w:hint="eastAsia" w:ascii="宋体" w:hAnsi="宋体" w:cs="宋体"/>
          <w:color w:val="auto"/>
          <w:sz w:val="24"/>
          <w:szCs w:val="24"/>
          <w:lang w:val="en-US" w:eastAsia="zh-CN"/>
        </w:rPr>
        <w:t>成交</w:t>
      </w:r>
      <w:r>
        <w:rPr>
          <w:rFonts w:hint="eastAsia" w:ascii="宋体" w:hAnsi="宋体" w:cs="宋体"/>
          <w:color w:val="auto"/>
          <w:szCs w:val="24"/>
        </w:rPr>
        <w:t>供应商应视情况提供产品额外包装以防止产品损坏或变质，包装应能够适应远距离运输、防潮、防震、防变质、防野蛮装卸等，以确保医用耗材/试剂安全无损运抵指定地点，额外包装不另行收费。</w:t>
      </w:r>
    </w:p>
    <w:p w14:paraId="15615049">
      <w:pPr>
        <w:numPr>
          <w:ilvl w:val="3"/>
          <w:numId w:val="0"/>
        </w:numPr>
        <w:tabs>
          <w:tab w:val="left" w:pos="0"/>
        </w:tabs>
        <w:wordWrap w:val="0"/>
        <w:topLinePunct/>
        <w:spacing w:line="360" w:lineRule="auto"/>
        <w:ind w:firstLine="480" w:firstLineChars="200"/>
        <w:rPr>
          <w:rFonts w:ascii="宋体" w:hAnsi="宋体" w:cs="宋体"/>
          <w:color w:val="auto"/>
          <w:szCs w:val="24"/>
        </w:rPr>
      </w:pPr>
      <w:r>
        <w:rPr>
          <w:rFonts w:hint="eastAsia" w:ascii="宋体" w:hAnsi="宋体" w:cs="宋体"/>
          <w:color w:val="auto"/>
          <w:szCs w:val="24"/>
        </w:rPr>
        <w:t>(三)本次采购的标的物需要运输，乙方在合同约定的时间内将标的物运输至合同约定地点。乙方自行运输标的物或委托承运人运输的，应为该批货物购买货物运输保险和运输工具航程保险，其损毁、灭失的风险自合同成立时起由乙方承担。</w:t>
      </w:r>
    </w:p>
    <w:p w14:paraId="6A821DC8">
      <w:pPr>
        <w:numPr>
          <w:ilvl w:val="3"/>
          <w:numId w:val="0"/>
        </w:numPr>
        <w:tabs>
          <w:tab w:val="left" w:pos="0"/>
        </w:tabs>
        <w:wordWrap w:val="0"/>
        <w:topLinePunct/>
        <w:spacing w:line="360" w:lineRule="auto"/>
        <w:ind w:firstLine="480" w:firstLineChars="200"/>
        <w:rPr>
          <w:rFonts w:ascii="宋体" w:hAnsi="宋体" w:cs="宋体"/>
          <w:color w:val="auto"/>
          <w:szCs w:val="24"/>
        </w:rPr>
      </w:pPr>
      <w:r>
        <w:rPr>
          <w:rFonts w:hint="eastAsia" w:ascii="宋体" w:hAnsi="宋体" w:cs="宋体"/>
          <w:color w:val="auto"/>
          <w:szCs w:val="24"/>
        </w:rPr>
        <w:t>(四)乙方按照约定将标的物运送至甲方指定地点并完成交付的或甲方违反约定不予收取的，标的物损毁、灭失的风险由甲方承担。</w:t>
      </w:r>
    </w:p>
    <w:p w14:paraId="16D66146">
      <w:pPr>
        <w:wordWrap w:val="0"/>
        <w:topLinePunct/>
        <w:adjustRightInd w:val="0"/>
        <w:snapToGrid w:val="0"/>
        <w:spacing w:line="360" w:lineRule="auto"/>
        <w:ind w:left="480" w:leftChars="200"/>
        <w:outlineLvl w:val="1"/>
        <w:rPr>
          <w:rFonts w:ascii="宋体" w:hAnsi="宋体" w:cs="宋体"/>
          <w:b/>
          <w:bCs/>
          <w:color w:val="auto"/>
          <w:szCs w:val="24"/>
        </w:rPr>
      </w:pPr>
      <w:bookmarkStart w:id="31" w:name="_Toc27902"/>
      <w:bookmarkStart w:id="32" w:name="_Toc26229"/>
      <w:r>
        <w:rPr>
          <w:rFonts w:hint="eastAsia" w:ascii="宋体" w:hAnsi="宋体" w:cs="宋体"/>
          <w:b/>
          <w:bCs/>
          <w:color w:val="auto"/>
          <w:szCs w:val="24"/>
        </w:rPr>
        <w:t>六、验收要求</w:t>
      </w:r>
      <w:bookmarkEnd w:id="31"/>
      <w:bookmarkEnd w:id="32"/>
    </w:p>
    <w:p w14:paraId="00C46982">
      <w:pPr>
        <w:wordWrap w:val="0"/>
        <w:topLinePunct/>
        <w:spacing w:line="360" w:lineRule="auto"/>
        <w:ind w:firstLine="480" w:firstLineChars="200"/>
        <w:rPr>
          <w:rFonts w:hint="eastAsia" w:ascii="宋体" w:hAnsi="宋体" w:cs="宋体"/>
          <w:color w:val="auto"/>
          <w:szCs w:val="24"/>
        </w:rPr>
      </w:pPr>
      <w:r>
        <w:rPr>
          <w:rFonts w:hint="eastAsia" w:ascii="宋体" w:hAnsi="宋体" w:cs="宋体"/>
          <w:color w:val="auto"/>
          <w:szCs w:val="24"/>
        </w:rPr>
        <w:t>(一)本项目现场验收由甲方组织，乙方配合进行。甲方可以-邀请参加本项目的其他供应商或者第三方专业机构及专家参与验收，相关验收意见作为验收的参考资料。政府向社会公众提供的公共服务项目，验收时应当邀请服务对象参与并出具意见，验收结果应当向社会公告。</w:t>
      </w:r>
    </w:p>
    <w:p w14:paraId="0950EF87">
      <w:pPr>
        <w:spacing w:before="120" w:beforeLines="50" w:after="120" w:afterLines="50"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lang w:eastAsia="zh-CN"/>
        </w:rPr>
        <w:t>（</w:t>
      </w:r>
      <w:r>
        <w:rPr>
          <w:rFonts w:hint="eastAsia" w:ascii="宋体" w:hAnsi="宋体" w:eastAsia="宋体" w:cs="宋体"/>
          <w:color w:val="auto"/>
          <w:szCs w:val="24"/>
          <w:lang w:val="en-US" w:eastAsia="zh-CN"/>
        </w:rPr>
        <w:t>二</w:t>
      </w:r>
      <w:r>
        <w:rPr>
          <w:rFonts w:hint="eastAsia" w:ascii="宋体" w:hAnsi="宋体" w:eastAsia="宋体" w:cs="宋体"/>
          <w:color w:val="auto"/>
          <w:szCs w:val="24"/>
          <w:lang w:eastAsia="zh-CN"/>
        </w:rPr>
        <w:t>）</w:t>
      </w:r>
      <w:r>
        <w:rPr>
          <w:rFonts w:hint="eastAsia" w:ascii="宋体" w:hAnsi="宋体" w:eastAsia="宋体" w:cs="宋体"/>
          <w:color w:val="auto"/>
          <w:szCs w:val="24"/>
        </w:rPr>
        <w:t>货物在</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每次供货完成后3日内对耗材/试剂的数量、外包装、有效期等进行初步验收。</w:t>
      </w:r>
    </w:p>
    <w:p w14:paraId="0B0EE6BA">
      <w:pPr>
        <w:spacing w:before="120" w:beforeLines="50" w:after="120" w:afterLines="50" w:line="360" w:lineRule="auto"/>
        <w:ind w:firstLine="480" w:firstLineChars="200"/>
        <w:rPr>
          <w:rFonts w:hint="eastAsia" w:ascii="宋体" w:hAnsi="宋体" w:eastAsia="宋体" w:cs="宋体"/>
          <w:color w:val="auto"/>
          <w:szCs w:val="24"/>
          <w:lang w:eastAsia="zh-CN"/>
        </w:rPr>
      </w:pPr>
      <w:r>
        <w:rPr>
          <w:rFonts w:hint="eastAsia" w:ascii="宋体" w:hAnsi="宋体" w:eastAsia="宋体" w:cs="宋体"/>
          <w:color w:val="auto"/>
          <w:szCs w:val="24"/>
          <w:lang w:eastAsia="zh-CN"/>
        </w:rPr>
        <w:t>（</w:t>
      </w:r>
      <w:r>
        <w:rPr>
          <w:rFonts w:hint="eastAsia" w:ascii="宋体" w:hAnsi="宋体" w:eastAsia="宋体" w:cs="宋体"/>
          <w:color w:val="auto"/>
          <w:szCs w:val="24"/>
          <w:lang w:val="en-US" w:eastAsia="zh-CN"/>
        </w:rPr>
        <w:t>三</w:t>
      </w:r>
      <w:r>
        <w:rPr>
          <w:rFonts w:hint="eastAsia" w:ascii="宋体" w:hAnsi="宋体" w:eastAsia="宋体" w:cs="宋体"/>
          <w:color w:val="auto"/>
          <w:szCs w:val="24"/>
          <w:lang w:eastAsia="zh-CN"/>
        </w:rPr>
        <w:t>）</w:t>
      </w:r>
      <w:r>
        <w:rPr>
          <w:rFonts w:hint="eastAsia" w:ascii="宋体" w:hAnsi="宋体" w:eastAsia="宋体" w:cs="宋体"/>
          <w:color w:val="auto"/>
          <w:szCs w:val="24"/>
        </w:rPr>
        <w:t>验收标准：按国家有关规定以及采购人</w:t>
      </w:r>
      <w:r>
        <w:rPr>
          <w:rFonts w:hint="eastAsia" w:ascii="宋体" w:hAnsi="宋体" w:eastAsia="宋体" w:cs="宋体"/>
          <w:color w:val="auto"/>
          <w:szCs w:val="24"/>
          <w:lang w:eastAsia="zh-CN"/>
        </w:rPr>
        <w:t>竞争性谈判文件</w:t>
      </w:r>
      <w:r>
        <w:rPr>
          <w:rFonts w:hint="eastAsia" w:ascii="宋体" w:hAnsi="宋体" w:eastAsia="宋体" w:cs="宋体"/>
          <w:color w:val="auto"/>
          <w:szCs w:val="24"/>
        </w:rPr>
        <w:t>的质量要求和技术指标、</w:t>
      </w:r>
      <w:r>
        <w:rPr>
          <w:rFonts w:hint="eastAsia" w:ascii="宋体" w:hAnsi="宋体" w:cs="宋体"/>
          <w:color w:val="auto"/>
          <w:sz w:val="24"/>
          <w:szCs w:val="24"/>
          <w:lang w:val="en-US" w:eastAsia="zh-CN"/>
        </w:rPr>
        <w:t>成交</w:t>
      </w:r>
      <w:r>
        <w:rPr>
          <w:rFonts w:hint="eastAsia" w:ascii="宋体" w:hAnsi="宋体" w:eastAsia="宋体" w:cs="宋体"/>
          <w:color w:val="auto"/>
          <w:szCs w:val="24"/>
        </w:rPr>
        <w:t>供应商的投标文件及承诺与本合同约定标准进行验收；</w:t>
      </w:r>
      <w:r>
        <w:rPr>
          <w:rFonts w:hint="eastAsia" w:ascii="宋体" w:hAnsi="宋体" w:eastAsia="宋体" w:cs="宋体"/>
          <w:color w:val="auto"/>
          <w:szCs w:val="24"/>
          <w:lang w:val="en-US" w:eastAsia="zh-CN"/>
        </w:rPr>
        <w:t>甲乙</w:t>
      </w:r>
      <w:r>
        <w:rPr>
          <w:rFonts w:hint="eastAsia" w:ascii="宋体" w:hAnsi="宋体" w:eastAsia="宋体" w:cs="宋体"/>
          <w:color w:val="auto"/>
          <w:szCs w:val="24"/>
        </w:rPr>
        <w:t>双方如对质量要求和技术指标的约定标准有相互抵触或异议的事项，由</w:t>
      </w:r>
      <w:r>
        <w:rPr>
          <w:rFonts w:hint="eastAsia" w:ascii="宋体" w:hAnsi="宋体" w:eastAsia="宋体" w:cs="宋体"/>
          <w:color w:val="auto"/>
          <w:szCs w:val="24"/>
          <w:lang w:val="en-US" w:eastAsia="zh-CN"/>
        </w:rPr>
        <w:t>甲方</w:t>
      </w:r>
      <w:r>
        <w:rPr>
          <w:rFonts w:hint="eastAsia" w:ascii="宋体" w:hAnsi="宋体" w:eastAsia="宋体" w:cs="宋体"/>
          <w:color w:val="auto"/>
          <w:szCs w:val="24"/>
        </w:rPr>
        <w:t>在</w:t>
      </w:r>
      <w:r>
        <w:rPr>
          <w:rFonts w:hint="eastAsia" w:ascii="宋体" w:hAnsi="宋体" w:eastAsia="宋体" w:cs="宋体"/>
          <w:color w:val="auto"/>
          <w:szCs w:val="24"/>
          <w:lang w:eastAsia="zh-CN"/>
        </w:rPr>
        <w:t>竞争性谈判文件</w:t>
      </w:r>
      <w:r>
        <w:rPr>
          <w:rFonts w:hint="eastAsia" w:ascii="宋体" w:hAnsi="宋体" w:eastAsia="宋体" w:cs="宋体"/>
          <w:color w:val="auto"/>
          <w:szCs w:val="24"/>
        </w:rPr>
        <w:t>及投标文件中按质量要求和技术指标比较优胜的原则确定该项的约定标准进行验收</w:t>
      </w:r>
      <w:r>
        <w:rPr>
          <w:rFonts w:hint="eastAsia" w:ascii="宋体" w:hAnsi="宋体" w:eastAsia="宋体" w:cs="宋体"/>
          <w:color w:val="auto"/>
          <w:szCs w:val="24"/>
          <w:lang w:eastAsia="zh-CN"/>
        </w:rPr>
        <w:t>。</w:t>
      </w:r>
    </w:p>
    <w:p w14:paraId="46F6929A">
      <w:pPr>
        <w:spacing w:before="120" w:beforeLines="50" w:after="120" w:afterLines="50"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lang w:eastAsia="zh-CN"/>
        </w:rPr>
        <w:t>（</w:t>
      </w:r>
      <w:r>
        <w:rPr>
          <w:rFonts w:hint="eastAsia" w:ascii="宋体" w:hAnsi="宋体" w:eastAsia="宋体" w:cs="宋体"/>
          <w:color w:val="auto"/>
          <w:szCs w:val="24"/>
          <w:lang w:val="en-US" w:eastAsia="zh-CN"/>
        </w:rPr>
        <w:t>四</w:t>
      </w:r>
      <w:r>
        <w:rPr>
          <w:rFonts w:hint="eastAsia" w:ascii="宋体" w:hAnsi="宋体" w:eastAsia="宋体" w:cs="宋体"/>
          <w:color w:val="auto"/>
          <w:szCs w:val="24"/>
          <w:lang w:eastAsia="zh-CN"/>
        </w:rPr>
        <w:t>）</w:t>
      </w:r>
      <w:r>
        <w:rPr>
          <w:rFonts w:hint="eastAsia" w:ascii="宋体" w:hAnsi="宋体" w:eastAsia="宋体" w:cs="宋体"/>
          <w:color w:val="auto"/>
          <w:szCs w:val="24"/>
        </w:rPr>
        <w:t>验收时如发现所交付的货物有短装、次品、损坏或其它不符合标准及本合同规定之情形者，</w:t>
      </w:r>
      <w:r>
        <w:rPr>
          <w:rFonts w:hint="eastAsia" w:ascii="宋体" w:hAnsi="宋体" w:eastAsia="宋体" w:cs="宋体"/>
          <w:color w:val="auto"/>
          <w:szCs w:val="24"/>
          <w:lang w:val="en-US" w:eastAsia="zh-CN"/>
        </w:rPr>
        <w:t>甲方</w:t>
      </w:r>
      <w:r>
        <w:rPr>
          <w:rFonts w:hint="eastAsia" w:ascii="宋体" w:hAnsi="宋体" w:eastAsia="宋体" w:cs="宋体"/>
          <w:color w:val="auto"/>
          <w:szCs w:val="24"/>
        </w:rPr>
        <w:t>应做出详尽的现场记录，或由甲乙双方签署备忘录，此现场记录或备忘录可用作补充、缺失和更换损坏部件的有效证据，由此产生的时间延误与有关费用由</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 xml:space="preserve">承担，验收期限相应顺延。 </w:t>
      </w:r>
    </w:p>
    <w:p w14:paraId="7FE4B864">
      <w:pPr>
        <w:spacing w:before="120" w:beforeLines="50" w:after="120" w:afterLines="50"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lang w:eastAsia="zh-CN"/>
        </w:rPr>
        <w:t>（</w:t>
      </w:r>
      <w:r>
        <w:rPr>
          <w:rFonts w:hint="eastAsia" w:ascii="宋体" w:hAnsi="宋体" w:eastAsia="宋体" w:cs="宋体"/>
          <w:color w:val="auto"/>
          <w:szCs w:val="24"/>
          <w:lang w:val="en-US" w:eastAsia="zh-CN"/>
        </w:rPr>
        <w:t>五</w:t>
      </w:r>
      <w:r>
        <w:rPr>
          <w:rFonts w:hint="eastAsia" w:ascii="宋体" w:hAnsi="宋体" w:eastAsia="宋体" w:cs="宋体"/>
          <w:color w:val="auto"/>
          <w:szCs w:val="24"/>
          <w:lang w:eastAsia="zh-CN"/>
        </w:rPr>
        <w:t>）</w:t>
      </w:r>
      <w:r>
        <w:rPr>
          <w:rFonts w:hint="eastAsia" w:ascii="宋体" w:hAnsi="宋体" w:eastAsia="宋体" w:cs="宋体"/>
          <w:color w:val="auto"/>
          <w:szCs w:val="24"/>
        </w:rPr>
        <w:t>该初步验收并不免除耗材/试剂在实际使用过程中，</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的质量责任。</w:t>
      </w:r>
      <w:r>
        <w:rPr>
          <w:rFonts w:hint="eastAsia" w:ascii="宋体" w:hAnsi="宋体" w:eastAsia="宋体" w:cs="宋体"/>
          <w:color w:val="auto"/>
          <w:szCs w:val="24"/>
          <w:lang w:val="en-US" w:eastAsia="zh-CN"/>
        </w:rPr>
        <w:t>甲方</w:t>
      </w:r>
      <w:r>
        <w:rPr>
          <w:rFonts w:hint="eastAsia" w:ascii="宋体" w:hAnsi="宋体" w:eastAsia="宋体" w:cs="宋体"/>
          <w:color w:val="auto"/>
          <w:szCs w:val="24"/>
        </w:rPr>
        <w:t>在使用</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提供的耗材/试剂过程中，若发现异常情况及时通知</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应及时主动协助采购人查明异常原因，明确相应责任。临床使用过程中，若耗材/试剂出现质量问题，</w:t>
      </w:r>
      <w:r>
        <w:rPr>
          <w:rFonts w:hint="eastAsia" w:ascii="宋体" w:hAnsi="宋体" w:eastAsia="宋体" w:cs="宋体"/>
          <w:color w:val="auto"/>
          <w:szCs w:val="24"/>
          <w:lang w:val="en-US" w:eastAsia="zh-CN"/>
        </w:rPr>
        <w:t>甲方</w:t>
      </w:r>
      <w:r>
        <w:rPr>
          <w:rFonts w:hint="eastAsia" w:ascii="宋体" w:hAnsi="宋体" w:eastAsia="宋体" w:cs="宋体"/>
          <w:color w:val="auto"/>
          <w:szCs w:val="24"/>
        </w:rPr>
        <w:t>有权无条件退货，并有权随时停止使用该耗材/试剂，同时，</w:t>
      </w:r>
      <w:r>
        <w:rPr>
          <w:rFonts w:hint="eastAsia" w:ascii="宋体" w:hAnsi="宋体" w:eastAsia="宋体" w:cs="宋体"/>
          <w:color w:val="auto"/>
          <w:szCs w:val="24"/>
          <w:lang w:val="en-US" w:eastAsia="zh-CN"/>
        </w:rPr>
        <w:t>甲方</w:t>
      </w:r>
      <w:r>
        <w:rPr>
          <w:rFonts w:hint="eastAsia" w:ascii="宋体" w:hAnsi="宋体" w:eastAsia="宋体" w:cs="宋体"/>
          <w:color w:val="auto"/>
          <w:szCs w:val="24"/>
        </w:rPr>
        <w:t>有权解除合同，</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自行承担由此引起的一切法律责任和损失。</w:t>
      </w:r>
    </w:p>
    <w:p w14:paraId="365FA388">
      <w:pPr>
        <w:numPr>
          <w:ilvl w:val="2"/>
          <w:numId w:val="0"/>
        </w:numPr>
        <w:wordWrap w:val="0"/>
        <w:topLinePunct/>
        <w:spacing w:line="360" w:lineRule="auto"/>
        <w:ind w:firstLine="480" w:firstLineChars="200"/>
        <w:rPr>
          <w:rFonts w:ascii="宋体" w:hAnsi="宋体" w:cs="宋体"/>
          <w:snapToGrid w:val="0"/>
          <w:color w:val="auto"/>
          <w:szCs w:val="24"/>
        </w:rPr>
      </w:pPr>
      <w:r>
        <w:rPr>
          <w:rFonts w:hint="eastAsia" w:ascii="宋体" w:hAnsi="宋体" w:cs="宋体"/>
          <w:snapToGrid w:val="0"/>
          <w:color w:val="auto"/>
          <w:szCs w:val="24"/>
        </w:rPr>
        <w:t>(</w:t>
      </w:r>
      <w:r>
        <w:rPr>
          <w:rFonts w:hint="eastAsia" w:ascii="宋体" w:hAnsi="宋体" w:cs="宋体"/>
          <w:snapToGrid w:val="0"/>
          <w:color w:val="auto"/>
          <w:szCs w:val="24"/>
          <w:lang w:val="en-US" w:eastAsia="zh-CN"/>
        </w:rPr>
        <w:t>六</w:t>
      </w:r>
      <w:r>
        <w:rPr>
          <w:rFonts w:hint="eastAsia" w:ascii="宋体" w:hAnsi="宋体" w:cs="宋体"/>
          <w:snapToGrid w:val="0"/>
          <w:color w:val="auto"/>
          <w:szCs w:val="24"/>
        </w:rPr>
        <w:t>)如验收合格，双方签署验收报告。</w:t>
      </w:r>
    </w:p>
    <w:p w14:paraId="40EBC994">
      <w:pPr>
        <w:numPr>
          <w:ilvl w:val="1"/>
          <w:numId w:val="0"/>
        </w:numPr>
        <w:wordWrap w:val="0"/>
        <w:topLinePunct/>
        <w:spacing w:line="360" w:lineRule="auto"/>
        <w:ind w:firstLine="480" w:firstLineChars="200"/>
        <w:rPr>
          <w:rFonts w:ascii="宋体" w:hAnsi="宋体" w:cs="宋体"/>
          <w:color w:val="auto"/>
          <w:szCs w:val="24"/>
        </w:rPr>
      </w:pPr>
      <w:r>
        <w:rPr>
          <w:rFonts w:hint="eastAsia" w:ascii="宋体" w:hAnsi="宋体" w:cs="宋体"/>
          <w:color w:val="auto"/>
          <w:szCs w:val="24"/>
        </w:rPr>
        <w:t>1、货物</w:t>
      </w:r>
      <w:r>
        <w:rPr>
          <w:rFonts w:hint="eastAsia" w:ascii="宋体" w:hAnsi="宋体" w:cs="宋体"/>
          <w:color w:val="auto"/>
          <w:szCs w:val="24"/>
          <w:lang w:val="en-US" w:eastAsia="zh-CN"/>
        </w:rPr>
        <w:t>供货</w:t>
      </w:r>
      <w:r>
        <w:rPr>
          <w:rFonts w:hint="eastAsia" w:ascii="宋体" w:hAnsi="宋体" w:cs="宋体"/>
          <w:color w:val="auto"/>
          <w:szCs w:val="24"/>
        </w:rPr>
        <w:t>完成后</w:t>
      </w:r>
      <w:r>
        <w:rPr>
          <w:rFonts w:hint="eastAsia" w:ascii="宋体" w:hAnsi="宋体" w:cs="宋体"/>
          <w:color w:val="auto"/>
          <w:szCs w:val="24"/>
          <w:u w:val="single"/>
          <w:lang w:val="en-US" w:eastAsia="zh-CN"/>
        </w:rPr>
        <w:t xml:space="preserve">   </w:t>
      </w:r>
      <w:r>
        <w:rPr>
          <w:rFonts w:hint="eastAsia" w:ascii="宋体" w:hAnsi="宋体" w:cs="宋体"/>
          <w:color w:val="auto"/>
          <w:szCs w:val="24"/>
        </w:rPr>
        <w:t>日内，甲方无故不进行验收工作并已使用货物的，视同验收合格。</w:t>
      </w:r>
    </w:p>
    <w:p w14:paraId="77885FAA">
      <w:pPr>
        <w:numPr>
          <w:ilvl w:val="1"/>
          <w:numId w:val="0"/>
        </w:numPr>
        <w:wordWrap w:val="0"/>
        <w:topLinePunct/>
        <w:spacing w:line="360" w:lineRule="auto"/>
        <w:ind w:firstLine="480" w:firstLineChars="200"/>
        <w:rPr>
          <w:rFonts w:ascii="宋体" w:hAnsi="宋体" w:cs="宋体"/>
          <w:color w:val="auto"/>
          <w:szCs w:val="24"/>
        </w:rPr>
      </w:pPr>
      <w:r>
        <w:rPr>
          <w:rFonts w:hint="eastAsia" w:ascii="宋体" w:hAnsi="宋体" w:cs="宋体"/>
          <w:color w:val="auto"/>
          <w:szCs w:val="24"/>
        </w:rPr>
        <w:t>2、乙方应将所提供货物的装箱清单、配件、随机工具、用户使用手册、原厂保修卡等资料交付给甲方；乙方不能完整交付货物及本款规定的单证和工具的，必须负责补齐，否则视为未按合同约定交货。</w:t>
      </w:r>
    </w:p>
    <w:p w14:paraId="5DBA2531">
      <w:pPr>
        <w:numPr>
          <w:ilvl w:val="1"/>
          <w:numId w:val="0"/>
        </w:numPr>
        <w:wordWrap w:val="0"/>
        <w:topLinePunct/>
        <w:spacing w:line="360" w:lineRule="auto"/>
        <w:ind w:firstLine="480" w:firstLineChars="200"/>
        <w:rPr>
          <w:rFonts w:ascii="宋体" w:hAnsi="宋体" w:cs="宋体"/>
          <w:color w:val="auto"/>
          <w:szCs w:val="24"/>
        </w:rPr>
      </w:pPr>
      <w:r>
        <w:rPr>
          <w:rFonts w:hint="eastAsia" w:ascii="宋体" w:hAnsi="宋体" w:cs="宋体"/>
          <w:color w:val="auto"/>
          <w:szCs w:val="24"/>
        </w:rPr>
        <w:t>3、如货物经乙方</w:t>
      </w:r>
      <w:r>
        <w:rPr>
          <w:rFonts w:hint="eastAsia" w:ascii="宋体" w:hAnsi="宋体" w:cs="宋体"/>
          <w:color w:val="auto"/>
          <w:szCs w:val="24"/>
          <w:u w:val="single"/>
        </w:rPr>
        <w:t>3</w:t>
      </w:r>
      <w:r>
        <w:rPr>
          <w:rFonts w:hint="eastAsia" w:ascii="宋体" w:hAnsi="宋体" w:cs="宋体"/>
          <w:color w:val="auto"/>
          <w:szCs w:val="24"/>
        </w:rPr>
        <w:t>次维修或更换仍不能达到合同约定的质量标准，甲方有权退货，并视作乙方不能交付货物而违约，甲方可依法依约追究乙方的违约责任。</w:t>
      </w:r>
    </w:p>
    <w:p w14:paraId="51B4C1DE">
      <w:pPr>
        <w:numPr>
          <w:ilvl w:val="1"/>
          <w:numId w:val="0"/>
        </w:numPr>
        <w:wordWrap w:val="0"/>
        <w:topLinePunct/>
        <w:spacing w:line="360" w:lineRule="auto"/>
        <w:ind w:firstLine="480" w:firstLineChars="200"/>
        <w:rPr>
          <w:rFonts w:ascii="宋体" w:hAnsi="宋体" w:cs="宋体"/>
          <w:color w:val="auto"/>
          <w:szCs w:val="24"/>
        </w:rPr>
      </w:pPr>
      <w:r>
        <w:rPr>
          <w:rFonts w:hint="eastAsia" w:ascii="宋体" w:hAnsi="宋体" w:cs="宋体"/>
          <w:color w:val="auto"/>
          <w:szCs w:val="24"/>
        </w:rPr>
        <w:t>(六)验收不合格且拒不整改的，将不予支付采购资金，并上报本项目同级财政部门按照政府采购法律法规等有关规定给予行政处罚； </w:t>
      </w:r>
    </w:p>
    <w:p w14:paraId="0355A3F1">
      <w:pPr>
        <w:numPr>
          <w:ilvl w:val="1"/>
          <w:numId w:val="0"/>
        </w:numPr>
        <w:wordWrap w:val="0"/>
        <w:topLinePunct/>
        <w:spacing w:line="360" w:lineRule="auto"/>
        <w:ind w:firstLine="480" w:firstLineChars="200"/>
        <w:rPr>
          <w:rFonts w:ascii="宋体" w:hAnsi="宋体" w:cs="宋体"/>
          <w:color w:val="auto"/>
          <w:szCs w:val="24"/>
        </w:rPr>
      </w:pPr>
      <w:r>
        <w:rPr>
          <w:rFonts w:hint="eastAsia" w:ascii="宋体" w:hAnsi="宋体" w:cs="宋体"/>
          <w:color w:val="auto"/>
          <w:szCs w:val="24"/>
        </w:rPr>
        <w:t>(七)其他未尽事宜应严格按照《财政部关于进一步加强政府采购需求和履约验收管理的指导意见》(财库〔2016〕205号)、《雅安市财政局关于规范政府采购履约验收工作的通知》（雅财采〔2021〕50号)和相关要求进行验收。</w:t>
      </w:r>
    </w:p>
    <w:p w14:paraId="524CD99B">
      <w:pPr>
        <w:wordWrap w:val="0"/>
        <w:topLinePunct/>
        <w:adjustRightInd w:val="0"/>
        <w:snapToGrid w:val="0"/>
        <w:spacing w:line="360" w:lineRule="auto"/>
        <w:ind w:left="480" w:leftChars="200"/>
        <w:outlineLvl w:val="1"/>
        <w:rPr>
          <w:rFonts w:ascii="宋体" w:hAnsi="宋体" w:cs="宋体"/>
          <w:b/>
          <w:color w:val="auto"/>
          <w:szCs w:val="24"/>
        </w:rPr>
      </w:pPr>
      <w:bookmarkStart w:id="33" w:name="_Toc23384"/>
      <w:bookmarkStart w:id="34" w:name="_Toc16880"/>
      <w:bookmarkStart w:id="35" w:name="_Toc12397"/>
      <w:bookmarkStart w:id="36" w:name="_Toc5232"/>
      <w:bookmarkStart w:id="37" w:name="_Toc24040"/>
      <w:bookmarkStart w:id="38" w:name="_Toc30836"/>
      <w:bookmarkStart w:id="39" w:name="_Toc13487"/>
      <w:bookmarkStart w:id="40" w:name="_Toc217446111"/>
      <w:bookmarkStart w:id="41" w:name="_Toc27152"/>
      <w:r>
        <w:rPr>
          <w:rFonts w:hint="eastAsia" w:ascii="宋体" w:hAnsi="宋体" w:cs="宋体"/>
          <w:b/>
          <w:color w:val="auto"/>
          <w:szCs w:val="24"/>
        </w:rPr>
        <w:t>七、付款方式</w:t>
      </w:r>
      <w:bookmarkEnd w:id="33"/>
      <w:bookmarkEnd w:id="34"/>
      <w:bookmarkEnd w:id="35"/>
      <w:bookmarkEnd w:id="36"/>
      <w:bookmarkEnd w:id="37"/>
      <w:bookmarkEnd w:id="38"/>
      <w:bookmarkEnd w:id="39"/>
      <w:bookmarkEnd w:id="40"/>
      <w:bookmarkEnd w:id="41"/>
      <w:r>
        <w:rPr>
          <w:rFonts w:hint="eastAsia" w:ascii="宋体" w:hAnsi="宋体" w:cs="宋体"/>
          <w:b/>
          <w:color w:val="auto"/>
          <w:szCs w:val="24"/>
        </w:rPr>
        <w:t xml:space="preserve"> </w:t>
      </w:r>
    </w:p>
    <w:p w14:paraId="7DBD8519">
      <w:pPr>
        <w:tabs>
          <w:tab w:val="left" w:pos="0"/>
        </w:tabs>
        <w:adjustRightInd w:val="0"/>
        <w:snapToGrid w:val="0"/>
        <w:spacing w:before="120" w:beforeLines="50" w:after="120" w:afterLines="50" w:line="360" w:lineRule="auto"/>
        <w:ind w:firstLine="480" w:firstLineChars="200"/>
        <w:jc w:val="left"/>
        <w:rPr>
          <w:rFonts w:hint="eastAsia" w:ascii="宋体" w:hAnsi="宋体" w:eastAsia="宋体" w:cs="宋体"/>
          <w:color w:val="auto"/>
          <w:szCs w:val="24"/>
          <w:highlight w:val="none"/>
        </w:rPr>
      </w:pPr>
      <w:r>
        <w:rPr>
          <w:rFonts w:hint="eastAsia" w:ascii="宋体" w:hAnsi="宋体" w:cs="宋体"/>
          <w:b w:val="0"/>
          <w:snapToGrid w:val="0"/>
          <w:color w:val="auto"/>
          <w:kern w:val="2"/>
          <w:sz w:val="24"/>
          <w:szCs w:val="22"/>
          <w:highlight w:val="none"/>
          <w:lang w:val="en-US" w:eastAsia="zh-CN" w:bidi="ar-SA"/>
        </w:rPr>
        <w:t>合同</w:t>
      </w:r>
      <w:r>
        <w:rPr>
          <w:rFonts w:hint="eastAsia" w:ascii="宋体" w:hAnsi="宋体" w:eastAsia="宋体" w:cs="宋体"/>
          <w:b w:val="0"/>
          <w:snapToGrid w:val="0"/>
          <w:color w:val="auto"/>
          <w:kern w:val="2"/>
          <w:sz w:val="24"/>
          <w:szCs w:val="22"/>
          <w:highlight w:val="none"/>
          <w:lang w:val="en-US" w:eastAsia="zh-CN" w:bidi="ar-SA"/>
        </w:rPr>
        <w:t>签订后5个工作日内支付中标合同总价的40%作为预付款</w:t>
      </w:r>
      <w:r>
        <w:rPr>
          <w:rFonts w:hint="eastAsia" w:ascii="宋体" w:hAnsi="宋体" w:cs="宋体"/>
          <w:b w:val="0"/>
          <w:snapToGrid w:val="0"/>
          <w:color w:val="auto"/>
          <w:kern w:val="2"/>
          <w:sz w:val="24"/>
          <w:szCs w:val="22"/>
          <w:highlight w:val="none"/>
          <w:lang w:val="en-US" w:eastAsia="zh-CN" w:bidi="ar-SA"/>
        </w:rPr>
        <w:t>，365日供货期满并达到付款条件后30日内，根据实际供货数量</w:t>
      </w:r>
      <w:r>
        <w:rPr>
          <w:rFonts w:hint="eastAsia" w:ascii="宋体" w:hAnsi="宋体" w:eastAsia="宋体" w:cs="宋体"/>
          <w:b w:val="0"/>
          <w:snapToGrid w:val="0"/>
          <w:color w:val="auto"/>
          <w:kern w:val="2"/>
          <w:sz w:val="24"/>
          <w:szCs w:val="22"/>
          <w:highlight w:val="none"/>
          <w:lang w:val="en-US" w:eastAsia="zh-CN" w:bidi="ar-SA"/>
        </w:rPr>
        <w:t>结算全部费用</w:t>
      </w:r>
      <w:r>
        <w:rPr>
          <w:rFonts w:hint="eastAsia" w:ascii="宋体" w:hAnsi="宋体" w:eastAsia="宋体" w:cs="宋体"/>
          <w:color w:val="auto"/>
          <w:szCs w:val="24"/>
          <w:highlight w:val="none"/>
          <w:lang w:eastAsia="zh-CN"/>
        </w:rPr>
        <w:t>。</w:t>
      </w:r>
    </w:p>
    <w:p w14:paraId="0A9496A1">
      <w:pPr>
        <w:wordWrap w:val="0"/>
        <w:topLinePunct/>
        <w:spacing w:line="360" w:lineRule="auto"/>
        <w:ind w:left="0" w:leftChars="0" w:firstLine="480" w:firstLineChars="200"/>
        <w:rPr>
          <w:rFonts w:ascii="宋体" w:hAnsi="宋体" w:cs="宋体"/>
          <w:color w:val="auto"/>
          <w:szCs w:val="24"/>
        </w:rPr>
      </w:pPr>
      <w:r>
        <w:rPr>
          <w:rFonts w:hint="eastAsia" w:ascii="宋体" w:hAnsi="宋体" w:cs="宋体"/>
          <w:color w:val="auto"/>
          <w:szCs w:val="24"/>
        </w:rPr>
        <w:t>（</w:t>
      </w:r>
      <w:r>
        <w:rPr>
          <w:rFonts w:hint="eastAsia" w:ascii="宋体" w:hAnsi="宋体" w:cs="宋体"/>
          <w:color w:val="auto"/>
          <w:szCs w:val="24"/>
          <w:lang w:val="en-US" w:eastAsia="zh-CN"/>
        </w:rPr>
        <w:t>二</w:t>
      </w:r>
      <w:r>
        <w:rPr>
          <w:rFonts w:hint="eastAsia" w:ascii="宋体" w:hAnsi="宋体" w:cs="宋体"/>
          <w:color w:val="auto"/>
          <w:szCs w:val="24"/>
        </w:rPr>
        <w:t>）履约保证金：本项目不收取履约保证金。</w:t>
      </w:r>
    </w:p>
    <w:p w14:paraId="7DC57FA7">
      <w:pPr>
        <w:wordWrap w:val="0"/>
        <w:topLinePunct/>
        <w:spacing w:line="360" w:lineRule="auto"/>
        <w:ind w:firstLine="480" w:firstLineChars="200"/>
        <w:rPr>
          <w:rFonts w:ascii="宋体" w:hAnsi="宋体" w:cs="宋体"/>
          <w:color w:val="auto"/>
          <w:szCs w:val="24"/>
        </w:rPr>
      </w:pPr>
      <w:r>
        <w:rPr>
          <w:rFonts w:hint="eastAsia" w:ascii="宋体" w:hAnsi="宋体" w:cs="宋体"/>
          <w:color w:val="auto"/>
          <w:szCs w:val="24"/>
        </w:rPr>
        <w:t>（</w:t>
      </w:r>
      <w:r>
        <w:rPr>
          <w:rFonts w:hint="eastAsia" w:ascii="宋体" w:hAnsi="宋体" w:cs="宋体"/>
          <w:color w:val="auto"/>
          <w:szCs w:val="24"/>
          <w:lang w:val="en-US" w:eastAsia="zh-CN"/>
        </w:rPr>
        <w:t>三</w:t>
      </w:r>
      <w:r>
        <w:rPr>
          <w:rFonts w:hint="eastAsia" w:ascii="宋体" w:hAnsi="宋体" w:cs="宋体"/>
          <w:color w:val="auto"/>
          <w:szCs w:val="24"/>
        </w:rPr>
        <w:t>）每次付款前，供应商须向采购人出具合法有效完整的增值税发票及凭证资料后进行支付结算，付款方式均采用公对公的银行转账，采购人接受转账的开户信息以合同载明的为准。如因供应商未按照要求提供合法有效的发票导致逾期付款的，不视为采购人违约，采购人不承担任何责任。</w:t>
      </w:r>
    </w:p>
    <w:p w14:paraId="24A497D5">
      <w:pPr>
        <w:wordWrap w:val="0"/>
        <w:topLinePunct/>
        <w:adjustRightInd w:val="0"/>
        <w:snapToGrid w:val="0"/>
        <w:spacing w:line="360" w:lineRule="auto"/>
        <w:ind w:left="480" w:leftChars="200"/>
        <w:outlineLvl w:val="1"/>
        <w:rPr>
          <w:rFonts w:ascii="宋体" w:hAnsi="宋体" w:cs="宋体"/>
          <w:b/>
          <w:color w:val="auto"/>
          <w:szCs w:val="24"/>
        </w:rPr>
      </w:pPr>
      <w:bookmarkStart w:id="42" w:name="_Toc29807"/>
      <w:bookmarkStart w:id="43" w:name="_Toc2843"/>
      <w:bookmarkStart w:id="44" w:name="_Toc14917"/>
      <w:bookmarkStart w:id="45" w:name="_Toc30733"/>
      <w:bookmarkStart w:id="46" w:name="_Toc15448"/>
      <w:bookmarkStart w:id="47" w:name="_Toc9108"/>
      <w:bookmarkStart w:id="48" w:name="_Toc18045"/>
      <w:bookmarkStart w:id="49" w:name="_Toc217446112"/>
      <w:bookmarkStart w:id="50" w:name="_Toc8259"/>
      <w:r>
        <w:rPr>
          <w:rFonts w:hint="eastAsia" w:ascii="宋体" w:hAnsi="宋体" w:cs="宋体"/>
          <w:b/>
          <w:color w:val="auto"/>
          <w:szCs w:val="24"/>
        </w:rPr>
        <w:t>八、售后服务</w:t>
      </w:r>
      <w:bookmarkEnd w:id="42"/>
      <w:bookmarkEnd w:id="43"/>
      <w:bookmarkEnd w:id="44"/>
      <w:bookmarkEnd w:id="45"/>
      <w:bookmarkEnd w:id="46"/>
      <w:bookmarkEnd w:id="47"/>
      <w:bookmarkEnd w:id="48"/>
      <w:bookmarkEnd w:id="49"/>
      <w:bookmarkEnd w:id="50"/>
    </w:p>
    <w:p w14:paraId="1EF593BB">
      <w:pPr>
        <w:numPr>
          <w:ilvl w:val="0"/>
          <w:numId w:val="0"/>
        </w:numPr>
        <w:spacing w:before="120" w:beforeLines="50" w:after="120" w:afterLines="50" w:line="360" w:lineRule="auto"/>
        <w:ind w:firstLine="480" w:firstLineChars="200"/>
        <w:rPr>
          <w:rFonts w:hint="eastAsia" w:ascii="宋体" w:hAnsi="宋体" w:eastAsia="宋体" w:cs="宋体"/>
          <w:color w:val="auto"/>
          <w:kern w:val="2"/>
          <w:sz w:val="24"/>
          <w:szCs w:val="24"/>
          <w:lang w:val="en-US" w:eastAsia="zh-CN" w:bidi="ar-SA"/>
        </w:rPr>
      </w:pPr>
      <w:bookmarkStart w:id="51" w:name="_Toc217446113"/>
      <w:bookmarkStart w:id="52" w:name="_Toc22018"/>
      <w:bookmarkStart w:id="53" w:name="_Toc7772"/>
      <w:bookmarkStart w:id="54" w:name="_Toc5119"/>
      <w:bookmarkStart w:id="55" w:name="_Toc29284"/>
      <w:bookmarkStart w:id="56" w:name="_Toc12161"/>
      <w:r>
        <w:rPr>
          <w:rFonts w:hint="eastAsia" w:ascii="宋体" w:hAnsi="宋体" w:eastAsia="宋体" w:cs="宋体"/>
          <w:color w:val="auto"/>
          <w:kern w:val="2"/>
          <w:sz w:val="24"/>
          <w:szCs w:val="24"/>
          <w:lang w:val="en-US" w:eastAsia="zh-CN" w:bidi="ar-SA"/>
        </w:rPr>
        <w:t>（1）产品在使用前若发现有质量问题，应三天内及时更换。若使用中产品出现质量问题，供应商应于2小时内到现场处理相关事宜。如若造成采购人损失的，还应承担相关赔偿责任。并根据采购人要求，供应商所提供的产品有效期不得少于整个产品有效期的四分之三。</w:t>
      </w:r>
    </w:p>
    <w:p w14:paraId="698BD692">
      <w:pPr>
        <w:numPr>
          <w:ilvl w:val="0"/>
          <w:numId w:val="0"/>
        </w:numPr>
        <w:spacing w:before="120" w:beforeLines="50" w:after="120" w:afterLines="50"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（2）供应商提供的产品售后服务与货物生产制造商原厂标准售后服务相同。如在质保期内出现质量问题，需更换合格质量产品，终身提供同质服务。若有临期产品供应商应免费进行更换。</w:t>
      </w:r>
    </w:p>
    <w:p w14:paraId="3DEA12AC">
      <w:pPr>
        <w:numPr>
          <w:ilvl w:val="3"/>
          <w:numId w:val="0"/>
        </w:numPr>
        <w:tabs>
          <w:tab w:val="left" w:pos="0"/>
        </w:tabs>
        <w:wordWrap w:val="0"/>
        <w:topLinePunct/>
        <w:spacing w:line="360" w:lineRule="auto"/>
        <w:ind w:firstLine="480" w:firstLineChars="200"/>
        <w:rPr>
          <w:rFonts w:ascii="宋体" w:hAnsi="宋体" w:cs="宋体"/>
          <w:color w:val="auto"/>
          <w:szCs w:val="24"/>
        </w:rPr>
      </w:pPr>
      <w:r>
        <w:rPr>
          <w:rFonts w:hint="eastAsia" w:ascii="宋体" w:hAnsi="宋体" w:cs="宋体"/>
          <w:color w:val="auto"/>
          <w:szCs w:val="24"/>
          <w:lang w:eastAsia="zh-CN"/>
        </w:rPr>
        <w:t>（</w:t>
      </w:r>
      <w:r>
        <w:rPr>
          <w:rFonts w:hint="eastAsia" w:ascii="宋体" w:hAnsi="宋体" w:cs="宋体"/>
          <w:color w:val="auto"/>
          <w:szCs w:val="24"/>
          <w:lang w:val="en-US" w:eastAsia="zh-CN"/>
        </w:rPr>
        <w:t>3</w:t>
      </w:r>
      <w:r>
        <w:rPr>
          <w:rFonts w:hint="eastAsia" w:ascii="宋体" w:hAnsi="宋体" w:cs="宋体"/>
          <w:color w:val="auto"/>
          <w:szCs w:val="24"/>
          <w:lang w:eastAsia="zh-CN"/>
        </w:rPr>
        <w:t>）</w:t>
      </w:r>
      <w:r>
        <w:rPr>
          <w:rFonts w:hint="eastAsia" w:ascii="宋体" w:hAnsi="宋体" w:cs="宋体"/>
          <w:color w:val="auto"/>
          <w:szCs w:val="24"/>
        </w:rPr>
        <w:t>乙方应有完善的技术支持与服务体系，专人负责与采购人联系售后服务事宜，必要的售后机具配置、具有专门固定的售后服务电话，并能提供本地化服务。</w:t>
      </w:r>
    </w:p>
    <w:p w14:paraId="00604539">
      <w:pPr>
        <w:numPr>
          <w:ilvl w:val="3"/>
          <w:numId w:val="0"/>
        </w:numPr>
        <w:tabs>
          <w:tab w:val="left" w:pos="0"/>
        </w:tabs>
        <w:wordWrap w:val="0"/>
        <w:topLinePunct/>
        <w:spacing w:line="360" w:lineRule="auto"/>
        <w:ind w:firstLine="480" w:firstLineChars="200"/>
        <w:rPr>
          <w:rFonts w:ascii="宋体" w:hAnsi="宋体" w:cs="宋体"/>
          <w:color w:val="auto"/>
          <w:szCs w:val="24"/>
        </w:rPr>
      </w:pPr>
      <w:r>
        <w:rPr>
          <w:rFonts w:hint="eastAsia" w:ascii="宋体" w:hAnsi="宋体" w:cs="宋体"/>
          <w:color w:val="auto"/>
          <w:szCs w:val="24"/>
          <w:lang w:eastAsia="zh-CN"/>
        </w:rPr>
        <w:t>（</w:t>
      </w:r>
      <w:r>
        <w:rPr>
          <w:rFonts w:hint="eastAsia" w:ascii="宋体" w:hAnsi="宋体" w:cs="宋体"/>
          <w:color w:val="auto"/>
          <w:szCs w:val="24"/>
          <w:lang w:val="en-US" w:eastAsia="zh-CN"/>
        </w:rPr>
        <w:t>4</w:t>
      </w:r>
      <w:r>
        <w:rPr>
          <w:rFonts w:hint="eastAsia" w:ascii="宋体" w:hAnsi="宋体" w:cs="宋体"/>
          <w:color w:val="auto"/>
          <w:szCs w:val="24"/>
          <w:lang w:eastAsia="zh-CN"/>
        </w:rPr>
        <w:t>）</w:t>
      </w:r>
      <w:r>
        <w:rPr>
          <w:rFonts w:hint="eastAsia" w:ascii="宋体" w:hAnsi="宋体" w:cs="宋体"/>
          <w:color w:val="auto"/>
          <w:szCs w:val="24"/>
        </w:rPr>
        <w:t>乙方针对本项目向甲方提供培训服务，培训内容包括设备的性能、原理、操作、保养和维护等内容，达到甲方可独立使用，培训人数和地点由甲方指定，并在培训后免费提供技术咨询服务。</w:t>
      </w:r>
    </w:p>
    <w:p w14:paraId="4E222A69">
      <w:pPr>
        <w:numPr>
          <w:ilvl w:val="3"/>
          <w:numId w:val="0"/>
        </w:numPr>
        <w:tabs>
          <w:tab w:val="left" w:pos="0"/>
        </w:tabs>
        <w:wordWrap w:val="0"/>
        <w:topLinePunct/>
        <w:adjustRightInd w:val="0"/>
        <w:snapToGrid w:val="0"/>
        <w:spacing w:line="360" w:lineRule="auto"/>
        <w:ind w:firstLine="480" w:firstLineChars="200"/>
        <w:rPr>
          <w:rFonts w:ascii="宋体" w:hAnsi="宋体" w:cs="宋体"/>
          <w:color w:val="auto"/>
          <w:szCs w:val="24"/>
        </w:rPr>
      </w:pPr>
      <w:r>
        <w:rPr>
          <w:rFonts w:hint="eastAsia" w:ascii="宋体" w:hAnsi="宋体" w:cs="宋体"/>
          <w:color w:val="auto"/>
          <w:szCs w:val="24"/>
          <w:lang w:eastAsia="zh-CN"/>
        </w:rPr>
        <w:t>（</w:t>
      </w:r>
      <w:r>
        <w:rPr>
          <w:rFonts w:hint="eastAsia" w:ascii="宋体" w:hAnsi="宋体" w:cs="宋体"/>
          <w:color w:val="auto"/>
          <w:szCs w:val="24"/>
          <w:lang w:val="en-US" w:eastAsia="zh-CN"/>
        </w:rPr>
        <w:t>5</w:t>
      </w:r>
      <w:r>
        <w:rPr>
          <w:rFonts w:hint="eastAsia" w:ascii="宋体" w:hAnsi="宋体" w:cs="宋体"/>
          <w:color w:val="auto"/>
          <w:szCs w:val="24"/>
          <w:lang w:eastAsia="zh-CN"/>
        </w:rPr>
        <w:t>）</w:t>
      </w:r>
      <w:r>
        <w:rPr>
          <w:rFonts w:hint="eastAsia" w:ascii="宋体" w:hAnsi="宋体" w:cs="宋体"/>
          <w:color w:val="auto"/>
          <w:szCs w:val="24"/>
        </w:rPr>
        <w:t>在质保期内货物出现质量问题，乙方应在接到通知后</w:t>
      </w:r>
      <w:r>
        <w:rPr>
          <w:rFonts w:hint="eastAsia" w:ascii="宋体" w:hAnsi="宋体" w:cs="宋体"/>
          <w:color w:val="auto"/>
          <w:szCs w:val="24"/>
          <w:u w:val="single"/>
          <w:lang w:val="en-US" w:eastAsia="zh-CN"/>
        </w:rPr>
        <w:t xml:space="preserve"> </w:t>
      </w:r>
      <w:r>
        <w:rPr>
          <w:rFonts w:hint="eastAsia" w:ascii="宋体" w:hAnsi="宋体" w:cs="宋体"/>
          <w:color w:val="auto"/>
          <w:szCs w:val="24"/>
          <w:u w:val="single"/>
        </w:rPr>
        <w:t xml:space="preserve"> </w:t>
      </w:r>
      <w:r>
        <w:rPr>
          <w:rFonts w:hint="eastAsia" w:ascii="宋体" w:hAnsi="宋体" w:cs="宋体"/>
          <w:color w:val="auto"/>
          <w:szCs w:val="24"/>
        </w:rPr>
        <w:t>小时内到场，</w:t>
      </w:r>
      <w:r>
        <w:rPr>
          <w:rFonts w:hint="eastAsia" w:ascii="宋体" w:hAnsi="宋体" w:cs="宋体"/>
          <w:color w:val="auto"/>
          <w:szCs w:val="24"/>
          <w:u w:val="single"/>
        </w:rPr>
        <w:t xml:space="preserve"> </w:t>
      </w:r>
      <w:r>
        <w:rPr>
          <w:rFonts w:hint="eastAsia" w:ascii="宋体" w:hAnsi="宋体" w:cs="宋体"/>
          <w:color w:val="auto"/>
          <w:szCs w:val="24"/>
          <w:u w:val="single"/>
          <w:lang w:val="en-US" w:eastAsia="zh-CN"/>
        </w:rPr>
        <w:t xml:space="preserve">   </w:t>
      </w:r>
      <w:r>
        <w:rPr>
          <w:rFonts w:hint="eastAsia" w:ascii="宋体" w:hAnsi="宋体" w:cs="宋体"/>
          <w:color w:val="auto"/>
          <w:szCs w:val="24"/>
          <w:u w:val="single"/>
        </w:rPr>
        <w:t xml:space="preserve"> </w:t>
      </w:r>
      <w:r>
        <w:rPr>
          <w:rFonts w:hint="eastAsia" w:ascii="宋体" w:hAnsi="宋体" w:cs="宋体"/>
          <w:color w:val="auto"/>
          <w:szCs w:val="24"/>
        </w:rPr>
        <w:t>小时内完成维修。需更换配件的应在</w:t>
      </w:r>
      <w:r>
        <w:rPr>
          <w:rFonts w:hint="eastAsia" w:ascii="宋体" w:hAnsi="宋体" w:cs="宋体"/>
          <w:color w:val="auto"/>
          <w:szCs w:val="24"/>
          <w:u w:val="single"/>
        </w:rPr>
        <w:t xml:space="preserve"> </w:t>
      </w:r>
      <w:r>
        <w:rPr>
          <w:rFonts w:hint="eastAsia" w:ascii="宋体" w:hAnsi="宋体" w:cs="宋体"/>
          <w:color w:val="auto"/>
          <w:szCs w:val="24"/>
          <w:u w:val="single"/>
          <w:lang w:val="en-US" w:eastAsia="zh-CN"/>
        </w:rPr>
        <w:t xml:space="preserve">  </w:t>
      </w:r>
      <w:r>
        <w:rPr>
          <w:rFonts w:hint="eastAsia" w:ascii="宋体" w:hAnsi="宋体" w:cs="宋体"/>
          <w:color w:val="auto"/>
          <w:szCs w:val="24"/>
          <w:u w:val="single"/>
        </w:rPr>
        <w:t xml:space="preserve"> </w:t>
      </w:r>
      <w:r>
        <w:rPr>
          <w:rFonts w:hint="eastAsia" w:ascii="宋体" w:hAnsi="宋体" w:cs="宋体"/>
          <w:color w:val="auto"/>
          <w:szCs w:val="24"/>
        </w:rPr>
        <w:t>个工作日内完成更换。单次逾期未完成维修或更换的，乙方应向甲方支付合同总价</w:t>
      </w:r>
      <w:r>
        <w:rPr>
          <w:rFonts w:hint="eastAsia" w:ascii="宋体" w:hAnsi="宋体" w:cs="宋体"/>
          <w:color w:val="auto"/>
          <w:szCs w:val="24"/>
          <w:u w:val="single"/>
        </w:rPr>
        <w:t xml:space="preserve"> </w:t>
      </w:r>
      <w:r>
        <w:rPr>
          <w:rFonts w:hint="eastAsia" w:ascii="宋体" w:hAnsi="宋体" w:cs="宋体"/>
          <w:color w:val="auto"/>
          <w:szCs w:val="24"/>
          <w:u w:val="single"/>
          <w:lang w:val="en-US" w:eastAsia="zh-CN"/>
        </w:rPr>
        <w:t xml:space="preserve">  </w:t>
      </w:r>
      <w:r>
        <w:rPr>
          <w:rFonts w:hint="eastAsia" w:ascii="宋体" w:hAnsi="宋体" w:cs="宋体"/>
          <w:color w:val="auto"/>
          <w:szCs w:val="24"/>
          <w:u w:val="single"/>
        </w:rPr>
        <w:t xml:space="preserve">  </w:t>
      </w:r>
      <w:r>
        <w:rPr>
          <w:rFonts w:hint="eastAsia" w:ascii="宋体" w:hAnsi="宋体" w:cs="宋体"/>
          <w:color w:val="auto"/>
          <w:szCs w:val="24"/>
        </w:rPr>
        <w:t>%的违约金，双方另有约定时限的除外。</w:t>
      </w:r>
    </w:p>
    <w:p w14:paraId="1E84A131">
      <w:pPr>
        <w:numPr>
          <w:ilvl w:val="3"/>
          <w:numId w:val="0"/>
        </w:numPr>
        <w:tabs>
          <w:tab w:val="left" w:pos="0"/>
        </w:tabs>
        <w:wordWrap w:val="0"/>
        <w:topLinePunct/>
        <w:spacing w:line="360" w:lineRule="auto"/>
        <w:ind w:firstLine="480" w:firstLineChars="200"/>
        <w:rPr>
          <w:rFonts w:ascii="宋体" w:hAnsi="宋体" w:cs="宋体"/>
          <w:color w:val="auto"/>
          <w:szCs w:val="24"/>
        </w:rPr>
      </w:pPr>
      <w:r>
        <w:rPr>
          <w:rFonts w:hint="eastAsia" w:ascii="宋体" w:hAnsi="宋体" w:cs="宋体"/>
          <w:color w:val="auto"/>
          <w:szCs w:val="24"/>
          <w:lang w:eastAsia="zh-CN"/>
        </w:rPr>
        <w:t>（</w:t>
      </w:r>
      <w:r>
        <w:rPr>
          <w:rFonts w:hint="eastAsia" w:ascii="宋体" w:hAnsi="宋体" w:cs="宋体"/>
          <w:color w:val="auto"/>
          <w:szCs w:val="24"/>
          <w:lang w:val="en-US" w:eastAsia="zh-CN"/>
        </w:rPr>
        <w:t>6</w:t>
      </w:r>
      <w:r>
        <w:rPr>
          <w:rFonts w:hint="eastAsia" w:ascii="宋体" w:hAnsi="宋体" w:cs="宋体"/>
          <w:color w:val="auto"/>
          <w:szCs w:val="24"/>
          <w:lang w:eastAsia="zh-CN"/>
        </w:rPr>
        <w:t>）</w:t>
      </w:r>
      <w:r>
        <w:rPr>
          <w:rFonts w:hint="eastAsia" w:ascii="宋体" w:hAnsi="宋体" w:cs="宋体"/>
          <w:color w:val="auto"/>
          <w:szCs w:val="24"/>
        </w:rPr>
        <w:t>货物经乙方3次维修或更换仍不能达到本合同约定的质量标准，视作供应商未能按时交货，甲方有权退货并追究乙方的违约责任。</w:t>
      </w:r>
    </w:p>
    <w:p w14:paraId="43EDC1AA">
      <w:pPr>
        <w:numPr>
          <w:ilvl w:val="3"/>
          <w:numId w:val="0"/>
        </w:numPr>
        <w:tabs>
          <w:tab w:val="left" w:pos="0"/>
        </w:tabs>
        <w:wordWrap w:val="0"/>
        <w:topLinePunct/>
        <w:spacing w:line="360" w:lineRule="auto"/>
        <w:ind w:firstLine="480" w:firstLineChars="200"/>
        <w:rPr>
          <w:rFonts w:ascii="宋体" w:hAnsi="宋体" w:cs="宋体"/>
          <w:color w:val="auto"/>
          <w:szCs w:val="24"/>
        </w:rPr>
      </w:pPr>
      <w:r>
        <w:rPr>
          <w:rFonts w:hint="eastAsia" w:ascii="宋体" w:hAnsi="宋体" w:cs="宋体"/>
          <w:color w:val="auto"/>
          <w:szCs w:val="24"/>
          <w:lang w:eastAsia="zh-CN"/>
        </w:rPr>
        <w:t>（</w:t>
      </w:r>
      <w:r>
        <w:rPr>
          <w:rFonts w:hint="eastAsia" w:ascii="宋体" w:hAnsi="宋体" w:cs="宋体"/>
          <w:color w:val="auto"/>
          <w:szCs w:val="24"/>
          <w:lang w:val="en-US" w:eastAsia="zh-CN"/>
        </w:rPr>
        <w:t>7</w:t>
      </w:r>
      <w:r>
        <w:rPr>
          <w:rFonts w:hint="eastAsia" w:ascii="宋体" w:hAnsi="宋体" w:cs="宋体"/>
          <w:color w:val="auto"/>
          <w:szCs w:val="24"/>
          <w:lang w:eastAsia="zh-CN"/>
        </w:rPr>
        <w:t>）</w:t>
      </w:r>
      <w:r>
        <w:rPr>
          <w:rFonts w:hint="eastAsia" w:ascii="宋体" w:hAnsi="宋体" w:cs="宋体"/>
          <w:color w:val="auto"/>
          <w:szCs w:val="24"/>
        </w:rPr>
        <w:t>乙方承诺项目全部货物的各种部件均保证齐备、充足供应，若因产品升级更新等原因不能保障供应造成甲方损失的，乙方承担全部赔偿责任，在交货时需向甲方提供货物常规备品备件。</w:t>
      </w:r>
    </w:p>
    <w:p w14:paraId="459D4237">
      <w:pPr>
        <w:numPr>
          <w:ilvl w:val="3"/>
          <w:numId w:val="0"/>
        </w:numPr>
        <w:tabs>
          <w:tab w:val="left" w:pos="0"/>
        </w:tabs>
        <w:wordWrap w:val="0"/>
        <w:topLinePunct/>
        <w:spacing w:line="360" w:lineRule="auto"/>
        <w:ind w:firstLine="480" w:firstLineChars="200"/>
        <w:rPr>
          <w:rFonts w:ascii="宋体" w:hAnsi="宋体" w:cs="宋体"/>
          <w:color w:val="auto"/>
          <w:szCs w:val="24"/>
        </w:rPr>
      </w:pPr>
      <w:r>
        <w:rPr>
          <w:rFonts w:hint="eastAsia" w:ascii="宋体" w:hAnsi="宋体" w:cs="宋体"/>
          <w:color w:val="auto"/>
          <w:szCs w:val="24"/>
          <w:lang w:eastAsia="zh-CN"/>
        </w:rPr>
        <w:t>（</w:t>
      </w:r>
      <w:r>
        <w:rPr>
          <w:rFonts w:hint="eastAsia" w:ascii="宋体" w:hAnsi="宋体" w:cs="宋体"/>
          <w:color w:val="auto"/>
          <w:szCs w:val="24"/>
          <w:lang w:val="en-US" w:eastAsia="zh-CN"/>
        </w:rPr>
        <w:t>8</w:t>
      </w:r>
      <w:r>
        <w:rPr>
          <w:rFonts w:hint="eastAsia" w:ascii="宋体" w:hAnsi="宋体" w:cs="宋体"/>
          <w:color w:val="auto"/>
          <w:szCs w:val="24"/>
          <w:lang w:eastAsia="zh-CN"/>
        </w:rPr>
        <w:t>）</w:t>
      </w:r>
      <w:r>
        <w:rPr>
          <w:rFonts w:hint="eastAsia" w:ascii="宋体" w:hAnsi="宋体" w:cs="宋体"/>
          <w:color w:val="auto"/>
          <w:szCs w:val="24"/>
        </w:rPr>
        <w:t>质保期内乙方负责所有因货物质量问题而产生的费用，所有服务免费。质保期满前一个月，乙方免费负责一次全面的检查、维护，并出具正式报告，如发现潜在问题，应负责排除不收取任何费用。</w:t>
      </w:r>
    </w:p>
    <w:p w14:paraId="13ACD36F">
      <w:pPr>
        <w:numPr>
          <w:ilvl w:val="3"/>
          <w:numId w:val="0"/>
        </w:numPr>
        <w:tabs>
          <w:tab w:val="left" w:pos="0"/>
        </w:tabs>
        <w:wordWrap w:val="0"/>
        <w:topLinePunct/>
        <w:spacing w:line="360" w:lineRule="auto"/>
        <w:ind w:firstLine="480" w:firstLineChars="200"/>
        <w:rPr>
          <w:rFonts w:ascii="宋体" w:hAnsi="宋体" w:cs="宋体"/>
          <w:color w:val="auto"/>
          <w:szCs w:val="24"/>
        </w:rPr>
      </w:pPr>
      <w:r>
        <w:rPr>
          <w:rFonts w:hint="eastAsia" w:ascii="宋体" w:hAnsi="宋体" w:cs="宋体"/>
          <w:color w:val="auto"/>
          <w:szCs w:val="24"/>
          <w:lang w:eastAsia="zh-CN"/>
        </w:rPr>
        <w:t>（</w:t>
      </w:r>
      <w:r>
        <w:rPr>
          <w:rFonts w:hint="eastAsia" w:ascii="宋体" w:hAnsi="宋体" w:cs="宋体"/>
          <w:color w:val="auto"/>
          <w:szCs w:val="24"/>
          <w:lang w:val="en-US" w:eastAsia="zh-CN"/>
        </w:rPr>
        <w:t>9</w:t>
      </w:r>
      <w:r>
        <w:rPr>
          <w:rFonts w:hint="eastAsia" w:ascii="宋体" w:hAnsi="宋体" w:cs="宋体"/>
          <w:color w:val="auto"/>
          <w:szCs w:val="24"/>
          <w:lang w:eastAsia="zh-CN"/>
        </w:rPr>
        <w:t>）</w:t>
      </w:r>
      <w:r>
        <w:rPr>
          <w:rFonts w:hint="eastAsia" w:ascii="宋体" w:hAnsi="宋体" w:cs="宋体"/>
          <w:color w:val="auto"/>
          <w:szCs w:val="24"/>
        </w:rPr>
        <w:t>配件耗材供应：如本合同项下货物停产，乙方保证停产后3年内对甲方的设备零配件耗材供应。如甲方需备件，乙方送达期限不得超过10天。</w:t>
      </w:r>
    </w:p>
    <w:p w14:paraId="45FAA9C3">
      <w:pPr>
        <w:numPr>
          <w:ilvl w:val="1"/>
          <w:numId w:val="0"/>
        </w:numPr>
        <w:wordWrap w:val="0"/>
        <w:topLinePunct/>
        <w:spacing w:line="360" w:lineRule="auto"/>
        <w:ind w:firstLine="480" w:firstLineChars="200"/>
        <w:rPr>
          <w:rFonts w:ascii="宋体" w:hAnsi="宋体" w:cs="宋体"/>
          <w:bCs/>
          <w:color w:val="auto"/>
          <w:szCs w:val="24"/>
        </w:rPr>
      </w:pPr>
      <w:bookmarkStart w:id="57" w:name="_Toc25512"/>
      <w:bookmarkStart w:id="58" w:name="_Toc25243"/>
      <w:bookmarkStart w:id="59" w:name="_Toc21528"/>
      <w:bookmarkStart w:id="60" w:name="_Toc3512"/>
      <w:r>
        <w:rPr>
          <w:rFonts w:hint="eastAsia" w:ascii="宋体" w:hAnsi="宋体" w:cs="宋体"/>
          <w:bCs/>
          <w:color w:val="auto"/>
          <w:szCs w:val="24"/>
          <w:lang w:eastAsia="zh-CN"/>
        </w:rPr>
        <w:t>（</w:t>
      </w:r>
      <w:r>
        <w:rPr>
          <w:rFonts w:hint="eastAsia" w:ascii="宋体" w:hAnsi="宋体" w:cs="宋体"/>
          <w:bCs/>
          <w:color w:val="auto"/>
          <w:szCs w:val="24"/>
          <w:lang w:val="en-US" w:eastAsia="zh-CN"/>
        </w:rPr>
        <w:t>10</w:t>
      </w:r>
      <w:r>
        <w:rPr>
          <w:rFonts w:hint="eastAsia" w:ascii="宋体" w:hAnsi="宋体" w:cs="宋体"/>
          <w:bCs/>
          <w:color w:val="auto"/>
          <w:szCs w:val="24"/>
          <w:lang w:eastAsia="zh-CN"/>
        </w:rPr>
        <w:t>）</w:t>
      </w:r>
      <w:r>
        <w:rPr>
          <w:rFonts w:hint="eastAsia" w:ascii="宋体" w:hAnsi="宋体" w:cs="宋体"/>
          <w:bCs/>
          <w:color w:val="auto"/>
          <w:szCs w:val="24"/>
        </w:rPr>
        <w:t>乙方需向甲方出具《售后服务承诺书》。如合同项下货物非由乙方制造，乙方应与设备制造厂家或其专业售后服务机构共同出具《售后服务承诺书》。</w:t>
      </w:r>
      <w:bookmarkEnd w:id="57"/>
      <w:bookmarkEnd w:id="58"/>
      <w:bookmarkEnd w:id="59"/>
      <w:bookmarkEnd w:id="60"/>
    </w:p>
    <w:p w14:paraId="6F3655C6">
      <w:pPr>
        <w:numPr>
          <w:ilvl w:val="1"/>
          <w:numId w:val="0"/>
        </w:numPr>
        <w:wordWrap w:val="0"/>
        <w:topLinePunct/>
        <w:spacing w:line="360" w:lineRule="auto"/>
        <w:ind w:firstLine="480" w:firstLineChars="200"/>
        <w:rPr>
          <w:rFonts w:ascii="宋体" w:hAnsi="宋体" w:cs="宋体"/>
          <w:bCs/>
          <w:color w:val="auto"/>
          <w:szCs w:val="24"/>
        </w:rPr>
      </w:pPr>
      <w:bookmarkStart w:id="61" w:name="_Toc22993"/>
      <w:bookmarkStart w:id="62" w:name="_Toc22601"/>
      <w:bookmarkStart w:id="63" w:name="_Toc22100"/>
      <w:bookmarkStart w:id="64" w:name="_Toc24542"/>
      <w:r>
        <w:rPr>
          <w:rFonts w:hint="eastAsia" w:ascii="宋体" w:hAnsi="宋体" w:cs="宋体"/>
          <w:bCs/>
          <w:color w:val="auto"/>
          <w:szCs w:val="24"/>
          <w:lang w:eastAsia="zh-CN"/>
        </w:rPr>
        <w:t>（</w:t>
      </w:r>
      <w:r>
        <w:rPr>
          <w:rFonts w:hint="eastAsia" w:ascii="宋体" w:hAnsi="宋体" w:cs="宋体"/>
          <w:bCs/>
          <w:color w:val="auto"/>
          <w:szCs w:val="24"/>
          <w:lang w:val="en-US" w:eastAsia="zh-CN"/>
        </w:rPr>
        <w:t>11</w:t>
      </w:r>
      <w:r>
        <w:rPr>
          <w:rFonts w:hint="eastAsia" w:ascii="宋体" w:hAnsi="宋体" w:cs="宋体"/>
          <w:bCs/>
          <w:color w:val="auto"/>
          <w:szCs w:val="24"/>
          <w:lang w:eastAsia="zh-CN"/>
        </w:rPr>
        <w:t>）</w:t>
      </w:r>
      <w:r>
        <w:rPr>
          <w:rFonts w:hint="eastAsia" w:ascii="宋体" w:hAnsi="宋体" w:cs="宋体"/>
          <w:bCs/>
          <w:color w:val="auto"/>
          <w:szCs w:val="24"/>
        </w:rPr>
        <w:t>依</w:t>
      </w:r>
      <w:r>
        <w:rPr>
          <w:rFonts w:hint="eastAsia" w:ascii="宋体" w:hAnsi="宋体" w:cs="宋体"/>
          <w:bCs/>
          <w:color w:val="auto"/>
          <w:szCs w:val="24"/>
          <w:lang w:val="en-US" w:eastAsia="zh-CN"/>
        </w:rPr>
        <w:t>照</w:t>
      </w:r>
      <w:r>
        <w:rPr>
          <w:rFonts w:hint="eastAsia" w:ascii="宋体" w:hAnsi="宋体" w:cs="宋体"/>
          <w:bCs/>
          <w:color w:val="auto"/>
          <w:szCs w:val="24"/>
        </w:rPr>
        <w:t>法律、行政法规的规定或按照当事人的约定，标的物在有效使用年限届满后应予以回收的，乙方负有自行或委托第三人对标的物予以回收的义务。</w:t>
      </w:r>
      <w:bookmarkEnd w:id="61"/>
      <w:bookmarkEnd w:id="62"/>
      <w:bookmarkEnd w:id="63"/>
      <w:bookmarkEnd w:id="64"/>
    </w:p>
    <w:p w14:paraId="4AED842C">
      <w:pPr>
        <w:wordWrap w:val="0"/>
        <w:topLinePunct/>
        <w:adjustRightInd w:val="0"/>
        <w:snapToGrid w:val="0"/>
        <w:spacing w:line="360" w:lineRule="auto"/>
        <w:ind w:left="480" w:leftChars="200"/>
        <w:outlineLvl w:val="1"/>
        <w:rPr>
          <w:rFonts w:ascii="宋体" w:hAnsi="宋体" w:cs="宋体"/>
          <w:b/>
          <w:color w:val="auto"/>
          <w:szCs w:val="24"/>
        </w:rPr>
      </w:pPr>
      <w:bookmarkStart w:id="65" w:name="_Toc9142"/>
      <w:bookmarkStart w:id="66" w:name="_Toc19375"/>
      <w:r>
        <w:rPr>
          <w:rFonts w:hint="eastAsia" w:ascii="宋体" w:hAnsi="宋体" w:cs="宋体"/>
          <w:b/>
          <w:color w:val="auto"/>
          <w:szCs w:val="24"/>
        </w:rPr>
        <w:t>九、违约责任</w:t>
      </w:r>
      <w:bookmarkEnd w:id="51"/>
      <w:bookmarkEnd w:id="52"/>
      <w:bookmarkEnd w:id="53"/>
      <w:bookmarkEnd w:id="54"/>
      <w:bookmarkEnd w:id="55"/>
      <w:bookmarkEnd w:id="56"/>
      <w:bookmarkEnd w:id="65"/>
      <w:bookmarkEnd w:id="66"/>
    </w:p>
    <w:p w14:paraId="4241A2A6">
      <w:pPr>
        <w:numPr>
          <w:ilvl w:val="3"/>
          <w:numId w:val="0"/>
        </w:numPr>
        <w:tabs>
          <w:tab w:val="left" w:pos="0"/>
        </w:tabs>
        <w:wordWrap w:val="0"/>
        <w:topLinePunct/>
        <w:spacing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lang w:eastAsia="zh-CN"/>
        </w:rPr>
        <w:t>（</w:t>
      </w:r>
      <w:r>
        <w:rPr>
          <w:rFonts w:hint="eastAsia" w:ascii="宋体" w:hAnsi="宋体" w:eastAsia="宋体" w:cs="宋体"/>
          <w:color w:val="auto"/>
          <w:szCs w:val="24"/>
          <w:lang w:val="en-US" w:eastAsia="zh-CN"/>
        </w:rPr>
        <w:t>一</w:t>
      </w:r>
      <w:r>
        <w:rPr>
          <w:rFonts w:hint="eastAsia" w:ascii="宋体" w:hAnsi="宋体" w:eastAsia="宋体" w:cs="宋体"/>
          <w:color w:val="auto"/>
          <w:szCs w:val="24"/>
          <w:lang w:eastAsia="zh-CN"/>
        </w:rPr>
        <w:t>）</w:t>
      </w:r>
      <w:r>
        <w:rPr>
          <w:rFonts w:hint="eastAsia" w:ascii="宋体" w:hAnsi="宋体" w:eastAsia="宋体" w:cs="宋体"/>
          <w:color w:val="auto"/>
          <w:szCs w:val="24"/>
          <w:lang w:val="en-US" w:eastAsia="zh-CN"/>
        </w:rPr>
        <w:t>甲方</w:t>
      </w:r>
      <w:r>
        <w:rPr>
          <w:rFonts w:hint="eastAsia" w:ascii="宋体" w:hAnsi="宋体" w:eastAsia="宋体" w:cs="宋体"/>
          <w:color w:val="auto"/>
          <w:szCs w:val="24"/>
        </w:rPr>
        <w:t xml:space="preserve">违约责任 </w:t>
      </w:r>
    </w:p>
    <w:p w14:paraId="10BE6002">
      <w:pPr>
        <w:numPr>
          <w:ilvl w:val="3"/>
          <w:numId w:val="0"/>
        </w:numPr>
        <w:tabs>
          <w:tab w:val="left" w:pos="0"/>
        </w:tabs>
        <w:wordWrap w:val="0"/>
        <w:topLinePunct/>
        <w:spacing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rPr>
        <w:t>（1）</w:t>
      </w:r>
      <w:r>
        <w:rPr>
          <w:rFonts w:hint="eastAsia" w:ascii="宋体" w:hAnsi="宋体" w:eastAsia="宋体" w:cs="宋体"/>
          <w:color w:val="auto"/>
          <w:szCs w:val="24"/>
          <w:lang w:val="en-US" w:eastAsia="zh-CN"/>
        </w:rPr>
        <w:t>甲方</w:t>
      </w:r>
      <w:r>
        <w:rPr>
          <w:rFonts w:hint="eastAsia" w:ascii="宋体" w:hAnsi="宋体" w:eastAsia="宋体" w:cs="宋体"/>
          <w:color w:val="auto"/>
          <w:szCs w:val="24"/>
        </w:rPr>
        <w:t>无正当理由拒收货物的，</w:t>
      </w:r>
      <w:r>
        <w:rPr>
          <w:rFonts w:hint="eastAsia" w:ascii="宋体" w:hAnsi="宋体" w:eastAsia="宋体" w:cs="宋体"/>
          <w:color w:val="auto"/>
          <w:szCs w:val="24"/>
          <w:lang w:val="en-US" w:eastAsia="zh-CN"/>
        </w:rPr>
        <w:t>甲方</w:t>
      </w:r>
      <w:r>
        <w:rPr>
          <w:rFonts w:hint="eastAsia" w:ascii="宋体" w:hAnsi="宋体" w:eastAsia="宋体" w:cs="宋体"/>
          <w:color w:val="auto"/>
          <w:szCs w:val="24"/>
        </w:rPr>
        <w:t>应偿付</w:t>
      </w:r>
      <w:r>
        <w:rPr>
          <w:rFonts w:hint="eastAsia" w:ascii="宋体" w:hAnsi="宋体" w:eastAsia="宋体" w:cs="宋体"/>
          <w:color w:val="auto"/>
          <w:szCs w:val="24"/>
          <w:lang w:val="en-US" w:eastAsia="zh-CN"/>
        </w:rPr>
        <w:t>当批采购价款</w:t>
      </w:r>
      <w:r>
        <w:rPr>
          <w:rFonts w:hint="eastAsia" w:ascii="宋体" w:hAnsi="宋体" w:eastAsia="宋体" w:cs="宋体"/>
          <w:color w:val="auto"/>
          <w:szCs w:val="24"/>
        </w:rPr>
        <w:t>百分之</w:t>
      </w:r>
      <w:r>
        <w:rPr>
          <w:rFonts w:hint="eastAsia" w:ascii="宋体" w:hAnsi="宋体" w:eastAsia="宋体" w:cs="宋体"/>
          <w:color w:val="auto"/>
          <w:szCs w:val="24"/>
          <w:u w:val="single"/>
        </w:rPr>
        <w:t xml:space="preserve"> 十 </w:t>
      </w:r>
      <w:r>
        <w:rPr>
          <w:rFonts w:hint="eastAsia" w:ascii="宋体" w:hAnsi="宋体" w:eastAsia="宋体" w:cs="宋体"/>
          <w:color w:val="auto"/>
          <w:szCs w:val="24"/>
        </w:rPr>
        <w:t xml:space="preserve">的违约金； </w:t>
      </w:r>
    </w:p>
    <w:p w14:paraId="68867B79">
      <w:pPr>
        <w:numPr>
          <w:ilvl w:val="3"/>
          <w:numId w:val="0"/>
        </w:numPr>
        <w:tabs>
          <w:tab w:val="left" w:pos="0"/>
        </w:tabs>
        <w:wordWrap w:val="0"/>
        <w:topLinePunct/>
        <w:spacing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rPr>
        <w:t>（2）</w:t>
      </w:r>
      <w:r>
        <w:rPr>
          <w:rFonts w:hint="eastAsia" w:ascii="宋体" w:hAnsi="宋体" w:eastAsia="宋体" w:cs="宋体"/>
          <w:color w:val="auto"/>
          <w:szCs w:val="24"/>
          <w:lang w:val="en-US" w:eastAsia="zh-CN"/>
        </w:rPr>
        <w:t>甲方</w:t>
      </w:r>
      <w:r>
        <w:rPr>
          <w:rFonts w:hint="eastAsia" w:ascii="宋体" w:hAnsi="宋体" w:eastAsia="宋体" w:cs="宋体"/>
          <w:color w:val="auto"/>
          <w:szCs w:val="24"/>
        </w:rPr>
        <w:t>逾期支付货款的，除应及时付足货款外，应向</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偿付欠款总额万分之</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二</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/天的违约金；逾期未付款超过</w:t>
      </w:r>
      <w:r>
        <w:rPr>
          <w:rFonts w:hint="eastAsia" w:ascii="宋体" w:hAnsi="宋体" w:eastAsia="宋体" w:cs="宋体"/>
          <w:color w:val="auto"/>
          <w:szCs w:val="24"/>
          <w:u w:val="single"/>
        </w:rPr>
        <w:t xml:space="preserve"> 三十 </w:t>
      </w:r>
      <w:r>
        <w:rPr>
          <w:rFonts w:hint="eastAsia" w:ascii="宋体" w:hAnsi="宋体" w:eastAsia="宋体" w:cs="宋体"/>
          <w:color w:val="auto"/>
          <w:szCs w:val="24"/>
        </w:rPr>
        <w:t>天的，</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有权终止合同；</w:t>
      </w:r>
    </w:p>
    <w:p w14:paraId="2D207F11">
      <w:pPr>
        <w:numPr>
          <w:ilvl w:val="3"/>
          <w:numId w:val="0"/>
        </w:numPr>
        <w:tabs>
          <w:tab w:val="left" w:pos="0"/>
        </w:tabs>
        <w:wordWrap w:val="0"/>
        <w:topLinePunct/>
        <w:spacing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rPr>
        <w:t>（3）</w:t>
      </w:r>
      <w:r>
        <w:rPr>
          <w:rFonts w:hint="eastAsia" w:ascii="宋体" w:hAnsi="宋体" w:eastAsia="宋体" w:cs="宋体"/>
          <w:color w:val="auto"/>
          <w:szCs w:val="24"/>
          <w:lang w:val="en-US" w:eastAsia="zh-CN"/>
        </w:rPr>
        <w:t>甲方</w:t>
      </w:r>
      <w:r>
        <w:rPr>
          <w:rFonts w:hint="eastAsia" w:ascii="宋体" w:hAnsi="宋体" w:eastAsia="宋体" w:cs="宋体"/>
          <w:color w:val="auto"/>
          <w:szCs w:val="24"/>
        </w:rPr>
        <w:t>偿付的违约金不足以弥补</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损失的，还应按</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损失尚未弥补的部分，支付赔偿金给</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 xml:space="preserve">。 </w:t>
      </w:r>
    </w:p>
    <w:p w14:paraId="2F7715AF">
      <w:pPr>
        <w:numPr>
          <w:ilvl w:val="3"/>
          <w:numId w:val="0"/>
        </w:numPr>
        <w:tabs>
          <w:tab w:val="left" w:pos="0"/>
        </w:tabs>
        <w:wordWrap w:val="0"/>
        <w:topLinePunct/>
        <w:spacing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lang w:eastAsia="zh-CN"/>
        </w:rPr>
        <w:t>（</w:t>
      </w:r>
      <w:r>
        <w:rPr>
          <w:rFonts w:hint="eastAsia" w:ascii="宋体" w:hAnsi="宋体" w:eastAsia="宋体" w:cs="宋体"/>
          <w:color w:val="auto"/>
          <w:szCs w:val="24"/>
          <w:lang w:val="en-US" w:eastAsia="zh-CN"/>
        </w:rPr>
        <w:t>二</w:t>
      </w:r>
      <w:r>
        <w:rPr>
          <w:rFonts w:hint="eastAsia" w:ascii="宋体" w:hAnsi="宋体" w:eastAsia="宋体" w:cs="宋体"/>
          <w:color w:val="auto"/>
          <w:szCs w:val="24"/>
          <w:lang w:eastAsia="zh-CN"/>
        </w:rPr>
        <w:t>）</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违约责任</w:t>
      </w:r>
    </w:p>
    <w:p w14:paraId="21EBCBDC">
      <w:pPr>
        <w:numPr>
          <w:ilvl w:val="3"/>
          <w:numId w:val="0"/>
        </w:numPr>
        <w:tabs>
          <w:tab w:val="left" w:pos="0"/>
        </w:tabs>
        <w:wordWrap w:val="0"/>
        <w:topLinePunct/>
        <w:spacing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rPr>
        <w:t>（1）</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交付的货物质量不符合合同规定的，</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应向</w:t>
      </w:r>
      <w:r>
        <w:rPr>
          <w:rFonts w:hint="eastAsia" w:ascii="宋体" w:hAnsi="宋体" w:eastAsia="宋体" w:cs="宋体"/>
          <w:color w:val="auto"/>
          <w:szCs w:val="24"/>
          <w:lang w:val="en-US" w:eastAsia="zh-CN"/>
        </w:rPr>
        <w:t>甲方</w:t>
      </w:r>
      <w:r>
        <w:rPr>
          <w:rFonts w:hint="eastAsia" w:ascii="宋体" w:hAnsi="宋体" w:eastAsia="宋体" w:cs="宋体"/>
          <w:color w:val="auto"/>
          <w:szCs w:val="24"/>
        </w:rPr>
        <w:t>支付合同总价的百分之</w:t>
      </w:r>
      <w:r>
        <w:rPr>
          <w:rFonts w:hint="eastAsia" w:ascii="宋体" w:hAnsi="宋体" w:eastAsia="宋体" w:cs="宋体"/>
          <w:color w:val="auto"/>
          <w:szCs w:val="24"/>
          <w:u w:val="single"/>
        </w:rPr>
        <w:t xml:space="preserve"> 十 </w:t>
      </w:r>
      <w:r>
        <w:rPr>
          <w:rFonts w:hint="eastAsia" w:ascii="宋体" w:hAnsi="宋体" w:eastAsia="宋体" w:cs="宋体"/>
          <w:color w:val="auto"/>
          <w:szCs w:val="24"/>
        </w:rPr>
        <w:t>的违约金，并须在合同规定的交货时间内更换合格的货物给</w:t>
      </w:r>
      <w:r>
        <w:rPr>
          <w:rFonts w:hint="eastAsia" w:ascii="宋体" w:hAnsi="宋体" w:eastAsia="宋体" w:cs="宋体"/>
          <w:color w:val="auto"/>
          <w:szCs w:val="24"/>
          <w:lang w:val="en-US" w:eastAsia="zh-CN"/>
        </w:rPr>
        <w:t>甲方</w:t>
      </w:r>
      <w:r>
        <w:rPr>
          <w:rFonts w:hint="eastAsia" w:ascii="宋体" w:hAnsi="宋体" w:eastAsia="宋体" w:cs="宋体"/>
          <w:color w:val="auto"/>
          <w:szCs w:val="24"/>
        </w:rPr>
        <w:t>，否则，视作</w:t>
      </w:r>
      <w:r>
        <w:rPr>
          <w:rFonts w:hint="eastAsia" w:ascii="宋体" w:hAnsi="宋体" w:cs="宋体"/>
          <w:color w:val="auto"/>
          <w:sz w:val="24"/>
          <w:szCs w:val="24"/>
          <w:lang w:val="en-US" w:eastAsia="zh-CN"/>
        </w:rPr>
        <w:t>成交</w:t>
      </w:r>
      <w:r>
        <w:rPr>
          <w:rFonts w:hint="eastAsia" w:ascii="宋体" w:hAnsi="宋体" w:eastAsia="宋体" w:cs="宋体"/>
          <w:color w:val="auto"/>
          <w:szCs w:val="24"/>
        </w:rPr>
        <w:t>供应商不能交付货物而违约，按本条本款下述第“（2）”项规定由</w:t>
      </w:r>
      <w:r>
        <w:rPr>
          <w:rFonts w:hint="eastAsia" w:ascii="宋体" w:hAnsi="宋体" w:cs="宋体"/>
          <w:color w:val="auto"/>
          <w:sz w:val="24"/>
          <w:szCs w:val="24"/>
          <w:lang w:val="en-US" w:eastAsia="zh-CN"/>
        </w:rPr>
        <w:t>成交</w:t>
      </w:r>
      <w:r>
        <w:rPr>
          <w:rFonts w:hint="eastAsia" w:ascii="宋体" w:hAnsi="宋体" w:eastAsia="宋体" w:cs="宋体"/>
          <w:color w:val="auto"/>
          <w:szCs w:val="24"/>
        </w:rPr>
        <w:t>供应商偿付违约赔偿金给</w:t>
      </w:r>
      <w:r>
        <w:rPr>
          <w:rFonts w:hint="eastAsia" w:ascii="宋体" w:hAnsi="宋体" w:eastAsia="宋体" w:cs="宋体"/>
          <w:color w:val="auto"/>
          <w:szCs w:val="24"/>
          <w:lang w:val="en-US" w:eastAsia="zh-CN"/>
        </w:rPr>
        <w:t>甲方</w:t>
      </w:r>
      <w:r>
        <w:rPr>
          <w:rFonts w:hint="eastAsia" w:ascii="宋体" w:hAnsi="宋体" w:eastAsia="宋体" w:cs="宋体"/>
          <w:color w:val="auto"/>
          <w:szCs w:val="24"/>
        </w:rPr>
        <w:t>。</w:t>
      </w:r>
    </w:p>
    <w:p w14:paraId="513398E4">
      <w:pPr>
        <w:numPr>
          <w:ilvl w:val="3"/>
          <w:numId w:val="0"/>
        </w:numPr>
        <w:tabs>
          <w:tab w:val="left" w:pos="0"/>
        </w:tabs>
        <w:wordWrap w:val="0"/>
        <w:topLinePunct/>
        <w:spacing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rPr>
        <w:t>（2）</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不能交付货物或逾期交付货物而违约的，除应及时</w:t>
      </w:r>
      <w:r>
        <w:rPr>
          <w:rFonts w:hint="eastAsia" w:ascii="宋体" w:hAnsi="宋体" w:eastAsia="宋体" w:cs="宋体"/>
          <w:color w:val="auto"/>
          <w:szCs w:val="24"/>
          <w:lang w:eastAsia="zh-CN"/>
        </w:rPr>
        <w:t>交付</w:t>
      </w:r>
      <w:r>
        <w:rPr>
          <w:rFonts w:hint="eastAsia" w:ascii="宋体" w:hAnsi="宋体" w:eastAsia="宋体" w:cs="宋体"/>
          <w:color w:val="auto"/>
          <w:szCs w:val="24"/>
        </w:rPr>
        <w:t>货物外，应向</w:t>
      </w:r>
      <w:r>
        <w:rPr>
          <w:rFonts w:hint="eastAsia" w:ascii="宋体" w:hAnsi="宋体" w:eastAsia="宋体" w:cs="宋体"/>
          <w:color w:val="auto"/>
          <w:szCs w:val="24"/>
          <w:lang w:val="en-US" w:eastAsia="zh-CN"/>
        </w:rPr>
        <w:t>甲方</w:t>
      </w:r>
      <w:r>
        <w:rPr>
          <w:rFonts w:hint="eastAsia" w:ascii="宋体" w:hAnsi="宋体" w:eastAsia="宋体" w:cs="宋体"/>
          <w:color w:val="auto"/>
          <w:szCs w:val="24"/>
        </w:rPr>
        <w:t>偿付逾期交货部分货款总额的千分之</w:t>
      </w:r>
      <w:r>
        <w:rPr>
          <w:rFonts w:hint="eastAsia" w:ascii="宋体" w:hAnsi="宋体" w:eastAsia="宋体" w:cs="宋体"/>
          <w:color w:val="auto"/>
          <w:szCs w:val="24"/>
          <w:u w:val="single"/>
        </w:rPr>
        <w:t xml:space="preserve"> 一 </w:t>
      </w:r>
      <w:r>
        <w:rPr>
          <w:rFonts w:hint="eastAsia" w:ascii="宋体" w:hAnsi="宋体" w:eastAsia="宋体" w:cs="宋体"/>
          <w:color w:val="auto"/>
          <w:szCs w:val="24"/>
        </w:rPr>
        <w:t>/天的违约金；逾期不能交货超过三十天，</w:t>
      </w:r>
      <w:r>
        <w:rPr>
          <w:rFonts w:hint="eastAsia" w:ascii="宋体" w:hAnsi="宋体" w:eastAsia="宋体" w:cs="宋体"/>
          <w:color w:val="auto"/>
          <w:szCs w:val="24"/>
          <w:lang w:val="en-US" w:eastAsia="zh-CN"/>
        </w:rPr>
        <w:t>甲方</w:t>
      </w:r>
      <w:r>
        <w:rPr>
          <w:rFonts w:hint="eastAsia" w:ascii="宋体" w:hAnsi="宋体" w:eastAsia="宋体" w:cs="宋体"/>
          <w:color w:val="auto"/>
          <w:szCs w:val="24"/>
        </w:rPr>
        <w:t>有权终止合同，</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则应按合同总价的百分之</w:t>
      </w:r>
      <w:r>
        <w:rPr>
          <w:rFonts w:hint="eastAsia" w:ascii="宋体" w:hAnsi="宋体" w:eastAsia="宋体" w:cs="宋体"/>
          <w:color w:val="auto"/>
          <w:szCs w:val="24"/>
          <w:u w:val="single"/>
        </w:rPr>
        <w:t xml:space="preserve"> 二十 </w:t>
      </w:r>
      <w:r>
        <w:rPr>
          <w:rFonts w:hint="eastAsia" w:ascii="宋体" w:hAnsi="宋体" w:eastAsia="宋体" w:cs="宋体"/>
          <w:color w:val="auto"/>
          <w:szCs w:val="24"/>
        </w:rPr>
        <w:t>的款额向采购人偿付赔偿金，并须全额退还</w:t>
      </w:r>
      <w:r>
        <w:rPr>
          <w:rFonts w:hint="eastAsia" w:ascii="宋体" w:hAnsi="宋体" w:eastAsia="宋体" w:cs="宋体"/>
          <w:color w:val="auto"/>
          <w:szCs w:val="24"/>
          <w:lang w:val="en-US" w:eastAsia="zh-CN"/>
        </w:rPr>
        <w:t>甲方</w:t>
      </w:r>
      <w:r>
        <w:rPr>
          <w:rFonts w:hint="eastAsia" w:ascii="宋体" w:hAnsi="宋体" w:eastAsia="宋体" w:cs="宋体"/>
          <w:color w:val="auto"/>
          <w:szCs w:val="24"/>
        </w:rPr>
        <w:t>已经付给</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的货款及其利息。</w:t>
      </w:r>
    </w:p>
    <w:p w14:paraId="52645262">
      <w:pPr>
        <w:numPr>
          <w:ilvl w:val="3"/>
          <w:numId w:val="0"/>
        </w:numPr>
        <w:tabs>
          <w:tab w:val="left" w:pos="0"/>
        </w:tabs>
        <w:wordWrap w:val="0"/>
        <w:topLinePunct/>
        <w:spacing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rPr>
        <w:t>（3）</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货物经</w:t>
      </w:r>
      <w:r>
        <w:rPr>
          <w:rFonts w:hint="eastAsia" w:ascii="宋体" w:hAnsi="宋体" w:eastAsia="宋体" w:cs="宋体"/>
          <w:color w:val="auto"/>
          <w:szCs w:val="24"/>
          <w:lang w:val="en-US" w:eastAsia="zh-CN"/>
        </w:rPr>
        <w:t>甲方</w:t>
      </w:r>
      <w:r>
        <w:rPr>
          <w:rFonts w:hint="eastAsia" w:ascii="宋体" w:hAnsi="宋体" w:eastAsia="宋体" w:cs="宋体"/>
          <w:color w:val="auto"/>
          <w:szCs w:val="24"/>
        </w:rPr>
        <w:t>送交具有法定资格条件的质量技术监督机构检测后，如检测结果认定货物质量不符合本合同规定标准的，则视为</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没有按时交货而违约，</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须在</w:t>
      </w:r>
      <w:r>
        <w:rPr>
          <w:rFonts w:hint="eastAsia" w:ascii="宋体" w:hAnsi="宋体" w:eastAsia="宋体" w:cs="宋体"/>
          <w:color w:val="auto"/>
          <w:szCs w:val="24"/>
          <w:u w:val="single"/>
        </w:rPr>
        <w:t xml:space="preserve"> 五 </w:t>
      </w:r>
      <w:r>
        <w:rPr>
          <w:rFonts w:hint="eastAsia" w:ascii="宋体" w:hAnsi="宋体" w:eastAsia="宋体" w:cs="宋体"/>
          <w:color w:val="auto"/>
          <w:szCs w:val="24"/>
        </w:rPr>
        <w:t>天内无条件更换合格的货物，如逾期不能更换合格的货物，</w:t>
      </w:r>
      <w:r>
        <w:rPr>
          <w:rFonts w:hint="eastAsia" w:ascii="宋体" w:hAnsi="宋体" w:eastAsia="宋体" w:cs="宋体"/>
          <w:color w:val="auto"/>
          <w:szCs w:val="24"/>
          <w:lang w:val="en-US" w:eastAsia="zh-CN"/>
        </w:rPr>
        <w:t>甲方</w:t>
      </w:r>
      <w:r>
        <w:rPr>
          <w:rFonts w:hint="eastAsia" w:ascii="宋体" w:hAnsi="宋体" w:eastAsia="宋体" w:cs="宋体"/>
          <w:color w:val="auto"/>
          <w:szCs w:val="24"/>
        </w:rPr>
        <w:t>有权终止本合同，</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应另付合同总价的百分之</w:t>
      </w:r>
      <w:r>
        <w:rPr>
          <w:rFonts w:hint="eastAsia" w:ascii="宋体" w:hAnsi="宋体" w:eastAsia="宋体" w:cs="宋体"/>
          <w:color w:val="auto"/>
          <w:szCs w:val="24"/>
          <w:u w:val="single"/>
        </w:rPr>
        <w:t xml:space="preserve"> 二十 </w:t>
      </w:r>
      <w:r>
        <w:rPr>
          <w:rFonts w:hint="eastAsia" w:ascii="宋体" w:hAnsi="宋体" w:eastAsia="宋体" w:cs="宋体"/>
          <w:color w:val="auto"/>
          <w:szCs w:val="24"/>
        </w:rPr>
        <w:t>的赔偿金给采购人。</w:t>
      </w:r>
    </w:p>
    <w:p w14:paraId="4CD8BA44">
      <w:pPr>
        <w:numPr>
          <w:ilvl w:val="3"/>
          <w:numId w:val="0"/>
        </w:numPr>
        <w:tabs>
          <w:tab w:val="left" w:pos="0"/>
        </w:tabs>
        <w:wordWrap w:val="0"/>
        <w:topLinePunct/>
        <w:spacing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rPr>
        <w:t>（4）</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保证本合同货物的权利无瑕疵，包括货物所有权及知识产权等权利无瑕疵。如任何第三方经法院（或仲裁机构）裁决有权对上述货物主张权利或国家机关依法对货物进行没收查处的，</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除应向</w:t>
      </w:r>
      <w:r>
        <w:rPr>
          <w:rFonts w:hint="eastAsia" w:ascii="宋体" w:hAnsi="宋体" w:eastAsia="宋体" w:cs="宋体"/>
          <w:color w:val="auto"/>
          <w:szCs w:val="24"/>
          <w:lang w:val="en-US" w:eastAsia="zh-CN"/>
        </w:rPr>
        <w:t>甲方</w:t>
      </w:r>
      <w:r>
        <w:rPr>
          <w:rFonts w:hint="eastAsia" w:ascii="宋体" w:hAnsi="宋体" w:eastAsia="宋体" w:cs="宋体"/>
          <w:color w:val="auto"/>
          <w:szCs w:val="24"/>
        </w:rPr>
        <w:t>返还已收款项外，还应另按合同总价的百分之</w:t>
      </w:r>
      <w:r>
        <w:rPr>
          <w:rFonts w:hint="eastAsia" w:ascii="宋体" w:hAnsi="宋体" w:eastAsia="宋体" w:cs="宋体"/>
          <w:color w:val="auto"/>
          <w:szCs w:val="24"/>
          <w:u w:val="single"/>
        </w:rPr>
        <w:t xml:space="preserve"> 十 </w:t>
      </w:r>
      <w:r>
        <w:rPr>
          <w:rFonts w:hint="eastAsia" w:ascii="宋体" w:hAnsi="宋体" w:eastAsia="宋体" w:cs="宋体"/>
          <w:color w:val="auto"/>
          <w:szCs w:val="24"/>
        </w:rPr>
        <w:t>向</w:t>
      </w:r>
      <w:r>
        <w:rPr>
          <w:rFonts w:hint="eastAsia" w:ascii="宋体" w:hAnsi="宋体" w:eastAsia="宋体" w:cs="宋体"/>
          <w:color w:val="auto"/>
          <w:szCs w:val="24"/>
          <w:lang w:val="en-US" w:eastAsia="zh-CN"/>
        </w:rPr>
        <w:t>甲方</w:t>
      </w:r>
      <w:r>
        <w:rPr>
          <w:rFonts w:hint="eastAsia" w:ascii="宋体" w:hAnsi="宋体" w:eastAsia="宋体" w:cs="宋体"/>
          <w:color w:val="auto"/>
          <w:szCs w:val="24"/>
        </w:rPr>
        <w:t>支付违约金并赔偿因此给</w:t>
      </w:r>
      <w:r>
        <w:rPr>
          <w:rFonts w:hint="eastAsia" w:ascii="宋体" w:hAnsi="宋体" w:eastAsia="宋体" w:cs="宋体"/>
          <w:color w:val="auto"/>
          <w:szCs w:val="24"/>
          <w:lang w:val="en-US" w:eastAsia="zh-CN"/>
        </w:rPr>
        <w:t>甲方</w:t>
      </w:r>
      <w:r>
        <w:rPr>
          <w:rFonts w:hint="eastAsia" w:ascii="宋体" w:hAnsi="宋体" w:eastAsia="宋体" w:cs="宋体"/>
          <w:color w:val="auto"/>
          <w:szCs w:val="24"/>
        </w:rPr>
        <w:t>造成的一切损失。</w:t>
      </w:r>
    </w:p>
    <w:p w14:paraId="54ADF502">
      <w:pPr>
        <w:numPr>
          <w:ilvl w:val="3"/>
          <w:numId w:val="0"/>
        </w:numPr>
        <w:tabs>
          <w:tab w:val="left" w:pos="0"/>
        </w:tabs>
        <w:wordWrap w:val="0"/>
        <w:topLinePunct/>
        <w:spacing w:line="360" w:lineRule="auto"/>
        <w:ind w:firstLine="480" w:firstLineChars="200"/>
        <w:rPr>
          <w:rFonts w:ascii="宋体" w:hAnsi="宋体" w:cs="宋体"/>
          <w:color w:val="auto"/>
          <w:szCs w:val="24"/>
        </w:rPr>
      </w:pPr>
      <w:r>
        <w:rPr>
          <w:rFonts w:hint="eastAsia" w:ascii="宋体" w:hAnsi="宋体" w:eastAsia="宋体" w:cs="宋体"/>
          <w:color w:val="auto"/>
          <w:szCs w:val="24"/>
        </w:rPr>
        <w:t>（5）</w:t>
      </w:r>
      <w:r>
        <w:rPr>
          <w:rFonts w:hint="eastAsia" w:ascii="宋体" w:hAnsi="宋体" w:eastAsia="宋体" w:cs="宋体"/>
          <w:color w:val="auto"/>
          <w:szCs w:val="24"/>
          <w:lang w:val="en-US" w:eastAsia="zh-CN"/>
        </w:rPr>
        <w:t>乙方</w:t>
      </w:r>
      <w:r>
        <w:rPr>
          <w:rFonts w:hint="eastAsia" w:ascii="宋体" w:hAnsi="宋体" w:eastAsia="宋体" w:cs="宋体"/>
          <w:color w:val="auto"/>
          <w:szCs w:val="24"/>
        </w:rPr>
        <w:t>偿付的违约金不足以弥补</w:t>
      </w:r>
      <w:r>
        <w:rPr>
          <w:rFonts w:hint="eastAsia" w:ascii="宋体" w:hAnsi="宋体" w:eastAsia="宋体" w:cs="宋体"/>
          <w:color w:val="auto"/>
          <w:szCs w:val="24"/>
          <w:lang w:val="en-US" w:eastAsia="zh-CN"/>
        </w:rPr>
        <w:t>甲方</w:t>
      </w:r>
      <w:r>
        <w:rPr>
          <w:rFonts w:hint="eastAsia" w:ascii="宋体" w:hAnsi="宋体" w:eastAsia="宋体" w:cs="宋体"/>
          <w:color w:val="auto"/>
          <w:szCs w:val="24"/>
        </w:rPr>
        <w:t>损失的，还应按</w:t>
      </w:r>
      <w:r>
        <w:rPr>
          <w:rFonts w:hint="eastAsia" w:ascii="宋体" w:hAnsi="宋体" w:eastAsia="宋体" w:cs="宋体"/>
          <w:color w:val="auto"/>
          <w:szCs w:val="24"/>
          <w:lang w:val="en-US" w:eastAsia="zh-CN"/>
        </w:rPr>
        <w:t>甲方</w:t>
      </w:r>
      <w:r>
        <w:rPr>
          <w:rFonts w:hint="eastAsia" w:ascii="宋体" w:hAnsi="宋体" w:eastAsia="宋体" w:cs="宋体"/>
          <w:color w:val="auto"/>
          <w:szCs w:val="24"/>
        </w:rPr>
        <w:t>损失尚未弥补的部分，支付赔偿金给</w:t>
      </w:r>
      <w:r>
        <w:rPr>
          <w:rFonts w:hint="eastAsia" w:ascii="宋体" w:hAnsi="宋体" w:eastAsia="宋体" w:cs="宋体"/>
          <w:color w:val="auto"/>
          <w:szCs w:val="24"/>
          <w:lang w:val="en-US" w:eastAsia="zh-CN"/>
        </w:rPr>
        <w:t>甲方</w:t>
      </w:r>
      <w:r>
        <w:rPr>
          <w:rFonts w:hint="eastAsia" w:ascii="宋体" w:hAnsi="宋体" w:eastAsia="宋体" w:cs="宋体"/>
          <w:color w:val="auto"/>
          <w:szCs w:val="24"/>
        </w:rPr>
        <w:t>。</w:t>
      </w:r>
    </w:p>
    <w:p w14:paraId="60F936E8">
      <w:pPr>
        <w:wordWrap w:val="0"/>
        <w:topLinePunct/>
        <w:adjustRightInd w:val="0"/>
        <w:snapToGrid w:val="0"/>
        <w:spacing w:line="360" w:lineRule="auto"/>
        <w:ind w:left="480" w:leftChars="200"/>
        <w:outlineLvl w:val="1"/>
        <w:rPr>
          <w:rFonts w:ascii="宋体" w:hAnsi="宋体" w:cs="宋体"/>
          <w:b/>
          <w:color w:val="auto"/>
          <w:szCs w:val="24"/>
        </w:rPr>
      </w:pPr>
      <w:bookmarkStart w:id="67" w:name="_Toc22826"/>
      <w:bookmarkStart w:id="68" w:name="_Toc7150"/>
      <w:bookmarkStart w:id="69" w:name="_Toc577"/>
      <w:bookmarkStart w:id="70" w:name="_Toc25607"/>
      <w:bookmarkStart w:id="71" w:name="_Toc7980"/>
      <w:bookmarkStart w:id="72" w:name="_Toc30469"/>
      <w:bookmarkStart w:id="73" w:name="_Toc29862"/>
      <w:bookmarkStart w:id="74" w:name="_Toc217446114"/>
      <w:bookmarkStart w:id="75" w:name="_Toc4725"/>
      <w:r>
        <w:rPr>
          <w:rFonts w:hint="eastAsia" w:ascii="宋体" w:hAnsi="宋体" w:cs="宋体"/>
          <w:b/>
          <w:color w:val="auto"/>
          <w:szCs w:val="24"/>
        </w:rPr>
        <w:t>十、争议解决的方法</w:t>
      </w:r>
      <w:bookmarkEnd w:id="67"/>
      <w:bookmarkEnd w:id="68"/>
      <w:bookmarkEnd w:id="69"/>
      <w:bookmarkEnd w:id="70"/>
      <w:bookmarkEnd w:id="71"/>
      <w:bookmarkEnd w:id="72"/>
      <w:bookmarkEnd w:id="73"/>
      <w:bookmarkEnd w:id="74"/>
      <w:bookmarkEnd w:id="75"/>
    </w:p>
    <w:p w14:paraId="69C9F4E2">
      <w:pPr>
        <w:numPr>
          <w:ilvl w:val="3"/>
          <w:numId w:val="0"/>
        </w:numPr>
        <w:tabs>
          <w:tab w:val="left" w:pos="0"/>
        </w:tabs>
        <w:wordWrap w:val="0"/>
        <w:topLinePunct/>
        <w:spacing w:line="360" w:lineRule="auto"/>
        <w:ind w:firstLine="480" w:firstLineChars="200"/>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（1）因货物的质量问题发生争议的，应当邀请国家认可的质量检测机构对货物质量进行鉴定。货物符合标准的，鉴定费由甲方承担；货物不符合质量标准的，鉴定费由乙方承担。</w:t>
      </w:r>
    </w:p>
    <w:p w14:paraId="01012593">
      <w:pPr>
        <w:numPr>
          <w:ilvl w:val="3"/>
          <w:numId w:val="0"/>
        </w:numPr>
        <w:tabs>
          <w:tab w:val="left" w:pos="0"/>
        </w:tabs>
        <w:wordWrap w:val="0"/>
        <w:topLinePunct/>
        <w:spacing w:line="360" w:lineRule="auto"/>
        <w:ind w:firstLine="480" w:firstLineChars="200"/>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（2）在解释或者执行本合同的过程中发生争议时，双方应通过协商方式解决。</w:t>
      </w:r>
    </w:p>
    <w:p w14:paraId="3471BD4C">
      <w:pPr>
        <w:numPr>
          <w:ilvl w:val="3"/>
          <w:numId w:val="0"/>
        </w:numPr>
        <w:tabs>
          <w:tab w:val="left" w:pos="0"/>
        </w:tabs>
        <w:wordWrap w:val="0"/>
        <w:topLinePunct/>
        <w:spacing w:line="360" w:lineRule="auto"/>
        <w:ind w:firstLine="480" w:firstLineChars="200"/>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（3）经协商不能解决的争议，双方可选择向甲方所在地有管辖权的法院提起诉讼。</w:t>
      </w:r>
    </w:p>
    <w:p w14:paraId="269EE27A">
      <w:pPr>
        <w:numPr>
          <w:ilvl w:val="3"/>
          <w:numId w:val="0"/>
        </w:numPr>
        <w:tabs>
          <w:tab w:val="left" w:pos="0"/>
        </w:tabs>
        <w:wordWrap w:val="0"/>
        <w:topLinePunct/>
        <w:spacing w:line="360" w:lineRule="auto"/>
        <w:ind w:firstLine="480" w:firstLineChars="200"/>
        <w:rPr>
          <w:rFonts w:hint="default" w:ascii="宋体" w:hAnsi="宋体" w:eastAsia="宋体" w:cs="宋体"/>
          <w:color w:val="auto"/>
          <w:szCs w:val="24"/>
          <w:lang w:val="en-US" w:eastAsia="zh-CN"/>
        </w:rPr>
      </w:pPr>
      <w:r>
        <w:rPr>
          <w:rFonts w:hint="eastAsia" w:ascii="宋体" w:hAnsi="宋体" w:eastAsia="宋体" w:cs="宋体"/>
          <w:color w:val="auto"/>
          <w:szCs w:val="24"/>
          <w:lang w:val="en-US" w:eastAsia="zh-CN"/>
        </w:rPr>
        <w:t>（4）在法院审理和诉讼期间，除有争议部分外，合同其他部分可以履行的仍应按合同条款继续履行。</w:t>
      </w:r>
    </w:p>
    <w:p w14:paraId="778901E3">
      <w:pPr>
        <w:wordWrap w:val="0"/>
        <w:topLinePunct/>
        <w:adjustRightInd w:val="0"/>
        <w:snapToGrid w:val="0"/>
        <w:spacing w:line="360" w:lineRule="auto"/>
        <w:ind w:left="480" w:leftChars="200"/>
        <w:outlineLvl w:val="1"/>
        <w:rPr>
          <w:rFonts w:ascii="宋体" w:hAnsi="宋体" w:cs="宋体"/>
          <w:b/>
          <w:color w:val="auto"/>
          <w:szCs w:val="24"/>
        </w:rPr>
      </w:pPr>
      <w:bookmarkStart w:id="76" w:name="_Toc2164"/>
      <w:bookmarkStart w:id="77" w:name="_Toc28943"/>
      <w:bookmarkStart w:id="78" w:name="_Toc20531"/>
      <w:bookmarkStart w:id="79" w:name="_Toc14887"/>
      <w:bookmarkStart w:id="80" w:name="_Toc16731"/>
      <w:bookmarkStart w:id="81" w:name="_Toc8003"/>
      <w:bookmarkStart w:id="82" w:name="_Toc217446115"/>
      <w:bookmarkStart w:id="83" w:name="_Toc25669"/>
      <w:bookmarkStart w:id="84" w:name="_Toc11354"/>
      <w:r>
        <w:rPr>
          <w:rFonts w:hint="eastAsia" w:ascii="宋体" w:hAnsi="宋体" w:cs="宋体"/>
          <w:b/>
          <w:color w:val="auto"/>
          <w:szCs w:val="24"/>
        </w:rPr>
        <w:t>十一、其他</w:t>
      </w:r>
      <w:bookmarkEnd w:id="76"/>
      <w:bookmarkEnd w:id="77"/>
      <w:bookmarkEnd w:id="78"/>
      <w:bookmarkEnd w:id="79"/>
      <w:bookmarkEnd w:id="80"/>
      <w:bookmarkEnd w:id="81"/>
      <w:bookmarkEnd w:id="82"/>
      <w:bookmarkEnd w:id="83"/>
      <w:bookmarkEnd w:id="84"/>
    </w:p>
    <w:p w14:paraId="7AA5372F">
      <w:pPr>
        <w:numPr>
          <w:ilvl w:val="1"/>
          <w:numId w:val="1"/>
        </w:numPr>
        <w:wordWrap w:val="0"/>
        <w:topLinePunct/>
        <w:spacing w:line="360" w:lineRule="auto"/>
        <w:ind w:firstLine="480" w:firstLineChars="200"/>
        <w:rPr>
          <w:rFonts w:ascii="宋体" w:hAnsi="宋体" w:cs="宋体"/>
          <w:color w:val="auto"/>
          <w:szCs w:val="24"/>
        </w:rPr>
      </w:pPr>
      <w:r>
        <w:rPr>
          <w:rFonts w:hint="eastAsia" w:ascii="宋体" w:hAnsi="宋体" w:cs="宋体"/>
          <w:color w:val="auto"/>
          <w:szCs w:val="24"/>
        </w:rPr>
        <w:t>如有未尽事宜，由双方依法订立补充合同。</w:t>
      </w:r>
    </w:p>
    <w:p w14:paraId="6B19C92D">
      <w:pPr>
        <w:numPr>
          <w:ilvl w:val="1"/>
          <w:numId w:val="1"/>
        </w:numPr>
        <w:wordWrap w:val="0"/>
        <w:topLinePunct/>
        <w:spacing w:line="360" w:lineRule="auto"/>
        <w:ind w:firstLine="480" w:firstLineChars="200"/>
        <w:rPr>
          <w:rFonts w:ascii="宋体" w:hAnsi="宋体" w:cs="宋体"/>
          <w:color w:val="auto"/>
          <w:szCs w:val="24"/>
        </w:rPr>
      </w:pPr>
      <w:r>
        <w:rPr>
          <w:rFonts w:hint="eastAsia" w:ascii="宋体" w:hAnsi="宋体" w:cs="宋体"/>
          <w:color w:val="auto"/>
          <w:szCs w:val="24"/>
        </w:rPr>
        <w:t>本合同一式六份，自双方签章之日起生效。甲方执三份，乙方、政府采购管理部门、采购代理机构各执一份。</w:t>
      </w:r>
    </w:p>
    <w:p w14:paraId="182BFF8B">
      <w:pPr>
        <w:wordWrap w:val="0"/>
        <w:topLinePunct/>
        <w:adjustRightInd w:val="0"/>
        <w:snapToGrid w:val="0"/>
        <w:spacing w:line="360" w:lineRule="auto"/>
        <w:ind w:left="480" w:leftChars="200"/>
        <w:outlineLvl w:val="1"/>
        <w:rPr>
          <w:rFonts w:ascii="宋体" w:hAnsi="宋体" w:cs="宋体"/>
          <w:b/>
          <w:color w:val="auto"/>
          <w:szCs w:val="24"/>
        </w:rPr>
      </w:pPr>
      <w:bookmarkStart w:id="85" w:name="_Toc25232"/>
      <w:bookmarkStart w:id="86" w:name="_Toc24755"/>
      <w:r>
        <w:rPr>
          <w:rFonts w:hint="eastAsia" w:ascii="宋体" w:hAnsi="宋体" w:cs="宋体"/>
          <w:b/>
          <w:color w:val="auto"/>
          <w:szCs w:val="24"/>
        </w:rPr>
        <w:t>十二、附件</w:t>
      </w:r>
      <w:bookmarkEnd w:id="85"/>
      <w:bookmarkEnd w:id="86"/>
    </w:p>
    <w:p w14:paraId="5C7E8BF4">
      <w:pPr>
        <w:numPr>
          <w:ilvl w:val="0"/>
          <w:numId w:val="2"/>
        </w:numPr>
        <w:wordWrap w:val="0"/>
        <w:topLinePunct/>
        <w:adjustRightInd w:val="0"/>
        <w:snapToGrid w:val="0"/>
        <w:spacing w:line="360" w:lineRule="auto"/>
        <w:ind w:firstLine="480" w:firstLineChars="200"/>
        <w:rPr>
          <w:rFonts w:ascii="宋体" w:hAnsi="宋体" w:cs="宋体"/>
          <w:bCs/>
          <w:color w:val="auto"/>
          <w:szCs w:val="24"/>
        </w:rPr>
      </w:pPr>
      <w:bookmarkStart w:id="87" w:name="_Toc4145"/>
      <w:bookmarkStart w:id="88" w:name="_Toc24636"/>
      <w:r>
        <w:rPr>
          <w:rFonts w:hint="eastAsia" w:ascii="宋体" w:hAnsi="宋体" w:cs="宋体"/>
          <w:bCs/>
          <w:color w:val="auto"/>
          <w:szCs w:val="24"/>
        </w:rPr>
        <w:t>《</w:t>
      </w:r>
      <w:r>
        <w:rPr>
          <w:rFonts w:hint="eastAsia" w:ascii="宋体" w:hAnsi="宋体" w:cs="宋体"/>
          <w:bCs/>
          <w:color w:val="auto"/>
          <w:szCs w:val="24"/>
          <w:lang w:val="en-US" w:eastAsia="zh-CN"/>
        </w:rPr>
        <w:t>竞争性谈判文件</w:t>
      </w:r>
      <w:r>
        <w:rPr>
          <w:rFonts w:hint="eastAsia" w:ascii="宋体" w:hAnsi="宋体" w:cs="宋体"/>
          <w:bCs/>
          <w:color w:val="auto"/>
          <w:szCs w:val="24"/>
        </w:rPr>
        <w:t>》</w:t>
      </w:r>
      <w:bookmarkEnd w:id="87"/>
      <w:bookmarkEnd w:id="88"/>
      <w:r>
        <w:rPr>
          <w:rFonts w:hint="eastAsia" w:ascii="宋体" w:hAnsi="宋体" w:cs="宋体"/>
          <w:bCs/>
          <w:color w:val="auto"/>
          <w:szCs w:val="24"/>
        </w:rPr>
        <w:t>。</w:t>
      </w:r>
    </w:p>
    <w:p w14:paraId="5EEF82DF">
      <w:pPr>
        <w:numPr>
          <w:ilvl w:val="0"/>
          <w:numId w:val="2"/>
        </w:numPr>
        <w:wordWrap w:val="0"/>
        <w:topLinePunct/>
        <w:adjustRightInd w:val="0"/>
        <w:snapToGrid w:val="0"/>
        <w:spacing w:line="360" w:lineRule="auto"/>
        <w:ind w:firstLine="480" w:firstLineChars="200"/>
        <w:rPr>
          <w:rFonts w:ascii="宋体" w:hAnsi="宋体" w:cs="宋体"/>
          <w:bCs/>
          <w:color w:val="auto"/>
          <w:szCs w:val="24"/>
        </w:rPr>
      </w:pPr>
      <w:bookmarkStart w:id="89" w:name="_Toc25553"/>
      <w:bookmarkStart w:id="90" w:name="_Toc21850"/>
      <w:r>
        <w:rPr>
          <w:rFonts w:hint="eastAsia" w:ascii="宋体" w:hAnsi="宋体" w:cs="宋体"/>
          <w:bCs/>
          <w:color w:val="auto"/>
          <w:szCs w:val="24"/>
        </w:rPr>
        <w:t>项目修改澄清文件（如有）</w:t>
      </w:r>
      <w:bookmarkEnd w:id="89"/>
      <w:bookmarkEnd w:id="90"/>
      <w:r>
        <w:rPr>
          <w:rFonts w:hint="eastAsia" w:ascii="宋体" w:hAnsi="宋体" w:cs="宋体"/>
          <w:bCs/>
          <w:color w:val="auto"/>
          <w:szCs w:val="24"/>
        </w:rPr>
        <w:t>。</w:t>
      </w:r>
    </w:p>
    <w:p w14:paraId="46204390">
      <w:pPr>
        <w:numPr>
          <w:ilvl w:val="0"/>
          <w:numId w:val="2"/>
        </w:numPr>
        <w:wordWrap w:val="0"/>
        <w:topLinePunct/>
        <w:adjustRightInd w:val="0"/>
        <w:snapToGrid w:val="0"/>
        <w:spacing w:line="360" w:lineRule="auto"/>
        <w:ind w:firstLine="480" w:firstLineChars="200"/>
        <w:rPr>
          <w:rFonts w:ascii="宋体" w:hAnsi="宋体" w:cs="宋体"/>
          <w:bCs/>
          <w:color w:val="auto"/>
          <w:szCs w:val="24"/>
        </w:rPr>
      </w:pPr>
      <w:bookmarkStart w:id="91" w:name="_Toc3436"/>
      <w:bookmarkStart w:id="92" w:name="_Toc2739"/>
      <w:r>
        <w:rPr>
          <w:rFonts w:hint="eastAsia" w:ascii="宋体" w:hAnsi="宋体" w:cs="宋体"/>
          <w:bCs/>
          <w:color w:val="auto"/>
          <w:szCs w:val="24"/>
        </w:rPr>
        <w:t>《响应文件》</w:t>
      </w:r>
      <w:bookmarkEnd w:id="91"/>
      <w:bookmarkEnd w:id="92"/>
      <w:r>
        <w:rPr>
          <w:rFonts w:hint="eastAsia" w:ascii="宋体" w:hAnsi="宋体" w:cs="宋体"/>
          <w:bCs/>
          <w:color w:val="auto"/>
          <w:szCs w:val="24"/>
        </w:rPr>
        <w:t>。</w:t>
      </w:r>
    </w:p>
    <w:p w14:paraId="27235C53">
      <w:pPr>
        <w:numPr>
          <w:ilvl w:val="0"/>
          <w:numId w:val="2"/>
        </w:numPr>
        <w:wordWrap w:val="0"/>
        <w:topLinePunct/>
        <w:adjustRightInd w:val="0"/>
        <w:snapToGrid w:val="0"/>
        <w:spacing w:line="360" w:lineRule="auto"/>
        <w:ind w:firstLine="480" w:firstLineChars="200"/>
        <w:rPr>
          <w:rFonts w:ascii="宋体" w:hAnsi="宋体" w:cs="宋体"/>
          <w:bCs/>
          <w:color w:val="auto"/>
          <w:szCs w:val="24"/>
        </w:rPr>
      </w:pPr>
      <w:bookmarkStart w:id="93" w:name="_Toc2438"/>
      <w:bookmarkStart w:id="94" w:name="_Toc6303"/>
      <w:r>
        <w:rPr>
          <w:rFonts w:hint="eastAsia" w:ascii="宋体" w:hAnsi="宋体" w:cs="宋体"/>
          <w:bCs/>
          <w:color w:val="auto"/>
          <w:szCs w:val="24"/>
        </w:rPr>
        <w:t>《成交通知书》</w:t>
      </w:r>
      <w:bookmarkEnd w:id="93"/>
      <w:bookmarkEnd w:id="94"/>
      <w:r>
        <w:rPr>
          <w:rFonts w:hint="eastAsia" w:ascii="宋体" w:hAnsi="宋体" w:cs="宋体"/>
          <w:bCs/>
          <w:color w:val="auto"/>
          <w:szCs w:val="24"/>
        </w:rPr>
        <w:t>。</w:t>
      </w:r>
    </w:p>
    <w:p w14:paraId="5F5DCC77">
      <w:pPr>
        <w:numPr>
          <w:ilvl w:val="0"/>
          <w:numId w:val="2"/>
        </w:numPr>
        <w:wordWrap w:val="0"/>
        <w:topLinePunct/>
        <w:adjustRightInd w:val="0"/>
        <w:snapToGrid w:val="0"/>
        <w:spacing w:line="360" w:lineRule="auto"/>
        <w:ind w:firstLine="480" w:firstLineChars="200"/>
        <w:rPr>
          <w:rFonts w:ascii="宋体" w:hAnsi="宋体" w:cs="宋体"/>
          <w:bCs/>
          <w:color w:val="auto"/>
          <w:szCs w:val="24"/>
        </w:rPr>
      </w:pPr>
      <w:bookmarkStart w:id="95" w:name="_Toc24787"/>
      <w:bookmarkStart w:id="96" w:name="_Toc26039"/>
      <w:r>
        <w:rPr>
          <w:rFonts w:hint="eastAsia" w:ascii="宋体" w:hAnsi="宋体" w:cs="宋体"/>
          <w:bCs/>
          <w:color w:val="auto"/>
          <w:szCs w:val="24"/>
        </w:rPr>
        <w:t>补充合同（如有）</w:t>
      </w:r>
      <w:bookmarkEnd w:id="95"/>
      <w:bookmarkEnd w:id="96"/>
      <w:r>
        <w:rPr>
          <w:rFonts w:hint="eastAsia" w:ascii="宋体" w:hAnsi="宋体" w:cs="宋体"/>
          <w:bCs/>
          <w:color w:val="auto"/>
          <w:szCs w:val="24"/>
        </w:rPr>
        <w:t>。</w:t>
      </w:r>
    </w:p>
    <w:p w14:paraId="57304153">
      <w:pPr>
        <w:numPr>
          <w:ilvl w:val="0"/>
          <w:numId w:val="2"/>
        </w:numPr>
        <w:wordWrap w:val="0"/>
        <w:topLinePunct/>
        <w:adjustRightInd w:val="0"/>
        <w:snapToGrid w:val="0"/>
        <w:spacing w:line="360" w:lineRule="auto"/>
        <w:ind w:firstLine="480" w:firstLineChars="200"/>
        <w:rPr>
          <w:rFonts w:ascii="宋体" w:hAnsi="宋体" w:cs="宋体"/>
          <w:bCs/>
          <w:color w:val="auto"/>
          <w:szCs w:val="24"/>
        </w:rPr>
      </w:pPr>
      <w:r>
        <w:rPr>
          <w:rFonts w:hint="eastAsia" w:ascii="宋体" w:hAnsi="宋体" w:cs="宋体"/>
          <w:bCs/>
          <w:color w:val="auto"/>
          <w:szCs w:val="24"/>
        </w:rPr>
        <w:t>其他（如有）。</w:t>
      </w:r>
    </w:p>
    <w:tbl>
      <w:tblPr>
        <w:tblStyle w:val="3"/>
        <w:tblpPr w:leftFromText="180" w:rightFromText="180" w:vertAnchor="text" w:horzAnchor="page" w:tblpX="1076" w:tblpY="665"/>
        <w:tblOverlap w:val="never"/>
        <w:tblW w:w="9962" w:type="dxa"/>
        <w:tblInd w:w="0" w:type="dxa"/>
        <w:tblLayout w:type="fixed"/>
        <w:tblCellMar>
          <w:top w:w="0" w:type="dxa"/>
          <w:left w:w="108" w:type="dxa"/>
          <w:bottom w:w="0" w:type="dxa"/>
          <w:right w:w="108" w:type="dxa"/>
        </w:tblCellMar>
      </w:tblPr>
      <w:tblGrid>
        <w:gridCol w:w="4981"/>
        <w:gridCol w:w="4981"/>
      </w:tblGrid>
      <w:tr w14:paraId="6CDADE1F">
        <w:tblPrEx>
          <w:tblCellMar>
            <w:top w:w="0" w:type="dxa"/>
            <w:left w:w="108" w:type="dxa"/>
            <w:bottom w:w="0" w:type="dxa"/>
            <w:right w:w="108" w:type="dxa"/>
          </w:tblCellMar>
        </w:tblPrEx>
        <w:trPr>
          <w:trHeight w:val="718" w:hRule="atLeast"/>
        </w:trPr>
        <w:tc>
          <w:tcPr>
            <w:tcW w:w="4981" w:type="dxa"/>
            <w:noWrap w:val="0"/>
            <w:vAlign w:val="center"/>
          </w:tcPr>
          <w:p w14:paraId="1050E55D">
            <w:pPr>
              <w:wordWrap w:val="0"/>
              <w:topLinePunct/>
              <w:adjustRightInd w:val="0"/>
              <w:snapToGrid w:val="0"/>
              <w:spacing w:line="360" w:lineRule="auto"/>
              <w:rPr>
                <w:rFonts w:ascii="宋体" w:hAnsi="宋体" w:cs="宋体"/>
                <w:snapToGrid w:val="0"/>
                <w:color w:val="auto"/>
                <w:szCs w:val="24"/>
              </w:rPr>
            </w:pPr>
            <w:r>
              <w:rPr>
                <w:rFonts w:hint="eastAsia" w:ascii="宋体" w:hAnsi="宋体" w:cs="宋体"/>
                <w:snapToGrid w:val="0"/>
                <w:color w:val="auto"/>
                <w:szCs w:val="24"/>
              </w:rPr>
              <w:t>甲方：   (盖章)</w:t>
            </w:r>
          </w:p>
        </w:tc>
        <w:tc>
          <w:tcPr>
            <w:tcW w:w="4981" w:type="dxa"/>
            <w:noWrap w:val="0"/>
            <w:vAlign w:val="center"/>
          </w:tcPr>
          <w:p w14:paraId="6556116B">
            <w:pPr>
              <w:wordWrap w:val="0"/>
              <w:topLinePunct/>
              <w:adjustRightInd w:val="0"/>
              <w:snapToGrid w:val="0"/>
              <w:spacing w:line="360" w:lineRule="auto"/>
              <w:rPr>
                <w:rFonts w:ascii="宋体" w:hAnsi="宋体" w:cs="宋体"/>
                <w:snapToGrid w:val="0"/>
                <w:color w:val="auto"/>
                <w:szCs w:val="24"/>
              </w:rPr>
            </w:pPr>
            <w:r>
              <w:rPr>
                <w:rFonts w:hint="eastAsia" w:ascii="宋体" w:hAnsi="宋体" w:cs="宋体"/>
                <w:snapToGrid w:val="0"/>
                <w:color w:val="auto"/>
                <w:szCs w:val="24"/>
              </w:rPr>
              <w:t>乙方：   (盖章)</w:t>
            </w:r>
          </w:p>
        </w:tc>
      </w:tr>
      <w:tr w14:paraId="007588B8">
        <w:tblPrEx>
          <w:tblCellMar>
            <w:top w:w="0" w:type="dxa"/>
            <w:left w:w="108" w:type="dxa"/>
            <w:bottom w:w="0" w:type="dxa"/>
            <w:right w:w="108" w:type="dxa"/>
          </w:tblCellMar>
        </w:tblPrEx>
        <w:trPr>
          <w:trHeight w:val="718" w:hRule="atLeast"/>
        </w:trPr>
        <w:tc>
          <w:tcPr>
            <w:tcW w:w="4981" w:type="dxa"/>
            <w:noWrap w:val="0"/>
            <w:vAlign w:val="center"/>
          </w:tcPr>
          <w:p w14:paraId="05FF5296">
            <w:pPr>
              <w:wordWrap w:val="0"/>
              <w:topLinePunct/>
              <w:adjustRightInd w:val="0"/>
              <w:snapToGrid w:val="0"/>
              <w:spacing w:line="360" w:lineRule="auto"/>
              <w:rPr>
                <w:rFonts w:ascii="宋体" w:hAnsi="宋体" w:cs="宋体"/>
                <w:snapToGrid w:val="0"/>
                <w:color w:val="auto"/>
                <w:szCs w:val="24"/>
              </w:rPr>
            </w:pPr>
            <w:r>
              <w:rPr>
                <w:rFonts w:hint="eastAsia" w:ascii="宋体" w:hAnsi="宋体" w:cs="宋体"/>
                <w:snapToGrid w:val="0"/>
                <w:color w:val="auto"/>
                <w:szCs w:val="24"/>
              </w:rPr>
              <w:t>法定代表人(授权代表)：</w:t>
            </w:r>
          </w:p>
        </w:tc>
        <w:tc>
          <w:tcPr>
            <w:tcW w:w="4981" w:type="dxa"/>
            <w:noWrap w:val="0"/>
            <w:vAlign w:val="center"/>
          </w:tcPr>
          <w:p w14:paraId="63B38226">
            <w:pPr>
              <w:wordWrap w:val="0"/>
              <w:topLinePunct/>
              <w:adjustRightInd w:val="0"/>
              <w:snapToGrid w:val="0"/>
              <w:spacing w:line="360" w:lineRule="auto"/>
              <w:rPr>
                <w:rFonts w:ascii="宋体" w:hAnsi="宋体" w:cs="宋体"/>
                <w:snapToGrid w:val="0"/>
                <w:color w:val="auto"/>
                <w:szCs w:val="24"/>
              </w:rPr>
            </w:pPr>
            <w:r>
              <w:rPr>
                <w:rFonts w:hint="eastAsia" w:ascii="宋体" w:hAnsi="宋体" w:cs="宋体"/>
                <w:snapToGrid w:val="0"/>
                <w:color w:val="auto"/>
                <w:szCs w:val="24"/>
              </w:rPr>
              <w:t>法定代表人(授权代表)：</w:t>
            </w:r>
          </w:p>
        </w:tc>
      </w:tr>
      <w:tr w14:paraId="6FAFD31E">
        <w:tblPrEx>
          <w:tblCellMar>
            <w:top w:w="0" w:type="dxa"/>
            <w:left w:w="108" w:type="dxa"/>
            <w:bottom w:w="0" w:type="dxa"/>
            <w:right w:w="108" w:type="dxa"/>
          </w:tblCellMar>
        </w:tblPrEx>
        <w:trPr>
          <w:trHeight w:val="718" w:hRule="atLeast"/>
        </w:trPr>
        <w:tc>
          <w:tcPr>
            <w:tcW w:w="4981" w:type="dxa"/>
            <w:noWrap w:val="0"/>
            <w:vAlign w:val="center"/>
          </w:tcPr>
          <w:p w14:paraId="7AF2792F">
            <w:pPr>
              <w:wordWrap w:val="0"/>
              <w:topLinePunct/>
              <w:adjustRightInd w:val="0"/>
              <w:snapToGrid w:val="0"/>
              <w:spacing w:line="360" w:lineRule="auto"/>
              <w:rPr>
                <w:rFonts w:ascii="宋体" w:hAnsi="宋体" w:cs="宋体"/>
                <w:snapToGrid w:val="0"/>
                <w:color w:val="auto"/>
                <w:szCs w:val="24"/>
              </w:rPr>
            </w:pPr>
            <w:r>
              <w:rPr>
                <w:rFonts w:hint="eastAsia" w:ascii="宋体" w:hAnsi="宋体" w:cs="宋体"/>
                <w:snapToGrid w:val="0"/>
                <w:color w:val="auto"/>
                <w:szCs w:val="24"/>
              </w:rPr>
              <w:t>地址(住所)：</w:t>
            </w:r>
          </w:p>
        </w:tc>
        <w:tc>
          <w:tcPr>
            <w:tcW w:w="4981" w:type="dxa"/>
            <w:noWrap w:val="0"/>
            <w:vAlign w:val="center"/>
          </w:tcPr>
          <w:p w14:paraId="75D75EEE">
            <w:pPr>
              <w:wordWrap w:val="0"/>
              <w:topLinePunct/>
              <w:adjustRightInd w:val="0"/>
              <w:snapToGrid w:val="0"/>
              <w:spacing w:line="360" w:lineRule="auto"/>
              <w:rPr>
                <w:rFonts w:ascii="宋体" w:hAnsi="宋体" w:cs="宋体"/>
                <w:snapToGrid w:val="0"/>
                <w:color w:val="auto"/>
                <w:szCs w:val="24"/>
              </w:rPr>
            </w:pPr>
            <w:r>
              <w:rPr>
                <w:rFonts w:hint="eastAsia" w:ascii="宋体" w:hAnsi="宋体" w:cs="宋体"/>
                <w:snapToGrid w:val="0"/>
                <w:color w:val="auto"/>
                <w:szCs w:val="24"/>
              </w:rPr>
              <w:t>地址(住所)：</w:t>
            </w:r>
          </w:p>
        </w:tc>
      </w:tr>
      <w:tr w14:paraId="5A5FC68C">
        <w:tblPrEx>
          <w:tblCellMar>
            <w:top w:w="0" w:type="dxa"/>
            <w:left w:w="108" w:type="dxa"/>
            <w:bottom w:w="0" w:type="dxa"/>
            <w:right w:w="108" w:type="dxa"/>
          </w:tblCellMar>
        </w:tblPrEx>
        <w:trPr>
          <w:trHeight w:val="718" w:hRule="atLeast"/>
        </w:trPr>
        <w:tc>
          <w:tcPr>
            <w:tcW w:w="4981" w:type="dxa"/>
            <w:noWrap w:val="0"/>
            <w:vAlign w:val="center"/>
          </w:tcPr>
          <w:p w14:paraId="23048C4B">
            <w:pPr>
              <w:wordWrap w:val="0"/>
              <w:topLinePunct/>
              <w:adjustRightInd w:val="0"/>
              <w:snapToGrid w:val="0"/>
              <w:spacing w:line="360" w:lineRule="auto"/>
              <w:rPr>
                <w:rFonts w:ascii="宋体" w:hAnsi="宋体" w:cs="宋体"/>
                <w:snapToGrid w:val="0"/>
                <w:color w:val="auto"/>
                <w:szCs w:val="24"/>
              </w:rPr>
            </w:pPr>
            <w:r>
              <w:rPr>
                <w:rFonts w:hint="eastAsia" w:ascii="宋体" w:hAnsi="宋体" w:cs="宋体"/>
                <w:snapToGrid w:val="0"/>
                <w:color w:val="auto"/>
                <w:szCs w:val="24"/>
              </w:rPr>
              <w:t>开户银行：</w:t>
            </w:r>
          </w:p>
        </w:tc>
        <w:tc>
          <w:tcPr>
            <w:tcW w:w="4981" w:type="dxa"/>
            <w:noWrap w:val="0"/>
            <w:vAlign w:val="center"/>
          </w:tcPr>
          <w:p w14:paraId="4D470AB7">
            <w:pPr>
              <w:wordWrap w:val="0"/>
              <w:topLinePunct/>
              <w:adjustRightInd w:val="0"/>
              <w:snapToGrid w:val="0"/>
              <w:spacing w:line="360" w:lineRule="auto"/>
              <w:rPr>
                <w:rFonts w:ascii="宋体" w:hAnsi="宋体" w:cs="宋体"/>
                <w:snapToGrid w:val="0"/>
                <w:color w:val="auto"/>
                <w:szCs w:val="24"/>
              </w:rPr>
            </w:pPr>
            <w:r>
              <w:rPr>
                <w:rFonts w:hint="eastAsia" w:ascii="宋体" w:hAnsi="宋体" w:cs="宋体"/>
                <w:snapToGrid w:val="0"/>
                <w:color w:val="auto"/>
                <w:szCs w:val="24"/>
              </w:rPr>
              <w:t>开户银行：</w:t>
            </w:r>
          </w:p>
        </w:tc>
      </w:tr>
      <w:tr w14:paraId="45907B28">
        <w:tblPrEx>
          <w:tblCellMar>
            <w:top w:w="0" w:type="dxa"/>
            <w:left w:w="108" w:type="dxa"/>
            <w:bottom w:w="0" w:type="dxa"/>
            <w:right w:w="108" w:type="dxa"/>
          </w:tblCellMar>
        </w:tblPrEx>
        <w:trPr>
          <w:trHeight w:val="718" w:hRule="atLeast"/>
        </w:trPr>
        <w:tc>
          <w:tcPr>
            <w:tcW w:w="4981" w:type="dxa"/>
            <w:noWrap w:val="0"/>
            <w:vAlign w:val="center"/>
          </w:tcPr>
          <w:p w14:paraId="0EC899BB">
            <w:pPr>
              <w:wordWrap w:val="0"/>
              <w:topLinePunct/>
              <w:adjustRightInd w:val="0"/>
              <w:snapToGrid w:val="0"/>
              <w:spacing w:line="360" w:lineRule="auto"/>
              <w:rPr>
                <w:rFonts w:ascii="宋体" w:hAnsi="宋体" w:cs="宋体"/>
                <w:snapToGrid w:val="0"/>
                <w:color w:val="auto"/>
                <w:szCs w:val="24"/>
              </w:rPr>
            </w:pPr>
            <w:r>
              <w:rPr>
                <w:rFonts w:hint="eastAsia" w:ascii="宋体" w:hAnsi="宋体" w:cs="宋体"/>
                <w:snapToGrid w:val="0"/>
                <w:color w:val="auto"/>
                <w:szCs w:val="24"/>
              </w:rPr>
              <w:t>账号：</w:t>
            </w:r>
          </w:p>
        </w:tc>
        <w:tc>
          <w:tcPr>
            <w:tcW w:w="4981" w:type="dxa"/>
            <w:noWrap w:val="0"/>
            <w:vAlign w:val="center"/>
          </w:tcPr>
          <w:p w14:paraId="2B5C3468">
            <w:pPr>
              <w:wordWrap w:val="0"/>
              <w:topLinePunct/>
              <w:adjustRightInd w:val="0"/>
              <w:snapToGrid w:val="0"/>
              <w:spacing w:line="360" w:lineRule="auto"/>
              <w:rPr>
                <w:rFonts w:ascii="宋体" w:hAnsi="宋体" w:cs="宋体"/>
                <w:snapToGrid w:val="0"/>
                <w:color w:val="auto"/>
                <w:szCs w:val="24"/>
              </w:rPr>
            </w:pPr>
            <w:r>
              <w:rPr>
                <w:rFonts w:hint="eastAsia" w:ascii="宋体" w:hAnsi="宋体" w:cs="宋体"/>
                <w:snapToGrid w:val="0"/>
                <w:color w:val="auto"/>
                <w:szCs w:val="24"/>
              </w:rPr>
              <w:t>账号：</w:t>
            </w:r>
          </w:p>
        </w:tc>
      </w:tr>
      <w:tr w14:paraId="2FEE6CEA">
        <w:tblPrEx>
          <w:tblCellMar>
            <w:top w:w="0" w:type="dxa"/>
            <w:left w:w="108" w:type="dxa"/>
            <w:bottom w:w="0" w:type="dxa"/>
            <w:right w:w="108" w:type="dxa"/>
          </w:tblCellMar>
        </w:tblPrEx>
        <w:trPr>
          <w:trHeight w:val="718" w:hRule="atLeast"/>
        </w:trPr>
        <w:tc>
          <w:tcPr>
            <w:tcW w:w="4981" w:type="dxa"/>
            <w:noWrap w:val="0"/>
            <w:vAlign w:val="center"/>
          </w:tcPr>
          <w:p w14:paraId="1C7D864F">
            <w:pPr>
              <w:wordWrap w:val="0"/>
              <w:topLinePunct/>
              <w:adjustRightInd w:val="0"/>
              <w:snapToGrid w:val="0"/>
              <w:spacing w:line="360" w:lineRule="auto"/>
              <w:rPr>
                <w:rFonts w:ascii="宋体" w:hAnsi="宋体" w:cs="宋体"/>
                <w:snapToGrid w:val="0"/>
                <w:color w:val="auto"/>
                <w:szCs w:val="24"/>
              </w:rPr>
            </w:pPr>
            <w:r>
              <w:rPr>
                <w:rFonts w:hint="eastAsia" w:ascii="宋体" w:hAnsi="宋体" w:cs="宋体"/>
                <w:snapToGrid w:val="0"/>
                <w:color w:val="auto"/>
                <w:szCs w:val="24"/>
              </w:rPr>
              <w:t xml:space="preserve">电话： </w:t>
            </w:r>
          </w:p>
        </w:tc>
        <w:tc>
          <w:tcPr>
            <w:tcW w:w="4981" w:type="dxa"/>
            <w:noWrap w:val="0"/>
            <w:vAlign w:val="center"/>
          </w:tcPr>
          <w:p w14:paraId="6186C76A">
            <w:pPr>
              <w:wordWrap w:val="0"/>
              <w:topLinePunct/>
              <w:adjustRightInd w:val="0"/>
              <w:snapToGrid w:val="0"/>
              <w:spacing w:line="360" w:lineRule="auto"/>
              <w:rPr>
                <w:rFonts w:ascii="宋体" w:hAnsi="宋体" w:cs="宋体"/>
                <w:snapToGrid w:val="0"/>
                <w:color w:val="auto"/>
                <w:szCs w:val="24"/>
              </w:rPr>
            </w:pPr>
            <w:r>
              <w:rPr>
                <w:rFonts w:hint="eastAsia" w:ascii="宋体" w:hAnsi="宋体" w:cs="宋体"/>
                <w:snapToGrid w:val="0"/>
                <w:color w:val="auto"/>
                <w:szCs w:val="24"/>
              </w:rPr>
              <w:t xml:space="preserve">电话： </w:t>
            </w:r>
          </w:p>
        </w:tc>
      </w:tr>
      <w:tr w14:paraId="7E23FBA9">
        <w:tblPrEx>
          <w:tblCellMar>
            <w:top w:w="0" w:type="dxa"/>
            <w:left w:w="108" w:type="dxa"/>
            <w:bottom w:w="0" w:type="dxa"/>
            <w:right w:w="108" w:type="dxa"/>
          </w:tblCellMar>
        </w:tblPrEx>
        <w:trPr>
          <w:trHeight w:val="724" w:hRule="atLeast"/>
        </w:trPr>
        <w:tc>
          <w:tcPr>
            <w:tcW w:w="4981" w:type="dxa"/>
            <w:noWrap w:val="0"/>
            <w:vAlign w:val="center"/>
          </w:tcPr>
          <w:p w14:paraId="743AB8AC">
            <w:pPr>
              <w:wordWrap w:val="0"/>
              <w:topLinePunct/>
              <w:adjustRightInd w:val="0"/>
              <w:snapToGrid w:val="0"/>
              <w:spacing w:line="360" w:lineRule="auto"/>
              <w:rPr>
                <w:rFonts w:ascii="宋体" w:hAnsi="宋体" w:cs="宋体"/>
                <w:snapToGrid w:val="0"/>
                <w:color w:val="auto"/>
                <w:szCs w:val="24"/>
              </w:rPr>
            </w:pPr>
            <w:r>
              <w:rPr>
                <w:rFonts w:hint="eastAsia" w:ascii="宋体" w:hAnsi="宋体" w:cs="宋体"/>
                <w:snapToGrid w:val="0"/>
                <w:color w:val="auto"/>
                <w:szCs w:val="24"/>
              </w:rPr>
              <w:t>传真：</w:t>
            </w:r>
          </w:p>
        </w:tc>
        <w:tc>
          <w:tcPr>
            <w:tcW w:w="4981" w:type="dxa"/>
            <w:noWrap w:val="0"/>
            <w:vAlign w:val="center"/>
          </w:tcPr>
          <w:p w14:paraId="494F2C38">
            <w:pPr>
              <w:wordWrap w:val="0"/>
              <w:topLinePunct/>
              <w:adjustRightInd w:val="0"/>
              <w:snapToGrid w:val="0"/>
              <w:spacing w:line="360" w:lineRule="auto"/>
              <w:rPr>
                <w:rFonts w:ascii="宋体" w:hAnsi="宋体" w:cs="宋体"/>
                <w:snapToGrid w:val="0"/>
                <w:color w:val="auto"/>
                <w:szCs w:val="24"/>
              </w:rPr>
            </w:pPr>
            <w:r>
              <w:rPr>
                <w:rFonts w:hint="eastAsia" w:ascii="宋体" w:hAnsi="宋体" w:cs="宋体"/>
                <w:snapToGrid w:val="0"/>
                <w:color w:val="auto"/>
                <w:szCs w:val="24"/>
              </w:rPr>
              <w:t>传真：</w:t>
            </w:r>
          </w:p>
        </w:tc>
      </w:tr>
      <w:tr w14:paraId="612B50F5">
        <w:tblPrEx>
          <w:tblCellMar>
            <w:top w:w="0" w:type="dxa"/>
            <w:left w:w="108" w:type="dxa"/>
            <w:bottom w:w="0" w:type="dxa"/>
            <w:right w:w="108" w:type="dxa"/>
          </w:tblCellMar>
        </w:tblPrEx>
        <w:trPr>
          <w:trHeight w:val="724" w:hRule="atLeast"/>
        </w:trPr>
        <w:tc>
          <w:tcPr>
            <w:tcW w:w="4981" w:type="dxa"/>
            <w:noWrap w:val="0"/>
            <w:vAlign w:val="center"/>
          </w:tcPr>
          <w:p w14:paraId="54805DB0">
            <w:pPr>
              <w:wordWrap w:val="0"/>
              <w:topLinePunct/>
              <w:adjustRightInd w:val="0"/>
              <w:snapToGrid w:val="0"/>
              <w:spacing w:line="360" w:lineRule="auto"/>
              <w:rPr>
                <w:rFonts w:ascii="宋体" w:hAnsi="宋体" w:cs="宋体"/>
                <w:snapToGrid w:val="0"/>
                <w:color w:val="auto"/>
                <w:szCs w:val="24"/>
              </w:rPr>
            </w:pPr>
            <w:r>
              <w:rPr>
                <w:rFonts w:hint="eastAsia" w:ascii="宋体" w:hAnsi="宋体" w:cs="宋体"/>
                <w:snapToGrid w:val="0"/>
                <w:color w:val="auto"/>
                <w:szCs w:val="24"/>
              </w:rPr>
              <w:t>签约日期：XX年XX月XX日</w:t>
            </w:r>
          </w:p>
        </w:tc>
        <w:tc>
          <w:tcPr>
            <w:tcW w:w="4981" w:type="dxa"/>
            <w:noWrap w:val="0"/>
            <w:vAlign w:val="center"/>
          </w:tcPr>
          <w:p w14:paraId="53E20EC4">
            <w:pPr>
              <w:wordWrap w:val="0"/>
              <w:topLinePunct/>
              <w:adjustRightInd w:val="0"/>
              <w:snapToGrid w:val="0"/>
              <w:spacing w:line="360" w:lineRule="auto"/>
              <w:rPr>
                <w:rFonts w:ascii="宋体" w:hAnsi="宋体" w:cs="宋体"/>
                <w:snapToGrid w:val="0"/>
                <w:color w:val="auto"/>
                <w:szCs w:val="24"/>
              </w:rPr>
            </w:pPr>
            <w:r>
              <w:rPr>
                <w:rFonts w:hint="eastAsia" w:ascii="宋体" w:hAnsi="宋体" w:cs="宋体"/>
                <w:snapToGrid w:val="0"/>
                <w:color w:val="auto"/>
                <w:szCs w:val="24"/>
              </w:rPr>
              <w:t>签约日期：XX年XX月XX日</w:t>
            </w:r>
          </w:p>
        </w:tc>
      </w:tr>
    </w:tbl>
    <w:p w14:paraId="5BB118A0">
      <w:bookmarkStart w:id="97" w:name="_GoBack"/>
      <w:bookmarkEnd w:id="9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240" w:firstLine="0"/>
      </w:pPr>
      <w:rPr>
        <w:rFonts w:hint="eastAsia" w:ascii="宋体" w:hAnsi="宋体" w:eastAsia="宋体" w:cs="宋体"/>
      </w:rPr>
    </w:lvl>
    <w:lvl w:ilvl="2" w:tentative="0">
      <w:start w:val="1"/>
      <w:numFmt w:val="decimal"/>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FA3A7800"/>
    <w:multiLevelType w:val="singleLevel"/>
    <w:tmpl w:val="FA3A7800"/>
    <w:lvl w:ilvl="0" w:tentative="0">
      <w:start w:val="1"/>
      <w:numFmt w:val="decimal"/>
      <w:suff w:val="nothing"/>
      <w:lvlText w:val="%1、"/>
      <w:lvlJc w:val="left"/>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641873"/>
    <w:rsid w:val="2A641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2"/>
      <w:lang w:val="en-US" w:eastAsia="zh-CN" w:bidi="ar-SA"/>
    </w:rPr>
  </w:style>
  <w:style w:type="paragraph" w:styleId="2">
    <w:name w:val="heading 1"/>
    <w:basedOn w:val="1"/>
    <w:next w:val="1"/>
    <w:qFormat/>
    <w:uiPriority w:val="0"/>
    <w:pPr>
      <w:keepNext/>
      <w:keepLines/>
      <w:spacing w:before="340" w:beforeLines="0" w:after="330" w:afterLines="0" w:line="578" w:lineRule="auto"/>
      <w:outlineLvl w:val="0"/>
    </w:pPr>
    <w:rPr>
      <w:rFonts w:eastAsia="仿宋"/>
      <w:b/>
      <w:bCs/>
      <w:kern w:val="44"/>
      <w:sz w:val="44"/>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02、首行缩进2字符正文"/>
    <w:basedOn w:val="1"/>
    <w:qFormat/>
    <w:uiPriority w:val="0"/>
    <w:pPr>
      <w:tabs>
        <w:tab w:val="left" w:pos="0"/>
      </w:tabs>
      <w:wordWrap w:val="0"/>
      <w:topLinePunct/>
      <w:ind w:firstLine="480" w:firstLineChars="200"/>
    </w:pPr>
    <w:rPr>
      <w:rFonts w:ascii="宋体" w:hAnsi="宋体" w:eastAsia="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2025-07-30T01:06:00Z</dcterms:created>
  <dc:creator>Users</dc:creator>
  <cp:lastModifiedBy>Users</cp:lastModifiedBy>
  <dcterms:modified xsi:type="dcterms:W3CDTF">2025-07-30T01:07:03Z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935DFE837C4C4A82A28272900C4CA968_11</vt:lpwstr>
  </property>
  <property fmtid="{D5CDD505-2E9C-101B-9397-08002B2CF9AE}" pid="4" name="KSOTemplateDocerSaveRecord">
    <vt:lpwstr>eyJoZGlkIjoiOGU4N2MwYzgyZjM4YjdlMGM4YjU3MmE0MmE3ZWE5MTMiLCJ1c2VySWQiOiIyNjkzNTMyNTIifQ==</vt:lpwstr>
  </property>
</Properties>
</file>