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55719">
      <w:pPr>
        <w:spacing w:line="480" w:lineRule="exact"/>
        <w:jc w:val="center"/>
        <w:rPr>
          <w:rFonts w:hint="eastAsia" w:ascii="仿宋" w:hAnsi="仿宋" w:eastAsia="仿宋" w:cs="仿宋"/>
          <w:b/>
          <w:color w:val="auto"/>
          <w:sz w:val="32"/>
          <w:szCs w:val="32"/>
          <w:highlight w:val="none"/>
        </w:rPr>
      </w:pPr>
    </w:p>
    <w:p w14:paraId="06004E05">
      <w:pPr>
        <w:spacing w:line="360" w:lineRule="auto"/>
        <w:ind w:firstLine="260" w:firstLineChars="50"/>
        <w:jc w:val="center"/>
        <w:rPr>
          <w:rFonts w:hint="eastAsia" w:ascii="仿宋" w:hAnsi="仿宋" w:eastAsia="仿宋" w:cs="仿宋"/>
          <w:b/>
          <w:color w:val="auto"/>
          <w:sz w:val="52"/>
          <w:szCs w:val="52"/>
          <w:highlight w:val="none"/>
        </w:rPr>
      </w:pPr>
    </w:p>
    <w:p w14:paraId="111B1A67">
      <w:pPr>
        <w:spacing w:line="360" w:lineRule="auto"/>
        <w:ind w:firstLine="260" w:firstLineChars="50"/>
        <w:jc w:val="center"/>
        <w:rPr>
          <w:rFonts w:hint="eastAsia" w:ascii="仿宋" w:hAnsi="仿宋" w:eastAsia="仿宋" w:cs="仿宋"/>
          <w:b/>
          <w:color w:val="auto"/>
          <w:sz w:val="52"/>
          <w:szCs w:val="52"/>
          <w:highlight w:val="none"/>
        </w:rPr>
      </w:pPr>
    </w:p>
    <w:p w14:paraId="6B242DBD">
      <w:pPr>
        <w:spacing w:line="360" w:lineRule="auto"/>
        <w:ind w:firstLine="260" w:firstLineChars="5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辽宁省政府采购项目</w:t>
      </w:r>
    </w:p>
    <w:p w14:paraId="4C316D83">
      <w:pPr>
        <w:spacing w:line="360" w:lineRule="auto"/>
        <w:ind w:firstLine="120" w:firstLineChars="50"/>
        <w:jc w:val="center"/>
        <w:rPr>
          <w:rFonts w:hint="eastAsia" w:ascii="仿宋" w:hAnsi="仿宋" w:eastAsia="仿宋" w:cs="仿宋"/>
          <w:b/>
          <w:color w:val="auto"/>
          <w:sz w:val="24"/>
          <w:highlight w:val="none"/>
        </w:rPr>
      </w:pPr>
    </w:p>
    <w:p w14:paraId="6FC3F984">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货物类公开招标</w:t>
      </w:r>
    </w:p>
    <w:p w14:paraId="2F8CF745">
      <w:pPr>
        <w:spacing w:line="360" w:lineRule="auto"/>
        <w:ind w:firstLine="120" w:firstLineChars="50"/>
        <w:jc w:val="center"/>
        <w:rPr>
          <w:rFonts w:hint="eastAsia" w:ascii="仿宋" w:hAnsi="仿宋" w:eastAsia="仿宋" w:cs="仿宋"/>
          <w:b/>
          <w:color w:val="auto"/>
          <w:sz w:val="24"/>
          <w:highlight w:val="none"/>
        </w:rPr>
      </w:pPr>
    </w:p>
    <w:p w14:paraId="62561C22">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招标文件</w:t>
      </w:r>
    </w:p>
    <w:p w14:paraId="56879221">
      <w:pPr>
        <w:spacing w:line="480" w:lineRule="exact"/>
        <w:jc w:val="center"/>
        <w:rPr>
          <w:rFonts w:hint="eastAsia" w:ascii="仿宋" w:hAnsi="仿宋" w:eastAsia="仿宋" w:cs="仿宋"/>
          <w:b/>
          <w:color w:val="auto"/>
          <w:sz w:val="24"/>
          <w:highlight w:val="none"/>
        </w:rPr>
      </w:pPr>
    </w:p>
    <w:p w14:paraId="1841137E">
      <w:pPr>
        <w:spacing w:line="480" w:lineRule="exact"/>
        <w:jc w:val="center"/>
        <w:rPr>
          <w:rFonts w:hint="eastAsia" w:ascii="仿宋" w:hAnsi="仿宋" w:eastAsia="仿宋" w:cs="仿宋"/>
          <w:b/>
          <w:color w:val="auto"/>
          <w:sz w:val="24"/>
          <w:highlight w:val="none"/>
        </w:rPr>
      </w:pPr>
    </w:p>
    <w:p w14:paraId="44DBB370">
      <w:pPr>
        <w:spacing w:line="480" w:lineRule="exact"/>
        <w:jc w:val="center"/>
        <w:rPr>
          <w:rFonts w:hint="eastAsia" w:ascii="仿宋" w:hAnsi="仿宋" w:eastAsia="仿宋" w:cs="仿宋"/>
          <w:b/>
          <w:color w:val="auto"/>
          <w:sz w:val="24"/>
          <w:highlight w:val="none"/>
        </w:rPr>
      </w:pPr>
    </w:p>
    <w:p w14:paraId="3561F384">
      <w:pPr>
        <w:spacing w:line="480" w:lineRule="exact"/>
        <w:jc w:val="center"/>
        <w:rPr>
          <w:rFonts w:hint="eastAsia" w:ascii="仿宋" w:hAnsi="仿宋" w:eastAsia="仿宋" w:cs="仿宋"/>
          <w:b/>
          <w:color w:val="auto"/>
          <w:sz w:val="24"/>
          <w:highlight w:val="none"/>
        </w:rPr>
      </w:pPr>
    </w:p>
    <w:p w14:paraId="18B71996">
      <w:pPr>
        <w:spacing w:line="480" w:lineRule="exact"/>
        <w:jc w:val="center"/>
        <w:rPr>
          <w:rFonts w:hint="eastAsia" w:ascii="仿宋" w:hAnsi="仿宋" w:eastAsia="仿宋" w:cs="仿宋"/>
          <w:b/>
          <w:color w:val="auto"/>
          <w:sz w:val="24"/>
          <w:highlight w:val="none"/>
        </w:rPr>
      </w:pPr>
    </w:p>
    <w:p w14:paraId="2BB0C24B">
      <w:pPr>
        <w:spacing w:line="480" w:lineRule="exact"/>
        <w:jc w:val="center"/>
        <w:rPr>
          <w:rFonts w:hint="eastAsia" w:ascii="仿宋" w:hAnsi="仿宋" w:eastAsia="仿宋" w:cs="仿宋"/>
          <w:b/>
          <w:color w:val="auto"/>
          <w:sz w:val="24"/>
          <w:highlight w:val="none"/>
        </w:rPr>
      </w:pPr>
    </w:p>
    <w:p w14:paraId="191D0EAB">
      <w:pPr>
        <w:spacing w:line="480" w:lineRule="exact"/>
        <w:jc w:val="center"/>
        <w:rPr>
          <w:rFonts w:hint="eastAsia" w:ascii="仿宋" w:hAnsi="仿宋" w:eastAsia="仿宋" w:cs="仿宋"/>
          <w:b/>
          <w:color w:val="auto"/>
          <w:sz w:val="24"/>
          <w:highlight w:val="none"/>
        </w:rPr>
      </w:pPr>
    </w:p>
    <w:p w14:paraId="37D43B0C">
      <w:pPr>
        <w:spacing w:line="480" w:lineRule="exact"/>
        <w:jc w:val="center"/>
        <w:rPr>
          <w:rFonts w:hint="eastAsia" w:ascii="仿宋" w:hAnsi="仿宋" w:eastAsia="仿宋" w:cs="仿宋"/>
          <w:b/>
          <w:color w:val="auto"/>
          <w:sz w:val="24"/>
          <w:highlight w:val="none"/>
        </w:rPr>
      </w:pPr>
    </w:p>
    <w:p w14:paraId="71B6444F">
      <w:pPr>
        <w:spacing w:line="480" w:lineRule="exact"/>
        <w:jc w:val="center"/>
        <w:rPr>
          <w:rFonts w:hint="eastAsia" w:ascii="仿宋" w:hAnsi="仿宋" w:eastAsia="仿宋" w:cs="仿宋"/>
          <w:b/>
          <w:color w:val="auto"/>
          <w:sz w:val="24"/>
          <w:highlight w:val="none"/>
        </w:rPr>
      </w:pPr>
    </w:p>
    <w:p w14:paraId="1E8C4CC9">
      <w:pP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项目名称：猴石抗联安全监控系统项目</w:t>
      </w:r>
    </w:p>
    <w:p w14:paraId="53ACC612">
      <w:pPr>
        <w:spacing w:line="360" w:lineRule="auto"/>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项目编号：JH25-210422-00133</w:t>
      </w:r>
    </w:p>
    <w:p w14:paraId="0454B5A9">
      <w:pPr>
        <w:pStyle w:val="17"/>
        <w:ind w:left="0" w:leftChars="0" w:firstLine="0" w:firstLineChars="0"/>
        <w:rPr>
          <w:rFonts w:hint="eastAsia" w:ascii="仿宋" w:hAnsi="仿宋" w:eastAsia="仿宋" w:cs="仿宋"/>
          <w:b/>
          <w:color w:val="auto"/>
          <w:sz w:val="36"/>
          <w:szCs w:val="36"/>
          <w:highlight w:val="none"/>
        </w:rPr>
      </w:pPr>
      <w:r>
        <w:rPr>
          <w:rFonts w:hint="eastAsia" w:ascii="仿宋_GB2312" w:hAnsi="仿宋_GB2312" w:eastAsia="仿宋_GB2312" w:cs="仿宋_GB2312"/>
          <w:b/>
          <w:sz w:val="36"/>
          <w:szCs w:val="36"/>
          <w:lang w:val="en-US" w:eastAsia="zh-CN"/>
        </w:rPr>
        <w:t>文件编号：</w:t>
      </w:r>
      <w:r>
        <w:rPr>
          <w:rFonts w:hint="eastAsia" w:ascii="仿宋" w:hAnsi="仿宋" w:eastAsia="仿宋" w:cs="仿宋"/>
          <w:b/>
          <w:sz w:val="36"/>
          <w:szCs w:val="36"/>
          <w:lang w:val="en-US" w:eastAsia="zh-CN"/>
        </w:rPr>
        <w:t>XHZCHW-2025-0927</w:t>
      </w:r>
    </w:p>
    <w:p w14:paraId="56F2CD8E">
      <w:pP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编制单位：</w:t>
      </w:r>
      <w:r>
        <w:rPr>
          <w:rFonts w:hint="eastAsia" w:ascii="仿宋_GB2312" w:hAnsi="仿宋_GB2312" w:eastAsia="仿宋_GB2312" w:cs="仿宋_GB2312"/>
          <w:b/>
          <w:sz w:val="36"/>
          <w:szCs w:val="36"/>
        </w:rPr>
        <w:t>馨航（辽宁）项目管理有限公司</w:t>
      </w:r>
      <w:r>
        <w:rPr>
          <w:rFonts w:hint="eastAsia" w:ascii="仿宋" w:hAnsi="仿宋" w:eastAsia="仿宋" w:cs="仿宋"/>
          <w:b/>
          <w:color w:val="auto"/>
          <w:sz w:val="36"/>
          <w:szCs w:val="36"/>
          <w:highlight w:val="none"/>
        </w:rPr>
        <w:t xml:space="preserve"> </w:t>
      </w:r>
    </w:p>
    <w:p w14:paraId="460BA648">
      <w:pPr>
        <w:ind w:firstLine="846" w:firstLineChars="235"/>
        <w:jc w:val="center"/>
        <w:rPr>
          <w:rFonts w:hint="eastAsia" w:ascii="仿宋" w:hAnsi="仿宋" w:eastAsia="仿宋" w:cs="仿宋"/>
          <w:b/>
          <w:bCs/>
          <w:color w:val="auto"/>
          <w:sz w:val="36"/>
          <w:szCs w:val="44"/>
          <w:highlight w:val="none"/>
        </w:rPr>
        <w:sectPr>
          <w:pgSz w:w="11906" w:h="16838"/>
          <w:pgMar w:top="1440" w:right="1800" w:bottom="1440" w:left="1800" w:header="851" w:footer="992" w:gutter="0"/>
          <w:cols w:space="720" w:num="1"/>
          <w:docGrid w:type="linesAndChars" w:linePitch="312" w:charSpace="0"/>
        </w:sectPr>
      </w:pPr>
    </w:p>
    <w:p w14:paraId="71B52A60">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目  录</w:t>
      </w:r>
    </w:p>
    <w:p w14:paraId="50754F72">
      <w:pPr>
        <w:jc w:val="center"/>
        <w:rPr>
          <w:rFonts w:hint="eastAsia" w:ascii="仿宋" w:hAnsi="仿宋" w:eastAsia="仿宋" w:cs="仿宋"/>
          <w:b/>
          <w:bCs/>
          <w:color w:val="auto"/>
          <w:sz w:val="44"/>
          <w:szCs w:val="44"/>
          <w:highlight w:val="none"/>
        </w:rPr>
      </w:pPr>
    </w:p>
    <w:p w14:paraId="504ED920">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TOC \o "1-1" \h \u </w:instrText>
      </w:r>
      <w:r>
        <w:rPr>
          <w:rFonts w:hint="eastAsia" w:ascii="仿宋" w:hAnsi="仿宋" w:eastAsia="仿宋" w:cs="仿宋"/>
          <w:b/>
          <w:bCs/>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"_Toc7381"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招标公告</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_Toc7381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2E371281">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"_Toc9614"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第一章 投标人须知</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_Toc9614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6F624C33">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"_Toc6403"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第二章 投标文件内容及格式</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_Toc6403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20</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72895332">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"_Toc17590"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第三章 货物需求</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_Toc17590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41</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7CF325DD">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"_Toc25237"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第四章 评标方法</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_Toc25237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103</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08EC110F">
      <w:pPr>
        <w:pStyle w:val="11"/>
        <w:tabs>
          <w:tab w:val="right" w:leader="dot" w:pos="8306"/>
        </w:tabs>
        <w:spacing w:line="480" w:lineRule="auto"/>
        <w:rPr>
          <w:rFonts w:hint="eastAsia" w:ascii="仿宋" w:hAnsi="仿宋" w:eastAsia="仿宋" w:cs="仿宋"/>
          <w:b/>
          <w:bCs/>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"_Toc19588"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4"/>
          <w:highlight w:val="none"/>
        </w:rPr>
        <w:t>第五章 政府采购合同条款及格式</w:t>
      </w:r>
      <w:r>
        <w:rPr>
          <w:rFonts w:hint="eastAsia" w:ascii="仿宋" w:hAnsi="仿宋" w:eastAsia="仿宋" w:cs="仿宋"/>
          <w:b/>
          <w:bCs/>
          <w:color w:val="auto"/>
          <w:sz w:val="24"/>
          <w:highlight w:val="none"/>
        </w:rPr>
        <w:tab/>
      </w: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 PAGEREF _Toc19588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4"/>
          <w:highlight w:val="none"/>
        </w:rPr>
        <w:t>113</w:t>
      </w:r>
      <w:r>
        <w:rPr>
          <w:rFonts w:hint="eastAsia" w:ascii="仿宋" w:hAnsi="仿宋" w:eastAsia="仿宋" w:cs="仿宋"/>
          <w:b/>
          <w:bCs/>
          <w:color w:val="auto"/>
          <w:sz w:val="24"/>
          <w:highlight w:val="none"/>
        </w:rPr>
        <w:fldChar w:fldCharType="end"/>
      </w:r>
      <w:r>
        <w:rPr>
          <w:rFonts w:hint="eastAsia" w:ascii="仿宋" w:hAnsi="仿宋" w:eastAsia="仿宋" w:cs="仿宋"/>
          <w:b/>
          <w:bCs/>
          <w:color w:val="auto"/>
          <w:sz w:val="24"/>
          <w:highlight w:val="none"/>
        </w:rPr>
        <w:fldChar w:fldCharType="end"/>
      </w:r>
    </w:p>
    <w:p w14:paraId="6153E7D4">
      <w:pPr>
        <w:spacing w:line="480" w:lineRule="auto"/>
        <w:rPr>
          <w:rFonts w:hint="eastAsia" w:ascii="仿宋" w:hAnsi="仿宋" w:eastAsia="仿宋" w:cs="仿宋"/>
          <w:color w:val="auto"/>
          <w:highlight w:val="none"/>
        </w:rPr>
      </w:pPr>
      <w:r>
        <w:rPr>
          <w:rFonts w:hint="eastAsia" w:ascii="仿宋" w:hAnsi="仿宋" w:eastAsia="仿宋" w:cs="仿宋"/>
          <w:b/>
          <w:bCs/>
          <w:color w:val="auto"/>
          <w:sz w:val="24"/>
          <w:highlight w:val="none"/>
        </w:rPr>
        <w:fldChar w:fldCharType="end"/>
      </w:r>
    </w:p>
    <w:p w14:paraId="5D3CCDAD">
      <w:pPr>
        <w:pStyle w:val="2"/>
        <w:rPr>
          <w:rFonts w:hint="eastAsia" w:ascii="仿宋" w:hAnsi="仿宋" w:eastAsia="仿宋" w:cs="仿宋"/>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14:paraId="7E7609F9">
      <w:pPr>
        <w:pStyle w:val="2"/>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cs="仿宋"/>
          <w:color w:val="auto"/>
          <w:szCs w:val="21"/>
          <w:highlight w:val="none"/>
          <w:lang w:eastAsia="zh-CN"/>
        </w:rPr>
        <w:t>猴石抗联安全监控系统项目</w:t>
      </w:r>
      <w:r>
        <w:rPr>
          <w:rFonts w:hint="eastAsia" w:ascii="仿宋" w:hAnsi="仿宋" w:eastAsia="仿宋" w:cs="仿宋"/>
          <w:color w:val="auto"/>
          <w:highlight w:val="none"/>
        </w:rPr>
        <w:t>）</w:t>
      </w:r>
    </w:p>
    <w:p w14:paraId="0810E3C5">
      <w:pPr>
        <w:pStyle w:val="2"/>
        <w:rPr>
          <w:rFonts w:hint="eastAsia" w:ascii="仿宋" w:hAnsi="仿宋" w:eastAsia="仿宋" w:cs="仿宋"/>
          <w:color w:val="auto"/>
          <w:highlight w:val="none"/>
        </w:rPr>
      </w:pPr>
      <w:r>
        <w:rPr>
          <w:rFonts w:hint="eastAsia" w:ascii="仿宋" w:hAnsi="仿宋" w:eastAsia="仿宋" w:cs="仿宋"/>
          <w:color w:val="auto"/>
          <w:highlight w:val="none"/>
        </w:rPr>
        <w:t>的招标公告</w:t>
      </w:r>
      <w:bookmarkEnd w:id="0"/>
      <w:bookmarkEnd w:id="1"/>
    </w:p>
    <w:p w14:paraId="0D12B768">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w:t>
      </w:r>
    </w:p>
    <w:p w14:paraId="04FAE20F">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cs="仿宋"/>
          <w:color w:val="auto"/>
          <w:szCs w:val="21"/>
          <w:highlight w:val="none"/>
          <w:u w:val="single"/>
          <w:lang w:eastAsia="zh-CN"/>
        </w:rPr>
        <w:t xml:space="preserve">猴石抗联安全监控系统项目 </w:t>
      </w:r>
      <w:r>
        <w:rPr>
          <w:rFonts w:hint="eastAsia" w:ascii="仿宋" w:hAnsi="仿宋" w:eastAsia="仿宋" w:cs="仿宋"/>
          <w:color w:val="auto"/>
          <w:szCs w:val="21"/>
          <w:highlight w:val="none"/>
        </w:rPr>
        <w:t>招标项目的潜在供应商应在</w:t>
      </w:r>
      <w:r>
        <w:rPr>
          <w:rFonts w:hint="eastAsia" w:ascii="仿宋" w:hAnsi="仿宋" w:eastAsia="仿宋" w:cs="仿宋"/>
          <w:color w:val="auto"/>
          <w:szCs w:val="21"/>
          <w:highlight w:val="none"/>
          <w:u w:val="single"/>
        </w:rPr>
        <w:t>辽宁政府采购网</w:t>
      </w:r>
      <w:r>
        <w:rPr>
          <w:rFonts w:hint="eastAsia" w:ascii="仿宋" w:hAnsi="仿宋" w:eastAsia="仿宋" w:cs="仿宋"/>
          <w:color w:val="auto"/>
          <w:szCs w:val="21"/>
          <w:highlight w:val="none"/>
        </w:rPr>
        <w:t>获取招标文件，并于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lang w:eastAsia="zh-CN"/>
        </w:rPr>
        <w:t>年</w:t>
      </w:r>
      <w:r>
        <w:rPr>
          <w:rFonts w:hint="eastAsia" w:ascii="仿宋" w:hAnsi="仿宋" w:cs="仿宋"/>
          <w:bCs/>
          <w:color w:val="auto"/>
          <w:szCs w:val="21"/>
          <w:highlight w:val="none"/>
          <w:u w:val="single"/>
          <w:lang w:val="en-US" w:eastAsia="zh-CN"/>
        </w:rPr>
        <w:t>11月18日</w:t>
      </w:r>
      <w:r>
        <w:rPr>
          <w:rFonts w:hint="eastAsia" w:ascii="仿宋" w:hAnsi="仿宋" w:eastAsia="仿宋" w:cs="仿宋"/>
          <w:bCs/>
          <w:color w:val="auto"/>
          <w:szCs w:val="21"/>
          <w:highlight w:val="none"/>
          <w:u w:val="single"/>
          <w:lang w:val="en-US" w:eastAsia="zh-CN"/>
        </w:rPr>
        <w:t>0</w:t>
      </w:r>
      <w:r>
        <w:rPr>
          <w:rFonts w:hint="eastAsia" w:ascii="仿宋" w:hAnsi="仿宋" w:cs="仿宋"/>
          <w:bCs/>
          <w:color w:val="auto"/>
          <w:szCs w:val="21"/>
          <w:highlight w:val="none"/>
          <w:u w:val="single"/>
          <w:lang w:val="en-US" w:eastAsia="zh-CN"/>
        </w:rPr>
        <w:t>9</w:t>
      </w:r>
      <w:r>
        <w:rPr>
          <w:rFonts w:hint="eastAsia" w:ascii="仿宋" w:hAnsi="仿宋" w:eastAsia="仿宋" w:cs="仿宋"/>
          <w:bCs/>
          <w:color w:val="auto"/>
          <w:szCs w:val="21"/>
          <w:highlight w:val="none"/>
          <w:u w:val="single"/>
        </w:rPr>
        <w:t>点</w:t>
      </w:r>
      <w:r>
        <w:rPr>
          <w:rFonts w:hint="eastAsia" w:ascii="仿宋" w:hAnsi="仿宋" w:cs="仿宋"/>
          <w:bCs/>
          <w:color w:val="auto"/>
          <w:szCs w:val="21"/>
          <w:highlight w:val="none"/>
          <w:u w:val="single"/>
          <w:lang w:val="en-US" w:eastAsia="zh-CN"/>
        </w:rPr>
        <w:t>0</w:t>
      </w:r>
      <w:r>
        <w:rPr>
          <w:rFonts w:hint="eastAsia" w:ascii="仿宋" w:hAnsi="仿宋" w:eastAsia="仿宋" w:cs="仿宋"/>
          <w:bCs/>
          <w:color w:val="auto"/>
          <w:szCs w:val="21"/>
          <w:highlight w:val="none"/>
          <w:u w:val="single"/>
          <w:lang w:val="en-US" w:eastAsia="zh-CN"/>
        </w:rPr>
        <w:t>0</w:t>
      </w:r>
      <w:r>
        <w:rPr>
          <w:rFonts w:hint="eastAsia" w:ascii="仿宋" w:hAnsi="仿宋" w:eastAsia="仿宋" w:cs="仿宋"/>
          <w:bCs/>
          <w:color w:val="auto"/>
          <w:szCs w:val="21"/>
          <w:highlight w:val="none"/>
          <w:u w:val="single"/>
        </w:rPr>
        <w:t>分（</w:t>
      </w:r>
      <w:r>
        <w:rPr>
          <w:rFonts w:hint="eastAsia" w:ascii="仿宋" w:hAnsi="仿宋" w:eastAsia="仿宋" w:cs="仿宋"/>
          <w:bCs/>
          <w:color w:val="auto"/>
          <w:szCs w:val="21"/>
          <w:highlight w:val="none"/>
        </w:rPr>
        <w:t>北京时间）前递交投标文件</w:t>
      </w:r>
      <w:r>
        <w:rPr>
          <w:rFonts w:hint="eastAsia" w:ascii="仿宋" w:hAnsi="仿宋" w:eastAsia="仿宋" w:cs="仿宋"/>
          <w:color w:val="auto"/>
          <w:szCs w:val="21"/>
          <w:highlight w:val="none"/>
        </w:rPr>
        <w:t>。</w:t>
      </w:r>
    </w:p>
    <w:p w14:paraId="2F41113C">
      <w:pPr>
        <w:widowControl/>
        <w:adjustRightInd w:val="0"/>
        <w:snapToGrid w:val="0"/>
        <w:spacing w:line="360" w:lineRule="auto"/>
        <w:ind w:firstLine="420" w:firstLineChars="200"/>
        <w:jc w:val="left"/>
        <w:rPr>
          <w:rFonts w:hint="eastAsia" w:ascii="仿宋" w:hAnsi="仿宋" w:eastAsia="仿宋" w:cs="仿宋"/>
          <w:b/>
          <w:bCs/>
          <w:color w:val="auto"/>
          <w:kern w:val="0"/>
          <w:szCs w:val="21"/>
          <w:highlight w:val="none"/>
        </w:rPr>
      </w:pPr>
      <w:r>
        <w:rPr>
          <w:rFonts w:hint="eastAsia" w:ascii="仿宋" w:hAnsi="仿宋" w:eastAsia="仿宋" w:cs="仿宋"/>
          <w:color w:val="auto"/>
          <w:kern w:val="0"/>
          <w:szCs w:val="21"/>
          <w:highlight w:val="none"/>
        </w:rPr>
        <w:t xml:space="preserve"> </w:t>
      </w:r>
    </w:p>
    <w:p w14:paraId="11F7AB26">
      <w:pPr>
        <w:adjustRightInd w:val="0"/>
        <w:snapToGrid w:val="0"/>
        <w:spacing w:line="360" w:lineRule="auto"/>
        <w:rPr>
          <w:rFonts w:hint="eastAsia" w:ascii="仿宋" w:hAnsi="仿宋" w:eastAsia="仿宋" w:cs="仿宋"/>
          <w:b/>
          <w:bCs/>
          <w:color w:val="auto"/>
          <w:szCs w:val="21"/>
          <w:highlight w:val="none"/>
        </w:rPr>
      </w:pPr>
      <w:bookmarkStart w:id="2" w:name="_Toc28359002"/>
      <w:bookmarkStart w:id="3" w:name="_Toc35393621"/>
      <w:bookmarkStart w:id="4" w:name="_Toc35393790"/>
      <w:bookmarkStart w:id="5" w:name="_Toc28359079"/>
      <w:bookmarkStart w:id="6" w:name="_Hlk24379207"/>
      <w:r>
        <w:rPr>
          <w:rFonts w:hint="eastAsia" w:ascii="仿宋" w:hAnsi="仿宋" w:eastAsia="仿宋" w:cs="仿宋"/>
          <w:b/>
          <w:bCs/>
          <w:color w:val="auto"/>
          <w:szCs w:val="21"/>
          <w:highlight w:val="none"/>
        </w:rPr>
        <w:t>一、项目基本情况</w:t>
      </w:r>
      <w:bookmarkEnd w:id="2"/>
      <w:bookmarkEnd w:id="3"/>
      <w:bookmarkEnd w:id="4"/>
      <w:bookmarkEnd w:id="5"/>
    </w:p>
    <w:p w14:paraId="27D5E20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项目编号：JH25-210422-00133</w:t>
      </w:r>
    </w:p>
    <w:p w14:paraId="2F548EE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项目名称：猴石抗联安全监控系统项目</w:t>
      </w:r>
      <w:r>
        <w:rPr>
          <w:rFonts w:hint="eastAsia" w:ascii="仿宋" w:hAnsi="仿宋" w:eastAsia="仿宋" w:cs="仿宋"/>
          <w:color w:val="auto"/>
          <w:szCs w:val="21"/>
          <w:highlight w:val="none"/>
          <w:lang w:eastAsia="zh-CN"/>
        </w:rPr>
        <w:t xml:space="preserve"> </w:t>
      </w:r>
      <w:bookmarkEnd w:id="6"/>
    </w:p>
    <w:p w14:paraId="59732F72">
      <w:pPr>
        <w:adjustRightInd w:val="0"/>
        <w:snapToGrid w:val="0"/>
        <w:spacing w:line="360" w:lineRule="auto"/>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预算金额：</w:t>
      </w:r>
      <w:r>
        <w:rPr>
          <w:rFonts w:hint="eastAsia" w:ascii="仿宋" w:hAnsi="仿宋" w:cs="仿宋"/>
          <w:color w:val="auto"/>
          <w:szCs w:val="21"/>
          <w:highlight w:val="none"/>
          <w:lang w:val="en-US" w:eastAsia="zh-CN"/>
        </w:rPr>
        <w:t>1</w:t>
      </w:r>
      <w:r>
        <w:rPr>
          <w:rFonts w:hint="eastAsia" w:ascii="仿宋_GB2312" w:hAnsi="仿宋_GB2312" w:eastAsia="仿宋_GB2312" w:cs="仿宋_GB2312"/>
          <w:color w:val="auto"/>
          <w:szCs w:val="21"/>
          <w:highlight w:val="none"/>
          <w:lang w:val="en-US" w:eastAsia="zh-CN"/>
        </w:rPr>
        <w:t>,997,460.00元</w:t>
      </w:r>
    </w:p>
    <w:p w14:paraId="1B07877B">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最高限价：</w:t>
      </w:r>
      <w:r>
        <w:rPr>
          <w:rFonts w:hint="eastAsia" w:ascii="仿宋" w:hAnsi="仿宋" w:cs="仿宋"/>
          <w:color w:val="auto"/>
          <w:szCs w:val="21"/>
          <w:highlight w:val="none"/>
          <w:lang w:val="en-US" w:eastAsia="zh-CN"/>
        </w:rPr>
        <w:t>1</w:t>
      </w:r>
      <w:r>
        <w:rPr>
          <w:rFonts w:hint="eastAsia" w:ascii="仿宋_GB2312" w:hAnsi="仿宋_GB2312" w:eastAsia="仿宋_GB2312" w:cs="仿宋_GB2312"/>
          <w:color w:val="auto"/>
          <w:szCs w:val="21"/>
          <w:highlight w:val="none"/>
          <w:lang w:val="en-US" w:eastAsia="zh-CN"/>
        </w:rPr>
        <w:t>,997,460.00</w:t>
      </w:r>
      <w:r>
        <w:rPr>
          <w:rFonts w:hint="eastAsia" w:ascii="仿宋" w:hAnsi="仿宋" w:eastAsia="仿宋" w:cs="仿宋"/>
          <w:color w:val="auto"/>
          <w:szCs w:val="21"/>
          <w:highlight w:val="none"/>
          <w:lang w:val="en-US" w:eastAsia="zh-CN"/>
        </w:rPr>
        <w:t>元</w:t>
      </w:r>
    </w:p>
    <w:p w14:paraId="626B7B17">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采购需求：安全监控系统</w:t>
      </w:r>
      <w:r>
        <w:rPr>
          <w:rFonts w:hint="eastAsia" w:ascii="仿宋" w:hAnsi="仿宋" w:cs="仿宋"/>
          <w:color w:val="auto"/>
          <w:szCs w:val="21"/>
          <w:highlight w:val="none"/>
          <w:lang w:val="en-US" w:eastAsia="zh-CN"/>
        </w:rPr>
        <w:t>等</w:t>
      </w:r>
      <w:r>
        <w:rPr>
          <w:rFonts w:hint="eastAsia" w:ascii="仿宋" w:hAnsi="仿宋" w:eastAsia="仿宋" w:cs="仿宋"/>
          <w:color w:val="auto"/>
          <w:szCs w:val="21"/>
          <w:highlight w:val="none"/>
          <w:lang w:val="en-US" w:eastAsia="zh-CN"/>
        </w:rPr>
        <w:t>（详见招标文件第三章 货物需求）</w:t>
      </w:r>
    </w:p>
    <w:p w14:paraId="4E669DC8">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w:t>
      </w:r>
      <w:r>
        <w:rPr>
          <w:rFonts w:hint="eastAsia" w:ascii="仿宋" w:hAnsi="仿宋" w:eastAsia="仿宋" w:cs="仿宋"/>
          <w:color w:val="auto"/>
          <w:highlight w:val="none"/>
          <w:lang w:eastAsia="zh-CN"/>
        </w:rPr>
        <w:t>合同签订后</w:t>
      </w:r>
      <w:r>
        <w:rPr>
          <w:rFonts w:hint="eastAsia" w:ascii="仿宋" w:hAnsi="仿宋" w:cs="仿宋"/>
          <w:color w:val="auto"/>
          <w:highlight w:val="none"/>
          <w:lang w:val="en-US" w:eastAsia="zh-CN"/>
        </w:rPr>
        <w:t>45</w:t>
      </w:r>
      <w:r>
        <w:rPr>
          <w:rFonts w:hint="eastAsia" w:ascii="仿宋" w:hAnsi="仿宋" w:eastAsia="仿宋" w:cs="仿宋"/>
          <w:color w:val="auto"/>
          <w:highlight w:val="none"/>
          <w:lang w:eastAsia="zh-CN"/>
        </w:rPr>
        <w:t>日内完成</w:t>
      </w:r>
      <w:r>
        <w:rPr>
          <w:rFonts w:hint="eastAsia" w:ascii="仿宋" w:hAnsi="仿宋" w:cs="仿宋"/>
          <w:color w:val="auto"/>
          <w:szCs w:val="21"/>
          <w:highlight w:val="none"/>
          <w:lang w:eastAsia="zh-CN"/>
        </w:rPr>
        <w:t>供货安装调试</w:t>
      </w:r>
      <w:r>
        <w:rPr>
          <w:rFonts w:hint="eastAsia" w:ascii="仿宋" w:hAnsi="仿宋" w:eastAsia="仿宋" w:cs="仿宋"/>
          <w:color w:val="auto"/>
          <w:highlight w:val="none"/>
          <w:lang w:val="en-US" w:eastAsia="zh-CN"/>
        </w:rPr>
        <w:t>（具体以实际签订合同为准）</w:t>
      </w:r>
      <w:r>
        <w:rPr>
          <w:rFonts w:hint="eastAsia" w:ascii="仿宋" w:hAnsi="仿宋" w:cs="仿宋"/>
          <w:color w:val="auto"/>
          <w:highlight w:val="none"/>
          <w:lang w:val="en-US" w:eastAsia="zh-CN"/>
        </w:rPr>
        <w:t>。</w:t>
      </w:r>
    </w:p>
    <w:p w14:paraId="1D808E0C">
      <w:pPr>
        <w:adjustRightInd w:val="0"/>
        <w:snapToGrid w:val="0"/>
        <w:spacing w:line="360" w:lineRule="auto"/>
        <w:ind w:firstLine="420" w:firstLineChars="200"/>
        <w:rPr>
          <w:rFonts w:hint="eastAsia" w:ascii="仿宋" w:hAnsi="仿宋" w:eastAsia="仿宋_GB2312" w:cs="仿宋"/>
          <w:color w:val="auto"/>
          <w:szCs w:val="21"/>
          <w:highlight w:val="none"/>
          <w:lang w:eastAsia="zh-CN"/>
        </w:rPr>
      </w:pPr>
      <w:r>
        <w:rPr>
          <w:rFonts w:hint="eastAsia" w:ascii="仿宋" w:hAnsi="仿宋" w:eastAsia="仿宋" w:cs="仿宋"/>
          <w:color w:val="auto"/>
          <w:szCs w:val="21"/>
          <w:highlight w:val="none"/>
        </w:rPr>
        <w:t>需落实的政府采购政策内容：</w:t>
      </w:r>
      <w:r>
        <w:rPr>
          <w:rFonts w:hint="eastAsia" w:ascii="仿宋_GB2312" w:hAnsi="仿宋_GB2312" w:eastAsia="仿宋_GB2312" w:cs="仿宋_GB2312"/>
          <w:szCs w:val="21"/>
          <w:highlight w:val="none"/>
        </w:rPr>
        <w:t>中小微企业（含监狱企业）相关规定、促进残疾人就业政府采购政策相关规定、对于节能产品、环境标志产品相关规定等</w:t>
      </w:r>
      <w:r>
        <w:rPr>
          <w:rFonts w:hint="eastAsia" w:ascii="仿宋_GB2312" w:hAnsi="仿宋_GB2312" w:eastAsia="仿宋_GB2312" w:cs="仿宋_GB2312"/>
          <w:szCs w:val="21"/>
          <w:highlight w:val="none"/>
          <w:lang w:eastAsia="zh-CN"/>
        </w:rPr>
        <w:t>。</w:t>
      </w:r>
    </w:p>
    <w:p w14:paraId="4789C75F">
      <w:pPr>
        <w:adjustRightInd w:val="0"/>
        <w:snapToGrid w:val="0"/>
        <w:spacing w:line="360" w:lineRule="auto"/>
        <w:ind w:firstLine="420" w:firstLineChars="200"/>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本项目（</w:t>
      </w:r>
      <w:r>
        <w:rPr>
          <w:rFonts w:hint="eastAsia" w:ascii="仿宋" w:hAnsi="仿宋" w:eastAsia="仿宋" w:cs="仿宋"/>
          <w:i/>
          <w:color w:val="auto"/>
          <w:szCs w:val="21"/>
          <w:highlight w:val="none"/>
        </w:rPr>
        <w:t>是/否</w:t>
      </w:r>
      <w:r>
        <w:rPr>
          <w:rFonts w:hint="eastAsia" w:ascii="仿宋" w:hAnsi="仿宋" w:eastAsia="仿宋" w:cs="仿宋"/>
          <w:color w:val="auto"/>
          <w:szCs w:val="21"/>
          <w:highlight w:val="none"/>
        </w:rPr>
        <w:t>）接受联合体投标：否</w:t>
      </w:r>
      <w:bookmarkStart w:id="7" w:name="_Toc28359080"/>
      <w:bookmarkStart w:id="8" w:name="_Toc35393622"/>
      <w:bookmarkStart w:id="9" w:name="_Toc35393791"/>
      <w:bookmarkStart w:id="10" w:name="_Toc28359003"/>
    </w:p>
    <w:p w14:paraId="5A39B03B">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二、供应商的资格要求：</w:t>
      </w:r>
      <w:bookmarkEnd w:id="7"/>
      <w:bookmarkEnd w:id="8"/>
      <w:bookmarkEnd w:id="9"/>
      <w:bookmarkEnd w:id="10"/>
    </w:p>
    <w:p w14:paraId="6E4BA42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1.满足《中华人民共和国政府采购法》第二十二条规定；</w:t>
      </w:r>
    </w:p>
    <w:p w14:paraId="6AF9BC10">
      <w:pPr>
        <w:adjustRightInd w:val="0"/>
        <w:snapToGrid w:val="0"/>
        <w:spacing w:line="360" w:lineRule="auto"/>
        <w:ind w:firstLine="420" w:firstLineChars="200"/>
        <w:rPr>
          <w:rFonts w:hint="eastAsia" w:ascii="仿宋" w:hAnsi="仿宋" w:eastAsia="仿宋" w:cs="仿宋"/>
          <w:color w:val="auto"/>
          <w:szCs w:val="21"/>
          <w:highlight w:val="none"/>
          <w:lang w:eastAsia="zh-CN"/>
        </w:rPr>
      </w:pPr>
      <w:bookmarkStart w:id="11" w:name="_Toc28359004"/>
      <w:bookmarkStart w:id="12" w:name="_Toc28359081"/>
      <w:r>
        <w:rPr>
          <w:rFonts w:hint="eastAsia" w:ascii="仿宋" w:hAnsi="仿宋" w:eastAsia="仿宋" w:cs="仿宋"/>
          <w:color w:val="auto"/>
          <w:szCs w:val="21"/>
          <w:highlight w:val="none"/>
        </w:rPr>
        <w:t>2.落实政府采购政策需满足的资格要求：</w:t>
      </w:r>
      <w:r>
        <w:rPr>
          <w:rFonts w:hint="eastAsia" w:ascii="仿宋" w:hAnsi="仿宋" w:cs="仿宋"/>
          <w:color w:val="auto"/>
          <w:szCs w:val="21"/>
          <w:highlight w:val="none"/>
          <w:lang w:val="en-US" w:eastAsia="zh-CN"/>
        </w:rPr>
        <w:t>无。</w:t>
      </w:r>
    </w:p>
    <w:p w14:paraId="2A24A264">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3.本项目的特定资格要求：</w:t>
      </w:r>
      <w:r>
        <w:rPr>
          <w:rFonts w:hint="eastAsia" w:ascii="仿宋" w:hAnsi="仿宋" w:cs="仿宋"/>
          <w:color w:val="auto"/>
          <w:szCs w:val="21"/>
          <w:highlight w:val="none"/>
          <w:lang w:val="en-US" w:eastAsia="zh-CN"/>
        </w:rPr>
        <w:t>无。</w:t>
      </w:r>
    </w:p>
    <w:p w14:paraId="5AC5321B">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三、政府采购供应商入库须知</w:t>
      </w:r>
    </w:p>
    <w:p w14:paraId="3258F922">
      <w:pPr>
        <w:adjustRightInd w:val="0"/>
        <w:snapToGrid w:val="0"/>
        <w:spacing w:line="360" w:lineRule="auto"/>
        <w:ind w:firstLine="420" w:firstLineChars="200"/>
        <w:rPr>
          <w:rFonts w:hint="eastAsia" w:ascii="仿宋" w:hAnsi="仿宋" w:eastAsia="仿宋" w:cs="仿宋"/>
          <w:color w:val="auto"/>
          <w:szCs w:val="21"/>
          <w:highlight w:val="none"/>
        </w:rPr>
      </w:pPr>
      <w:bookmarkStart w:id="13" w:name="_Toc35393623"/>
      <w:bookmarkStart w:id="14" w:name="_Toc35393792"/>
      <w:r>
        <w:rPr>
          <w:rFonts w:hint="eastAsia" w:ascii="仿宋" w:hAnsi="仿宋" w:eastAsia="仿宋" w:cs="仿宋"/>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6B8A683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四、获取招标文件</w:t>
      </w:r>
      <w:bookmarkEnd w:id="11"/>
      <w:bookmarkEnd w:id="12"/>
      <w:bookmarkEnd w:id="13"/>
      <w:bookmarkEnd w:id="14"/>
    </w:p>
    <w:p w14:paraId="2F9C298B">
      <w:pPr>
        <w:adjustRightInd w:val="0"/>
        <w:snapToGrid w:val="0"/>
        <w:spacing w:line="360" w:lineRule="auto"/>
        <w:ind w:firstLine="54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时间：</w:t>
      </w:r>
      <w:r>
        <w:rPr>
          <w:rFonts w:hint="eastAsia" w:ascii="仿宋" w:hAnsi="仿宋" w:eastAsia="仿宋" w:cs="仿宋"/>
          <w:color w:val="auto"/>
          <w:szCs w:val="21"/>
          <w:highlight w:val="none"/>
          <w:u w:val="single"/>
        </w:rPr>
        <w:t>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10</w:t>
      </w:r>
      <w:r>
        <w:rPr>
          <w:rFonts w:hint="eastAsia" w:ascii="仿宋" w:hAnsi="仿宋" w:cs="仿宋"/>
          <w:color w:val="auto"/>
          <w:szCs w:val="21"/>
          <w:highlight w:val="none"/>
          <w:u w:val="single"/>
          <w:lang w:eastAsia="zh-CN"/>
        </w:rPr>
        <w:t>月</w:t>
      </w:r>
      <w:r>
        <w:rPr>
          <w:rFonts w:hint="eastAsia" w:ascii="仿宋" w:hAnsi="仿宋" w:cs="仿宋"/>
          <w:color w:val="auto"/>
          <w:szCs w:val="21"/>
          <w:highlight w:val="none"/>
          <w:u w:val="single"/>
          <w:lang w:val="en-US" w:eastAsia="zh-CN"/>
        </w:rPr>
        <w:t>27</w:t>
      </w:r>
      <w:r>
        <w:rPr>
          <w:rFonts w:hint="eastAsia" w:ascii="仿宋" w:hAnsi="仿宋" w:cs="仿宋"/>
          <w:color w:val="auto"/>
          <w:szCs w:val="21"/>
          <w:highlight w:val="none"/>
          <w:u w:val="single"/>
          <w:lang w:eastAsia="zh-CN"/>
        </w:rPr>
        <w:t>日</w:t>
      </w:r>
      <w:r>
        <w:rPr>
          <w:rFonts w:hint="eastAsia" w:ascii="仿宋" w:hAnsi="仿宋" w:cs="仿宋"/>
          <w:color w:val="auto"/>
          <w:szCs w:val="21"/>
          <w:highlight w:val="none"/>
          <w:u w:val="single"/>
          <w:lang w:val="en-US" w:eastAsia="zh-CN"/>
        </w:rPr>
        <w:t>23</w:t>
      </w:r>
      <w:r>
        <w:rPr>
          <w:rFonts w:hint="eastAsia" w:ascii="仿宋" w:hAnsi="仿宋" w:eastAsia="仿宋" w:cs="仿宋"/>
          <w:color w:val="auto"/>
          <w:szCs w:val="21"/>
          <w:highlight w:val="none"/>
          <w:u w:val="single"/>
        </w:rPr>
        <w:t>时0</w:t>
      </w:r>
      <w:r>
        <w:rPr>
          <w:rFonts w:hint="eastAsia" w:ascii="仿宋" w:hAnsi="仿宋" w:cs="仿宋"/>
          <w:color w:val="auto"/>
          <w:szCs w:val="21"/>
          <w:highlight w:val="none"/>
          <w:u w:val="single"/>
          <w:lang w:val="en-US" w:eastAsia="zh-CN"/>
        </w:rPr>
        <w:t>0</w:t>
      </w:r>
      <w:r>
        <w:rPr>
          <w:rFonts w:hint="eastAsia" w:ascii="仿宋" w:hAnsi="仿宋" w:eastAsia="仿宋" w:cs="仿宋"/>
          <w:color w:val="auto"/>
          <w:szCs w:val="21"/>
          <w:highlight w:val="none"/>
          <w:u w:val="single"/>
        </w:rPr>
        <w:t>分至202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11</w:t>
      </w:r>
      <w:r>
        <w:rPr>
          <w:rFonts w:hint="eastAsia" w:ascii="仿宋" w:hAnsi="仿宋" w:cs="仿宋"/>
          <w:color w:val="auto"/>
          <w:szCs w:val="21"/>
          <w:highlight w:val="none"/>
          <w:u w:val="single"/>
          <w:lang w:eastAsia="zh-CN"/>
        </w:rPr>
        <w:t>月</w:t>
      </w:r>
      <w:r>
        <w:rPr>
          <w:rFonts w:hint="eastAsia" w:ascii="仿宋" w:hAnsi="仿宋" w:cs="仿宋"/>
          <w:color w:val="auto"/>
          <w:szCs w:val="21"/>
          <w:highlight w:val="none"/>
          <w:u w:val="single"/>
          <w:lang w:val="en-US" w:eastAsia="zh-CN"/>
        </w:rPr>
        <w:t>4</w:t>
      </w:r>
      <w:r>
        <w:rPr>
          <w:rFonts w:hint="eastAsia" w:ascii="仿宋" w:hAnsi="仿宋" w:cs="仿宋"/>
          <w:color w:val="auto"/>
          <w:szCs w:val="21"/>
          <w:highlight w:val="none"/>
          <w:u w:val="single"/>
          <w:lang w:eastAsia="zh-CN"/>
        </w:rPr>
        <w:t>日</w:t>
      </w:r>
      <w:r>
        <w:rPr>
          <w:rFonts w:hint="eastAsia" w:ascii="仿宋" w:hAnsi="仿宋" w:cs="仿宋"/>
          <w:color w:val="auto"/>
          <w:szCs w:val="21"/>
          <w:highlight w:val="none"/>
          <w:u w:val="single"/>
          <w:lang w:val="en-US" w:eastAsia="zh-CN"/>
        </w:rPr>
        <w:t>00</w:t>
      </w:r>
      <w:r>
        <w:rPr>
          <w:rFonts w:hint="eastAsia" w:ascii="仿宋" w:hAnsi="仿宋" w:eastAsia="仿宋" w:cs="仿宋"/>
          <w:color w:val="auto"/>
          <w:szCs w:val="21"/>
          <w:highlight w:val="none"/>
          <w:u w:val="single"/>
        </w:rPr>
        <w:t>时00分</w:t>
      </w:r>
      <w:r>
        <w:rPr>
          <w:rFonts w:hint="eastAsia" w:ascii="仿宋" w:hAnsi="仿宋" w:eastAsia="仿宋" w:cs="仿宋"/>
          <w:color w:val="auto"/>
          <w:szCs w:val="21"/>
          <w:highlight w:val="none"/>
        </w:rPr>
        <w:t>（北京时间，法定节假日除外）</w:t>
      </w:r>
    </w:p>
    <w:p w14:paraId="2140048B">
      <w:pPr>
        <w:adjustRightInd w:val="0"/>
        <w:snapToGrid w:val="0"/>
        <w:spacing w:line="360" w:lineRule="auto"/>
        <w:ind w:firstLine="540"/>
        <w:rPr>
          <w:rFonts w:hint="eastAsia" w:ascii="仿宋" w:hAnsi="仿宋" w:eastAsia="仿宋" w:cs="仿宋"/>
          <w:color w:val="auto"/>
          <w:szCs w:val="21"/>
          <w:highlight w:val="none"/>
          <w:u w:val="single"/>
        </w:rPr>
      </w:pPr>
      <w:bookmarkStart w:id="15" w:name="_Toc28359082"/>
      <w:bookmarkStart w:id="16" w:name="_Toc28359005"/>
      <w:bookmarkStart w:id="17" w:name="_Toc35393793"/>
      <w:bookmarkStart w:id="18" w:name="_Toc35393624"/>
      <w:r>
        <w:rPr>
          <w:rFonts w:hint="eastAsia" w:ascii="仿宋" w:hAnsi="仿宋" w:eastAsia="仿宋" w:cs="仿宋"/>
          <w:color w:val="auto"/>
          <w:szCs w:val="21"/>
          <w:highlight w:val="none"/>
        </w:rPr>
        <w:t>地点：</w:t>
      </w:r>
      <w:r>
        <w:rPr>
          <w:rFonts w:hint="eastAsia" w:ascii="仿宋" w:hAnsi="仿宋" w:eastAsia="仿宋" w:cs="仿宋"/>
          <w:color w:val="auto"/>
          <w:kern w:val="0"/>
          <w:szCs w:val="21"/>
          <w:highlight w:val="none"/>
          <w:u w:val="single"/>
        </w:rPr>
        <w:t xml:space="preserve">辽宁政府采购网 </w:t>
      </w:r>
    </w:p>
    <w:p w14:paraId="12B79C17">
      <w:pPr>
        <w:adjustRightInd w:val="0"/>
        <w:snapToGrid w:val="0"/>
        <w:spacing w:line="360" w:lineRule="auto"/>
        <w:ind w:firstLine="54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方式：</w:t>
      </w:r>
      <w:r>
        <w:rPr>
          <w:rFonts w:hint="eastAsia" w:ascii="仿宋" w:hAnsi="仿宋" w:eastAsia="仿宋" w:cs="仿宋"/>
          <w:color w:val="auto"/>
          <w:kern w:val="0"/>
          <w:szCs w:val="21"/>
          <w:highlight w:val="none"/>
          <w:u w:val="single"/>
        </w:rPr>
        <w:t>在线下载</w:t>
      </w:r>
    </w:p>
    <w:p w14:paraId="3DC14A89">
      <w:pPr>
        <w:adjustRightInd w:val="0"/>
        <w:snapToGrid w:val="0"/>
        <w:spacing w:line="360" w:lineRule="auto"/>
        <w:ind w:firstLine="540"/>
        <w:rPr>
          <w:rFonts w:hint="eastAsia" w:ascii="仿宋" w:hAnsi="仿宋" w:eastAsia="仿宋" w:cs="仿宋"/>
          <w:color w:val="auto"/>
          <w:szCs w:val="21"/>
          <w:highlight w:val="none"/>
        </w:rPr>
      </w:pPr>
      <w:r>
        <w:rPr>
          <w:rFonts w:hint="eastAsia" w:ascii="仿宋" w:hAnsi="仿宋" w:eastAsia="仿宋" w:cs="仿宋"/>
          <w:color w:val="auto"/>
          <w:szCs w:val="21"/>
          <w:highlight w:val="none"/>
        </w:rPr>
        <w:t>售价：</w:t>
      </w:r>
      <w:r>
        <w:rPr>
          <w:rFonts w:hint="eastAsia" w:ascii="仿宋" w:hAnsi="仿宋" w:eastAsia="仿宋" w:cs="仿宋"/>
          <w:color w:val="auto"/>
          <w:kern w:val="0"/>
          <w:szCs w:val="21"/>
          <w:highlight w:val="none"/>
          <w:u w:val="single"/>
        </w:rPr>
        <w:t>免费</w:t>
      </w:r>
    </w:p>
    <w:p w14:paraId="4457867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五、提交投标文件</w:t>
      </w:r>
      <w:bookmarkEnd w:id="15"/>
      <w:bookmarkEnd w:id="16"/>
      <w:r>
        <w:rPr>
          <w:rFonts w:hint="eastAsia" w:ascii="仿宋" w:hAnsi="仿宋" w:eastAsia="仿宋" w:cs="仿宋"/>
          <w:b/>
          <w:bCs/>
          <w:color w:val="auto"/>
          <w:szCs w:val="21"/>
          <w:highlight w:val="none"/>
        </w:rPr>
        <w:t>截止时间、开标时间和地点</w:t>
      </w:r>
      <w:bookmarkEnd w:id="17"/>
      <w:bookmarkEnd w:id="18"/>
    </w:p>
    <w:p w14:paraId="51BB80FE">
      <w:pPr>
        <w:adjustRightInd w:val="0"/>
        <w:snapToGrid w:val="0"/>
        <w:spacing w:line="360" w:lineRule="auto"/>
        <w:ind w:firstLine="420" w:firstLineChars="200"/>
        <w:rPr>
          <w:rFonts w:hint="eastAsia" w:ascii="仿宋" w:hAnsi="仿宋" w:eastAsia="仿宋" w:cs="仿宋"/>
          <w:bCs/>
          <w:color w:val="auto"/>
          <w:szCs w:val="21"/>
          <w:highlight w:val="none"/>
        </w:rPr>
      </w:pPr>
      <w:r>
        <w:rPr>
          <w:rFonts w:hint="eastAsia" w:ascii="仿宋" w:hAnsi="仿宋" w:eastAsia="仿宋" w:cs="仿宋"/>
          <w:color w:val="auto"/>
          <w:szCs w:val="21"/>
          <w:highlight w:val="none"/>
          <w:u w:val="single"/>
          <w:lang w:eastAsia="zh-CN"/>
        </w:rPr>
        <w:t>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lang w:eastAsia="zh-CN"/>
        </w:rPr>
        <w:t>年</w:t>
      </w:r>
      <w:r>
        <w:rPr>
          <w:rFonts w:hint="eastAsia" w:ascii="仿宋" w:hAnsi="仿宋" w:cs="仿宋"/>
          <w:bCs/>
          <w:color w:val="auto"/>
          <w:szCs w:val="21"/>
          <w:highlight w:val="none"/>
          <w:u w:val="single"/>
          <w:lang w:val="en-US" w:eastAsia="zh-CN"/>
        </w:rPr>
        <w:t>11月18日</w:t>
      </w:r>
      <w:r>
        <w:rPr>
          <w:rFonts w:hint="eastAsia" w:ascii="仿宋" w:hAnsi="仿宋" w:eastAsia="仿宋" w:cs="仿宋"/>
          <w:bCs/>
          <w:color w:val="auto"/>
          <w:szCs w:val="21"/>
          <w:highlight w:val="none"/>
          <w:u w:val="single"/>
          <w:lang w:val="en-US" w:eastAsia="zh-CN"/>
        </w:rPr>
        <w:t>0</w:t>
      </w:r>
      <w:r>
        <w:rPr>
          <w:rFonts w:hint="eastAsia" w:ascii="仿宋" w:hAnsi="仿宋" w:cs="仿宋"/>
          <w:bCs/>
          <w:color w:val="auto"/>
          <w:szCs w:val="21"/>
          <w:highlight w:val="none"/>
          <w:u w:val="single"/>
          <w:lang w:val="en-US" w:eastAsia="zh-CN"/>
        </w:rPr>
        <w:t>9</w:t>
      </w:r>
      <w:r>
        <w:rPr>
          <w:rFonts w:hint="eastAsia" w:ascii="仿宋" w:hAnsi="仿宋" w:eastAsia="仿宋" w:cs="仿宋"/>
          <w:bCs/>
          <w:color w:val="auto"/>
          <w:szCs w:val="21"/>
          <w:highlight w:val="none"/>
          <w:u w:val="single"/>
        </w:rPr>
        <w:t>点</w:t>
      </w:r>
      <w:r>
        <w:rPr>
          <w:rFonts w:hint="eastAsia" w:ascii="仿宋" w:hAnsi="仿宋" w:cs="仿宋"/>
          <w:bCs/>
          <w:color w:val="auto"/>
          <w:szCs w:val="21"/>
          <w:highlight w:val="none"/>
          <w:u w:val="single"/>
          <w:lang w:val="en-US" w:eastAsia="zh-CN"/>
        </w:rPr>
        <w:t>0</w:t>
      </w:r>
      <w:r>
        <w:rPr>
          <w:rFonts w:hint="eastAsia" w:ascii="仿宋" w:hAnsi="仿宋" w:eastAsia="仿宋" w:cs="仿宋"/>
          <w:bCs/>
          <w:color w:val="auto"/>
          <w:szCs w:val="21"/>
          <w:highlight w:val="none"/>
          <w:u w:val="single"/>
          <w:lang w:val="en-US" w:eastAsia="zh-CN"/>
        </w:rPr>
        <w:t>0</w:t>
      </w:r>
      <w:r>
        <w:rPr>
          <w:rFonts w:hint="eastAsia" w:ascii="仿宋" w:hAnsi="仿宋" w:eastAsia="仿宋" w:cs="仿宋"/>
          <w:bCs/>
          <w:color w:val="auto"/>
          <w:szCs w:val="21"/>
          <w:highlight w:val="none"/>
          <w:u w:val="single"/>
        </w:rPr>
        <w:t>分</w:t>
      </w:r>
      <w:r>
        <w:rPr>
          <w:rFonts w:hint="eastAsia" w:ascii="仿宋" w:hAnsi="仿宋" w:eastAsia="仿宋" w:cs="仿宋"/>
          <w:bCs/>
          <w:color w:val="auto"/>
          <w:szCs w:val="21"/>
          <w:highlight w:val="none"/>
        </w:rPr>
        <w:t>（北京时间）</w:t>
      </w:r>
    </w:p>
    <w:p w14:paraId="0467411E">
      <w:pPr>
        <w:adjustRightInd w:val="0"/>
        <w:snapToGrid w:val="0"/>
        <w:spacing w:line="360" w:lineRule="auto"/>
        <w:ind w:firstLine="420" w:firstLineChars="200"/>
        <w:rPr>
          <w:rFonts w:hint="eastAsia" w:ascii="仿宋" w:hAnsi="仿宋" w:eastAsia="仿宋" w:cs="仿宋"/>
          <w:bCs/>
          <w:color w:val="auto"/>
          <w:szCs w:val="21"/>
          <w:highlight w:val="none"/>
          <w:u w:val="single"/>
        </w:rPr>
      </w:pPr>
      <w:r>
        <w:rPr>
          <w:rFonts w:hint="eastAsia" w:ascii="仿宋" w:hAnsi="仿宋" w:eastAsia="仿宋" w:cs="仿宋"/>
          <w:color w:val="auto"/>
          <w:szCs w:val="21"/>
          <w:highlight w:val="none"/>
        </w:rPr>
        <w:t>地点：</w:t>
      </w:r>
      <w:r>
        <w:rPr>
          <w:rFonts w:hint="eastAsia" w:ascii="仿宋" w:hAnsi="仿宋" w:eastAsia="仿宋" w:cs="仿宋"/>
          <w:color w:val="auto"/>
          <w:highlight w:val="none"/>
          <w:lang w:eastAsia="zh-CN"/>
        </w:rPr>
        <w:t>电子投标文件在辽宁政府采购网提交，备份投标文件现场递交至抚顺市公共资源交易中心六楼开标室</w:t>
      </w:r>
      <w:r>
        <w:rPr>
          <w:rFonts w:hint="eastAsia" w:ascii="仿宋" w:hAnsi="仿宋" w:eastAsia="仿宋" w:cs="仿宋"/>
          <w:color w:val="auto"/>
          <w:highlight w:val="none"/>
          <w:lang w:val="en-US" w:eastAsia="zh-CN"/>
        </w:rPr>
        <w:t>或加密后邮箱发送</w:t>
      </w:r>
      <w:r>
        <w:rPr>
          <w:rFonts w:hint="eastAsia" w:ascii="仿宋" w:hAnsi="仿宋" w:cs="仿宋"/>
          <w:b/>
          <w:bCs/>
          <w:szCs w:val="21"/>
          <w:lang w:val="en-US" w:eastAsia="zh-CN"/>
        </w:rPr>
        <w:t>。</w:t>
      </w:r>
    </w:p>
    <w:p w14:paraId="26547011">
      <w:pPr>
        <w:adjustRightInd w:val="0"/>
        <w:snapToGrid w:val="0"/>
        <w:spacing w:line="360" w:lineRule="auto"/>
        <w:rPr>
          <w:rFonts w:hint="eastAsia" w:ascii="仿宋" w:hAnsi="仿宋" w:eastAsia="仿宋" w:cs="仿宋"/>
          <w:b/>
          <w:bCs/>
          <w:color w:val="auto"/>
          <w:szCs w:val="21"/>
          <w:highlight w:val="none"/>
        </w:rPr>
      </w:pPr>
      <w:bookmarkStart w:id="19" w:name="_Toc35393625"/>
      <w:bookmarkStart w:id="20" w:name="_Toc35393794"/>
      <w:bookmarkStart w:id="21" w:name="_Toc28359007"/>
      <w:bookmarkStart w:id="22" w:name="_Toc28359084"/>
      <w:r>
        <w:rPr>
          <w:rFonts w:hint="eastAsia" w:ascii="仿宋" w:hAnsi="仿宋" w:eastAsia="仿宋" w:cs="仿宋"/>
          <w:b/>
          <w:bCs/>
          <w:color w:val="auto"/>
          <w:szCs w:val="21"/>
          <w:highlight w:val="none"/>
        </w:rPr>
        <w:t>六、公告期限</w:t>
      </w:r>
      <w:bookmarkEnd w:id="19"/>
      <w:bookmarkEnd w:id="20"/>
      <w:bookmarkEnd w:id="21"/>
      <w:bookmarkEnd w:id="22"/>
    </w:p>
    <w:p w14:paraId="01BCB3DF">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自本公告发布之日起5个工作日。</w:t>
      </w:r>
    </w:p>
    <w:p w14:paraId="77CE051E">
      <w:pPr>
        <w:keepNext/>
        <w:keepLines/>
        <w:adjustRightInd w:val="0"/>
        <w:snapToGrid w:val="0"/>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七、质疑与投诉</w:t>
      </w:r>
    </w:p>
    <w:p w14:paraId="64DACB52">
      <w:pPr>
        <w:widowControl/>
        <w:adjustRightInd w:val="0"/>
        <w:snapToGrid w:val="0"/>
        <w:spacing w:line="360" w:lineRule="auto"/>
        <w:ind w:firstLine="539"/>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供应商认为自己的权益受到损害的，可以在知道或者应知其权益受到损害之日起七个工作日内，向采购代理机构或采购人提出质疑。</w:t>
      </w:r>
    </w:p>
    <w:p w14:paraId="50E7B4BF">
      <w:pPr>
        <w:widowControl/>
        <w:adjustRightInd w:val="0"/>
        <w:snapToGrid w:val="0"/>
        <w:spacing w:line="360" w:lineRule="auto"/>
        <w:ind w:firstLine="480"/>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1、接收质疑函方式：</w:t>
      </w:r>
      <w:r>
        <w:rPr>
          <w:rFonts w:hint="eastAsia" w:ascii="仿宋" w:hAnsi="仿宋" w:eastAsia="仿宋" w:cs="仿宋"/>
          <w:color w:val="auto"/>
          <w:szCs w:val="21"/>
          <w:highlight w:val="none"/>
          <w:lang w:eastAsia="zh-CN"/>
        </w:rPr>
        <w:t>线上或书面纸质质疑函</w:t>
      </w:r>
    </w:p>
    <w:p w14:paraId="4B1FA109">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2、质疑函内容、格式：应符合《政府采购质疑和投诉办法》相关规定和财政部制定的《政府采购质疑函范本》格式，详见辽宁政府采购网。</w:t>
      </w:r>
    </w:p>
    <w:p w14:paraId="4798B270">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26E7B8EE">
      <w:pPr>
        <w:adjustRightInd w:val="0"/>
        <w:snapToGrid w:val="0"/>
        <w:spacing w:line="360" w:lineRule="auto"/>
        <w:rPr>
          <w:rFonts w:hint="eastAsia" w:ascii="仿宋" w:hAnsi="仿宋" w:eastAsia="仿宋" w:cs="仿宋"/>
          <w:b/>
          <w:bCs/>
          <w:color w:val="auto"/>
          <w:szCs w:val="21"/>
          <w:highlight w:val="none"/>
        </w:rPr>
      </w:pPr>
      <w:bookmarkStart w:id="23" w:name="_Toc35393626"/>
      <w:bookmarkStart w:id="24" w:name="_Toc35393795"/>
      <w:r>
        <w:rPr>
          <w:rFonts w:hint="eastAsia" w:ascii="仿宋" w:hAnsi="仿宋" w:eastAsia="仿宋" w:cs="仿宋"/>
          <w:b/>
          <w:bCs/>
          <w:color w:val="auto"/>
          <w:szCs w:val="21"/>
          <w:highlight w:val="none"/>
        </w:rPr>
        <w:t>八、其他补充事宜</w:t>
      </w:r>
      <w:bookmarkEnd w:id="23"/>
      <w:bookmarkEnd w:id="24"/>
    </w:p>
    <w:p w14:paraId="24929020">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1.参加辽宁政府采购活动的</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eastAsia="zh-CN"/>
        </w:rPr>
        <w:t>，请详阅辽宁政府采购网“首页-办事指南”中公布的“辽宁政府采购网关于办理CA数字证书的操作手册”和“辽宁政府采购网新版系统供应商操作手册”，及时办理政府采购CA数字证书并学习电子响应文件制作等教程，有任何技术问题请咨询技术支持电话（4001288588）,CA办理问题请咨询CA认证机构，因未办理相关手续或自身操作问题造成的一切不良后果，由</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eastAsia="zh-CN"/>
        </w:rPr>
        <w:t>自行承担。</w:t>
      </w:r>
    </w:p>
    <w:p w14:paraId="3F7B3C40">
      <w:pPr>
        <w:widowControl/>
        <w:adjustRightInd w:val="0"/>
        <w:snapToGrid w:val="0"/>
        <w:spacing w:line="360" w:lineRule="auto"/>
        <w:ind w:firstLine="480"/>
        <w:jc w:val="left"/>
        <w:rPr>
          <w:rFonts w:hint="default" w:ascii="仿宋" w:hAnsi="仿宋" w:eastAsia="仿宋" w:cs="仿宋"/>
          <w:color w:val="auto"/>
          <w:szCs w:val="21"/>
          <w:highlight w:val="none"/>
          <w:lang w:val="en-US" w:eastAsia="zh-CN"/>
        </w:rPr>
      </w:pPr>
      <w:r>
        <w:rPr>
          <w:rFonts w:hint="eastAsia" w:ascii="仿宋_GB2312" w:hAnsi="仿宋_GB2312" w:eastAsia="仿宋_GB2312" w:cs="仿宋_GB2312"/>
          <w:szCs w:val="21"/>
          <w:lang w:eastAsia="zh-CN"/>
        </w:rPr>
        <w:t>2.</w:t>
      </w:r>
      <w:r>
        <w:rPr>
          <w:rFonts w:hint="eastAsia" w:ascii="仿宋_GB2312" w:hAnsi="仿宋_GB2312" w:eastAsia="仿宋_GB2312" w:cs="仿宋_GB2312"/>
          <w:szCs w:val="21"/>
          <w:lang w:val="en-US" w:eastAsia="zh-CN"/>
        </w:rPr>
        <w:t>投标</w:t>
      </w:r>
      <w:r>
        <w:rPr>
          <w:rFonts w:hint="eastAsia" w:ascii="仿宋_GB2312" w:hAnsi="仿宋_GB2312" w:eastAsia="仿宋_GB2312" w:cs="仿宋_GB2312"/>
          <w:szCs w:val="21"/>
          <w:lang w:eastAsia="zh-CN"/>
        </w:rPr>
        <w:t>文件递交方式采用线上递交方式，</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eastAsia="zh-CN"/>
        </w:rPr>
        <w:t>同时准备电子</w:t>
      </w:r>
      <w:r>
        <w:rPr>
          <w:rFonts w:hint="eastAsia" w:ascii="仿宋_GB2312" w:hAnsi="仿宋_GB2312" w:eastAsia="仿宋_GB2312" w:cs="仿宋_GB2312"/>
          <w:szCs w:val="21"/>
          <w:lang w:val="en-US" w:eastAsia="zh-CN"/>
        </w:rPr>
        <w:t>投标</w:t>
      </w:r>
      <w:r>
        <w:rPr>
          <w:rFonts w:hint="eastAsia" w:ascii="仿宋_GB2312" w:hAnsi="仿宋_GB2312" w:eastAsia="仿宋_GB2312" w:cs="仿宋_GB2312"/>
          <w:szCs w:val="21"/>
          <w:lang w:eastAsia="zh-CN"/>
        </w:rPr>
        <w:t>文件以及电子文件一致性承诺函（格式自拟），并按招标文件要求进行签字、盖章，如因</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eastAsia="zh-CN"/>
        </w:rPr>
        <w:t>自身原因导致未线上递交</w:t>
      </w:r>
      <w:r>
        <w:rPr>
          <w:rFonts w:hint="eastAsia" w:ascii="仿宋_GB2312" w:hAnsi="仿宋_GB2312" w:eastAsia="仿宋_GB2312" w:cs="仿宋_GB2312"/>
          <w:szCs w:val="21"/>
          <w:lang w:val="en-US" w:eastAsia="zh-CN"/>
        </w:rPr>
        <w:t>投标</w:t>
      </w:r>
      <w:r>
        <w:rPr>
          <w:rFonts w:hint="eastAsia" w:ascii="仿宋_GB2312" w:hAnsi="仿宋_GB2312" w:eastAsia="仿宋_GB2312" w:cs="仿宋_GB2312"/>
          <w:szCs w:val="21"/>
          <w:lang w:eastAsia="zh-CN"/>
        </w:rPr>
        <w:t>文件的按照无效</w:t>
      </w:r>
      <w:r>
        <w:rPr>
          <w:rFonts w:hint="eastAsia" w:ascii="仿宋_GB2312" w:hAnsi="仿宋_GB2312" w:eastAsia="仿宋_GB2312" w:cs="仿宋_GB2312"/>
          <w:szCs w:val="21"/>
          <w:lang w:val="en-US" w:eastAsia="zh-CN"/>
        </w:rPr>
        <w:t>投标</w:t>
      </w:r>
      <w:r>
        <w:rPr>
          <w:rFonts w:hint="eastAsia" w:ascii="仿宋_GB2312" w:hAnsi="仿宋_GB2312" w:eastAsia="仿宋_GB2312" w:cs="仿宋_GB2312"/>
          <w:szCs w:val="21"/>
          <w:lang w:eastAsia="zh-CN"/>
        </w:rPr>
        <w:t>文件处理。</w:t>
      </w:r>
    </w:p>
    <w:p w14:paraId="164862B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九、对本次招标提出询问，请按以下方式联系</w:t>
      </w:r>
    </w:p>
    <w:p w14:paraId="3EF2860D">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1.采购人信息</w:t>
      </w:r>
    </w:p>
    <w:p w14:paraId="154781B5">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名称：新宾满族自治县文化旅游和广播电视局</w:t>
      </w:r>
    </w:p>
    <w:p w14:paraId="3ABFD723">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地址：</w:t>
      </w:r>
      <w:r>
        <w:rPr>
          <w:rFonts w:hint="eastAsia" w:ascii="仿宋_GB2312" w:hAnsi="仿宋_GB2312" w:eastAsia="仿宋_GB2312" w:cs="仿宋_GB2312"/>
          <w:szCs w:val="21"/>
          <w:lang w:val="en-US" w:eastAsia="zh-CN"/>
        </w:rPr>
        <w:t>辽宁省抚顺市</w:t>
      </w:r>
      <w:r>
        <w:rPr>
          <w:rFonts w:hint="eastAsia" w:ascii="仿宋_GB2312" w:hAnsi="仿宋_GB2312" w:eastAsia="仿宋_GB2312" w:cs="仿宋_GB2312"/>
          <w:szCs w:val="21"/>
          <w:lang w:eastAsia="zh-CN"/>
        </w:rPr>
        <w:t>新宾满族自治县</w:t>
      </w:r>
    </w:p>
    <w:p w14:paraId="23305629">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联系方式：024-5502</w:t>
      </w:r>
      <w:r>
        <w:rPr>
          <w:rFonts w:hint="eastAsia" w:ascii="仿宋_GB2312" w:hAnsi="仿宋_GB2312" w:eastAsia="仿宋_GB2312" w:cs="仿宋_GB2312"/>
          <w:szCs w:val="21"/>
          <w:lang w:val="en-US" w:eastAsia="zh-CN"/>
        </w:rPr>
        <w:t>2828</w:t>
      </w:r>
      <w:r>
        <w:rPr>
          <w:rFonts w:hint="eastAsia" w:ascii="仿宋_GB2312" w:hAnsi="仿宋_GB2312" w:eastAsia="仿宋_GB2312" w:cs="仿宋_GB2312"/>
          <w:szCs w:val="21"/>
          <w:lang w:eastAsia="zh-CN"/>
        </w:rPr>
        <w:t xml:space="preserve">       </w:t>
      </w:r>
    </w:p>
    <w:p w14:paraId="6E3CA8C1">
      <w:pPr>
        <w:widowControl/>
        <w:adjustRightInd w:val="0"/>
        <w:snapToGrid w:val="0"/>
        <w:spacing w:line="360" w:lineRule="auto"/>
        <w:ind w:firstLine="480"/>
        <w:jc w:val="left"/>
        <w:rPr>
          <w:rFonts w:hint="eastAsia" w:ascii="仿宋_GB2312" w:hAnsi="仿宋_GB2312" w:eastAsia="仿宋_GB2312" w:cs="仿宋_GB2312"/>
          <w:szCs w:val="21"/>
          <w:lang w:eastAsia="zh-CN"/>
        </w:rPr>
      </w:pPr>
      <w:bookmarkStart w:id="25" w:name="bookmark775"/>
      <w:bookmarkEnd w:id="25"/>
      <w:r>
        <w:rPr>
          <w:rFonts w:hint="eastAsia" w:ascii="仿宋_GB2312" w:hAnsi="仿宋_GB2312" w:eastAsia="仿宋_GB2312" w:cs="仿宋_GB2312"/>
          <w:szCs w:val="21"/>
          <w:lang w:eastAsia="zh-CN"/>
        </w:rPr>
        <w:t>2.采购代理机构信息</w:t>
      </w:r>
    </w:p>
    <w:p w14:paraId="1DB0C48A">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 xml:space="preserve">名称：馨航（辽宁）项目管理有限公司 </w:t>
      </w:r>
    </w:p>
    <w:p w14:paraId="7716B578">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 xml:space="preserve">地址： </w:t>
      </w:r>
      <w:r>
        <w:rPr>
          <w:rFonts w:hint="eastAsia" w:ascii="仿宋_GB2312" w:hAnsi="仿宋_GB2312" w:eastAsia="仿宋_GB2312" w:cs="仿宋_GB2312"/>
          <w:szCs w:val="21"/>
          <w:lang w:val="en-US" w:eastAsia="zh-CN"/>
        </w:rPr>
        <w:t>辽宁省沈阳市皇姑区嫩江街50号</w:t>
      </w:r>
    </w:p>
    <w:p w14:paraId="2EEEC522">
      <w:pPr>
        <w:widowControl/>
        <w:adjustRightInd w:val="0"/>
        <w:snapToGrid w:val="0"/>
        <w:spacing w:line="360" w:lineRule="auto"/>
        <w:ind w:firstLine="48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联系方式：</w:t>
      </w:r>
      <w:r>
        <w:rPr>
          <w:rFonts w:hint="eastAsia" w:ascii="仿宋_GB2312" w:hAnsi="仿宋_GB2312" w:eastAsia="仿宋_GB2312" w:cs="仿宋_GB2312"/>
          <w:szCs w:val="21"/>
          <w:lang w:val="en-US" w:eastAsia="zh-CN"/>
        </w:rPr>
        <w:t>17666416891</w:t>
      </w:r>
    </w:p>
    <w:p w14:paraId="53D012FE">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邮箱地址：xinhang1519@163.com</w:t>
      </w:r>
    </w:p>
    <w:p w14:paraId="5517D2EB">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开户行： 中信银行股份有限公司沈阳苏家屯支行</w:t>
      </w:r>
    </w:p>
    <w:p w14:paraId="68A4D08D">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账户名称：馨航（辽宁）项目管理有限公司</w:t>
      </w:r>
    </w:p>
    <w:p w14:paraId="13BAE51F">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账号：8112901013001012380</w:t>
      </w:r>
    </w:p>
    <w:p w14:paraId="22315147">
      <w:pPr>
        <w:widowControl/>
        <w:adjustRightInd w:val="0"/>
        <w:snapToGrid w:val="0"/>
        <w:spacing w:line="360" w:lineRule="auto"/>
        <w:ind w:firstLine="48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3.项目联系方式</w:t>
      </w:r>
    </w:p>
    <w:p w14:paraId="0A2A0CAB">
      <w:pPr>
        <w:widowControl/>
        <w:adjustRightInd w:val="0"/>
        <w:snapToGrid w:val="0"/>
        <w:spacing w:line="360" w:lineRule="auto"/>
        <w:ind w:firstLine="48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项目联系人：</w:t>
      </w:r>
      <w:r>
        <w:rPr>
          <w:rFonts w:hint="eastAsia" w:ascii="仿宋_GB2312" w:hAnsi="仿宋_GB2312" w:eastAsia="仿宋_GB2312" w:cs="仿宋_GB2312"/>
          <w:szCs w:val="21"/>
          <w:lang w:val="en-US" w:eastAsia="zh-CN"/>
        </w:rPr>
        <w:t>赵老师</w:t>
      </w:r>
    </w:p>
    <w:p w14:paraId="2754E712">
      <w:pPr>
        <w:widowControl/>
        <w:adjustRightInd w:val="0"/>
        <w:snapToGrid w:val="0"/>
        <w:spacing w:line="360" w:lineRule="auto"/>
        <w:ind w:firstLine="48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电　话：</w:t>
      </w:r>
      <w:r>
        <w:rPr>
          <w:rFonts w:hint="eastAsia" w:ascii="仿宋_GB2312" w:hAnsi="仿宋_GB2312" w:eastAsia="仿宋_GB2312" w:cs="仿宋_GB2312"/>
          <w:szCs w:val="21"/>
          <w:lang w:val="en-US" w:eastAsia="zh-CN"/>
        </w:rPr>
        <w:t>17666416891</w:t>
      </w:r>
    </w:p>
    <w:p w14:paraId="30F7A84E">
      <w:pPr>
        <w:adjustRightInd w:val="0"/>
        <w:snapToGrid w:val="0"/>
        <w:spacing w:line="360" w:lineRule="auto"/>
        <w:ind w:left="495" w:firstLine="210" w:firstLineChars="100"/>
        <w:rPr>
          <w:rFonts w:hint="eastAsia" w:ascii="仿宋" w:hAnsi="仿宋" w:eastAsia="仿宋" w:cs="仿宋"/>
          <w:color w:val="auto"/>
          <w:szCs w:val="21"/>
          <w:highlight w:val="none"/>
        </w:rPr>
      </w:pPr>
    </w:p>
    <w:p w14:paraId="565BB5CF">
      <w:pPr>
        <w:rPr>
          <w:rFonts w:hint="eastAsia" w:ascii="仿宋" w:hAnsi="仿宋" w:eastAsia="仿宋" w:cs="仿宋"/>
          <w:color w:val="auto"/>
          <w:highlight w:val="none"/>
        </w:rPr>
      </w:pPr>
    </w:p>
    <w:p w14:paraId="0B41A500">
      <w:pPr>
        <w:snapToGrid w:val="0"/>
        <w:spacing w:before="312" w:beforeLines="100" w:after="312" w:afterLines="100" w:line="360" w:lineRule="auto"/>
        <w:outlineLvl w:val="9"/>
        <w:rPr>
          <w:rFonts w:hint="eastAsia" w:ascii="仿宋" w:hAnsi="仿宋" w:eastAsia="仿宋" w:cs="仿宋"/>
          <w:color w:val="auto"/>
          <w:highlight w:val="none"/>
        </w:rPr>
        <w:sectPr>
          <w:footerReference r:id="rId4" w:type="default"/>
          <w:pgSz w:w="11906" w:h="16838"/>
          <w:pgMar w:top="1440" w:right="1800" w:bottom="1440" w:left="1800" w:header="851" w:footer="992" w:gutter="0"/>
          <w:pgNumType w:fmt="decimal" w:start="1"/>
          <w:cols w:space="720" w:num="1"/>
          <w:docGrid w:type="linesAndChars" w:linePitch="312" w:charSpace="0"/>
        </w:sectPr>
      </w:pPr>
      <w:bookmarkStart w:id="26" w:name="_Toc9614"/>
      <w:bookmarkStart w:id="27" w:name="_Toc26518_WPSOffice_Level1"/>
    </w:p>
    <w:p w14:paraId="6415FA61">
      <w:pPr>
        <w:pStyle w:val="2"/>
        <w:snapToGrid w:val="0"/>
        <w:spacing w:before="312" w:beforeLines="100" w:after="312" w:afterLines="100" w:line="360" w:lineRule="auto"/>
        <w:rPr>
          <w:rFonts w:hint="eastAsia" w:ascii="仿宋" w:hAnsi="仿宋" w:eastAsia="仿宋" w:cs="仿宋"/>
          <w:color w:val="auto"/>
          <w:highlight w:val="none"/>
        </w:rPr>
      </w:pPr>
      <w:r>
        <w:rPr>
          <w:rFonts w:hint="eastAsia" w:ascii="仿宋" w:hAnsi="仿宋" w:eastAsia="仿宋" w:cs="仿宋"/>
          <w:color w:val="auto"/>
          <w:highlight w:val="none"/>
        </w:rPr>
        <w:t>第一章 投标人须知</w:t>
      </w:r>
      <w:bookmarkEnd w:id="26"/>
      <w:bookmarkEnd w:id="27"/>
    </w:p>
    <w:p w14:paraId="28B2ED5B">
      <w:pPr>
        <w:pStyle w:val="3"/>
        <w:adjustRightInd w:val="0"/>
        <w:snapToGrid w:val="0"/>
        <w:spacing w:before="0" w:after="0" w:line="360" w:lineRule="auto"/>
        <w:rPr>
          <w:rFonts w:hint="eastAsia" w:ascii="仿宋" w:hAnsi="仿宋" w:eastAsia="仿宋" w:cs="仿宋"/>
          <w:color w:val="auto"/>
          <w:sz w:val="32"/>
          <w:szCs w:val="36"/>
          <w:highlight w:val="none"/>
        </w:rPr>
      </w:pPr>
      <w:bookmarkStart w:id="28" w:name="_Toc18613_WPSOffice_Level2"/>
      <w:r>
        <w:rPr>
          <w:rFonts w:hint="eastAsia" w:ascii="仿宋" w:hAnsi="仿宋" w:eastAsia="仿宋" w:cs="仿宋"/>
          <w:color w:val="auto"/>
          <w:sz w:val="32"/>
          <w:szCs w:val="36"/>
          <w:highlight w:val="none"/>
        </w:rPr>
        <w:t>一 投标人须知表</w:t>
      </w:r>
      <w:bookmarkEnd w:id="28"/>
    </w:p>
    <w:tbl>
      <w:tblPr>
        <w:tblStyle w:val="14"/>
        <w:tblW w:w="8656" w:type="dxa"/>
        <w:tblInd w:w="0" w:type="dxa"/>
        <w:tblLayout w:type="fixed"/>
        <w:tblCellMar>
          <w:top w:w="0" w:type="dxa"/>
          <w:left w:w="108" w:type="dxa"/>
          <w:bottom w:w="0" w:type="dxa"/>
          <w:right w:w="108" w:type="dxa"/>
        </w:tblCellMar>
      </w:tblPr>
      <w:tblGrid>
        <w:gridCol w:w="852"/>
        <w:gridCol w:w="1917"/>
        <w:gridCol w:w="5887"/>
      </w:tblGrid>
      <w:tr w14:paraId="3A9979B5">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noWrap w:val="0"/>
            <w:vAlign w:val="center"/>
          </w:tcPr>
          <w:p w14:paraId="58A0A034">
            <w:pPr>
              <w:widowControl/>
              <w:jc w:val="center"/>
              <w:rPr>
                <w:rFonts w:hint="eastAsia" w:ascii="仿宋" w:hAnsi="仿宋" w:eastAsia="仿宋" w:cs="仿宋"/>
                <w:color w:val="auto"/>
                <w:kern w:val="0"/>
                <w:szCs w:val="21"/>
                <w:highlight w:val="none"/>
              </w:rPr>
            </w:pPr>
            <w:bookmarkStart w:id="29" w:name="sys_招标项目基本内容及要求其他：Block"/>
            <w:bookmarkEnd w:id="29"/>
            <w:bookmarkStart w:id="30" w:name="sys_招标项目基本内容及要求：Block"/>
            <w:bookmarkEnd w:id="30"/>
            <w:bookmarkStart w:id="31" w:name="招标项目基本内容及要求其他：Block"/>
            <w:bookmarkEnd w:id="31"/>
            <w:bookmarkStart w:id="32" w:name="招标项目基本内容及要求：Block"/>
            <w:bookmarkEnd w:id="32"/>
            <w:r>
              <w:rPr>
                <w:rFonts w:hint="eastAsia" w:ascii="仿宋" w:hAnsi="仿宋" w:eastAsia="仿宋" w:cs="仿宋"/>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0DDD138">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E8C239B">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     容</w:t>
            </w:r>
          </w:p>
        </w:tc>
      </w:tr>
      <w:tr w14:paraId="4EDBA924">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33AC61F">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FB4992C">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9177FEA">
            <w:pPr>
              <w:widowControl/>
              <w:jc w:val="left"/>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lang w:eastAsia="zh-CN"/>
              </w:rPr>
              <w:t>名称：新宾满族自治县文化旅游和广播电视局</w:t>
            </w:r>
            <w:r>
              <w:rPr>
                <w:rFonts w:hint="eastAsia" w:ascii="仿宋" w:hAnsi="仿宋" w:eastAsia="仿宋" w:cs="仿宋"/>
                <w:kern w:val="0"/>
                <w:szCs w:val="21"/>
                <w:highlight w:val="none"/>
                <w:lang w:eastAsia="zh-CN"/>
              </w:rPr>
              <w:tab/>
            </w:r>
          </w:p>
          <w:p w14:paraId="0B274654">
            <w:pPr>
              <w:widowControl/>
              <w:jc w:val="left"/>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lang w:eastAsia="zh-CN"/>
              </w:rPr>
              <w:t>地址：</w:t>
            </w:r>
            <w:r>
              <w:rPr>
                <w:rFonts w:hint="eastAsia" w:ascii="仿宋" w:hAnsi="仿宋" w:eastAsia="仿宋" w:cs="仿宋"/>
                <w:kern w:val="0"/>
                <w:szCs w:val="21"/>
                <w:highlight w:val="none"/>
                <w:lang w:val="en-US" w:eastAsia="zh-CN"/>
              </w:rPr>
              <w:t>辽宁省抚顺市</w:t>
            </w:r>
            <w:r>
              <w:rPr>
                <w:rFonts w:hint="eastAsia" w:ascii="仿宋" w:hAnsi="仿宋" w:eastAsia="仿宋" w:cs="仿宋"/>
                <w:kern w:val="0"/>
                <w:szCs w:val="21"/>
                <w:highlight w:val="none"/>
                <w:lang w:eastAsia="zh-CN"/>
              </w:rPr>
              <w:t>新宾满族自治县</w:t>
            </w:r>
          </w:p>
          <w:p w14:paraId="6128AF38">
            <w:pPr>
              <w:widowControl/>
              <w:jc w:val="left"/>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eastAsia="zh-CN"/>
              </w:rPr>
              <w:t>联系人：</w:t>
            </w:r>
            <w:r>
              <w:rPr>
                <w:rFonts w:hint="eastAsia" w:ascii="仿宋" w:hAnsi="仿宋" w:eastAsia="仿宋" w:cs="仿宋"/>
                <w:kern w:val="0"/>
                <w:szCs w:val="21"/>
                <w:highlight w:val="none"/>
                <w:lang w:val="en-US" w:eastAsia="zh-CN"/>
              </w:rPr>
              <w:t>王老师</w:t>
            </w:r>
          </w:p>
          <w:p w14:paraId="05CB14C6">
            <w:pPr>
              <w:widowControl/>
              <w:jc w:val="left"/>
              <w:rPr>
                <w:rFonts w:hint="eastAsia" w:ascii="仿宋" w:hAnsi="仿宋" w:eastAsia="仿宋" w:cs="仿宋"/>
                <w:color w:val="auto"/>
                <w:kern w:val="0"/>
                <w:szCs w:val="21"/>
                <w:highlight w:val="none"/>
              </w:rPr>
            </w:pPr>
            <w:r>
              <w:rPr>
                <w:rFonts w:hint="eastAsia" w:ascii="仿宋" w:hAnsi="仿宋" w:eastAsia="仿宋" w:cs="仿宋"/>
                <w:kern w:val="0"/>
                <w:szCs w:val="21"/>
                <w:highlight w:val="none"/>
                <w:lang w:eastAsia="zh-CN"/>
              </w:rPr>
              <w:t>电 话：024-5502</w:t>
            </w:r>
            <w:r>
              <w:rPr>
                <w:rFonts w:hint="eastAsia" w:ascii="仿宋" w:hAnsi="仿宋" w:cs="仿宋"/>
                <w:kern w:val="0"/>
                <w:szCs w:val="21"/>
                <w:highlight w:val="none"/>
                <w:lang w:val="en-US" w:eastAsia="zh-CN"/>
              </w:rPr>
              <w:t>2828</w:t>
            </w:r>
            <w:r>
              <w:rPr>
                <w:rFonts w:hint="eastAsia" w:ascii="仿宋" w:hAnsi="仿宋" w:eastAsia="仿宋" w:cs="仿宋"/>
                <w:kern w:val="0"/>
                <w:szCs w:val="21"/>
                <w:highlight w:val="none"/>
              </w:rPr>
              <w:t xml:space="preserve"> </w:t>
            </w:r>
          </w:p>
        </w:tc>
      </w:tr>
      <w:tr w14:paraId="3AD41442">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319E28D">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C0BD612">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DE0E6F5">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  称：</w:t>
            </w:r>
            <w:r>
              <w:rPr>
                <w:rFonts w:hint="eastAsia" w:ascii="仿宋" w:hAnsi="仿宋" w:eastAsia="仿宋" w:cs="仿宋"/>
                <w:bCs/>
                <w:szCs w:val="21"/>
                <w:highlight w:val="none"/>
              </w:rPr>
              <w:t>馨航（辽宁）项目管理有限公司</w:t>
            </w:r>
          </w:p>
          <w:p w14:paraId="278BC343">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  址：</w:t>
            </w:r>
            <w:r>
              <w:rPr>
                <w:rFonts w:hint="eastAsia" w:ascii="仿宋" w:hAnsi="仿宋" w:eastAsia="仿宋" w:cs="仿宋"/>
                <w:bCs/>
                <w:szCs w:val="21"/>
                <w:highlight w:val="none"/>
                <w:lang w:val="en-US" w:eastAsia="zh-CN"/>
              </w:rPr>
              <w:t>辽宁省沈阳市皇姑区嫩江街50号</w:t>
            </w:r>
          </w:p>
          <w:p w14:paraId="7D6694F7">
            <w:pPr>
              <w:widowControl/>
              <w:jc w:val="left"/>
              <w:rPr>
                <w:rFonts w:hint="eastAsia" w:ascii="仿宋" w:hAnsi="仿宋" w:eastAsia="仿宋" w:cs="仿宋"/>
                <w:kern w:val="0"/>
                <w:szCs w:val="21"/>
                <w:highlight w:val="none"/>
                <w:lang w:eastAsia="zh-CN"/>
              </w:rPr>
            </w:pPr>
            <w:r>
              <w:rPr>
                <w:rFonts w:hint="eastAsia" w:ascii="仿宋" w:hAnsi="仿宋" w:eastAsia="仿宋" w:cs="仿宋"/>
                <w:kern w:val="0"/>
                <w:szCs w:val="21"/>
                <w:highlight w:val="none"/>
              </w:rPr>
              <w:t>联系人：</w:t>
            </w:r>
            <w:r>
              <w:rPr>
                <w:rFonts w:hint="eastAsia" w:ascii="仿宋" w:hAnsi="仿宋" w:eastAsia="仿宋" w:cs="仿宋"/>
                <w:kern w:val="0"/>
                <w:szCs w:val="21"/>
                <w:highlight w:val="none"/>
                <w:lang w:val="en-US" w:eastAsia="zh-CN"/>
              </w:rPr>
              <w:t>赵老师</w:t>
            </w:r>
          </w:p>
          <w:p w14:paraId="64CF74CD">
            <w:pPr>
              <w:widowControl/>
              <w:jc w:val="left"/>
              <w:rPr>
                <w:rFonts w:hint="eastAsia" w:ascii="仿宋" w:hAnsi="仿宋" w:eastAsia="仿宋" w:cs="仿宋"/>
                <w:color w:val="auto"/>
                <w:kern w:val="0"/>
                <w:szCs w:val="21"/>
                <w:highlight w:val="none"/>
              </w:rPr>
            </w:pPr>
            <w:r>
              <w:rPr>
                <w:rFonts w:hint="eastAsia" w:ascii="仿宋" w:hAnsi="仿宋" w:eastAsia="仿宋" w:cs="仿宋"/>
                <w:kern w:val="0"/>
                <w:szCs w:val="21"/>
                <w:highlight w:val="none"/>
              </w:rPr>
              <w:t>电  话：</w:t>
            </w:r>
            <w:r>
              <w:rPr>
                <w:rFonts w:hint="eastAsia" w:ascii="仿宋" w:hAnsi="仿宋" w:eastAsia="仿宋" w:cs="仿宋"/>
                <w:szCs w:val="21"/>
                <w:highlight w:val="none"/>
                <w:lang w:val="en-US" w:eastAsia="zh-CN"/>
              </w:rPr>
              <w:t>17666416891</w:t>
            </w:r>
          </w:p>
        </w:tc>
      </w:tr>
      <w:tr w14:paraId="177F716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62AA183">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696F4F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1075E37">
            <w:pPr>
              <w:widowControl/>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详见招标公告</w:t>
            </w:r>
          </w:p>
        </w:tc>
      </w:tr>
      <w:tr w14:paraId="59990F5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6C8D29F4">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F0D21C1">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40BB85B">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p>
          <w:p w14:paraId="3C45CAC7">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p>
        </w:tc>
      </w:tr>
      <w:tr w14:paraId="335A608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B297B37">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ABD2123">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t>是否为专门面向</w:t>
            </w:r>
            <w:r>
              <w:rPr>
                <w:rFonts w:hint="eastAsia" w:ascii="仿宋" w:hAnsi="仿宋" w:eastAsia="仿宋" w:cs="仿宋"/>
                <w:color w:val="auto"/>
                <w:szCs w:val="21"/>
                <w:highlight w:val="none"/>
              </w:rPr>
              <w:t>中小企业</w:t>
            </w:r>
            <w:r>
              <w:rPr>
                <w:rFonts w:hint="eastAsia" w:ascii="仿宋" w:hAnsi="仿宋" w:eastAsia="仿宋" w:cs="仿宋"/>
                <w:color w:val="auto"/>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2EB54DE">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p>
          <w:p w14:paraId="2C1AE27F">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p>
          <w:p w14:paraId="3B71D33E">
            <w:pPr>
              <w:numPr>
                <w:ilvl w:val="0"/>
                <w:numId w:val="1"/>
              </w:num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w:t>
            </w:r>
            <w:r>
              <w:rPr>
                <w:rFonts w:hint="eastAsia" w:ascii="仿宋" w:hAnsi="仿宋" w:eastAsia="仿宋" w:cs="仿宋"/>
                <w:color w:val="auto"/>
                <w:szCs w:val="21"/>
                <w:highlight w:val="none"/>
                <w:lang w:eastAsia="zh-CN"/>
              </w:rPr>
              <w:t>为非</w:t>
            </w:r>
            <w:r>
              <w:rPr>
                <w:rFonts w:hint="eastAsia" w:ascii="仿宋" w:hAnsi="仿宋" w:eastAsia="仿宋" w:cs="仿宋"/>
                <w:color w:val="auto"/>
                <w:szCs w:val="21"/>
                <w:highlight w:val="none"/>
              </w:rPr>
              <w:t>专门面向中小企业采购，按照财库【2020】46号，财政部、工业和信息化部关于印发《政府采购促进中小企业发展管理办法》的通知执行；</w:t>
            </w:r>
          </w:p>
          <w:p w14:paraId="6425A6C8">
            <w:pPr>
              <w:widowControl/>
              <w:ind w:left="1470" w:leftChars="500" w:hanging="420" w:hangingChars="200"/>
              <w:jc w:val="left"/>
              <w:rPr>
                <w:rFonts w:hint="eastAsia" w:ascii="仿宋" w:hAnsi="仿宋" w:eastAsia="仿宋" w:cs="仿宋"/>
                <w:b w:val="0"/>
                <w:bCs w:val="0"/>
                <w:color w:val="000000"/>
                <w:kern w:val="0"/>
                <w:szCs w:val="21"/>
              </w:rPr>
            </w:pPr>
            <w:r>
              <w:rPr>
                <w:rFonts w:hint="eastAsia" w:ascii="仿宋" w:hAnsi="仿宋" w:eastAsia="仿宋" w:cs="仿宋"/>
                <w:b w:val="0"/>
                <w:bCs w:val="0"/>
                <w:color w:val="000000"/>
                <w:kern w:val="0"/>
                <w:szCs w:val="21"/>
              </w:rPr>
              <w:sym w:font="Wingdings 2" w:char="00A3"/>
            </w:r>
            <w:r>
              <w:rPr>
                <w:rFonts w:hint="eastAsia" w:ascii="仿宋" w:hAnsi="仿宋" w:eastAsia="仿宋" w:cs="仿宋"/>
                <w:b w:val="0"/>
                <w:bCs w:val="0"/>
                <w:color w:val="000000"/>
                <w:kern w:val="0"/>
                <w:szCs w:val="21"/>
              </w:rPr>
              <w:t>1.法律法规和国家有关政策明确规定优先或者应当面向事业单位、社会组织等非企业主体采购的；</w:t>
            </w:r>
          </w:p>
          <w:p w14:paraId="5F0421E8">
            <w:pPr>
              <w:widowControl/>
              <w:ind w:left="1470" w:leftChars="500" w:hanging="420" w:hangingChars="200"/>
              <w:jc w:val="left"/>
              <w:rPr>
                <w:rFonts w:hint="eastAsia" w:ascii="仿宋" w:hAnsi="仿宋" w:eastAsia="仿宋" w:cs="仿宋"/>
                <w:b w:val="0"/>
                <w:bCs w:val="0"/>
                <w:color w:val="000000"/>
                <w:kern w:val="0"/>
                <w:szCs w:val="21"/>
              </w:rPr>
            </w:pPr>
            <w:r>
              <w:rPr>
                <w:rFonts w:hint="eastAsia" w:ascii="仿宋" w:hAnsi="仿宋" w:eastAsia="仿宋" w:cs="仿宋"/>
                <w:b w:val="0"/>
                <w:bCs w:val="0"/>
                <w:color w:val="000000"/>
                <w:kern w:val="0"/>
                <w:szCs w:val="21"/>
              </w:rPr>
              <w:sym w:font="Wingdings 2" w:char="00A3"/>
            </w:r>
            <w:r>
              <w:rPr>
                <w:rFonts w:hint="eastAsia" w:ascii="仿宋" w:hAnsi="仿宋" w:eastAsia="仿宋" w:cs="仿宋"/>
                <w:b w:val="0"/>
                <w:bCs w:val="0"/>
                <w:color w:val="000000"/>
                <w:kern w:val="0"/>
                <w:szCs w:val="21"/>
              </w:rPr>
              <w:t>2.因确需使用不可替代的专利、专有技术，基础设施限制，或者提供特定公共服务等原因，只能从中小企业之外的供应商处采购的；</w:t>
            </w:r>
          </w:p>
          <w:p w14:paraId="626464C3">
            <w:pPr>
              <w:widowControl/>
              <w:ind w:left="1470" w:leftChars="500" w:hanging="420" w:hangingChars="200"/>
              <w:jc w:val="left"/>
              <w:rPr>
                <w:rFonts w:hint="eastAsia" w:ascii="仿宋" w:hAnsi="仿宋" w:eastAsia="仿宋" w:cs="仿宋"/>
                <w:b w:val="0"/>
                <w:bCs w:val="0"/>
                <w:color w:val="000000"/>
                <w:kern w:val="0"/>
                <w:szCs w:val="21"/>
              </w:rPr>
            </w:pPr>
            <w:r>
              <w:rPr>
                <w:rFonts w:hint="eastAsia" w:ascii="仿宋" w:hAnsi="仿宋" w:eastAsia="仿宋" w:cs="仿宋"/>
                <w:color w:val="auto"/>
                <w:kern w:val="0"/>
                <w:szCs w:val="21"/>
                <w:highlight w:val="none"/>
              </w:rPr>
              <w:sym w:font="Wingdings 2" w:char="0052"/>
            </w:r>
            <w:r>
              <w:rPr>
                <w:rFonts w:hint="eastAsia" w:ascii="仿宋" w:hAnsi="仿宋" w:eastAsia="仿宋" w:cs="仿宋"/>
                <w:b w:val="0"/>
                <w:bCs w:val="0"/>
                <w:color w:val="000000"/>
                <w:kern w:val="0"/>
                <w:szCs w:val="21"/>
              </w:rPr>
              <w:t>3.按照本办法规定预留采购份额无法确保充分供应、充分竞争，或者存在可能影响政府采购目标实现的情形；</w:t>
            </w:r>
          </w:p>
          <w:p w14:paraId="1AF30DF4">
            <w:pPr>
              <w:widowControl/>
              <w:ind w:firstLine="1050" w:firstLineChars="500"/>
              <w:jc w:val="left"/>
              <w:rPr>
                <w:rFonts w:hint="eastAsia" w:ascii="仿宋" w:hAnsi="仿宋" w:eastAsia="仿宋" w:cs="仿宋"/>
                <w:b w:val="0"/>
                <w:bCs w:val="0"/>
                <w:color w:val="000000"/>
                <w:kern w:val="0"/>
                <w:szCs w:val="21"/>
              </w:rPr>
            </w:pPr>
            <w:r>
              <w:rPr>
                <w:rFonts w:hint="eastAsia" w:ascii="仿宋" w:hAnsi="仿宋" w:eastAsia="仿宋" w:cs="仿宋"/>
                <w:b w:val="0"/>
                <w:bCs w:val="0"/>
                <w:color w:val="000000"/>
                <w:kern w:val="0"/>
                <w:szCs w:val="21"/>
              </w:rPr>
              <w:sym w:font="Wingdings 2" w:char="00A3"/>
            </w:r>
            <w:r>
              <w:rPr>
                <w:rFonts w:hint="eastAsia" w:ascii="仿宋" w:hAnsi="仿宋" w:eastAsia="仿宋" w:cs="仿宋"/>
                <w:b w:val="0"/>
                <w:bCs w:val="0"/>
                <w:color w:val="000000"/>
                <w:kern w:val="0"/>
                <w:szCs w:val="21"/>
              </w:rPr>
              <w:t>4.框架协议采购项目；</w:t>
            </w:r>
          </w:p>
          <w:p w14:paraId="30888A75">
            <w:pPr>
              <w:widowControl/>
              <w:ind w:firstLine="1050" w:firstLineChars="500"/>
              <w:jc w:val="left"/>
              <w:rPr>
                <w:rFonts w:hint="eastAsia" w:ascii="仿宋" w:hAnsi="仿宋" w:eastAsia="仿宋" w:cs="仿宋"/>
                <w:b w:val="0"/>
                <w:bCs w:val="0"/>
                <w:color w:val="000000"/>
                <w:kern w:val="0"/>
                <w:szCs w:val="21"/>
              </w:rPr>
            </w:pPr>
            <w:r>
              <w:rPr>
                <w:rFonts w:hint="eastAsia" w:ascii="仿宋" w:hAnsi="仿宋" w:eastAsia="仿宋" w:cs="仿宋"/>
                <w:b w:val="0"/>
                <w:bCs w:val="0"/>
                <w:color w:val="000000"/>
                <w:kern w:val="0"/>
                <w:szCs w:val="21"/>
              </w:rPr>
              <w:sym w:font="Wingdings 2" w:char="00A3"/>
            </w:r>
            <w:r>
              <w:rPr>
                <w:rFonts w:hint="eastAsia" w:ascii="仿宋" w:hAnsi="仿宋" w:eastAsia="仿宋" w:cs="仿宋"/>
                <w:b w:val="0"/>
                <w:bCs w:val="0"/>
                <w:color w:val="000000"/>
                <w:kern w:val="0"/>
                <w:szCs w:val="21"/>
              </w:rPr>
              <w:t>5.省级以上人民政府财政部门规定的其他情形。</w:t>
            </w:r>
          </w:p>
          <w:p w14:paraId="75C1E036">
            <w:pPr>
              <w:numPr>
                <w:ilvl w:val="0"/>
                <w:numId w:val="0"/>
              </w:numPr>
              <w:rPr>
                <w:rFonts w:hint="eastAsia" w:ascii="仿宋" w:hAnsi="仿宋" w:eastAsia="仿宋" w:cs="仿宋"/>
                <w:color w:val="auto"/>
                <w:szCs w:val="21"/>
                <w:highlight w:val="none"/>
              </w:rPr>
            </w:pPr>
            <w:r>
              <w:rPr>
                <w:rFonts w:hint="eastAsia" w:ascii="仿宋" w:hAnsi="仿宋" w:eastAsia="仿宋" w:cs="仿宋"/>
                <w:b w:val="0"/>
                <w:bCs w:val="0"/>
                <w:color w:val="000000"/>
                <w:kern w:val="0"/>
                <w:szCs w:val="21"/>
              </w:rPr>
              <w:t>注：除上述情形外，其他均为适宜由中小企业提供的情形。</w:t>
            </w:r>
          </w:p>
          <w:p w14:paraId="1D092771">
            <w:pPr>
              <w:numPr>
                <w:ilvl w:val="0"/>
                <w:numId w:val="0"/>
              </w:numP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（2）中小企业划型标准参照《工业和信息化部、统计局、发展改革委、财政部关于印发中小企业划型标准规定的通知》（工信部联企业〔2011〕300号）</w:t>
            </w:r>
            <w:r>
              <w:rPr>
                <w:rFonts w:hint="eastAsia" w:ascii="仿宋" w:hAnsi="仿宋" w:eastAsia="仿宋" w:cs="仿宋"/>
                <w:color w:val="auto"/>
                <w:szCs w:val="21"/>
                <w:highlight w:val="none"/>
                <w:lang w:eastAsia="zh-CN"/>
              </w:rPr>
              <w:t>，本项目属于</w:t>
            </w:r>
            <w:r>
              <w:rPr>
                <w:rFonts w:hint="eastAsia" w:ascii="仿宋" w:hAnsi="仿宋" w:eastAsia="仿宋" w:cs="仿宋"/>
                <w:b/>
                <w:bCs/>
                <w:color w:val="auto"/>
                <w:szCs w:val="21"/>
                <w:highlight w:val="none"/>
                <w:lang w:eastAsia="zh-CN"/>
              </w:rPr>
              <w:t>工业</w:t>
            </w:r>
            <w:r>
              <w:rPr>
                <w:rFonts w:hint="eastAsia" w:ascii="仿宋" w:hAnsi="仿宋" w:eastAsia="仿宋" w:cs="仿宋"/>
                <w:color w:val="auto"/>
                <w:szCs w:val="21"/>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Cs w:val="21"/>
                <w:highlight w:val="none"/>
              </w:rPr>
              <w:t>；（3）根据《关于促进残疾人就业政府采购政策的通知》财库〔2017〕141号、财政部《司法部关于政府采购支持监狱企业发展有关问题的通知》财库〔2014〕68号的规定，残疾人福利性单位、监狱企业视同小型和微型企业</w:t>
            </w:r>
            <w:r>
              <w:rPr>
                <w:rFonts w:hint="eastAsia" w:ascii="仿宋" w:hAnsi="仿宋" w:eastAsia="仿宋" w:cs="仿宋"/>
                <w:color w:val="auto"/>
                <w:szCs w:val="21"/>
                <w:highlight w:val="none"/>
                <w:lang w:eastAsia="zh-CN"/>
              </w:rPr>
              <w:t>。</w:t>
            </w:r>
          </w:p>
        </w:tc>
      </w:tr>
      <w:tr w14:paraId="48365E4A">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C67680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CF3537B">
            <w:pPr>
              <w:tabs>
                <w:tab w:val="left" w:pos="1425"/>
              </w:tab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1A29042">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有，具体产品为</w:t>
            </w:r>
            <w:r>
              <w:rPr>
                <w:rFonts w:hint="eastAsia" w:ascii="仿宋" w:hAnsi="仿宋" w:cs="仿宋"/>
                <w:color w:val="auto"/>
                <w:kern w:val="0"/>
                <w:szCs w:val="21"/>
                <w:highlight w:val="none"/>
                <w:lang w:eastAsia="zh-CN"/>
              </w:rPr>
              <w:t>：</w:t>
            </w:r>
            <w:r>
              <w:rPr>
                <w:rFonts w:hint="eastAsia" w:ascii="仿宋_GB2312" w:hAnsi="仿宋_GB2312" w:eastAsia="仿宋_GB2312" w:cs="仿宋_GB2312"/>
                <w:color w:val="auto"/>
                <w:szCs w:val="21"/>
                <w:lang w:val="en-US" w:eastAsia="zh-CN"/>
              </w:rPr>
              <w:t xml:space="preserve">001/14  </w:t>
            </w:r>
            <w:r>
              <w:rPr>
                <w:rFonts w:hint="eastAsia" w:ascii="仿宋" w:hAnsi="仿宋" w:eastAsia="仿宋" w:cs="仿宋"/>
                <w:i w:val="0"/>
                <w:iCs w:val="0"/>
                <w:color w:val="000000"/>
                <w:kern w:val="0"/>
                <w:sz w:val="21"/>
                <w:szCs w:val="21"/>
                <w:u w:val="none"/>
                <w:lang w:val="en-US" w:eastAsia="zh-CN" w:bidi="ar"/>
              </w:rPr>
              <w:t>电脑1</w:t>
            </w:r>
            <w:r>
              <w:rPr>
                <w:rFonts w:hint="eastAsia" w:ascii="仿宋" w:hAnsi="仿宋" w:cs="仿宋"/>
                <w:i w:val="0"/>
                <w:iCs w:val="0"/>
                <w:color w:val="000000"/>
                <w:kern w:val="0"/>
                <w:sz w:val="21"/>
                <w:szCs w:val="21"/>
                <w:u w:val="none"/>
                <w:lang w:val="en-US" w:eastAsia="zh-CN" w:bidi="ar"/>
              </w:rPr>
              <w:t>；</w:t>
            </w:r>
            <w:r>
              <w:rPr>
                <w:rFonts w:hint="eastAsia" w:ascii="仿宋_GB2312" w:hAnsi="仿宋_GB2312" w:eastAsia="仿宋_GB2312" w:cs="仿宋_GB2312"/>
                <w:color w:val="auto"/>
                <w:szCs w:val="21"/>
                <w:lang w:val="en-US" w:eastAsia="zh-CN"/>
              </w:rPr>
              <w:t xml:space="preserve">001/23  </w:t>
            </w:r>
            <w:r>
              <w:rPr>
                <w:rFonts w:hint="eastAsia" w:ascii="仿宋" w:hAnsi="仿宋" w:eastAsia="仿宋" w:cs="仿宋"/>
                <w:i w:val="0"/>
                <w:iCs w:val="0"/>
                <w:color w:val="000000"/>
                <w:kern w:val="0"/>
                <w:sz w:val="21"/>
                <w:szCs w:val="21"/>
                <w:u w:val="none"/>
                <w:lang w:val="en-US" w:eastAsia="zh-CN" w:bidi="ar"/>
              </w:rPr>
              <w:t>电脑2</w:t>
            </w:r>
            <w:r>
              <w:rPr>
                <w:rFonts w:hint="eastAsia" w:ascii="仿宋" w:hAnsi="仿宋" w:cs="仿宋"/>
                <w:i w:val="0"/>
                <w:iCs w:val="0"/>
                <w:color w:val="000000"/>
                <w:kern w:val="0"/>
                <w:sz w:val="21"/>
                <w:szCs w:val="21"/>
                <w:u w:val="none"/>
                <w:lang w:val="en-US" w:eastAsia="zh-CN" w:bidi="ar"/>
              </w:rPr>
              <w:t>；</w:t>
            </w:r>
          </w:p>
          <w:p w14:paraId="649DD7E9">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没有</w:t>
            </w:r>
          </w:p>
        </w:tc>
      </w:tr>
      <w:tr w14:paraId="2AE32829">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79444A5">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E9A5578">
            <w:pPr>
              <w:tabs>
                <w:tab w:val="left" w:pos="1425"/>
              </w:tabs>
              <w:jc w:val="center"/>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39F3F38">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p>
          <w:p w14:paraId="7E5EFF2C">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p>
        </w:tc>
      </w:tr>
      <w:tr w14:paraId="4FEB54F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FB2C4BF">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9A7F752">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8012CF2">
            <w:pPr>
              <w:rPr>
                <w:rFonts w:hint="eastAsia" w:ascii="仿宋" w:hAnsi="仿宋" w:eastAsia="仿宋" w:cs="仿宋"/>
                <w:bCs/>
                <w:color w:val="auto"/>
                <w:kern w:val="0"/>
                <w:szCs w:val="21"/>
                <w:highlight w:val="none"/>
                <w:lang w:eastAsia="zh-CN"/>
              </w:rPr>
            </w:pPr>
            <w:r>
              <w:rPr>
                <w:rFonts w:hint="eastAsia" w:ascii="仿宋" w:hAnsi="仿宋" w:eastAsia="仿宋" w:cs="仿宋"/>
                <w:bCs/>
                <w:color w:val="auto"/>
                <w:kern w:val="0"/>
                <w:szCs w:val="21"/>
                <w:highlight w:val="none"/>
                <w:lang w:eastAsia="zh-CN"/>
              </w:rPr>
              <w:t>无</w:t>
            </w:r>
          </w:p>
        </w:tc>
      </w:tr>
      <w:tr w14:paraId="6C156195">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C9824A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4CF8A7D">
            <w:pPr>
              <w:shd w:val="clear" w:color="auto" w:fill="FFFFFF"/>
              <w:jc w:val="cente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06073B8">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预算金额：</w:t>
            </w:r>
            <w:r>
              <w:rPr>
                <w:rFonts w:hint="eastAsia" w:ascii="仿宋" w:hAnsi="仿宋" w:cs="仿宋"/>
                <w:color w:val="auto"/>
                <w:szCs w:val="21"/>
                <w:highlight w:val="none"/>
                <w:lang w:val="en-US" w:eastAsia="zh-CN"/>
              </w:rPr>
              <w:t>1</w:t>
            </w:r>
            <w:r>
              <w:rPr>
                <w:rFonts w:hint="eastAsia" w:ascii="仿宋_GB2312" w:hAnsi="仿宋_GB2312" w:eastAsia="仿宋_GB2312" w:cs="仿宋_GB2312"/>
                <w:color w:val="auto"/>
                <w:szCs w:val="21"/>
                <w:highlight w:val="none"/>
                <w:lang w:val="en-US" w:eastAsia="zh-CN"/>
              </w:rPr>
              <w:t>,997,460.00</w:t>
            </w:r>
            <w:r>
              <w:rPr>
                <w:rFonts w:hint="eastAsia" w:ascii="仿宋_GB2312" w:hAnsi="仿宋_GB2312" w:eastAsia="仿宋_GB2312" w:cs="仿宋_GB2312"/>
                <w:bCs/>
                <w:kern w:val="0"/>
                <w:szCs w:val="21"/>
                <w:highlight w:val="none"/>
              </w:rPr>
              <w:t>元</w:t>
            </w:r>
          </w:p>
          <w:p w14:paraId="31B46087">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最高限价：</w:t>
            </w:r>
            <w:r>
              <w:rPr>
                <w:rFonts w:hint="eastAsia" w:ascii="仿宋" w:hAnsi="仿宋" w:cs="仿宋"/>
                <w:color w:val="auto"/>
                <w:szCs w:val="21"/>
                <w:highlight w:val="none"/>
                <w:lang w:val="en-US" w:eastAsia="zh-CN"/>
              </w:rPr>
              <w:t>1</w:t>
            </w:r>
            <w:r>
              <w:rPr>
                <w:rFonts w:hint="eastAsia" w:ascii="仿宋_GB2312" w:hAnsi="仿宋_GB2312" w:eastAsia="仿宋_GB2312" w:cs="仿宋_GB2312"/>
                <w:color w:val="auto"/>
                <w:szCs w:val="21"/>
                <w:highlight w:val="none"/>
                <w:lang w:val="en-US" w:eastAsia="zh-CN"/>
              </w:rPr>
              <w:t>,997,460.00</w:t>
            </w:r>
            <w:r>
              <w:rPr>
                <w:rFonts w:hint="eastAsia" w:ascii="仿宋_GB2312" w:hAnsi="仿宋_GB2312" w:eastAsia="仿宋_GB2312" w:cs="仿宋_GB2312"/>
                <w:bCs/>
                <w:kern w:val="0"/>
                <w:szCs w:val="21"/>
                <w:highlight w:val="none"/>
              </w:rPr>
              <w:t>元</w:t>
            </w:r>
          </w:p>
          <w:p w14:paraId="2C3CC888">
            <w:pPr>
              <w:rPr>
                <w:rFonts w:hint="eastAsia" w:ascii="仿宋" w:hAnsi="仿宋" w:eastAsia="仿宋" w:cs="仿宋"/>
                <w:bCs/>
                <w:color w:val="auto"/>
                <w:kern w:val="0"/>
                <w:szCs w:val="21"/>
                <w:highlight w:val="none"/>
              </w:rPr>
            </w:pPr>
            <w:r>
              <w:rPr>
                <w:rFonts w:hint="eastAsia" w:ascii="仿宋_GB2312" w:hAnsi="仿宋_GB2312" w:eastAsia="仿宋_GB2312" w:cs="仿宋_GB2312"/>
                <w:bCs/>
                <w:kern w:val="0"/>
                <w:szCs w:val="21"/>
                <w:highlight w:val="none"/>
                <w:lang w:val="en-US" w:eastAsia="zh-CN"/>
              </w:rPr>
              <w:t>投标人</w:t>
            </w:r>
            <w:r>
              <w:rPr>
                <w:rFonts w:hint="eastAsia" w:ascii="仿宋_GB2312" w:hAnsi="仿宋_GB2312" w:eastAsia="仿宋_GB2312" w:cs="仿宋_GB2312"/>
                <w:bCs/>
                <w:kern w:val="0"/>
                <w:szCs w:val="21"/>
                <w:highlight w:val="none"/>
              </w:rPr>
              <w:t>的</w:t>
            </w:r>
            <w:r>
              <w:rPr>
                <w:rFonts w:hint="eastAsia" w:ascii="仿宋_GB2312" w:hAnsi="仿宋_GB2312" w:eastAsia="仿宋_GB2312" w:cs="仿宋_GB2312"/>
                <w:bCs/>
                <w:kern w:val="0"/>
                <w:szCs w:val="21"/>
                <w:highlight w:val="none"/>
                <w:lang w:val="en-US" w:eastAsia="zh-CN"/>
              </w:rPr>
              <w:t>投标</w:t>
            </w:r>
            <w:r>
              <w:rPr>
                <w:rFonts w:hint="eastAsia" w:ascii="仿宋_GB2312" w:hAnsi="仿宋_GB2312" w:eastAsia="仿宋_GB2312" w:cs="仿宋_GB2312"/>
                <w:bCs/>
                <w:kern w:val="0"/>
                <w:szCs w:val="21"/>
                <w:highlight w:val="none"/>
              </w:rPr>
              <w:t>报价不得超过最高限价，否则其</w:t>
            </w:r>
            <w:r>
              <w:rPr>
                <w:rFonts w:hint="eastAsia" w:ascii="仿宋_GB2312" w:hAnsi="仿宋_GB2312" w:eastAsia="仿宋_GB2312" w:cs="仿宋_GB2312"/>
                <w:bCs/>
                <w:kern w:val="0"/>
                <w:szCs w:val="21"/>
                <w:highlight w:val="none"/>
                <w:lang w:val="en-US" w:eastAsia="zh-CN"/>
              </w:rPr>
              <w:t>投标</w:t>
            </w:r>
            <w:r>
              <w:rPr>
                <w:rFonts w:hint="eastAsia" w:ascii="仿宋_GB2312" w:hAnsi="仿宋_GB2312" w:eastAsia="仿宋_GB2312" w:cs="仿宋_GB2312"/>
                <w:bCs/>
                <w:kern w:val="0"/>
                <w:szCs w:val="21"/>
                <w:highlight w:val="none"/>
              </w:rPr>
              <w:t>无效</w:t>
            </w:r>
            <w:r>
              <w:rPr>
                <w:rFonts w:hint="eastAsia" w:ascii="仿宋_GB2312" w:hAnsi="仿宋_GB2312" w:eastAsia="仿宋_GB2312" w:cs="仿宋_GB2312"/>
                <w:bCs/>
                <w:kern w:val="0"/>
                <w:szCs w:val="21"/>
                <w:highlight w:val="none"/>
                <w:lang w:eastAsia="zh-CN"/>
              </w:rPr>
              <w:t>。</w:t>
            </w:r>
          </w:p>
        </w:tc>
      </w:tr>
      <w:tr w14:paraId="22E81F8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DE5A3E8">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AC24A29">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06D568F">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bCs/>
                <w:color w:val="auto"/>
                <w:kern w:val="0"/>
                <w:szCs w:val="21"/>
                <w:highlight w:val="none"/>
              </w:rPr>
              <w:t>中华人民共和国法定计量单位</w:t>
            </w:r>
          </w:p>
          <w:p w14:paraId="19B4A06B">
            <w:pP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sym w:font="Wingdings 2" w:char="00A3"/>
            </w:r>
            <w:r>
              <w:rPr>
                <w:rFonts w:hint="eastAsia" w:ascii="仿宋" w:hAnsi="仿宋" w:eastAsia="仿宋" w:cs="仿宋"/>
                <w:bCs/>
                <w:color w:val="auto"/>
                <w:kern w:val="0"/>
                <w:szCs w:val="21"/>
                <w:highlight w:val="none"/>
              </w:rPr>
              <w:t>其他：</w:t>
            </w:r>
            <w:r>
              <w:rPr>
                <w:rFonts w:hint="eastAsia" w:ascii="仿宋" w:hAnsi="仿宋" w:eastAsia="仿宋" w:cs="仿宋"/>
                <w:bCs/>
                <w:color w:val="auto"/>
                <w:kern w:val="0"/>
                <w:szCs w:val="21"/>
                <w:highlight w:val="none"/>
                <w:u w:val="single"/>
              </w:rPr>
              <w:t xml:space="preserve">             </w:t>
            </w:r>
          </w:p>
        </w:tc>
      </w:tr>
      <w:tr w14:paraId="43172DCE">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68E1A1E0">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EC43AD2">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2F8A5DF">
            <w:pPr>
              <w:rPr>
                <w:rFonts w:hint="eastAsia" w:ascii="仿宋" w:hAnsi="仿宋" w:eastAsia="仿宋" w:cs="仿宋"/>
                <w:color w:val="auto"/>
                <w:kern w:val="0"/>
                <w:szCs w:val="21"/>
                <w:highlight w:val="none"/>
              </w:rPr>
            </w:pPr>
            <w:r>
              <w:rPr>
                <w:rFonts w:hint="eastAsia" w:ascii="仿宋" w:hAnsi="仿宋" w:eastAsia="仿宋" w:cs="仿宋"/>
                <w:bCs/>
                <w:color w:val="auto"/>
                <w:kern w:val="0"/>
                <w:szCs w:val="21"/>
                <w:highlight w:val="none"/>
              </w:rPr>
              <w:sym w:font="Wingdings 2" w:char="00A3"/>
            </w:r>
            <w:r>
              <w:rPr>
                <w:rFonts w:hint="eastAsia" w:ascii="仿宋" w:hAnsi="仿宋" w:eastAsia="仿宋" w:cs="仿宋"/>
                <w:color w:val="auto"/>
                <w:kern w:val="0"/>
                <w:szCs w:val="21"/>
                <w:highlight w:val="none"/>
              </w:rPr>
              <w:t>不组织</w:t>
            </w:r>
          </w:p>
          <w:p w14:paraId="0B10B70C">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组织，时  间：</w:t>
            </w:r>
            <w:r>
              <w:rPr>
                <w:rFonts w:hint="eastAsia" w:ascii="仿宋_GB2312" w:hAnsi="仿宋_GB2312" w:eastAsia="仿宋_GB2312" w:cs="仿宋_GB2312"/>
                <w:kern w:val="0"/>
                <w:szCs w:val="21"/>
                <w:highlight w:val="none"/>
                <w:lang w:val="en-US" w:eastAsia="zh-CN"/>
              </w:rPr>
              <w:t>2025年11月4</w:t>
            </w:r>
            <w:bookmarkStart w:id="217" w:name="_GoBack"/>
            <w:bookmarkEnd w:id="217"/>
            <w:r>
              <w:rPr>
                <w:rFonts w:hint="eastAsia" w:ascii="仿宋_GB2312" w:hAnsi="仿宋_GB2312" w:eastAsia="仿宋_GB2312" w:cs="仿宋_GB2312"/>
                <w:kern w:val="0"/>
                <w:szCs w:val="21"/>
                <w:highlight w:val="none"/>
                <w:lang w:val="en-US" w:eastAsia="zh-CN"/>
              </w:rPr>
              <w:t>日（10:00）</w:t>
            </w:r>
            <w:r>
              <w:rPr>
                <w:rFonts w:hint="eastAsia" w:ascii="仿宋_GB2312" w:hAnsi="仿宋_GB2312" w:eastAsia="仿宋_GB2312" w:cs="仿宋_GB2312"/>
                <w:kern w:val="0"/>
                <w:szCs w:val="21"/>
              </w:rPr>
              <w:t xml:space="preserve">         </w:t>
            </w:r>
          </w:p>
          <w:p w14:paraId="32A8225F">
            <w:pPr>
              <w:ind w:firstLine="840" w:firstLineChars="4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kern w:val="0"/>
                <w:szCs w:val="21"/>
                <w:lang w:val="en-US" w:eastAsia="zh-CN"/>
              </w:rPr>
              <w:t>新宾满族自治县木奇镇猴石国家森林公园正门</w:t>
            </w:r>
            <w:r>
              <w:rPr>
                <w:rFonts w:hint="eastAsia" w:ascii="仿宋_GB2312" w:hAnsi="仿宋_GB2312" w:eastAsia="仿宋_GB2312" w:cs="仿宋_GB2312"/>
                <w:kern w:val="0"/>
                <w:szCs w:val="21"/>
              </w:rPr>
              <w:t xml:space="preserve">         </w:t>
            </w:r>
          </w:p>
          <w:p w14:paraId="522D724D">
            <w:pPr>
              <w:ind w:firstLine="840" w:firstLineChars="4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lang w:val="en-US" w:eastAsia="zh-CN"/>
              </w:rPr>
              <w:t>王老师</w:t>
            </w:r>
            <w:r>
              <w:rPr>
                <w:rFonts w:hint="eastAsia" w:ascii="仿宋_GB2312" w:hAnsi="仿宋_GB2312" w:eastAsia="仿宋_GB2312" w:cs="仿宋_GB2312"/>
                <w:kern w:val="0"/>
                <w:szCs w:val="21"/>
              </w:rPr>
              <w:t xml:space="preserve">         </w:t>
            </w:r>
          </w:p>
          <w:p w14:paraId="22D003A4">
            <w:pPr>
              <w:ind w:left="-105" w:leftChars="-50" w:firstLine="949" w:firstLineChars="452"/>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t>电  话：</w:t>
            </w:r>
            <w:r>
              <w:rPr>
                <w:rFonts w:hint="eastAsia" w:ascii="仿宋_GB2312" w:hAnsi="仿宋_GB2312" w:eastAsia="仿宋_GB2312" w:cs="仿宋_GB2312"/>
                <w:kern w:val="0"/>
                <w:szCs w:val="21"/>
                <w:lang w:eastAsia="zh-CN"/>
              </w:rPr>
              <w:t>024</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lang w:eastAsia="zh-CN"/>
              </w:rPr>
              <w:t>55022828</w:t>
            </w:r>
          </w:p>
          <w:p w14:paraId="36B0A6F8">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组织，招标文件提供期限截止后以书面形式通知。</w:t>
            </w:r>
          </w:p>
        </w:tc>
      </w:tr>
      <w:tr w14:paraId="66586A0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D95DFFF">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DA972BE">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8E966A0">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001/18</w:t>
            </w:r>
            <w:r>
              <w:rPr>
                <w:rFonts w:hint="eastAsia" w:ascii="仿宋" w:hAnsi="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LED显示屏2</w:t>
            </w:r>
          </w:p>
        </w:tc>
      </w:tr>
      <w:tr w14:paraId="02DD7ED9">
        <w:tblPrEx>
          <w:tblCellMar>
            <w:top w:w="0" w:type="dxa"/>
            <w:left w:w="108" w:type="dxa"/>
            <w:bottom w:w="0" w:type="dxa"/>
            <w:right w:w="108" w:type="dxa"/>
          </w:tblCellMar>
        </w:tblPrEx>
        <w:trPr>
          <w:trHeight w:val="3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70DE70F">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D9160DB">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C1234F4">
            <w:pPr>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kern w:val="0"/>
                <w:szCs w:val="21"/>
                <w:highlight w:val="none"/>
              </w:rPr>
              <w:t>不需要</w:t>
            </w:r>
            <w:r>
              <w:rPr>
                <w:rFonts w:hint="eastAsia" w:ascii="仿宋" w:hAnsi="仿宋" w:eastAsia="仿宋" w:cs="仿宋"/>
                <w:bCs/>
                <w:color w:val="auto"/>
                <w:kern w:val="0"/>
                <w:szCs w:val="21"/>
                <w:highlight w:val="none"/>
              </w:rPr>
              <w:t>提供样品</w:t>
            </w:r>
          </w:p>
          <w:p w14:paraId="46C8010D">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需要</w:t>
            </w:r>
            <w:r>
              <w:rPr>
                <w:rFonts w:hint="eastAsia" w:ascii="仿宋" w:hAnsi="仿宋" w:eastAsia="仿宋" w:cs="仿宋"/>
                <w:bCs/>
                <w:color w:val="auto"/>
                <w:kern w:val="0"/>
                <w:szCs w:val="21"/>
                <w:highlight w:val="none"/>
              </w:rPr>
              <w:t>提供样品</w:t>
            </w:r>
          </w:p>
          <w:p w14:paraId="61BF7E03">
            <w:pPr>
              <w:ind w:firstLine="210" w:firstLineChars="100"/>
              <w:rPr>
                <w:rFonts w:hint="eastAsia" w:ascii="仿宋" w:hAnsi="仿宋" w:eastAsia="仿宋" w:cs="仿宋"/>
                <w:color w:val="auto"/>
                <w:kern w:val="0"/>
                <w:szCs w:val="21"/>
                <w:highlight w:val="none"/>
              </w:rPr>
            </w:pPr>
          </w:p>
          <w:p w14:paraId="64228F0A">
            <w:pPr>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kern w:val="0"/>
                <w:szCs w:val="21"/>
                <w:highlight w:val="none"/>
              </w:rPr>
              <w:t>不</w:t>
            </w:r>
            <w:r>
              <w:rPr>
                <w:rFonts w:hint="eastAsia" w:ascii="仿宋" w:hAnsi="仿宋" w:eastAsia="仿宋" w:cs="仿宋"/>
                <w:bCs/>
                <w:color w:val="auto"/>
                <w:kern w:val="0"/>
                <w:szCs w:val="21"/>
                <w:highlight w:val="none"/>
              </w:rPr>
              <w:t>需要提供演示</w:t>
            </w:r>
          </w:p>
          <w:p w14:paraId="6130D4E2">
            <w:pP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需要</w:t>
            </w:r>
            <w:r>
              <w:rPr>
                <w:rFonts w:hint="eastAsia" w:ascii="仿宋" w:hAnsi="仿宋" w:eastAsia="仿宋" w:cs="仿宋"/>
                <w:bCs/>
                <w:color w:val="auto"/>
                <w:kern w:val="0"/>
                <w:szCs w:val="21"/>
                <w:highlight w:val="none"/>
              </w:rPr>
              <w:t>提供演示</w:t>
            </w:r>
          </w:p>
        </w:tc>
      </w:tr>
      <w:tr w14:paraId="034A25BA">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763A714">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01ACA60">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9597A09">
            <w:pPr>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kern w:val="0"/>
                <w:szCs w:val="21"/>
                <w:highlight w:val="none"/>
              </w:rPr>
              <w:t>所有投标均按</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eastAsia="zh-CN"/>
              </w:rPr>
              <w:t>人民币</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货币进行报价。</w:t>
            </w:r>
          </w:p>
          <w:p w14:paraId="21E6B651">
            <w:pPr>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其它：</w:t>
            </w:r>
            <w:r>
              <w:rPr>
                <w:rFonts w:hint="eastAsia" w:ascii="仿宋" w:hAnsi="仿宋" w:eastAsia="仿宋" w:cs="仿宋"/>
                <w:color w:val="auto"/>
                <w:kern w:val="0"/>
                <w:szCs w:val="21"/>
                <w:highlight w:val="none"/>
                <w:u w:val="single"/>
              </w:rPr>
              <w:t xml:space="preserve">               </w:t>
            </w:r>
          </w:p>
        </w:tc>
      </w:tr>
      <w:tr w14:paraId="02AC855D">
        <w:tblPrEx>
          <w:tblCellMar>
            <w:top w:w="0" w:type="dxa"/>
            <w:left w:w="108" w:type="dxa"/>
            <w:bottom w:w="0" w:type="dxa"/>
            <w:right w:w="108" w:type="dxa"/>
          </w:tblCellMar>
        </w:tblPrEx>
        <w:trPr>
          <w:trHeight w:val="326"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68826075">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4024055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5887" w:type="dxa"/>
            <w:tcBorders>
              <w:top w:val="single" w:color="auto" w:sz="4" w:space="0"/>
              <w:left w:val="nil"/>
              <w:bottom w:val="single" w:color="auto" w:sz="8" w:space="0"/>
              <w:right w:val="single" w:color="auto" w:sz="8" w:space="0"/>
            </w:tcBorders>
            <w:noWrap w:val="0"/>
            <w:vAlign w:val="center"/>
          </w:tcPr>
          <w:p w14:paraId="6624DF20">
            <w:pPr>
              <w:pStyle w:val="4"/>
              <w:rPr>
                <w:rFonts w:hint="eastAsia" w:ascii="仿宋" w:hAnsi="仿宋" w:eastAsia="仿宋" w:cs="仿宋"/>
                <w:color w:val="auto"/>
                <w:szCs w:val="21"/>
                <w:highlight w:val="none"/>
              </w:rPr>
            </w:pPr>
            <w:r>
              <w:rPr>
                <w:rFonts w:hint="eastAsia" w:ascii="仿宋_GB2312" w:hAnsi="仿宋_GB2312" w:eastAsia="仿宋_GB2312" w:cs="仿宋_GB2312"/>
                <w:kern w:val="0"/>
                <w:szCs w:val="21"/>
                <w:lang w:val="en-US" w:eastAsia="zh-CN"/>
              </w:rPr>
              <w:t>本项目不收取投标保证金</w:t>
            </w:r>
          </w:p>
        </w:tc>
      </w:tr>
      <w:tr w14:paraId="456488E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277D419D">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2E5833B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5887" w:type="dxa"/>
            <w:tcBorders>
              <w:top w:val="single" w:color="auto" w:sz="4" w:space="0"/>
              <w:left w:val="nil"/>
              <w:bottom w:val="single" w:color="auto" w:sz="8" w:space="0"/>
              <w:right w:val="single" w:color="auto" w:sz="8" w:space="0"/>
            </w:tcBorders>
            <w:noWrap w:val="0"/>
            <w:vAlign w:val="center"/>
          </w:tcPr>
          <w:p w14:paraId="1B32F5D1">
            <w:pPr>
              <w:pStyle w:val="4"/>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u w:val="single"/>
              </w:rPr>
              <w:t xml:space="preserve">  90  </w:t>
            </w:r>
            <w:r>
              <w:rPr>
                <w:rFonts w:hint="eastAsia" w:ascii="仿宋" w:hAnsi="仿宋" w:eastAsia="仿宋" w:cs="仿宋"/>
                <w:color w:val="auto"/>
                <w:kern w:val="0"/>
                <w:szCs w:val="21"/>
                <w:highlight w:val="none"/>
              </w:rPr>
              <w:t>日历日</w:t>
            </w:r>
          </w:p>
        </w:tc>
      </w:tr>
      <w:tr w14:paraId="31A4474F">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noWrap w:val="0"/>
            <w:vAlign w:val="center"/>
          </w:tcPr>
          <w:p w14:paraId="3D4B0CC1">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16.1</w:t>
            </w:r>
          </w:p>
        </w:tc>
        <w:tc>
          <w:tcPr>
            <w:tcW w:w="1917" w:type="dxa"/>
            <w:tcBorders>
              <w:top w:val="nil"/>
              <w:left w:val="single" w:color="auto" w:sz="4" w:space="0"/>
              <w:bottom w:val="single" w:color="auto" w:sz="4" w:space="0"/>
              <w:right w:val="single" w:color="auto" w:sz="8" w:space="0"/>
            </w:tcBorders>
            <w:noWrap w:val="0"/>
            <w:vAlign w:val="center"/>
          </w:tcPr>
          <w:p w14:paraId="658BE49B">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投标文件及电子文档份数</w:t>
            </w:r>
          </w:p>
        </w:tc>
        <w:tc>
          <w:tcPr>
            <w:tcW w:w="5887" w:type="dxa"/>
            <w:tcBorders>
              <w:top w:val="nil"/>
              <w:left w:val="nil"/>
              <w:bottom w:val="single" w:color="auto" w:sz="4" w:space="0"/>
              <w:right w:val="single" w:color="auto" w:sz="8" w:space="0"/>
            </w:tcBorders>
            <w:noWrap w:val="0"/>
            <w:vAlign w:val="center"/>
          </w:tcPr>
          <w:p w14:paraId="10CAA225">
            <w:pP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电子投标文件：电子投标文件按政府采购网相关规定制作上传；</w:t>
            </w:r>
          </w:p>
          <w:p w14:paraId="23EFB2F6">
            <w:pPr>
              <w:widowControl/>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lang w:val="en-US" w:eastAsia="zh-CN"/>
              </w:rPr>
              <w:t>备份文件：电子文档</w:t>
            </w:r>
            <w:r>
              <w:rPr>
                <w:rFonts w:hint="eastAsia" w:ascii="仿宋_GB2312" w:hAnsi="仿宋_GB2312" w:eastAsia="仿宋_GB2312" w:cs="仿宋_GB2312"/>
                <w:kern w:val="0"/>
                <w:szCs w:val="21"/>
                <w:u w:val="single"/>
                <w:lang w:val="en-US" w:eastAsia="zh-CN"/>
              </w:rPr>
              <w:t xml:space="preserve"> 1</w:t>
            </w:r>
            <w:r>
              <w:rPr>
                <w:rFonts w:hint="eastAsia" w:ascii="仿宋_GB2312" w:hAnsi="仿宋_GB2312" w:eastAsia="仿宋_GB2312" w:cs="仿宋_GB2312"/>
                <w:kern w:val="0"/>
                <w:szCs w:val="21"/>
                <w:lang w:val="en-US" w:eastAsia="zh-CN"/>
              </w:rPr>
              <w:t>份（U 盘，加密的word格式文件和签章完整PDF格式文件，须与线上递交的电子版投标文件一致），需单独提供，</w:t>
            </w:r>
            <w:r>
              <w:rPr>
                <w:rFonts w:hint="eastAsia" w:ascii="仿宋" w:hAnsi="仿宋" w:eastAsia="仿宋" w:cs="仿宋"/>
                <w:color w:val="auto"/>
                <w:sz w:val="20"/>
                <w:szCs w:val="20"/>
                <w:highlight w:val="none"/>
                <w:lang w:val="en-US" w:eastAsia="zh-CN" w:bidi="en-US"/>
              </w:rPr>
              <w:t>在递交</w:t>
            </w:r>
            <w:r>
              <w:rPr>
                <w:rFonts w:hint="eastAsia" w:ascii="仿宋" w:hAnsi="仿宋" w:cs="仿宋"/>
                <w:color w:val="auto"/>
                <w:sz w:val="20"/>
                <w:szCs w:val="20"/>
                <w:highlight w:val="none"/>
                <w:lang w:val="en-US" w:eastAsia="zh-CN" w:bidi="en-US"/>
              </w:rPr>
              <w:t>投标</w:t>
            </w:r>
            <w:r>
              <w:rPr>
                <w:rFonts w:hint="eastAsia" w:ascii="仿宋" w:hAnsi="仿宋" w:eastAsia="仿宋" w:cs="仿宋"/>
                <w:color w:val="auto"/>
                <w:sz w:val="20"/>
                <w:szCs w:val="20"/>
                <w:highlight w:val="none"/>
                <w:lang w:val="en-US" w:eastAsia="zh-CN" w:bidi="en-US"/>
              </w:rPr>
              <w:t>文件截止时间前送至开标地点或加密后邮箱发送</w:t>
            </w:r>
            <w:r>
              <w:rPr>
                <w:rFonts w:hint="eastAsia" w:ascii="仿宋_GB2312" w:hAnsi="仿宋_GB2312" w:eastAsia="仿宋_GB2312" w:cs="仿宋_GB2312"/>
                <w:kern w:val="0"/>
                <w:szCs w:val="21"/>
                <w:lang w:val="en-US" w:eastAsia="zh-CN"/>
              </w:rPr>
              <w:t>。（注：提交承诺备份文件与电子评审系统中上传的投标（响应）文件一致承诺函）</w:t>
            </w:r>
          </w:p>
        </w:tc>
      </w:tr>
      <w:tr w14:paraId="3F65DAB9">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noWrap w:val="0"/>
            <w:vAlign w:val="center"/>
          </w:tcPr>
          <w:p w14:paraId="65A5B07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18.1</w:t>
            </w:r>
          </w:p>
        </w:tc>
        <w:tc>
          <w:tcPr>
            <w:tcW w:w="1917" w:type="dxa"/>
            <w:tcBorders>
              <w:top w:val="nil"/>
              <w:left w:val="single" w:color="auto" w:sz="4" w:space="0"/>
              <w:bottom w:val="single" w:color="auto" w:sz="4" w:space="0"/>
              <w:right w:val="single" w:color="auto" w:sz="8" w:space="0"/>
            </w:tcBorders>
            <w:noWrap w:val="0"/>
            <w:vAlign w:val="center"/>
          </w:tcPr>
          <w:p w14:paraId="1BB83C32">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递交投标文件截止时间、地点</w:t>
            </w:r>
          </w:p>
        </w:tc>
        <w:tc>
          <w:tcPr>
            <w:tcW w:w="5887" w:type="dxa"/>
            <w:tcBorders>
              <w:top w:val="nil"/>
              <w:left w:val="nil"/>
              <w:bottom w:val="single" w:color="auto" w:sz="4" w:space="0"/>
              <w:right w:val="single" w:color="auto" w:sz="8" w:space="0"/>
            </w:tcBorders>
            <w:noWrap w:val="0"/>
            <w:vAlign w:val="center"/>
          </w:tcPr>
          <w:p w14:paraId="25170939">
            <w:pPr>
              <w:widowControl/>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详见招标公告，以招标公告规定时间、地点为准。</w:t>
            </w:r>
          </w:p>
        </w:tc>
      </w:tr>
      <w:tr w14:paraId="72D02F36">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26BAEEE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20.1</w:t>
            </w:r>
          </w:p>
        </w:tc>
        <w:tc>
          <w:tcPr>
            <w:tcW w:w="1917" w:type="dxa"/>
            <w:tcBorders>
              <w:top w:val="nil"/>
              <w:left w:val="single" w:color="auto" w:sz="4" w:space="0"/>
              <w:bottom w:val="single" w:color="auto" w:sz="4" w:space="0"/>
              <w:right w:val="single" w:color="auto" w:sz="8" w:space="0"/>
            </w:tcBorders>
            <w:noWrap w:val="0"/>
            <w:vAlign w:val="center"/>
          </w:tcPr>
          <w:p w14:paraId="179E99B7">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开标时间、地点</w:t>
            </w:r>
          </w:p>
        </w:tc>
        <w:tc>
          <w:tcPr>
            <w:tcW w:w="5887" w:type="dxa"/>
            <w:tcBorders>
              <w:top w:val="nil"/>
              <w:left w:val="nil"/>
              <w:bottom w:val="single" w:color="auto" w:sz="4" w:space="0"/>
              <w:right w:val="single" w:color="auto" w:sz="8" w:space="0"/>
            </w:tcBorders>
            <w:noWrap w:val="0"/>
            <w:vAlign w:val="center"/>
          </w:tcPr>
          <w:p w14:paraId="42863452">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详见招标公告，以招标公告规定时间、地点为准。</w:t>
            </w:r>
          </w:p>
        </w:tc>
      </w:tr>
      <w:tr w14:paraId="39849D4D">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2A1A8CF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917" w:type="dxa"/>
            <w:tcBorders>
              <w:top w:val="nil"/>
              <w:left w:val="single" w:color="auto" w:sz="4" w:space="0"/>
              <w:bottom w:val="single" w:color="auto" w:sz="4" w:space="0"/>
              <w:right w:val="single" w:color="auto" w:sz="8" w:space="0"/>
            </w:tcBorders>
            <w:noWrap w:val="0"/>
            <w:vAlign w:val="center"/>
          </w:tcPr>
          <w:p w14:paraId="067FF749">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评标委员会组成</w:t>
            </w:r>
          </w:p>
        </w:tc>
        <w:tc>
          <w:tcPr>
            <w:tcW w:w="5887" w:type="dxa"/>
            <w:tcBorders>
              <w:top w:val="nil"/>
              <w:left w:val="nil"/>
              <w:bottom w:val="single" w:color="auto" w:sz="4" w:space="0"/>
              <w:right w:val="single" w:color="auto" w:sz="8" w:space="0"/>
            </w:tcBorders>
            <w:noWrap w:val="0"/>
            <w:vAlign w:val="center"/>
          </w:tcPr>
          <w:p w14:paraId="331FB9FF">
            <w:pPr>
              <w:widowControl/>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评标委员会由采购人代表</w:t>
            </w:r>
            <w:r>
              <w:rPr>
                <w:rFonts w:hint="eastAsia" w:ascii="仿宋" w:hAnsi="仿宋" w:eastAsia="仿宋" w:cs="仿宋"/>
                <w:color w:val="auto"/>
                <w:szCs w:val="21"/>
                <w:highlight w:val="none"/>
                <w:u w:val="single"/>
              </w:rPr>
              <w:t xml:space="preserve"> </w:t>
            </w:r>
            <w:r>
              <w:rPr>
                <w:rFonts w:hint="eastAsia" w:ascii="仿宋" w:hAnsi="仿宋" w:cs="仿宋"/>
                <w:color w:val="auto"/>
                <w:szCs w:val="21"/>
                <w:highlight w:val="none"/>
                <w:u w:val="single"/>
                <w:lang w:val="en-US" w:eastAsia="zh-CN"/>
              </w:rPr>
              <w:t>0</w:t>
            </w:r>
            <w:r>
              <w:rPr>
                <w:rFonts w:hint="eastAsia" w:ascii="仿宋" w:hAnsi="仿宋" w:eastAsia="仿宋" w:cs="仿宋"/>
                <w:color w:val="auto"/>
                <w:szCs w:val="21"/>
                <w:highlight w:val="none"/>
              </w:rPr>
              <w:t>人，评审专家</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rPr>
              <w:t>人组成，共</w:t>
            </w:r>
            <w:r>
              <w:rPr>
                <w:rFonts w:hint="eastAsia" w:ascii="仿宋" w:hAnsi="仿宋" w:eastAsia="仿宋" w:cs="仿宋"/>
                <w:color w:val="auto"/>
                <w:szCs w:val="21"/>
                <w:highlight w:val="none"/>
                <w:u w:val="single"/>
                <w:lang w:val="en-US" w:eastAsia="zh-CN"/>
              </w:rPr>
              <w:t>5</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人。 </w:t>
            </w:r>
          </w:p>
        </w:tc>
      </w:tr>
      <w:tr w14:paraId="2B3BCE36">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AC873C5">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B9EDA5B">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样品的评审方法以及评审标准</w:t>
            </w:r>
          </w:p>
          <w:p w14:paraId="4F510477">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780DB16">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bCs/>
                <w:color w:val="auto"/>
                <w:kern w:val="0"/>
                <w:szCs w:val="21"/>
                <w:highlight w:val="none"/>
              </w:rPr>
              <w:t>样品：</w:t>
            </w:r>
          </w:p>
          <w:p w14:paraId="3F79B66B">
            <w:pP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1、样品评审方法：</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 xml:space="preserve">    </w:t>
            </w:r>
            <w:r>
              <w:rPr>
                <w:rFonts w:hint="eastAsia" w:ascii="仿宋" w:hAnsi="仿宋" w:eastAsia="仿宋" w:cs="仿宋"/>
                <w:color w:val="auto"/>
                <w:kern w:val="0"/>
                <w:szCs w:val="21"/>
                <w:highlight w:val="none"/>
                <w:u w:val="single"/>
              </w:rPr>
              <w:t xml:space="preserve"> </w:t>
            </w:r>
          </w:p>
          <w:p w14:paraId="028E6A49">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2、样品评审标准：</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 xml:space="preserve">    </w:t>
            </w:r>
            <w:r>
              <w:rPr>
                <w:rFonts w:hint="eastAsia" w:ascii="仿宋" w:hAnsi="仿宋" w:eastAsia="仿宋" w:cs="仿宋"/>
                <w:color w:val="auto"/>
                <w:kern w:val="0"/>
                <w:szCs w:val="21"/>
                <w:highlight w:val="none"/>
                <w:u w:val="single"/>
              </w:rPr>
              <w:t xml:space="preserve"> </w:t>
            </w:r>
          </w:p>
          <w:p w14:paraId="0BE93FAD">
            <w:pPr>
              <w:rPr>
                <w:rFonts w:hint="eastAsia" w:ascii="仿宋" w:hAnsi="仿宋" w:eastAsia="仿宋" w:cs="仿宋"/>
                <w:color w:val="auto"/>
                <w:kern w:val="0"/>
                <w:szCs w:val="21"/>
                <w:highlight w:val="none"/>
                <w:u w:val="single"/>
              </w:rPr>
            </w:pPr>
          </w:p>
          <w:p w14:paraId="626A6780">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演示：</w:t>
            </w:r>
          </w:p>
          <w:p w14:paraId="279AE4DB">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1、演示评审方法：</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 xml:space="preserve">    </w:t>
            </w:r>
            <w:r>
              <w:rPr>
                <w:rFonts w:hint="eastAsia" w:ascii="仿宋" w:hAnsi="仿宋" w:eastAsia="仿宋" w:cs="仿宋"/>
                <w:color w:val="auto"/>
                <w:kern w:val="0"/>
                <w:szCs w:val="21"/>
                <w:highlight w:val="none"/>
                <w:u w:val="single"/>
              </w:rPr>
              <w:t xml:space="preserve">  </w:t>
            </w:r>
          </w:p>
          <w:p w14:paraId="35CE5EB8">
            <w:pPr>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2、演示评审标准：</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 xml:space="preserve">    </w:t>
            </w:r>
            <w:r>
              <w:rPr>
                <w:rFonts w:hint="eastAsia" w:ascii="仿宋" w:hAnsi="仿宋" w:eastAsia="仿宋" w:cs="仿宋"/>
                <w:color w:val="auto"/>
                <w:kern w:val="0"/>
                <w:szCs w:val="21"/>
                <w:highlight w:val="none"/>
                <w:u w:val="single"/>
              </w:rPr>
              <w:t xml:space="preserve">   </w:t>
            </w:r>
          </w:p>
        </w:tc>
      </w:tr>
      <w:tr w14:paraId="1273C55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9529D20">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829E5B6">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2F73EAF">
            <w:pPr>
              <w:widowControl/>
              <w:rPr>
                <w:rFonts w:hint="eastAsia" w:ascii="仿宋" w:hAnsi="仿宋" w:eastAsia="仿宋" w:cs="仿宋"/>
                <w:color w:val="auto"/>
                <w:szCs w:val="21"/>
                <w:highlight w:val="non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szCs w:val="21"/>
                <w:highlight w:val="none"/>
              </w:rPr>
              <w:t>综合评分法</w:t>
            </w:r>
          </w:p>
          <w:p w14:paraId="309C0259">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 xml:space="preserve">最低评标价法 </w:t>
            </w:r>
          </w:p>
        </w:tc>
      </w:tr>
      <w:tr w14:paraId="2855B5D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FB9B481">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8DDDE20">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7196D298">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u w:val="single"/>
              </w:rPr>
              <w:t xml:space="preserve">  3</w:t>
            </w:r>
            <w:r>
              <w:rPr>
                <w:rFonts w:hint="eastAsia" w:ascii="仿宋" w:hAnsi="仿宋" w:cs="仿宋"/>
                <w:color w:val="auto"/>
                <w:kern w:val="0"/>
                <w:szCs w:val="21"/>
                <w:highlight w:val="none"/>
                <w:u w:val="single"/>
                <w:lang w:val="en-US" w:eastAsia="zh-CN"/>
              </w:rPr>
              <w:t>家</w:t>
            </w:r>
            <w:r>
              <w:rPr>
                <w:rFonts w:hint="eastAsia" w:ascii="仿宋" w:hAnsi="仿宋" w:eastAsia="仿宋" w:cs="仿宋"/>
                <w:color w:val="auto"/>
                <w:kern w:val="0"/>
                <w:szCs w:val="21"/>
                <w:highlight w:val="none"/>
                <w:u w:val="single"/>
              </w:rPr>
              <w:t xml:space="preserve">   </w:t>
            </w:r>
          </w:p>
        </w:tc>
      </w:tr>
      <w:tr w14:paraId="237EFBD1">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4FEE8A8">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F0A3065">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AB0CA58">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中标人数量：</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1</w:t>
            </w:r>
            <w:r>
              <w:rPr>
                <w:rFonts w:hint="eastAsia" w:ascii="仿宋" w:hAnsi="仿宋" w:cs="仿宋"/>
                <w:color w:val="auto"/>
                <w:kern w:val="0"/>
                <w:szCs w:val="21"/>
                <w:highlight w:val="none"/>
                <w:u w:val="single"/>
                <w:lang w:val="en-US" w:eastAsia="zh-CN"/>
              </w:rPr>
              <w:t>家</w:t>
            </w:r>
            <w:r>
              <w:rPr>
                <w:rFonts w:hint="eastAsia" w:ascii="仿宋" w:hAnsi="仿宋" w:eastAsia="仿宋" w:cs="仿宋"/>
                <w:color w:val="auto"/>
                <w:kern w:val="0"/>
                <w:szCs w:val="21"/>
                <w:highlight w:val="none"/>
                <w:u w:val="single"/>
              </w:rPr>
              <w:t xml:space="preserve">   </w:t>
            </w:r>
          </w:p>
          <w:p w14:paraId="32AC3758">
            <w:pPr>
              <w:widowControl/>
              <w:rPr>
                <w:rFonts w:hint="eastAsia" w:ascii="仿宋" w:hAnsi="仿宋" w:eastAsia="仿宋" w:cs="仿宋"/>
                <w:color w:val="auto"/>
                <w:kern w:val="0"/>
                <w:szCs w:val="21"/>
                <w:highlight w:val="none"/>
                <w:u w:val="singl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kern w:val="0"/>
                <w:szCs w:val="21"/>
                <w:highlight w:val="none"/>
              </w:rPr>
              <w:t>采购人委托评标委员会直接确定中标人</w:t>
            </w:r>
          </w:p>
          <w:p w14:paraId="3CD2DA43">
            <w:pPr>
              <w:widowControl/>
              <w:rPr>
                <w:rFonts w:hint="eastAsia" w:ascii="仿宋" w:hAnsi="仿宋" w:eastAsia="仿宋" w:cs="仿宋"/>
                <w:color w:val="auto"/>
                <w:kern w:val="0"/>
                <w:szCs w:val="21"/>
                <w:highlight w:val="none"/>
                <w:u w:val="single"/>
              </w:rPr>
            </w:pPr>
            <w:r>
              <w:rPr>
                <w:rFonts w:hint="eastAsia" w:ascii="仿宋_GB2312" w:hAnsi="仿宋_GB2312" w:eastAsia="仿宋_GB2312" w:cs="仿宋_GB2312"/>
                <w:kern w:val="0"/>
                <w:szCs w:val="21"/>
              </w:rPr>
              <w:sym w:font="Wingdings 2" w:char="00A3"/>
            </w:r>
            <w:r>
              <w:rPr>
                <w:rFonts w:hint="eastAsia" w:ascii="仿宋" w:hAnsi="仿宋" w:eastAsia="仿宋" w:cs="仿宋"/>
                <w:color w:val="auto"/>
                <w:kern w:val="0"/>
                <w:szCs w:val="21"/>
                <w:highlight w:val="none"/>
              </w:rPr>
              <w:t>采购人确定中标人</w:t>
            </w:r>
          </w:p>
        </w:tc>
      </w:tr>
      <w:tr w14:paraId="0096F08C">
        <w:tblPrEx>
          <w:tblCellMar>
            <w:top w:w="0" w:type="dxa"/>
            <w:left w:w="108" w:type="dxa"/>
            <w:bottom w:w="0" w:type="dxa"/>
            <w:right w:w="108" w:type="dxa"/>
          </w:tblCellMar>
        </w:tblPrEx>
        <w:trPr>
          <w:trHeight w:val="5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DCE53F4">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6393BAE">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9CE0DBC">
            <w:pPr>
              <w:shd w:val="clear" w:color="auto" w:fill="FFFFFF"/>
              <w:jc w:val="left"/>
              <w:rPr>
                <w:rFonts w:hint="eastAsia" w:ascii="仿宋" w:hAnsi="仿宋" w:eastAsia="仿宋" w:cs="仿宋"/>
                <w:color w:val="auto"/>
                <w:szCs w:val="21"/>
                <w:highlight w:val="none"/>
              </w:rPr>
            </w:pPr>
            <w:r>
              <w:rPr>
                <w:rFonts w:hint="eastAsia" w:ascii="仿宋_GB2312" w:hAnsi="仿宋_GB2312" w:eastAsia="仿宋_GB2312" w:cs="仿宋_GB2312"/>
                <w:kern w:val="0"/>
                <w:szCs w:val="21"/>
              </w:rPr>
              <w:sym w:font="Wingdings 2" w:char="0052"/>
            </w:r>
            <w:r>
              <w:rPr>
                <w:rFonts w:hint="eastAsia" w:ascii="仿宋" w:hAnsi="仿宋" w:eastAsia="仿宋" w:cs="仿宋"/>
                <w:color w:val="auto"/>
                <w:szCs w:val="21"/>
                <w:highlight w:val="none"/>
              </w:rPr>
              <w:t>本项目不收取履约保证金</w:t>
            </w:r>
          </w:p>
          <w:p w14:paraId="030CB3F4">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本项目收取履约保证金</w:t>
            </w:r>
          </w:p>
          <w:p w14:paraId="2F5FE49C">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履约保证金金额：</w:t>
            </w:r>
            <w:r>
              <w:rPr>
                <w:rFonts w:hint="eastAsia" w:ascii="仿宋" w:hAnsi="仿宋" w:eastAsia="仿宋" w:cs="仿宋"/>
                <w:color w:val="auto"/>
                <w:kern w:val="0"/>
                <w:szCs w:val="21"/>
                <w:highlight w:val="none"/>
                <w:u w:val="single"/>
              </w:rPr>
              <w:t xml:space="preserve">                 </w:t>
            </w:r>
          </w:p>
          <w:p w14:paraId="62A83EB1">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履约保证金递交时间：</w:t>
            </w:r>
            <w:r>
              <w:rPr>
                <w:rFonts w:hint="eastAsia" w:ascii="仿宋" w:hAnsi="仿宋" w:eastAsia="仿宋" w:cs="仿宋"/>
                <w:color w:val="auto"/>
                <w:kern w:val="0"/>
                <w:szCs w:val="21"/>
                <w:highlight w:val="none"/>
                <w:u w:val="single"/>
              </w:rPr>
              <w:t xml:space="preserve">             </w:t>
            </w:r>
          </w:p>
          <w:p w14:paraId="6BEC03B2">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履约保证金递交方式：□保函   □支票  □电汇</w:t>
            </w:r>
          </w:p>
          <w:p w14:paraId="659F6ED3">
            <w:pPr>
              <w:shd w:val="clear" w:color="auto" w:fill="FFFFFF"/>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账户信息：</w:t>
            </w:r>
          </w:p>
          <w:p w14:paraId="774BC9E2">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名：</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56B6F8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行：</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302D2780">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账    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464F9E82">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履约保证金退还时间及规定：</w:t>
            </w:r>
            <w:r>
              <w:rPr>
                <w:rFonts w:hint="eastAsia" w:ascii="仿宋" w:hAnsi="仿宋" w:eastAsia="仿宋" w:cs="仿宋"/>
                <w:color w:val="auto"/>
                <w:kern w:val="0"/>
                <w:szCs w:val="21"/>
                <w:highlight w:val="none"/>
                <w:u w:val="single"/>
              </w:rPr>
              <w:t xml:space="preserve">   </w:t>
            </w:r>
          </w:p>
          <w:p w14:paraId="42404E9F">
            <w:pPr>
              <w:shd w:val="clear" w:color="auto" w:fill="FFFFFF"/>
              <w:jc w:val="left"/>
              <w:rPr>
                <w:rFonts w:hint="eastAsia" w:ascii="仿宋" w:hAnsi="仿宋" w:eastAsia="仿宋" w:cs="仿宋"/>
                <w:color w:val="auto"/>
                <w:kern w:val="0"/>
                <w:szCs w:val="21"/>
                <w:highlight w:val="none"/>
              </w:rPr>
            </w:pPr>
            <w:r>
              <w:rPr>
                <w:rFonts w:hint="eastAsia" w:ascii="仿宋" w:hAnsi="仿宋" w:eastAsia="仿宋" w:cs="仿宋"/>
                <w:b/>
                <w:bCs/>
                <w:color w:val="auto"/>
                <w:szCs w:val="21"/>
                <w:highlight w:val="none"/>
              </w:rPr>
              <w:t>（注：财政部门鼓励采用保函的方式递交履约保证金，具体办理流程参阅辽宁政府采购网）</w:t>
            </w:r>
          </w:p>
        </w:tc>
      </w:tr>
      <w:tr w14:paraId="164A3DF8">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noWrap w:val="0"/>
            <w:vAlign w:val="center"/>
          </w:tcPr>
          <w:p w14:paraId="76ED10DB">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36</w:t>
            </w:r>
          </w:p>
        </w:tc>
        <w:tc>
          <w:tcPr>
            <w:tcW w:w="1917" w:type="dxa"/>
            <w:tcBorders>
              <w:top w:val="nil"/>
              <w:left w:val="single" w:color="auto" w:sz="4" w:space="0"/>
              <w:bottom w:val="single" w:color="auto" w:sz="8" w:space="0"/>
              <w:right w:val="single" w:color="auto" w:sz="8" w:space="0"/>
            </w:tcBorders>
            <w:noWrap w:val="0"/>
            <w:vAlign w:val="center"/>
          </w:tcPr>
          <w:p w14:paraId="523F983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采购代理服务费</w:t>
            </w:r>
          </w:p>
        </w:tc>
        <w:tc>
          <w:tcPr>
            <w:tcW w:w="5887" w:type="dxa"/>
            <w:tcBorders>
              <w:top w:val="nil"/>
              <w:left w:val="nil"/>
              <w:bottom w:val="single" w:color="auto" w:sz="8" w:space="0"/>
              <w:right w:val="single" w:color="auto" w:sz="8" w:space="0"/>
            </w:tcBorders>
            <w:noWrap w:val="0"/>
            <w:vAlign w:val="center"/>
          </w:tcPr>
          <w:p w14:paraId="629AEB99">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本项目不收取</w:t>
            </w:r>
            <w:r>
              <w:rPr>
                <w:rFonts w:hint="eastAsia" w:ascii="仿宋" w:hAnsi="仿宋" w:eastAsia="仿宋" w:cs="仿宋"/>
                <w:color w:val="auto"/>
                <w:kern w:val="0"/>
                <w:szCs w:val="21"/>
                <w:highlight w:val="none"/>
              </w:rPr>
              <w:t>采购代理服务费</w:t>
            </w:r>
          </w:p>
          <w:p w14:paraId="0ECDE344">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4BABBAE4">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中标人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向采购代理机构予以支付。</w:t>
            </w:r>
          </w:p>
          <w:p w14:paraId="758A65FA">
            <w:pPr>
              <w:widowControl/>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参照[2002]1980号国家计委关于印发《招标代理服务收费管理暂行办法》的通知及《国家发展改革委办公厅关于招标代理服务收费有交问题的通知》（发改办价格[2003]857号）收取</w:t>
            </w:r>
            <w:r>
              <w:rPr>
                <w:rFonts w:hint="eastAsia" w:ascii="仿宋_GB2312" w:hAnsi="仿宋_GB2312" w:eastAsia="仿宋_GB2312" w:cs="仿宋_GB2312"/>
                <w:kern w:val="0"/>
                <w:szCs w:val="21"/>
                <w:lang w:eastAsia="zh-CN"/>
              </w:rPr>
              <w:t>，</w:t>
            </w:r>
            <w:r>
              <w:rPr>
                <w:rFonts w:hint="eastAsia" w:ascii="仿宋" w:hAnsi="仿宋" w:eastAsia="仿宋" w:cs="仿宋"/>
                <w:color w:val="auto"/>
                <w:sz w:val="20"/>
                <w:szCs w:val="20"/>
                <w:highlight w:val="none"/>
                <w:lang w:eastAsia="zh-CN"/>
              </w:rPr>
              <w:t>不足5000元按5000元收取</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rPr>
              <w:t xml:space="preserve"> </w:t>
            </w:r>
          </w:p>
          <w:p w14:paraId="44896015">
            <w:pPr>
              <w:widowControl/>
              <w:ind w:firstLine="210" w:firstLineChars="1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支付形式：现金、转账、电汇  </w:t>
            </w:r>
          </w:p>
          <w:p w14:paraId="53AF59C8">
            <w:pPr>
              <w:widowControl/>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t>支付时间：在领取中标通知书</w:t>
            </w:r>
            <w:r>
              <w:rPr>
                <w:rFonts w:hint="eastAsia" w:ascii="仿宋_GB2312" w:hAnsi="仿宋_GB2312" w:eastAsia="仿宋_GB2312" w:cs="仿宋_GB2312"/>
                <w:kern w:val="0"/>
                <w:szCs w:val="21"/>
                <w:lang w:val="en-US" w:eastAsia="zh-CN"/>
              </w:rPr>
              <w:t>前</w:t>
            </w:r>
            <w:r>
              <w:rPr>
                <w:rFonts w:hint="eastAsia" w:ascii="仿宋_GB2312" w:hAnsi="仿宋_GB2312" w:eastAsia="仿宋_GB2312" w:cs="仿宋_GB2312"/>
                <w:kern w:val="0"/>
                <w:szCs w:val="21"/>
              </w:rPr>
              <w:t>一次性</w:t>
            </w:r>
            <w:r>
              <w:rPr>
                <w:rFonts w:hint="eastAsia" w:ascii="仿宋_GB2312" w:hAnsi="仿宋_GB2312" w:eastAsia="仿宋_GB2312" w:cs="仿宋_GB2312"/>
                <w:kern w:val="0"/>
                <w:szCs w:val="21"/>
                <w:lang w:val="en-US" w:eastAsia="zh-CN"/>
              </w:rPr>
              <w:t>付</w:t>
            </w:r>
            <w:r>
              <w:rPr>
                <w:rFonts w:hint="eastAsia" w:ascii="仿宋_GB2312" w:hAnsi="仿宋_GB2312" w:eastAsia="仿宋_GB2312" w:cs="仿宋_GB2312"/>
                <w:kern w:val="0"/>
                <w:szCs w:val="21"/>
              </w:rPr>
              <w:t>清。招标代理服务费不单独列项，由投标人自行承担。</w:t>
            </w:r>
          </w:p>
        </w:tc>
      </w:tr>
      <w:tr w14:paraId="2DF67745">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0FA2BEF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noWrap w:val="0"/>
            <w:vAlign w:val="center"/>
          </w:tcPr>
          <w:p w14:paraId="51E20EC1">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质疑</w:t>
            </w:r>
          </w:p>
        </w:tc>
        <w:tc>
          <w:tcPr>
            <w:tcW w:w="5887" w:type="dxa"/>
            <w:tcBorders>
              <w:top w:val="single" w:color="auto" w:sz="4" w:space="0"/>
              <w:left w:val="nil"/>
              <w:bottom w:val="single" w:color="auto" w:sz="4" w:space="0"/>
              <w:right w:val="single" w:color="auto" w:sz="8" w:space="0"/>
            </w:tcBorders>
            <w:noWrap w:val="0"/>
            <w:vAlign w:val="center"/>
          </w:tcPr>
          <w:p w14:paraId="1F76E600">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71719A53">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1、接收质疑函的方式：接收加盖单位公章的书面</w:t>
            </w:r>
            <w:r>
              <w:rPr>
                <w:rFonts w:hint="eastAsia" w:ascii="仿宋_GB2312" w:hAnsi="仿宋_GB2312" w:eastAsia="仿宋_GB2312" w:cs="仿宋_GB2312"/>
                <w:szCs w:val="21"/>
                <w:lang w:val="en-US" w:eastAsia="zh-CN"/>
              </w:rPr>
              <w:t>或线上</w:t>
            </w:r>
            <w:r>
              <w:rPr>
                <w:rFonts w:hint="eastAsia" w:ascii="仿宋_GB2312" w:hAnsi="仿宋_GB2312" w:eastAsia="仿宋_GB2312" w:cs="仿宋_GB2312"/>
                <w:szCs w:val="21"/>
              </w:rPr>
              <w:t>质疑函</w:t>
            </w:r>
          </w:p>
          <w:p w14:paraId="768DAFD6">
            <w:pPr>
              <w:widowControl/>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联系单位： </w:t>
            </w:r>
            <w:r>
              <w:rPr>
                <w:rFonts w:hint="eastAsia" w:ascii="仿宋_GB2312" w:hAnsi="仿宋_GB2312" w:eastAsia="仿宋_GB2312" w:cs="仿宋_GB2312"/>
                <w:color w:val="auto"/>
                <w:szCs w:val="21"/>
                <w:u w:val="single"/>
              </w:rPr>
              <w:t>馨航（辽宁）项目管理有限公司</w:t>
            </w:r>
            <w:r>
              <w:rPr>
                <w:rFonts w:hint="eastAsia" w:ascii="仿宋_GB2312" w:hAnsi="仿宋_GB2312" w:eastAsia="仿宋_GB2312" w:cs="仿宋_GB2312"/>
                <w:color w:val="auto"/>
                <w:szCs w:val="21"/>
              </w:rPr>
              <w:t xml:space="preserve"> </w:t>
            </w:r>
          </w:p>
          <w:p w14:paraId="5E628A4B">
            <w:pPr>
              <w:widowControl/>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highlight w:val="none"/>
              </w:rPr>
              <w:t>联系电话：</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u w:val="single"/>
                <w:lang w:val="en-US" w:eastAsia="zh-CN"/>
              </w:rPr>
              <w:t>17666416891</w:t>
            </w:r>
            <w:r>
              <w:rPr>
                <w:rFonts w:hint="eastAsia" w:ascii="仿宋_GB2312" w:hAnsi="仿宋_GB2312" w:eastAsia="仿宋_GB2312" w:cs="仿宋_GB2312"/>
                <w:color w:val="auto"/>
                <w:szCs w:val="21"/>
                <w:u w:val="single"/>
              </w:rPr>
              <w:t xml:space="preserve"> </w:t>
            </w:r>
          </w:p>
          <w:p w14:paraId="33EAC5C1">
            <w:pPr>
              <w:widowControl/>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通讯地址： </w:t>
            </w:r>
            <w:r>
              <w:rPr>
                <w:rFonts w:hint="eastAsia" w:ascii="仿宋_GB2312" w:hAnsi="仿宋_GB2312" w:eastAsia="仿宋_GB2312" w:cs="仿宋_GB2312"/>
                <w:color w:val="auto"/>
                <w:szCs w:val="21"/>
                <w:u w:val="single"/>
                <w:lang w:val="en-US" w:eastAsia="zh-CN"/>
              </w:rPr>
              <w:t>辽宁省沈阳市皇姑区嫩江街50号</w:t>
            </w:r>
            <w:r>
              <w:rPr>
                <w:rFonts w:hint="eastAsia" w:ascii="仿宋_GB2312" w:hAnsi="仿宋_GB2312" w:eastAsia="仿宋_GB2312" w:cs="仿宋_GB2312"/>
                <w:color w:val="auto"/>
                <w:szCs w:val="21"/>
              </w:rPr>
              <w:t xml:space="preserve"> </w:t>
            </w:r>
          </w:p>
          <w:p w14:paraId="66970AC5">
            <w:pPr>
              <w:widowControl/>
              <w:ind w:firstLine="420" w:firstLineChars="200"/>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 xml:space="preserve">联 系 人： </w:t>
            </w:r>
            <w:r>
              <w:rPr>
                <w:rFonts w:hint="eastAsia" w:ascii="仿宋_GB2312" w:hAnsi="仿宋_GB2312" w:eastAsia="仿宋_GB2312" w:cs="仿宋_GB2312"/>
                <w:color w:val="auto"/>
                <w:szCs w:val="21"/>
                <w:u w:val="single"/>
                <w:lang w:val="en-US" w:eastAsia="zh-CN"/>
              </w:rPr>
              <w:t>赵老师</w:t>
            </w:r>
          </w:p>
          <w:p w14:paraId="716C5F8A">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17ED5809">
            <w:pPr>
              <w:pStyle w:val="4"/>
              <w:rPr>
                <w:rFonts w:hint="eastAsia" w:ascii="仿宋" w:hAnsi="仿宋" w:eastAsia="仿宋" w:cs="仿宋"/>
                <w:color w:val="auto"/>
                <w:kern w:val="0"/>
                <w:szCs w:val="21"/>
                <w:highlight w:val="none"/>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090CC0B5">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63B3A749">
            <w:pPr>
              <w:widowControl/>
              <w:jc w:val="center"/>
              <w:rPr>
                <w:rFonts w:hint="eastAsia" w:ascii="仿宋" w:hAnsi="仿宋" w:eastAsia="仿宋" w:cs="仿宋"/>
                <w:color w:val="auto"/>
                <w:kern w:val="0"/>
                <w:szCs w:val="21"/>
                <w:highlight w:val="none"/>
              </w:rPr>
            </w:pPr>
          </w:p>
        </w:tc>
        <w:tc>
          <w:tcPr>
            <w:tcW w:w="1917" w:type="dxa"/>
            <w:tcBorders>
              <w:top w:val="single" w:color="auto" w:sz="4" w:space="0"/>
              <w:left w:val="single" w:color="auto" w:sz="4" w:space="0"/>
              <w:bottom w:val="single" w:color="auto" w:sz="4" w:space="0"/>
              <w:right w:val="single" w:color="auto" w:sz="8" w:space="0"/>
            </w:tcBorders>
            <w:noWrap w:val="0"/>
            <w:vAlign w:val="center"/>
          </w:tcPr>
          <w:p w14:paraId="400AFB52">
            <w:pPr>
              <w:widowControl/>
              <w:jc w:val="center"/>
              <w:rPr>
                <w:rFonts w:hint="eastAsia" w:ascii="仿宋" w:hAnsi="仿宋" w:eastAsia="仿宋" w:cs="仿宋"/>
                <w:color w:val="auto"/>
                <w:kern w:val="0"/>
                <w:szCs w:val="21"/>
                <w:highlight w:val="none"/>
              </w:rPr>
            </w:pPr>
            <w:r>
              <w:rPr>
                <w:rFonts w:hint="eastAsia" w:ascii="仿宋_GB2312" w:hAnsi="仿宋_GB2312" w:eastAsia="仿宋_GB2312" w:cs="仿宋_GB2312"/>
                <w:kern w:val="0"/>
                <w:szCs w:val="21"/>
              </w:rPr>
              <w:t>特殊事项说明</w:t>
            </w:r>
          </w:p>
        </w:tc>
        <w:tc>
          <w:tcPr>
            <w:tcW w:w="5887" w:type="dxa"/>
            <w:tcBorders>
              <w:top w:val="single" w:color="auto" w:sz="4" w:space="0"/>
              <w:left w:val="nil"/>
              <w:bottom w:val="single" w:color="auto" w:sz="4" w:space="0"/>
              <w:right w:val="single" w:color="auto" w:sz="8" w:space="0"/>
            </w:tcBorders>
            <w:noWrap w:val="0"/>
            <w:vAlign w:val="center"/>
          </w:tcPr>
          <w:p w14:paraId="00A4839F">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1、上传到辽宁政府采购网上的电子投标（响应）文件必须签字盖章后上传。</w:t>
            </w:r>
          </w:p>
          <w:p w14:paraId="615635CC">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2、为保证投标（响应）文件安全保密性，参与本项目的</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须自行携带电脑参与项目投标/响应报价解密或预留相关技术人员在自己公司解密，解密时间30分钟。如因投标人/供应商自身原因导致</w:t>
            </w:r>
            <w:r>
              <w:rPr>
                <w:rFonts w:hint="eastAsia" w:ascii="仿宋_GB2312" w:hAnsi="仿宋_GB2312" w:eastAsia="仿宋_GB2312" w:cs="仿宋_GB2312"/>
                <w:szCs w:val="21"/>
                <w:lang w:val="en-US" w:eastAsia="zh-CN"/>
              </w:rPr>
              <w:t>投标</w:t>
            </w:r>
            <w:r>
              <w:rPr>
                <w:rFonts w:hint="eastAsia" w:ascii="仿宋_GB2312" w:hAnsi="仿宋_GB2312" w:eastAsia="仿宋_GB2312" w:cs="仿宋_GB2312"/>
                <w:szCs w:val="21"/>
                <w:lang w:val="en-US" w:eastAsia="en-US"/>
              </w:rPr>
              <w:t>文件无法解密，后果自负。</w:t>
            </w:r>
          </w:p>
          <w:p w14:paraId="46F73FF6">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3、</w:t>
            </w:r>
            <w:r>
              <w:rPr>
                <w:rFonts w:hint="eastAsia" w:ascii="仿宋_GB2312" w:hAnsi="仿宋_GB2312" w:eastAsia="仿宋_GB2312" w:cs="仿宋_GB2312"/>
                <w:szCs w:val="21"/>
                <w:lang w:val="en-US" w:eastAsia="zh-CN"/>
              </w:rPr>
              <w:t>中标人</w:t>
            </w:r>
            <w:r>
              <w:rPr>
                <w:rFonts w:hint="eastAsia" w:ascii="仿宋_GB2312" w:hAnsi="仿宋_GB2312" w:eastAsia="仿宋_GB2312" w:cs="仿宋_GB2312"/>
                <w:szCs w:val="21"/>
                <w:lang w:val="en-US" w:eastAsia="en-US"/>
              </w:rPr>
              <w:t>请务必在法律规定期限内与采购单位签订政府采购合同，</w:t>
            </w:r>
            <w:r>
              <w:rPr>
                <w:rFonts w:hint="eastAsia" w:ascii="仿宋_GB2312" w:hAnsi="仿宋_GB2312" w:eastAsia="仿宋_GB2312" w:cs="仿宋_GB2312"/>
                <w:szCs w:val="21"/>
                <w:lang w:val="en-US" w:eastAsia="en-US"/>
              </w:rPr>
              <w:fldChar w:fldCharType="begin"/>
            </w:r>
            <w:r>
              <w:rPr>
                <w:rFonts w:hint="eastAsia" w:ascii="仿宋_GB2312" w:hAnsi="仿宋_GB2312" w:eastAsia="仿宋_GB2312" w:cs="仿宋_GB2312"/>
                <w:szCs w:val="21"/>
                <w:lang w:val="en-US" w:eastAsia="en-US"/>
              </w:rPr>
              <w:instrText xml:space="preserve"> HYPERLINK "mailto:并及时将签订后的合同PDF扫描件发至代理机构邮箱syly558@163.com" </w:instrText>
            </w:r>
            <w:r>
              <w:rPr>
                <w:rFonts w:hint="eastAsia" w:ascii="仿宋_GB2312" w:hAnsi="仿宋_GB2312" w:eastAsia="仿宋_GB2312" w:cs="仿宋_GB2312"/>
                <w:szCs w:val="21"/>
                <w:lang w:val="en-US" w:eastAsia="en-US"/>
              </w:rPr>
              <w:fldChar w:fldCharType="separate"/>
            </w:r>
            <w:r>
              <w:rPr>
                <w:rFonts w:hint="eastAsia" w:ascii="仿宋_GB2312" w:hAnsi="仿宋_GB2312" w:eastAsia="仿宋_GB2312" w:cs="仿宋_GB2312"/>
                <w:szCs w:val="21"/>
                <w:lang w:val="en-US" w:eastAsia="en-US"/>
              </w:rPr>
              <w:t>并及时将签订后的合同PDF扫描件发至代理机构邮箱</w:t>
            </w:r>
            <w:r>
              <w:rPr>
                <w:rFonts w:hint="eastAsia" w:ascii="仿宋_GB2312" w:hAnsi="仿宋_GB2312" w:eastAsia="仿宋_GB2312" w:cs="仿宋_GB2312"/>
                <w:szCs w:val="21"/>
                <w:lang w:val="en-US" w:eastAsia="en-US"/>
              </w:rPr>
              <w:fldChar w:fldCharType="end"/>
            </w:r>
            <w:r>
              <w:rPr>
                <w:rFonts w:hint="eastAsia" w:ascii="仿宋_GB2312" w:hAnsi="仿宋_GB2312" w:eastAsia="仿宋_GB2312" w:cs="仿宋_GB2312"/>
                <w:szCs w:val="21"/>
                <w:lang w:val="en-US" w:eastAsia="en-US"/>
              </w:rPr>
              <w:t>xinhang1519@163.com后并致电</w:t>
            </w:r>
            <w:r>
              <w:rPr>
                <w:rFonts w:hint="eastAsia" w:ascii="仿宋_GB2312" w:hAnsi="仿宋_GB2312" w:eastAsia="仿宋_GB2312" w:cs="仿宋_GB2312"/>
                <w:szCs w:val="21"/>
                <w:lang w:val="en-US" w:eastAsia="zh-CN"/>
              </w:rPr>
              <w:t>17666416891</w:t>
            </w:r>
          </w:p>
          <w:p w14:paraId="29927848">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告知代理机构，以便在规定的时间内在网上录入合同，</w:t>
            </w:r>
            <w:r>
              <w:rPr>
                <w:rFonts w:hint="eastAsia" w:ascii="仿宋_GB2312" w:hAnsi="仿宋_GB2312" w:eastAsia="仿宋_GB2312" w:cs="仿宋_GB2312"/>
                <w:szCs w:val="21"/>
                <w:lang w:val="en-US" w:eastAsia="zh-CN"/>
              </w:rPr>
              <w:t>中标人</w:t>
            </w:r>
            <w:r>
              <w:rPr>
                <w:rFonts w:hint="eastAsia" w:ascii="仿宋_GB2312" w:hAnsi="仿宋_GB2312" w:eastAsia="仿宋_GB2312" w:cs="仿宋_GB2312"/>
                <w:szCs w:val="21"/>
                <w:lang w:val="en-US" w:eastAsia="en-US"/>
              </w:rPr>
              <w:t>须及时登陆辽宁政府采购网上进行合同确认，否则后果自负。</w:t>
            </w:r>
          </w:p>
          <w:p w14:paraId="7930D767">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4、中小企业享受扶持政策获得政府采购合同的，小微企业不得将合同分包给大中型企业，中型企业不得将合同分包给大型企业。</w:t>
            </w:r>
          </w:p>
          <w:p w14:paraId="68A5A04C">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5、</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进行辽宁政府采购网系统填报投标信息、电子文件编制、盖章或电子签章等如有问题，可以咨询平台运维服务机构。</w:t>
            </w:r>
          </w:p>
          <w:p w14:paraId="59459566">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平台运维服务电话：400-1288-588。</w:t>
            </w:r>
          </w:p>
          <w:p w14:paraId="60558349">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平台运维机构服务时间：8:00-18:00（周一至周日）</w:t>
            </w:r>
          </w:p>
          <w:p w14:paraId="6F15CA48">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zh-CN"/>
              </w:rPr>
              <w:t>6、</w:t>
            </w:r>
            <w:r>
              <w:rPr>
                <w:rFonts w:hint="eastAsia" w:ascii="仿宋_GB2312" w:hAnsi="仿宋_GB2312" w:eastAsia="仿宋_GB2312" w:cs="仿宋_GB2312"/>
                <w:szCs w:val="21"/>
                <w:lang w:val="en-US" w:eastAsia="en-US"/>
              </w:rPr>
              <w:t>采购活动中电子评审系统发生故障等原因按照《关于完善政府采购电子评审业务流程等有关事宜的通知》辽财采函〔2021〕363 号文件相关要求执行。</w:t>
            </w:r>
          </w:p>
          <w:p w14:paraId="5BFB58E1">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zh-CN"/>
              </w:rPr>
              <w:t>7、投标人</w:t>
            </w:r>
            <w:r>
              <w:rPr>
                <w:rFonts w:hint="eastAsia" w:ascii="仿宋_GB2312" w:hAnsi="仿宋_GB2312" w:eastAsia="仿宋_GB2312" w:cs="仿宋_GB2312"/>
                <w:szCs w:val="21"/>
                <w:lang w:val="en-US" w:eastAsia="en-US"/>
              </w:rPr>
              <w:t>在电子评审活动中出现以下情形的，应按如下规定进行处理：</w:t>
            </w:r>
          </w:p>
          <w:p w14:paraId="512D7860">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 xml:space="preserve">    （1）因</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原因造成响应文件未解密的；</w:t>
            </w:r>
          </w:p>
          <w:p w14:paraId="46D9FCD6">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 xml:space="preserve">    （2）因</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自用设备原因造成的未在规定时间内解密、上传文件或投标（响应）报价等问题影响电子评审的；</w:t>
            </w:r>
          </w:p>
          <w:p w14:paraId="64361DBE">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 xml:space="preserve">    （3）因</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原因未对文件校验造成信息缺失、文件内容或格式不正确以及备份文件不符合要求等问题影响评审的。</w:t>
            </w:r>
          </w:p>
          <w:p w14:paraId="3E1B0013">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en-US"/>
              </w:rPr>
              <w:t xml:space="preserve">    出现前款（1）（2）情形的，视为放弃投标（响应）；出现前款（3）情形的，由</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自行承担相应责任。</w:t>
            </w:r>
          </w:p>
          <w:p w14:paraId="1984752A">
            <w:pPr>
              <w:widowControl/>
              <w:rPr>
                <w:rFonts w:hint="eastAsia" w:ascii="仿宋_GB2312" w:hAnsi="仿宋_GB2312" w:eastAsia="仿宋_GB2312" w:cs="仿宋_GB2312"/>
                <w:szCs w:val="21"/>
                <w:lang w:val="en-US" w:eastAsia="en-US"/>
              </w:rPr>
            </w:pP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lang w:val="en-US" w:eastAsia="en-US"/>
              </w:rPr>
              <w:t>启用备份文件应由采购人、采购代理机构和相关</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共同签字确认，</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未到场的，通过视频方式进行确认。</w:t>
            </w:r>
          </w:p>
          <w:p w14:paraId="1BD47525">
            <w:pPr>
              <w:widowControl/>
              <w:rPr>
                <w:rFonts w:hint="eastAsia" w:ascii="仿宋_GB2312" w:hAnsi="仿宋_GB2312" w:eastAsia="仿宋_GB2312" w:cs="仿宋_GB2312"/>
                <w:szCs w:val="21"/>
              </w:rPr>
            </w:pPr>
            <w:r>
              <w:rPr>
                <w:rFonts w:hint="eastAsia" w:ascii="仿宋_GB2312" w:hAnsi="仿宋_GB2312" w:eastAsia="仿宋_GB2312" w:cs="仿宋_GB2312"/>
                <w:szCs w:val="21"/>
                <w:lang w:val="en-US" w:eastAsia="en-US"/>
              </w:rPr>
              <w:t>9、关于未使用的备份文件退还方式:</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上传的投标(响应)文件正常解密的且采购活动正常进行的，备份文件自动失效。代理机构将在中标（成交）通知书发出前联系</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将备份文件退回，</w:t>
            </w:r>
            <w:r>
              <w:rPr>
                <w:rFonts w:hint="eastAsia" w:ascii="仿宋_GB2312" w:hAnsi="仿宋_GB2312" w:eastAsia="仿宋_GB2312" w:cs="仿宋_GB2312"/>
                <w:szCs w:val="21"/>
                <w:lang w:val="en-US" w:eastAsia="zh-CN"/>
              </w:rPr>
              <w:t>投标人</w:t>
            </w:r>
            <w:r>
              <w:rPr>
                <w:rFonts w:hint="eastAsia" w:ascii="仿宋_GB2312" w:hAnsi="仿宋_GB2312" w:eastAsia="仿宋_GB2312" w:cs="仿宋_GB2312"/>
                <w:szCs w:val="21"/>
                <w:lang w:val="en-US" w:eastAsia="en-US"/>
              </w:rPr>
              <w:t>可选择现场领取或邮寄的方式。</w:t>
            </w:r>
          </w:p>
        </w:tc>
      </w:tr>
      <w:tr w14:paraId="7A514E15">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noWrap w:val="0"/>
            <w:vAlign w:val="center"/>
          </w:tcPr>
          <w:p w14:paraId="3650CBEF">
            <w:pPr>
              <w:widowControl/>
              <w:jc w:val="center"/>
              <w:rPr>
                <w:rFonts w:hint="eastAsia" w:ascii="仿宋" w:hAnsi="仿宋" w:eastAsia="仿宋" w:cs="仿宋"/>
                <w:color w:val="auto"/>
                <w:kern w:val="0"/>
                <w:szCs w:val="21"/>
                <w:highlight w:val="none"/>
              </w:rPr>
            </w:pPr>
          </w:p>
        </w:tc>
        <w:tc>
          <w:tcPr>
            <w:tcW w:w="1917" w:type="dxa"/>
            <w:tcBorders>
              <w:top w:val="single" w:color="auto" w:sz="4" w:space="0"/>
              <w:left w:val="single" w:color="auto" w:sz="4" w:space="0"/>
              <w:bottom w:val="single" w:color="auto" w:sz="4" w:space="0"/>
              <w:right w:val="single" w:color="auto" w:sz="8" w:space="0"/>
            </w:tcBorders>
            <w:noWrap w:val="0"/>
            <w:vAlign w:val="center"/>
          </w:tcPr>
          <w:p w14:paraId="2DF23F84">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sz w:val="20"/>
                <w:szCs w:val="20"/>
                <w:highlight w:val="none"/>
                <w:lang w:val="en-US" w:eastAsia="en-US" w:bidi="en-US"/>
              </w:rPr>
              <w:t>其他事项</w:t>
            </w:r>
          </w:p>
        </w:tc>
        <w:tc>
          <w:tcPr>
            <w:tcW w:w="5887" w:type="dxa"/>
            <w:tcBorders>
              <w:top w:val="single" w:color="auto" w:sz="4" w:space="0"/>
              <w:left w:val="nil"/>
              <w:bottom w:val="single" w:color="auto" w:sz="4" w:space="0"/>
              <w:right w:val="single" w:color="auto" w:sz="8" w:space="0"/>
            </w:tcBorders>
            <w:noWrap w:val="0"/>
            <w:vAlign w:val="center"/>
          </w:tcPr>
          <w:p w14:paraId="74A6118C">
            <w:pPr>
              <w:widowControl/>
              <w:rPr>
                <w:rFonts w:hint="eastAsia" w:ascii="仿宋" w:hAnsi="仿宋" w:eastAsia="仿宋" w:cs="仿宋"/>
                <w:color w:val="auto"/>
                <w:sz w:val="20"/>
                <w:szCs w:val="20"/>
                <w:highlight w:val="none"/>
                <w:lang w:val="en-US" w:eastAsia="en-US" w:bidi="en-US"/>
              </w:rPr>
            </w:pPr>
            <w:r>
              <w:rPr>
                <w:rFonts w:hint="eastAsia" w:ascii="仿宋" w:hAnsi="仿宋" w:eastAsia="仿宋" w:cs="仿宋"/>
                <w:color w:val="auto"/>
                <w:sz w:val="20"/>
                <w:szCs w:val="20"/>
                <w:highlight w:val="none"/>
                <w:lang w:val="en-US" w:eastAsia="en-US" w:bidi="en-US"/>
              </w:rPr>
              <w:t>1、参与本项目的</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须自行办理数字认证证书；请</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登录账号后进行网上报名，网上报名时请填写好联系人，联系方式，以便后续发布更正公告后及时书面通知到</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；如未留相关信息，导致更正公告无法书面通知到，将视同</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已知晓该更正公告内容。</w:t>
            </w:r>
          </w:p>
          <w:p w14:paraId="563D5903">
            <w:pPr>
              <w:widowControl/>
              <w:rPr>
                <w:rFonts w:hint="eastAsia" w:ascii="仿宋" w:hAnsi="仿宋" w:eastAsia="仿宋" w:cs="仿宋"/>
                <w:color w:val="auto"/>
                <w:sz w:val="20"/>
                <w:szCs w:val="20"/>
                <w:highlight w:val="none"/>
                <w:lang w:val="en-US" w:eastAsia="en-US" w:bidi="en-US"/>
              </w:rPr>
            </w:pPr>
            <w:r>
              <w:rPr>
                <w:rFonts w:hint="eastAsia" w:ascii="仿宋" w:hAnsi="仿宋" w:eastAsia="仿宋" w:cs="仿宋"/>
                <w:color w:val="auto"/>
                <w:sz w:val="20"/>
                <w:szCs w:val="20"/>
                <w:highlight w:val="none"/>
                <w:lang w:val="en-US" w:eastAsia="en-US" w:bidi="en-US"/>
              </w:rPr>
              <w:t>2、投标（响应）文件递交采用辽宁政府采购网网上递交及开标现场递交U盘形式存储的可加密备份文件两种形式同时执行，并承诺备份文件与电子评审系统中上传的投标（响应）文件内容、格式一致，以备系统突发故障使用。</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仅提交备份文件的，投标（响应）无效。电子投标（响应）文件及报价须在开标截止时间前及时上传和提交。</w:t>
            </w:r>
          </w:p>
          <w:p w14:paraId="6973C214">
            <w:pPr>
              <w:widowControl/>
              <w:rPr>
                <w:rFonts w:hint="eastAsia" w:ascii="仿宋" w:hAnsi="仿宋" w:eastAsia="仿宋" w:cs="仿宋"/>
                <w:color w:val="auto"/>
                <w:sz w:val="20"/>
                <w:szCs w:val="20"/>
                <w:highlight w:val="none"/>
                <w:lang w:val="en-US" w:eastAsia="en-US" w:bidi="en-US"/>
              </w:rPr>
            </w:pPr>
            <w:r>
              <w:rPr>
                <w:rFonts w:hint="eastAsia" w:ascii="仿宋" w:hAnsi="仿宋" w:eastAsia="仿宋" w:cs="仿宋"/>
                <w:color w:val="auto"/>
                <w:sz w:val="20"/>
                <w:szCs w:val="20"/>
                <w:highlight w:val="none"/>
                <w:lang w:val="en-US" w:eastAsia="en-US" w:bidi="en-US"/>
              </w:rPr>
              <w:t>3、</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应认真学习辽宁政府采购网电子文件制作指南，并按照</w:t>
            </w:r>
            <w:r>
              <w:rPr>
                <w:rFonts w:hint="eastAsia" w:ascii="仿宋" w:hAnsi="仿宋" w:cs="仿宋"/>
                <w:color w:val="auto"/>
                <w:sz w:val="20"/>
                <w:szCs w:val="20"/>
                <w:highlight w:val="none"/>
                <w:lang w:val="en-US" w:eastAsia="zh-CN" w:bidi="en-US"/>
              </w:rPr>
              <w:t>招标</w:t>
            </w:r>
            <w:r>
              <w:rPr>
                <w:rFonts w:hint="eastAsia" w:ascii="仿宋" w:hAnsi="仿宋" w:eastAsia="仿宋" w:cs="仿宋"/>
                <w:color w:val="auto"/>
                <w:sz w:val="20"/>
                <w:szCs w:val="20"/>
                <w:highlight w:val="none"/>
                <w:lang w:val="en-US" w:eastAsia="en-US" w:bidi="en-US"/>
              </w:rPr>
              <w:t>文件和电子评审系统要求进行投标（响应）信息填报、电子文件编制、盖章或电子签章等工作；</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应确保文件真实有效，清晰可辨，避免影响评审活动。</w:t>
            </w:r>
          </w:p>
          <w:p w14:paraId="47D86973">
            <w:pPr>
              <w:widowControl/>
              <w:rPr>
                <w:rFonts w:hint="eastAsia" w:ascii="仿宋_GB2312" w:hAnsi="仿宋_GB2312" w:eastAsia="仿宋_GB2312" w:cs="仿宋_GB2312"/>
                <w:szCs w:val="21"/>
              </w:rPr>
            </w:pPr>
            <w:r>
              <w:rPr>
                <w:rFonts w:hint="eastAsia" w:ascii="仿宋" w:hAnsi="仿宋" w:eastAsia="仿宋" w:cs="仿宋"/>
                <w:color w:val="auto"/>
                <w:sz w:val="20"/>
                <w:szCs w:val="20"/>
                <w:highlight w:val="none"/>
                <w:lang w:val="en-US" w:eastAsia="en-US" w:bidi="en-US"/>
              </w:rPr>
              <w:t>4、关于未使用的备份文件退还方式:</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上传的投标(响应)文件正常解密的且采购活动正常进行的，备份文件自动失效。代理机构将在中标（成交）通知书发出前联系</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将备份文件退回，</w:t>
            </w:r>
            <w:r>
              <w:rPr>
                <w:rFonts w:hint="eastAsia" w:ascii="仿宋" w:hAnsi="仿宋" w:cs="仿宋"/>
                <w:color w:val="auto"/>
                <w:sz w:val="20"/>
                <w:szCs w:val="20"/>
                <w:highlight w:val="none"/>
                <w:lang w:val="en-US" w:eastAsia="zh-CN" w:bidi="en-US"/>
              </w:rPr>
              <w:t>投标人</w:t>
            </w:r>
            <w:r>
              <w:rPr>
                <w:rFonts w:hint="eastAsia" w:ascii="仿宋" w:hAnsi="仿宋" w:eastAsia="仿宋" w:cs="仿宋"/>
                <w:color w:val="auto"/>
                <w:sz w:val="20"/>
                <w:szCs w:val="20"/>
                <w:highlight w:val="none"/>
                <w:lang w:val="en-US" w:eastAsia="en-US" w:bidi="en-US"/>
              </w:rPr>
              <w:t>可选择现场领取或邮寄的方式。</w:t>
            </w:r>
          </w:p>
        </w:tc>
      </w:tr>
    </w:tbl>
    <w:p w14:paraId="57C83605">
      <w:pPr>
        <w:rPr>
          <w:rFonts w:hint="eastAsia" w:ascii="仿宋" w:hAnsi="仿宋" w:eastAsia="仿宋" w:cs="仿宋"/>
          <w:color w:val="auto"/>
          <w:highlight w:val="none"/>
        </w:rPr>
      </w:pPr>
      <w:r>
        <w:rPr>
          <w:rFonts w:hint="eastAsia" w:ascii="仿宋" w:hAnsi="仿宋" w:eastAsia="仿宋" w:cs="仿宋"/>
          <w:color w:val="auto"/>
          <w:highlight w:val="none"/>
        </w:rPr>
        <w:t>注：表格中“</w:t>
      </w:r>
      <w:r>
        <w:rPr>
          <w:rFonts w:hint="eastAsia" w:ascii="仿宋" w:hAnsi="仿宋" w:eastAsia="仿宋" w:cs="仿宋"/>
          <w:color w:val="auto"/>
          <w:highlight w:val="none"/>
        </w:rPr>
        <w:sym w:font="Wingdings 2" w:char="0052"/>
      </w:r>
      <w:r>
        <w:rPr>
          <w:rFonts w:hint="eastAsia" w:ascii="仿宋" w:hAnsi="仿宋" w:eastAsia="仿宋" w:cs="仿宋"/>
          <w:color w:val="auto"/>
          <w:highlight w:val="none"/>
        </w:rPr>
        <w:t>”项或“■”项为被选中项。</w:t>
      </w:r>
    </w:p>
    <w:p w14:paraId="6F6A01A5">
      <w:pPr>
        <w:pStyle w:val="3"/>
        <w:adjustRightInd w:val="0"/>
        <w:snapToGrid w:val="0"/>
        <w:spacing w:before="0" w:after="0" w:line="360" w:lineRule="auto"/>
        <w:rPr>
          <w:rFonts w:hint="eastAsia" w:ascii="仿宋" w:hAnsi="仿宋" w:eastAsia="仿宋" w:cs="仿宋"/>
          <w:color w:val="auto"/>
          <w:sz w:val="32"/>
          <w:szCs w:val="36"/>
          <w:highlight w:val="none"/>
        </w:rPr>
      </w:pPr>
      <w:r>
        <w:rPr>
          <w:rFonts w:hint="eastAsia" w:ascii="仿宋" w:hAnsi="仿宋" w:eastAsia="仿宋" w:cs="仿宋"/>
          <w:color w:val="auto"/>
          <w:sz w:val="21"/>
          <w:szCs w:val="21"/>
          <w:highlight w:val="none"/>
        </w:rPr>
        <w:br w:type="page"/>
      </w:r>
      <w:bookmarkStart w:id="33" w:name="_Toc30384_WPSOffice_Level2"/>
      <w:r>
        <w:rPr>
          <w:rFonts w:hint="eastAsia" w:ascii="仿宋" w:hAnsi="仿宋" w:eastAsia="仿宋" w:cs="仿宋"/>
          <w:color w:val="auto"/>
          <w:sz w:val="32"/>
          <w:szCs w:val="36"/>
          <w:highlight w:val="none"/>
        </w:rPr>
        <w:t>二 总则</w:t>
      </w:r>
      <w:bookmarkEnd w:id="33"/>
    </w:p>
    <w:p w14:paraId="30117AA4">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1.采购人、采购代理机构及投标人</w:t>
      </w:r>
    </w:p>
    <w:p w14:paraId="559228C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1.1采购人：是指依法进行政府采购的国家机关、事业单位、团体组织。本项目采购人见投标人须知表1.1款。</w:t>
      </w:r>
    </w:p>
    <w:p w14:paraId="3932410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1.2采购代理机构：是指集中采购机构或从事采购代理业务的社会中介机构，本项目的采购代理机构见投标人须知表1.2款。</w:t>
      </w:r>
    </w:p>
    <w:p w14:paraId="7DBA45B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★1.3投标人：是指向采购人提供货物、工程或者服务的法人、非法人组织或者自然人。本项目的投标人及其投标货物须满足以下条件：</w:t>
      </w:r>
    </w:p>
    <w:p w14:paraId="466F1C9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1.3.1在中华人民共和国境内注册，能够独立承担民事责任，有生产或供应能力的本国供应商。</w:t>
      </w:r>
    </w:p>
    <w:p w14:paraId="30C9009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1.3.2符合《中华人民共和国政府采购法》第二十二条关于供应商条件的规定，遵守本项目采购人本级和上级财政部门关于政府采购的有关规定。</w:t>
      </w:r>
    </w:p>
    <w:p w14:paraId="3A38BD6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1.3.3以采购代理机构认可的方式获得了本项目的招标文件。</w:t>
      </w:r>
    </w:p>
    <w:p w14:paraId="795063A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1.3.4符合投标人须知表1.3.4款中规定的资格条件。</w:t>
      </w:r>
    </w:p>
    <w:p w14:paraId="318128B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16A24EF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若投标人须知表1.3.5款中未写明允许采购进口产品，如投标人所投产品为进口产品，其投标将被认定为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1EBE77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1.3.6若投标人须知表1.3.6款中写明专门面向中小企业采购的，如投标人为非中小企业且所投产品为非中小企业产品，其投标将被认定为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2FE60A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7D04ACB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★1.4如投标人须知表1.4款中允许联合体投标，对联合体规定如下：</w:t>
      </w:r>
    </w:p>
    <w:p w14:paraId="43561FB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1.4.1两个以上供应商可以组成一个投标联合体，以一个投标人的身份投标。</w:t>
      </w:r>
    </w:p>
    <w:p w14:paraId="6D1C09D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1.4.2联合体各方均应符合《中华人民共和国政府采购法》第二十二条规定的条件。</w:t>
      </w:r>
    </w:p>
    <w:p w14:paraId="5547AFE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1.4.3采购人根据采购项目对投标人的特殊要求，联合体中至少应当有一方符合相关规定。</w:t>
      </w:r>
    </w:p>
    <w:p w14:paraId="3B23CA6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1.4.4联合体各方应签订共同投标协议，明确约定联合体各方承担的工作和相应的责任。</w:t>
      </w:r>
    </w:p>
    <w:p w14:paraId="30FC9A0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1D92AFB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1.4.6联合体中有同类资质的供应商按照联合体分工承担相同工作的，按照较低的资质等级确定联合体的资质等级。</w:t>
      </w:r>
    </w:p>
    <w:p w14:paraId="7B809D2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8C545B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（1）两个以上的自然人、法人或者其他组织可以组成一个联合体，以一个投标人的身份共同参加政府采购活动。</w:t>
      </w:r>
    </w:p>
    <w:p w14:paraId="6289DBA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（2）联合体中标的，联合体各方应共同与采购人签订采购合同，就采购合同约定的事项对采购人承担连带责任。</w:t>
      </w:r>
    </w:p>
    <w:p w14:paraId="093A157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1.4.8对联合体投标的其他资格要求见投标人须知表1.4.8款。</w:t>
      </w:r>
    </w:p>
    <w:p w14:paraId="32171A4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★1.5单位负责人为同一人或者存在直接控股、管理关系的不同供应商，其相关投标将被认定为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6E5BA6A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EEA701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★1.7投标人在投标过程中不得向采购人提供、给予任何有价值的物品，影响其正常决策行为。一经发现，其将被认定为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413EF8A">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2.资金来源</w:t>
      </w:r>
    </w:p>
    <w:p w14:paraId="1DACEA0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2.1本项目的采购人已获得足以支付本次招标后所签订的合同项下的资金（包括财政性资金和本项目采购中无法与财政性资金分割的非财政性资金）。</w:t>
      </w:r>
    </w:p>
    <w:p w14:paraId="1002FFF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2.2项目预算金额和分项或分包最高限价见投标人须知表2.2款。</w:t>
      </w:r>
    </w:p>
    <w:p w14:paraId="7B8AFB2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2.3投标人报价超过招标文件规定的预算金额或者分项、分包最高限价的，其投标将被认定为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E83C094">
      <w:pPr>
        <w:adjustRightInd w:val="0"/>
        <w:snapToGrid w:val="0"/>
        <w:spacing w:line="360" w:lineRule="auto"/>
        <w:rPr>
          <w:rFonts w:hint="eastAsia" w:ascii="仿宋" w:hAnsi="仿宋" w:eastAsia="仿宋" w:cs="仿宋"/>
          <w:b/>
          <w:bCs/>
          <w:color w:val="auto"/>
          <w:szCs w:val="21"/>
          <w:highlight w:val="none"/>
        </w:rPr>
      </w:pPr>
      <w:bookmarkStart w:id="34" w:name="_Toc266951048"/>
      <w:r>
        <w:rPr>
          <w:rFonts w:hint="eastAsia" w:ascii="仿宋" w:hAnsi="仿宋" w:eastAsia="仿宋" w:cs="仿宋"/>
          <w:b/>
          <w:bCs/>
          <w:color w:val="auto"/>
          <w:szCs w:val="21"/>
          <w:highlight w:val="none"/>
        </w:rPr>
        <w:t>3.语言文字</w:t>
      </w:r>
      <w:bookmarkEnd w:id="34"/>
    </w:p>
    <w:p w14:paraId="4A3CF25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除专用术语外，与投标有关的语言均使用中文。必要时专用术语应附有中文注释。对不同文字文本投标文件的解释发生异议的，以中文文本为准。</w:t>
      </w:r>
    </w:p>
    <w:p w14:paraId="61522847">
      <w:pPr>
        <w:adjustRightInd w:val="0"/>
        <w:snapToGrid w:val="0"/>
        <w:spacing w:line="360" w:lineRule="auto"/>
        <w:rPr>
          <w:rFonts w:hint="eastAsia" w:ascii="仿宋" w:hAnsi="仿宋" w:eastAsia="仿宋" w:cs="仿宋"/>
          <w:b/>
          <w:bCs/>
          <w:color w:val="auto"/>
          <w:szCs w:val="21"/>
          <w:highlight w:val="none"/>
        </w:rPr>
      </w:pPr>
      <w:bookmarkStart w:id="35" w:name="_1.8_计量单位"/>
      <w:bookmarkEnd w:id="35"/>
      <w:bookmarkStart w:id="36" w:name="_Toc266951049"/>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4.计量单位</w:t>
      </w:r>
      <w:bookmarkEnd w:id="36"/>
    </w:p>
    <w:p w14:paraId="3E3A8A6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除投标人须知表4款中有特殊要求外，投标文件中所使用的计量单位，应采用中华人民共和国法定计量单位。</w:t>
      </w:r>
    </w:p>
    <w:p w14:paraId="038F5E2C">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5.投标费用</w:t>
      </w:r>
    </w:p>
    <w:p w14:paraId="261A786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不论投标的结果如何，投标人应承担所有与投标有关的费用。</w:t>
      </w:r>
    </w:p>
    <w:p w14:paraId="0AF5565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6.现场考察、开标前答疑会</w:t>
      </w:r>
    </w:p>
    <w:p w14:paraId="445C132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6.1</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"_踏勘现场"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1"/>
          <w:highlight w:val="none"/>
        </w:rPr>
        <w:t>投标人须知表</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77B4F630">
      <w:pPr>
        <w:adjustRightInd w:val="0"/>
        <w:snapToGrid w:val="0"/>
        <w:spacing w:line="360" w:lineRule="auto"/>
        <w:rPr>
          <w:rFonts w:hint="eastAsia" w:ascii="仿宋" w:hAnsi="仿宋" w:eastAsia="仿宋" w:cs="仿宋"/>
          <w:b/>
          <w:bCs/>
          <w:color w:val="auto"/>
          <w:szCs w:val="21"/>
          <w:highlight w:val="none"/>
        </w:rPr>
      </w:pPr>
      <w:bookmarkStart w:id="37" w:name="_1.10_投标预备会"/>
      <w:bookmarkEnd w:id="37"/>
      <w:r>
        <w:rPr>
          <w:rFonts w:hint="eastAsia" w:ascii="仿宋" w:hAnsi="仿宋" w:eastAsia="仿宋" w:cs="仿宋"/>
          <w:color w:val="auto"/>
          <w:szCs w:val="21"/>
          <w:highlight w:val="none"/>
        </w:rPr>
        <w:t>6.2</w:t>
      </w:r>
      <w:r>
        <w:rPr>
          <w:rFonts w:hint="eastAsia" w:ascii="仿宋" w:hAnsi="仿宋" w:eastAsia="仿宋" w:cs="仿宋"/>
          <w:color w:val="auto"/>
          <w:kern w:val="0"/>
          <w:szCs w:val="21"/>
          <w:highlight w:val="none"/>
        </w:rPr>
        <w:t>由于未参加现场考察或标前答疑而导致对项目实际情况不了解，影响技术文件编制、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color w:val="auto"/>
          <w:highlight w:val="none"/>
        </w:rPr>
        <w:fldChar w:fldCharType="separate"/>
      </w:r>
      <w:r>
        <w:rPr>
          <w:rFonts w:hint="eastAsia" w:ascii="仿宋" w:hAnsi="仿宋" w:eastAsia="仿宋" w:cs="仿宋"/>
          <w:color w:val="auto"/>
          <w:kern w:val="0"/>
          <w:szCs w:val="21"/>
          <w:highlight w:val="none"/>
        </w:rPr>
        <w:t>投标报价</w:t>
      </w:r>
      <w:r>
        <w:rPr>
          <w:rFonts w:hint="eastAsia" w:ascii="仿宋" w:hAnsi="仿宋" w:eastAsia="仿宋" w:cs="仿宋"/>
          <w:color w:val="auto"/>
          <w:kern w:val="0"/>
          <w:szCs w:val="21"/>
          <w:highlight w:val="none"/>
        </w:rPr>
        <w:fldChar w:fldCharType="end"/>
      </w:r>
      <w:r>
        <w:rPr>
          <w:rFonts w:hint="eastAsia" w:ascii="仿宋" w:hAnsi="仿宋" w:eastAsia="仿宋" w:cs="仿宋"/>
          <w:color w:val="auto"/>
          <w:kern w:val="0"/>
          <w:szCs w:val="21"/>
          <w:highlight w:val="none"/>
        </w:rPr>
        <w:t>准确性、综合因素响应不全面等问题的，由投标人自行承担相应后果。</w:t>
      </w:r>
    </w:p>
    <w:p w14:paraId="5AE7221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6.3现场考察及参加标前答疑会所发生的费用及一切责任由投标人自行承担。</w:t>
      </w:r>
    </w:p>
    <w:p w14:paraId="6176F22A">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7.适用法律</w:t>
      </w:r>
    </w:p>
    <w:p w14:paraId="2D4B57A4">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27A2F8D">
      <w:pPr>
        <w:pStyle w:val="3"/>
        <w:rPr>
          <w:rFonts w:hint="eastAsia" w:ascii="仿宋" w:hAnsi="仿宋" w:eastAsia="仿宋" w:cs="仿宋"/>
          <w:color w:val="auto"/>
          <w:sz w:val="32"/>
          <w:szCs w:val="28"/>
          <w:highlight w:val="none"/>
        </w:rPr>
      </w:pPr>
      <w:bookmarkStart w:id="38" w:name="_Toc10106_WPSOffice_Level2"/>
      <w:r>
        <w:rPr>
          <w:rFonts w:hint="eastAsia" w:ascii="仿宋" w:hAnsi="仿宋" w:eastAsia="仿宋" w:cs="仿宋"/>
          <w:color w:val="auto"/>
          <w:sz w:val="32"/>
          <w:szCs w:val="28"/>
          <w:highlight w:val="none"/>
        </w:rPr>
        <w:t>三 招标文件</w:t>
      </w:r>
      <w:bookmarkEnd w:id="38"/>
    </w:p>
    <w:p w14:paraId="41B83FE8">
      <w:pPr>
        <w:tabs>
          <w:tab w:val="left" w:pos="312"/>
        </w:tabs>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8.招标文件构成</w:t>
      </w:r>
    </w:p>
    <w:p w14:paraId="5C1D0069">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rPr>
        <w:t>招标</w:t>
      </w:r>
      <w:r>
        <w:rPr>
          <w:rFonts w:hint="eastAsia" w:ascii="仿宋" w:hAnsi="仿宋" w:eastAsia="仿宋" w:cs="仿宋"/>
          <w:color w:val="auto"/>
          <w:highlight w:val="none"/>
        </w:rPr>
        <w:t>文件内容如下:</w:t>
      </w:r>
    </w:p>
    <w:p w14:paraId="1772A8CE">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kern w:val="0"/>
          <w:szCs w:val="21"/>
          <w:highlight w:val="none"/>
        </w:rPr>
        <w:t>招标</w:t>
      </w:r>
      <w:r>
        <w:rPr>
          <w:rFonts w:hint="eastAsia" w:ascii="仿宋" w:hAnsi="仿宋" w:eastAsia="仿宋" w:cs="仿宋"/>
          <w:color w:val="auto"/>
          <w:highlight w:val="none"/>
        </w:rPr>
        <w:t>公告</w:t>
      </w:r>
    </w:p>
    <w:p w14:paraId="733D45A8">
      <w:pPr>
        <w:numPr>
          <w:ilvl w:val="0"/>
          <w:numId w:val="2"/>
        </w:numPr>
        <w:adjustRightInd w:val="0"/>
        <w:snapToGrid w:val="0"/>
        <w:spacing w:line="360" w:lineRule="auto"/>
        <w:ind w:firstLine="420" w:firstLineChars="200"/>
        <w:rPr>
          <w:rFonts w:hint="eastAsia" w:ascii="仿宋" w:hAnsi="仿宋" w:eastAsia="仿宋" w:cs="仿宋"/>
          <w:color w:val="auto"/>
          <w:highlight w:val="none"/>
        </w:rPr>
      </w:pPr>
      <w:bookmarkStart w:id="39" w:name="_Toc24604_WPSOffice_Level2"/>
      <w:bookmarkStart w:id="40" w:name="_Toc4961_WPSOffice_Level2"/>
      <w:bookmarkStart w:id="41" w:name="_Toc25935_WPSOffice_Level2"/>
      <w:bookmarkStart w:id="42" w:name="_Toc188_WPSOffice_Level2"/>
      <w:r>
        <w:rPr>
          <w:rFonts w:hint="eastAsia" w:ascii="仿宋" w:hAnsi="仿宋" w:eastAsia="仿宋" w:cs="仿宋"/>
          <w:color w:val="auto"/>
          <w:highlight w:val="none"/>
        </w:rPr>
        <w:t>投标人须知</w:t>
      </w:r>
      <w:bookmarkEnd w:id="39"/>
      <w:bookmarkEnd w:id="40"/>
      <w:bookmarkEnd w:id="41"/>
      <w:bookmarkEnd w:id="42"/>
    </w:p>
    <w:p w14:paraId="5AA4AD02">
      <w:pPr>
        <w:adjustRightInd w:val="0"/>
        <w:snapToGrid w:val="0"/>
        <w:spacing w:line="360" w:lineRule="auto"/>
        <w:ind w:firstLine="420" w:firstLineChars="200"/>
        <w:rPr>
          <w:rFonts w:hint="eastAsia" w:ascii="仿宋" w:hAnsi="仿宋" w:eastAsia="仿宋" w:cs="仿宋"/>
          <w:color w:val="auto"/>
          <w:highlight w:val="none"/>
        </w:rPr>
      </w:pPr>
      <w:bookmarkStart w:id="43" w:name="_Toc2443_WPSOffice_Level2"/>
      <w:bookmarkStart w:id="44" w:name="_Toc13276_WPSOffice_Level2"/>
      <w:bookmarkStart w:id="45" w:name="_Toc32235_WPSOffice_Level2"/>
      <w:bookmarkStart w:id="46" w:name="_Toc31424_WPSOffice_Level2"/>
      <w:r>
        <w:rPr>
          <w:rFonts w:hint="eastAsia" w:ascii="仿宋" w:hAnsi="仿宋" w:eastAsia="仿宋" w:cs="仿宋"/>
          <w:color w:val="auto"/>
          <w:highlight w:val="none"/>
        </w:rPr>
        <w:t>第二章 投标文件内容及格式</w:t>
      </w:r>
      <w:bookmarkEnd w:id="43"/>
      <w:bookmarkEnd w:id="44"/>
      <w:bookmarkEnd w:id="45"/>
      <w:bookmarkEnd w:id="46"/>
    </w:p>
    <w:p w14:paraId="43DC0803">
      <w:pPr>
        <w:adjustRightInd w:val="0"/>
        <w:snapToGrid w:val="0"/>
        <w:spacing w:line="360" w:lineRule="auto"/>
        <w:ind w:firstLine="420" w:firstLineChars="200"/>
        <w:rPr>
          <w:rFonts w:hint="eastAsia" w:ascii="仿宋" w:hAnsi="仿宋" w:eastAsia="仿宋" w:cs="仿宋"/>
          <w:color w:val="auto"/>
          <w:highlight w:val="none"/>
        </w:rPr>
      </w:pPr>
      <w:bookmarkStart w:id="47" w:name="_Toc24836_WPSOffice_Level2"/>
      <w:bookmarkStart w:id="48" w:name="_Toc7005_WPSOffice_Level2"/>
      <w:bookmarkStart w:id="49" w:name="_Toc16269_WPSOffice_Level2"/>
      <w:bookmarkStart w:id="50" w:name="_Toc4416_WPSOffice_Level2"/>
      <w:r>
        <w:rPr>
          <w:rFonts w:hint="eastAsia" w:ascii="仿宋" w:hAnsi="仿宋" w:eastAsia="仿宋" w:cs="仿宋"/>
          <w:color w:val="auto"/>
          <w:highlight w:val="none"/>
        </w:rPr>
        <w:t>第三章 货物需求</w:t>
      </w:r>
      <w:bookmarkEnd w:id="47"/>
      <w:bookmarkEnd w:id="48"/>
      <w:bookmarkEnd w:id="49"/>
      <w:bookmarkEnd w:id="50"/>
    </w:p>
    <w:p w14:paraId="1EAD6A10">
      <w:pPr>
        <w:adjustRightInd w:val="0"/>
        <w:snapToGrid w:val="0"/>
        <w:spacing w:line="360" w:lineRule="auto"/>
        <w:ind w:firstLine="420" w:firstLineChars="200"/>
        <w:rPr>
          <w:rFonts w:hint="eastAsia" w:ascii="仿宋" w:hAnsi="仿宋" w:eastAsia="仿宋" w:cs="仿宋"/>
          <w:color w:val="auto"/>
          <w:highlight w:val="none"/>
        </w:rPr>
      </w:pPr>
      <w:bookmarkStart w:id="51" w:name="_Toc16119_WPSOffice_Level2"/>
      <w:bookmarkStart w:id="52" w:name="_Toc25382_WPSOffice_Level2"/>
      <w:bookmarkStart w:id="53" w:name="_Toc16294_WPSOffice_Level2"/>
      <w:bookmarkStart w:id="54" w:name="_Toc23459_WPSOffice_Level2"/>
      <w:r>
        <w:rPr>
          <w:rFonts w:hint="eastAsia" w:ascii="仿宋" w:hAnsi="仿宋" w:eastAsia="仿宋" w:cs="仿宋"/>
          <w:color w:val="auto"/>
          <w:highlight w:val="none"/>
        </w:rPr>
        <w:t>第四章 评标方法</w:t>
      </w:r>
      <w:bookmarkEnd w:id="51"/>
      <w:bookmarkEnd w:id="52"/>
      <w:bookmarkEnd w:id="53"/>
      <w:bookmarkEnd w:id="54"/>
    </w:p>
    <w:p w14:paraId="76E066CC">
      <w:pPr>
        <w:adjustRightInd w:val="0"/>
        <w:snapToGrid w:val="0"/>
        <w:spacing w:line="360" w:lineRule="auto"/>
        <w:ind w:firstLine="420" w:firstLineChars="200"/>
        <w:rPr>
          <w:rFonts w:hint="eastAsia" w:ascii="仿宋" w:hAnsi="仿宋" w:eastAsia="仿宋" w:cs="仿宋"/>
          <w:color w:val="auto"/>
          <w:highlight w:val="none"/>
        </w:rPr>
      </w:pPr>
      <w:bookmarkStart w:id="55" w:name="_Toc17794_WPSOffice_Level2"/>
      <w:bookmarkStart w:id="56" w:name="_Toc16368_WPSOffice_Level2"/>
      <w:bookmarkStart w:id="57" w:name="_Toc28106_WPSOffice_Level2"/>
      <w:bookmarkStart w:id="58" w:name="_Toc9629_WPSOffice_Level2"/>
      <w:r>
        <w:rPr>
          <w:rFonts w:hint="eastAsia" w:ascii="仿宋" w:hAnsi="仿宋" w:eastAsia="仿宋" w:cs="仿宋"/>
          <w:color w:val="auto"/>
          <w:highlight w:val="none"/>
        </w:rPr>
        <w:t>第五章 政府采购合同</w:t>
      </w:r>
      <w:bookmarkEnd w:id="55"/>
      <w:bookmarkEnd w:id="56"/>
      <w:bookmarkEnd w:id="57"/>
      <w:bookmarkEnd w:id="58"/>
      <w:r>
        <w:rPr>
          <w:rFonts w:hint="eastAsia" w:ascii="仿宋" w:hAnsi="仿宋" w:eastAsia="仿宋" w:cs="仿宋"/>
          <w:color w:val="auto"/>
          <w:highlight w:val="none"/>
        </w:rPr>
        <w:t>条款及格式</w:t>
      </w:r>
    </w:p>
    <w:p w14:paraId="6CCC96B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0E914C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9.招标文件的澄清与修改</w:t>
      </w:r>
    </w:p>
    <w:p w14:paraId="5CB5D30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2CF490E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9.2澄清或者修改的内容为招标文件的组成部分，对所有招标文件的收受人具有约束力。投标人在收到上述通知后，应及时向采购代理机构回函确认。</w:t>
      </w:r>
    </w:p>
    <w:p w14:paraId="7D976B27">
      <w:pPr>
        <w:pStyle w:val="3"/>
        <w:rPr>
          <w:rFonts w:hint="eastAsia" w:ascii="仿宋" w:hAnsi="仿宋" w:eastAsia="仿宋" w:cs="仿宋"/>
          <w:color w:val="auto"/>
          <w:sz w:val="32"/>
          <w:szCs w:val="32"/>
          <w:highlight w:val="none"/>
        </w:rPr>
      </w:pPr>
      <w:bookmarkStart w:id="59" w:name="_Toc7415_WPSOffice_Level2"/>
      <w:r>
        <w:rPr>
          <w:rFonts w:hint="eastAsia" w:ascii="仿宋" w:hAnsi="仿宋" w:eastAsia="仿宋" w:cs="仿宋"/>
          <w:color w:val="auto"/>
          <w:sz w:val="32"/>
          <w:szCs w:val="32"/>
          <w:highlight w:val="none"/>
        </w:rPr>
        <w:t>四 投标文件的编制</w:t>
      </w:r>
      <w:bookmarkEnd w:id="59"/>
    </w:p>
    <w:p w14:paraId="773659E7">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10.投标范围</w:t>
      </w:r>
    </w:p>
    <w:p w14:paraId="4F77D4C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10.1项目有分包的，投标人可对招标文件其中某一个分包或几个分包进行投标。</w:t>
      </w:r>
    </w:p>
    <w:p w14:paraId="69857C3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★10.2投标人应当对所投分包在招标文件中“货物需求”所列的所有货物内容进行投标，如仅响应分包中某一部分内容，其该包投标将被认定为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39642C7">
      <w:pPr>
        <w:pStyle w:val="4"/>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21A61D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10.4无论招标文件第三章货物需求中是否要求，投标人所投货物均应符合国家强制性标准。</w:t>
      </w:r>
    </w:p>
    <w:p w14:paraId="0A141E5F">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11.投标文件构成</w:t>
      </w:r>
    </w:p>
    <w:p w14:paraId="4393C53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7F8ABCA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★11.2投标人应按招标文件提供的格式编写投标文件。招标文件提供标准格式的按标准格式填列，未提供标准格式的可自行拟定。</w:t>
      </w:r>
    </w:p>
    <w:p w14:paraId="12B5919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 样品或演示要求详见投标人须知表11.3款。</w:t>
      </w:r>
    </w:p>
    <w:p w14:paraId="54029D4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12.投标报价</w:t>
      </w:r>
    </w:p>
    <w:p w14:paraId="2B37254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9B0ED1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33392F2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12.3投标人应按招标文件要求在相关表格中标明投标货物及伴随服务的单价和总价，并由法定代表人（非法人组织的负责人）或其委托代理人签署。</w:t>
      </w:r>
    </w:p>
    <w:p w14:paraId="75685B6E">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color w:val="auto"/>
          <w:szCs w:val="21"/>
          <w:highlight w:val="none"/>
        </w:rPr>
        <w:t>投标无效。</w:t>
      </w:r>
    </w:p>
    <w:p w14:paraId="6FD5EFA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12.5每种货物只能有一个投标报价。采购人不接受具有附加条件的报价。</w:t>
      </w:r>
    </w:p>
    <w:p w14:paraId="21188645">
      <w:pPr>
        <w:adjustRightInd w:val="0"/>
        <w:snapToGrid w:val="0"/>
        <w:spacing w:line="360" w:lineRule="auto"/>
        <w:rPr>
          <w:rFonts w:hint="eastAsia" w:ascii="仿宋" w:hAnsi="仿宋" w:eastAsia="仿宋" w:cs="仿宋"/>
          <w:color w:val="auto"/>
          <w:szCs w:val="21"/>
          <w:highlight w:val="none"/>
        </w:rPr>
      </w:pPr>
      <w:bookmarkStart w:id="60" w:name="_Toc22507_WPSOffice_Level2"/>
      <w:bookmarkStart w:id="61" w:name="_Toc31973_WPSOffice_Level2"/>
      <w:r>
        <w:rPr>
          <w:rFonts w:hint="eastAsia" w:ascii="仿宋" w:hAnsi="仿宋" w:eastAsia="仿宋" w:cs="仿宋"/>
          <w:color w:val="auto"/>
          <w:szCs w:val="21"/>
          <w:highlight w:val="none"/>
        </w:rPr>
        <w:t>12.6除非招标文件另有规定，报价原则上精确到小数点后两位。</w:t>
      </w:r>
      <w:bookmarkEnd w:id="60"/>
      <w:bookmarkEnd w:id="61"/>
    </w:p>
    <w:p w14:paraId="5B6DC30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★13.投标保证金</w:t>
      </w:r>
    </w:p>
    <w:p w14:paraId="60730E1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13.1投标人应提交投标人须知表13.1款中规定的投标保证金，并作为其投标的一部分。</w:t>
      </w:r>
    </w:p>
    <w:p w14:paraId="5DB530BB">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13.2投标保证金缴纳人、招标文件领取人、投标登记人和投标人必须为同一组织机构或联合体内不同成员单位，否则将视同未按招标文件规定交纳投标保证金。</w:t>
      </w:r>
    </w:p>
    <w:p w14:paraId="0FEA8BDD">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13.3投标人存在下列情形的，投标保证金不予退还：</w:t>
      </w:r>
    </w:p>
    <w:p w14:paraId="50395E7A">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（1）在投标有效期内，投标人撤销投标的；</w:t>
      </w:r>
    </w:p>
    <w:p w14:paraId="5EFBBEB3">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（2）中标后不按本须知第34款的规定与采购人签订合同的；</w:t>
      </w:r>
    </w:p>
    <w:p w14:paraId="1E33128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（3）中标后不按本须知第35款的规定提交履约保证金的；</w:t>
      </w:r>
    </w:p>
    <w:p w14:paraId="2120BB0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（4）中标后不按本须知第36款的规定缴纳采购代理服务费的；</w:t>
      </w:r>
    </w:p>
    <w:p w14:paraId="7B1A53D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（5）存在其他违法违规行为的。</w:t>
      </w:r>
    </w:p>
    <w:p w14:paraId="0998EBE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13.4联合体投标的，可以由联合体中的一方或者共同提交投标保证金。以一方名义提交投标保证金的，对联合体各方均具有约束力。</w:t>
      </w:r>
    </w:p>
    <w:p w14:paraId="7D85147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13.5投标保证金的退还</w:t>
      </w:r>
    </w:p>
    <w:p w14:paraId="04EE10C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13.5.1中标人应在与采购人签订合同之日起5个工作日内，及时联系保证金收受机构办理投标保证金退还手续。</w:t>
      </w:r>
    </w:p>
    <w:p w14:paraId="67AFC45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14:paraId="24D68D0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7EED02D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13.5.4 政府采购投标担保函不予退回。</w:t>
      </w:r>
    </w:p>
    <w:p w14:paraId="64D6702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 因投标人自身原因导致无法及时退还的，采购人或采购代理机构将不承担相应责任。</w:t>
      </w:r>
    </w:p>
    <w:p w14:paraId="304A577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14.证明投标标的的合格性和符合招标文件规定的技术文件</w:t>
      </w:r>
    </w:p>
    <w:p w14:paraId="13E8D1F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14.1投标人应提交证明文件，证明其投标内容符合招标文件规定。该证明文件是投标文件的一部分。</w:t>
      </w:r>
    </w:p>
    <w:p w14:paraId="3AFD381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14.2上款所述的证明文件，可以是文字资料、图纸和数据，它包括：</w:t>
      </w:r>
    </w:p>
    <w:p w14:paraId="3D16502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（1）货物主要技术指标和性能的详细说明；</w:t>
      </w:r>
    </w:p>
    <w:p w14:paraId="79C2C55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（2）货物从采购人开始使用至招标文件规定的保质期内正常、连续地使用所必须的备件和专用工具清单，包括备件和专用工具的货源及现行价格;</w:t>
      </w:r>
    </w:p>
    <w:p w14:paraId="63E43DC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（3）对照招标文件技术规格，逐条说明所提供货物及伴随的工程和服务已对招标文件的技术规格做出了实质性的响应，或申明与技术规格条文的偏差和例外。</w:t>
      </w:r>
    </w:p>
    <w:p w14:paraId="0D43C96B">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15.投标有效期</w:t>
      </w:r>
    </w:p>
    <w:p w14:paraId="3267E36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15.1投标应在投标人须知表15.1款中规定的投标有效期内保持有效。投标有效期不满足要求的投标，其投标将被认定为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936CCC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3FCC5AC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16.投标文件的签署及规定</w:t>
      </w:r>
    </w:p>
    <w:p w14:paraId="16163C42">
      <w:pPr>
        <w:adjustRightInd w:val="0"/>
        <w:snapToGrid w:val="0"/>
        <w:spacing w:line="360" w:lineRule="auto"/>
        <w:rPr>
          <w:rFonts w:hint="eastAsia" w:ascii="仿宋" w:hAnsi="仿宋" w:eastAsia="仿宋" w:cs="仿宋"/>
          <w:color w:val="auto"/>
          <w:szCs w:val="21"/>
          <w:highlight w:val="none"/>
        </w:rPr>
      </w:pPr>
      <w:bookmarkStart w:id="62" w:name="_Toc27725_WPSOffice_Level2"/>
      <w:r>
        <w:rPr>
          <w:rFonts w:hint="eastAsia" w:ascii="仿宋" w:hAnsi="仿宋" w:eastAsia="仿宋" w:cs="仿宋"/>
          <w:color w:val="auto"/>
          <w:szCs w:val="21"/>
          <w:highlight w:val="none"/>
        </w:rPr>
        <w:t>16.1投标人应按投标人须知表16.1款中的规定，准备和递交</w:t>
      </w:r>
      <w:r>
        <w:rPr>
          <w:rFonts w:hint="eastAsia" w:ascii="仿宋" w:hAnsi="仿宋" w:eastAsia="仿宋" w:cs="仿宋"/>
          <w:color w:val="auto"/>
          <w:szCs w:val="21"/>
          <w:highlight w:val="none"/>
          <w:lang w:eastAsia="zh-CN"/>
        </w:rPr>
        <w:t>电子</w:t>
      </w:r>
      <w:r>
        <w:rPr>
          <w:rFonts w:hint="eastAsia" w:ascii="仿宋" w:hAnsi="仿宋" w:eastAsia="仿宋" w:cs="仿宋"/>
          <w:color w:val="auto"/>
          <w:szCs w:val="21"/>
          <w:highlight w:val="none"/>
        </w:rPr>
        <w:t>投标文件和</w:t>
      </w:r>
      <w:r>
        <w:rPr>
          <w:rFonts w:hint="eastAsia" w:ascii="仿宋" w:hAnsi="仿宋" w:eastAsia="仿宋" w:cs="仿宋"/>
          <w:color w:val="auto"/>
          <w:szCs w:val="21"/>
          <w:highlight w:val="none"/>
          <w:lang w:eastAsia="zh-CN"/>
        </w:rPr>
        <w:t>备份投标文件</w:t>
      </w:r>
      <w:r>
        <w:rPr>
          <w:rFonts w:hint="eastAsia" w:ascii="仿宋" w:hAnsi="仿宋" w:eastAsia="仿宋" w:cs="仿宋"/>
          <w:color w:val="auto"/>
          <w:szCs w:val="21"/>
          <w:highlight w:val="none"/>
        </w:rPr>
        <w:t>。</w:t>
      </w:r>
    </w:p>
    <w:p w14:paraId="5AAECAD9">
      <w:pPr>
        <w:pStyle w:val="3"/>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rPr>
        <w:t>五 投标文件的递交</w:t>
      </w:r>
      <w:bookmarkEnd w:id="62"/>
    </w:p>
    <w:p w14:paraId="609CD649">
      <w:pPr>
        <w:adjustRightInd w:val="0"/>
        <w:snapToGrid w:val="0"/>
        <w:spacing w:line="360" w:lineRule="auto"/>
        <w:rPr>
          <w:rFonts w:hint="eastAsia" w:ascii="仿宋" w:hAnsi="仿宋" w:eastAsia="仿宋" w:cs="仿宋"/>
          <w:b/>
          <w:bCs/>
          <w:color w:val="auto"/>
          <w:szCs w:val="21"/>
          <w:highlight w:val="none"/>
          <w:lang w:eastAsia="zh-CN"/>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17.投标文件的</w:t>
      </w:r>
      <w:r>
        <w:rPr>
          <w:rFonts w:hint="eastAsia" w:ascii="仿宋" w:hAnsi="仿宋" w:cs="仿宋"/>
          <w:b/>
          <w:bCs/>
          <w:color w:val="auto"/>
          <w:szCs w:val="21"/>
          <w:highlight w:val="none"/>
          <w:lang w:eastAsia="zh-CN"/>
        </w:rPr>
        <w:t>递交</w:t>
      </w:r>
    </w:p>
    <w:p w14:paraId="7DD64A1B">
      <w:pPr>
        <w:adjustRightInd w:val="0"/>
        <w:snapToGrid w:val="0"/>
        <w:spacing w:line="360" w:lineRule="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在投标截止时间</w:t>
      </w:r>
      <w:r>
        <w:rPr>
          <w:rFonts w:hint="eastAsia" w:ascii="仿宋" w:hAnsi="仿宋" w:cs="仿宋"/>
          <w:color w:val="auto"/>
          <w:szCs w:val="21"/>
          <w:highlight w:val="none"/>
          <w:lang w:eastAsia="zh-CN"/>
        </w:rPr>
        <w:t>前递交至辽宁政府采购网</w:t>
      </w:r>
      <w:r>
        <w:rPr>
          <w:rFonts w:hint="eastAsia" w:ascii="仿宋" w:hAnsi="仿宋" w:cs="仿宋"/>
          <w:color w:val="auto"/>
          <w:szCs w:val="21"/>
          <w:highlight w:val="none"/>
          <w:lang w:val="en-US" w:eastAsia="zh-CN"/>
        </w:rPr>
        <w:t>。</w:t>
      </w:r>
    </w:p>
    <w:p w14:paraId="2E558B5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18.投标截止</w:t>
      </w:r>
    </w:p>
    <w:p w14:paraId="25D31F0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18.1投标人应在投标人须知表18.1中规定的递交投标文件截止时间前，将投标文件递交到投标人须知表18.1款中规定的地点。</w:t>
      </w:r>
    </w:p>
    <w:p w14:paraId="1AE3634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7249319F">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19.投标文件的接收、修改与撤回</w:t>
      </w:r>
    </w:p>
    <w:p w14:paraId="3FB8038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19.1在投标截止时间后送达的投标文件，采购人和采购代理机构将</w:t>
      </w:r>
      <w:r>
        <w:rPr>
          <w:rFonts w:hint="eastAsia" w:ascii="仿宋" w:hAnsi="仿宋" w:eastAsia="仿宋" w:cs="仿宋"/>
          <w:b/>
          <w:bCs/>
          <w:color w:val="auto"/>
          <w:szCs w:val="21"/>
          <w:highlight w:val="none"/>
        </w:rPr>
        <w:t>拒绝接收</w:t>
      </w:r>
      <w:r>
        <w:rPr>
          <w:rFonts w:hint="eastAsia" w:ascii="仿宋" w:hAnsi="仿宋" w:eastAsia="仿宋" w:cs="仿宋"/>
          <w:color w:val="auto"/>
          <w:szCs w:val="21"/>
          <w:highlight w:val="none"/>
        </w:rPr>
        <w:t>。</w:t>
      </w:r>
    </w:p>
    <w:p w14:paraId="44AA67E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19.2递交</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以后，如果投标人要进行修改或撤回投标，</w:t>
      </w:r>
      <w:r>
        <w:rPr>
          <w:rFonts w:hint="eastAsia" w:ascii="仿宋" w:hAnsi="仿宋" w:cs="仿宋"/>
          <w:color w:val="auto"/>
          <w:szCs w:val="21"/>
          <w:highlight w:val="none"/>
          <w:lang w:eastAsia="zh-CN"/>
        </w:rPr>
        <w:t>自行在辽宁政府采购网进行操作</w:t>
      </w:r>
      <w:r>
        <w:rPr>
          <w:rFonts w:hint="eastAsia" w:ascii="仿宋" w:hAnsi="仿宋" w:eastAsia="仿宋" w:cs="仿宋"/>
          <w:color w:val="auto"/>
          <w:szCs w:val="21"/>
          <w:highlight w:val="none"/>
        </w:rPr>
        <w:t>。</w:t>
      </w:r>
    </w:p>
    <w:p w14:paraId="2FFFFF5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19.4在投标截止时间之后，投标人不得对其投标文件做任何修改。</w:t>
      </w:r>
    </w:p>
    <w:p w14:paraId="0F8ADE90">
      <w:pPr>
        <w:pStyle w:val="3"/>
        <w:rPr>
          <w:rFonts w:hint="eastAsia" w:ascii="仿宋" w:hAnsi="仿宋" w:eastAsia="仿宋" w:cs="仿宋"/>
          <w:color w:val="auto"/>
          <w:sz w:val="32"/>
          <w:szCs w:val="28"/>
          <w:highlight w:val="none"/>
        </w:rPr>
      </w:pPr>
      <w:bookmarkStart w:id="63" w:name="_Toc988_WPSOffice_Level2"/>
      <w:r>
        <w:rPr>
          <w:rFonts w:hint="eastAsia" w:ascii="仿宋" w:hAnsi="仿宋" w:eastAsia="仿宋" w:cs="仿宋"/>
          <w:color w:val="auto"/>
          <w:sz w:val="32"/>
          <w:szCs w:val="28"/>
          <w:highlight w:val="none"/>
        </w:rPr>
        <w:t>六 开标及评标</w:t>
      </w:r>
      <w:bookmarkEnd w:id="63"/>
    </w:p>
    <w:p w14:paraId="0EA9BDE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20.开标</w:t>
      </w:r>
    </w:p>
    <w:p w14:paraId="36F1685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20.1采购人和采购代理机构将按投标人须知表20.1款中规定的开标时间和地点组织公开开标并邀请所有投标人代表参加。</w:t>
      </w:r>
    </w:p>
    <w:p w14:paraId="51EB57E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投标人不足3家的，不得开标。评标委员会成员不得参加开标活动。</w:t>
      </w:r>
    </w:p>
    <w:p w14:paraId="4AE5DE03">
      <w:pPr>
        <w:adjustRightInd w:val="0"/>
        <w:snapToGrid w:val="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20.2</w:t>
      </w:r>
      <w:r>
        <w:rPr>
          <w:rFonts w:hint="eastAsia" w:ascii="仿宋" w:hAnsi="仿宋" w:eastAsia="仿宋" w:cs="仿宋"/>
          <w:color w:val="auto"/>
          <w:szCs w:val="21"/>
          <w:highlight w:val="none"/>
          <w:lang w:eastAsia="zh-CN"/>
        </w:rPr>
        <w:t>辽宁政府采购网公开唱标。</w:t>
      </w:r>
    </w:p>
    <w:p w14:paraId="324472A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14:paraId="49541DF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20.4投标人代表对开标过程和开标记录有疑义，以及认为采购人、采购代理机构相关工作人员有需要回避的情形的，应当场提出询问或者回避申请。</w:t>
      </w:r>
    </w:p>
    <w:p w14:paraId="0CA98AA7">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21.组建评标委员会</w:t>
      </w:r>
    </w:p>
    <w:p w14:paraId="5FB16AF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14:paraId="354DA4C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22.资格审查</w:t>
      </w:r>
    </w:p>
    <w:p w14:paraId="00695B6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；通过资格审查的投标人不足3家的，不得评标。</w:t>
      </w:r>
    </w:p>
    <w:p w14:paraId="048E5C9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BDF3F2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6DE213B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以联合体形式参加投标的，联合体任何成员存在以上不良信用记录的，联合体投标将被认定为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C4BB11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22.2.2查询及记录方式：采购人或采购代理机构经办人将查询网页打印并存档备查。投标人不良信用记录以采购人或采购代理机构查询结果为准。</w:t>
      </w:r>
    </w:p>
    <w:p w14:paraId="2C5D577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在本招标文件规定的查询时间之后，网站信息发生的任何变更均不再作为评标依据。</w:t>
      </w:r>
    </w:p>
    <w:p w14:paraId="2192FE0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投标人自行提供的与网站信息不一致的其他证明材料亦不作为资格审查依据。</w:t>
      </w:r>
    </w:p>
    <w:p w14:paraId="31037DDA">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23.符合性审查</w:t>
      </w:r>
    </w:p>
    <w:p w14:paraId="5DD5EF2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；通过符合性审查的投标人数量不足3家的，不得作进一步的比较和评价。</w:t>
      </w:r>
    </w:p>
    <w:p w14:paraId="59BE133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24.投标文件的澄清</w:t>
      </w:r>
    </w:p>
    <w:p w14:paraId="30321AB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B5197F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24.2投标人的澄清、说明或补正将作为投标文件的一部分。</w:t>
      </w:r>
    </w:p>
    <w:p w14:paraId="06B9E9D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24.3投标文件报价出现前后不一致的，按照下列规定修正：</w:t>
      </w:r>
    </w:p>
    <w:p w14:paraId="3B11ED8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（1）投标文件中开标一览表内容与投标文件中相应内容不一致的，以开标一览表为准；</w:t>
      </w:r>
    </w:p>
    <w:p w14:paraId="521FCD6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（2）大写金额和小写金额不一致的，以大写金额为准；</w:t>
      </w:r>
    </w:p>
    <w:p w14:paraId="2F7C9CB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（3）单价金额小数点或者百分比有明显错位的，以开标一览表的总价为准，并修改单价；</w:t>
      </w:r>
    </w:p>
    <w:p w14:paraId="703A215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（4）总价金额与按单价汇总金额不一致的，以单价金额计算结果为准。</w:t>
      </w:r>
    </w:p>
    <w:p w14:paraId="62DA875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同时出现两种以上不一致的，按照前款规定的顺序修正。修正后的报价经投标人确认后产生约束力，投标人不确认的，其投标将被认定为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D034890">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rPr>
        <w:t>24.4</w:t>
      </w:r>
      <w:r>
        <w:rPr>
          <w:rFonts w:hint="eastAsia" w:ascii="仿宋" w:hAnsi="仿宋" w:eastAsia="仿宋" w:cs="仿宋"/>
          <w:b/>
          <w:bCs/>
          <w:color w:val="auto"/>
          <w:szCs w:val="21"/>
          <w:highlight w:val="none"/>
        </w:rPr>
        <w:t>评标委员会认为</w:t>
      </w:r>
      <w:r>
        <w:rPr>
          <w:rFonts w:hint="eastAsia" w:ascii="仿宋" w:hAnsi="仿宋" w:eastAsia="仿宋" w:cs="仿宋"/>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处理。提交证明材料的合理时间按第四章 评标方法规定执行。</w:t>
      </w:r>
    </w:p>
    <w:p w14:paraId="0EE91B0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25样品及演示</w:t>
      </w:r>
    </w:p>
    <w:p w14:paraId="35E7EAE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25.1投标人须知表11.3款中要求投标人提供样品的，按照投标人须知表25.1款中样品的评审方法以及评审标准进行评审。</w:t>
      </w:r>
    </w:p>
    <w:p w14:paraId="3F60253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5F5AD75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25.3演示的评审方法以及评审标准具体内容见投标人须知表25.1款。</w:t>
      </w:r>
    </w:p>
    <w:p w14:paraId="3875BFB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26.投标无效</w:t>
      </w:r>
    </w:p>
    <w:p w14:paraId="2C87928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26.1在比较与评价之前，根据本须知的规定，评标委员会将审查每份投标文件是否实质上响应了招标文件的要求。</w:t>
      </w:r>
    </w:p>
    <w:p w14:paraId="6ED41C72">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实质性要求是指招标文件中带有★号标识内容（包括本级及其下级编号中所有内容）等文字说明的要求。</w:t>
      </w:r>
    </w:p>
    <w:p w14:paraId="2ED562A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对招标文件的实质性要求进行响应是指与招标文件中带有★号标识内容的文字说明、条款、条件和规格等要求相符。</w:t>
      </w:r>
    </w:p>
    <w:p w14:paraId="7E86A81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如果投标文件没有对招标文件的实质性要求进行响应，将作为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处理，投标人不得再对投标文件进行任何修正从而使其投标成为实质上响应的投标。</w:t>
      </w:r>
    </w:p>
    <w:p w14:paraId="214FABB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评标委员会决定投标的响应性只根据招标文件要求、投标文件内容及财政主管部门指定媒体发布的相关信息。</w:t>
      </w:r>
    </w:p>
    <w:p w14:paraId="6029413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26.2如发现下列情况之一的，其投标将被认定为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EF2E93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（1）未按招标文件的规定提交投标保证金的；</w:t>
      </w:r>
    </w:p>
    <w:p w14:paraId="65313EF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（2）未按照招标文件规定要求签署、盖章的；</w:t>
      </w:r>
    </w:p>
    <w:p w14:paraId="2C5256C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（3）投标人的报价超过了招标文件中规定的预算金额或者最高限价的；</w:t>
      </w:r>
    </w:p>
    <w:p w14:paraId="312BA1D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（4）不具备招标文件中规定的资格要求的；</w:t>
      </w:r>
    </w:p>
    <w:p w14:paraId="53D1A65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（5）不符合法律、法规和招标文件中规定的其他实质性要求的。</w:t>
      </w:r>
    </w:p>
    <w:p w14:paraId="0EE50D6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（6）与其他投标人串通投标，或者与采购人串通投标；</w:t>
      </w:r>
    </w:p>
    <w:p w14:paraId="14368DD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（7）评标委员会认为投标人的报价明显低于其他通过符合性审查投标人的报价，有可能影响履约的，且投标人未按照规定证明其报价合理性的；</w:t>
      </w:r>
    </w:p>
    <w:p w14:paraId="249D01A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（8）投标文件含有采购人不能接受的附加条件的；</w:t>
      </w:r>
    </w:p>
    <w:p w14:paraId="62C17CA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（9）属于法律、法规和招标文件规定的其他投标无效情形；</w:t>
      </w:r>
    </w:p>
    <w:p w14:paraId="3795957F">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27.比较与评价</w:t>
      </w:r>
    </w:p>
    <w:p w14:paraId="62BC1A9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27.1经符合性审查合格的投标文件，评标委员会将根据招标文件确定的评标方法和标准，对其技术部分和商务部分作进一步的比较和评价。</w:t>
      </w:r>
    </w:p>
    <w:p w14:paraId="05F3763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27.2评标严格按照招标文件的要求和条件进行。根据实际情况，在投标人须知表27.2款中规定采用下列一种评标方法，详细评标标准见第四章 评标方法。</w:t>
      </w:r>
    </w:p>
    <w:p w14:paraId="5BAE016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（1）最低评标价法，是指投标文件满足招标文件全部实质性要求，且投标报价最低的投标人为中标候选人的评标方法。</w:t>
      </w:r>
    </w:p>
    <w:p w14:paraId="48A9FCA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（2）综合评分法，是指投标文件满足招标文件全部实质性要求，且按照评审因素的量化指标评审得分最高的投标人为中标候选人的评标方法。</w:t>
      </w:r>
    </w:p>
    <w:p w14:paraId="00FEA5B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27.3根据《财政部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后参与评审。具体详见第四章 评标方法。</w:t>
      </w:r>
    </w:p>
    <w:p w14:paraId="2E3694A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0013FF9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27.5根据财政部、辽宁省财政厅相关规定，对于列入《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》内的产品、服务实施政府优先采购。具体优先采购办法详见第四章 评标方法。</w:t>
      </w:r>
    </w:p>
    <w:p w14:paraId="615193C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28.废标</w:t>
      </w:r>
    </w:p>
    <w:p w14:paraId="12DB8E8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出现下列情形之一，将导致项目</w:t>
      </w:r>
      <w:r>
        <w:rPr>
          <w:rFonts w:hint="eastAsia" w:ascii="仿宋" w:hAnsi="仿宋" w:eastAsia="仿宋" w:cs="仿宋"/>
          <w:b/>
          <w:bCs/>
          <w:color w:val="auto"/>
          <w:szCs w:val="21"/>
          <w:highlight w:val="none"/>
        </w:rPr>
        <w:t>废标</w:t>
      </w:r>
      <w:r>
        <w:rPr>
          <w:rFonts w:hint="eastAsia" w:ascii="仿宋" w:hAnsi="仿宋" w:eastAsia="仿宋" w:cs="仿宋"/>
          <w:color w:val="auto"/>
          <w:szCs w:val="21"/>
          <w:highlight w:val="none"/>
        </w:rPr>
        <w:t>：</w:t>
      </w:r>
    </w:p>
    <w:p w14:paraId="1ECD637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（1）符合专业条件的投标人或者对招标文件做实质性响应的投标人不足3家；</w:t>
      </w:r>
    </w:p>
    <w:p w14:paraId="73C591D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14:paraId="7A278B3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（3）投标人的报价均超过了采购预算或最高限价，采购人不能支付的；</w:t>
      </w:r>
    </w:p>
    <w:p w14:paraId="22AC8C7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（4）因重大变故，采购任务取消的。</w:t>
      </w:r>
    </w:p>
    <w:p w14:paraId="311E82EC">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29.中标候选人的推荐原则及标准</w:t>
      </w:r>
    </w:p>
    <w:p w14:paraId="5A1186D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29.1除第32条规定外，评标委员会将根据评标标准，对实质上响应招标文件的投标人按下列方法进行排序，推荐中标候选人：</w:t>
      </w:r>
    </w:p>
    <w:p w14:paraId="6DE1ACB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2443748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（2）采用综合评分法的，评标结果按评审后得分由高到低顺序排序。得分相同的，按第四章评标办法规定执行。</w:t>
      </w:r>
    </w:p>
    <w:p w14:paraId="6C9F25A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29.2评标委员会将根据评标标准，按投标人须知表29.2款中规定的数量推荐中标候选人。</w:t>
      </w:r>
    </w:p>
    <w:p w14:paraId="60ABFB9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29.3因推荐中标候选人名单产生其他问题，由评标委员会集体研究处理。</w:t>
      </w:r>
    </w:p>
    <w:p w14:paraId="31A3D01A">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30.保密原则</w:t>
      </w:r>
    </w:p>
    <w:p w14:paraId="51F4ED3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30.1评标将在严格保密的情况下进行。</w:t>
      </w:r>
    </w:p>
    <w:p w14:paraId="03A4D31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30.2有关人员应当遵守评标工作纪律，不得泄露评审文件、评标情况和评标过程中获悉的国家秘密、商业秘密。</w:t>
      </w:r>
    </w:p>
    <w:p w14:paraId="28EB8430">
      <w:pPr>
        <w:pStyle w:val="3"/>
        <w:rPr>
          <w:rFonts w:hint="eastAsia" w:ascii="仿宋" w:hAnsi="仿宋" w:eastAsia="仿宋" w:cs="仿宋"/>
          <w:color w:val="auto"/>
          <w:sz w:val="32"/>
          <w:szCs w:val="28"/>
          <w:highlight w:val="none"/>
        </w:rPr>
      </w:pPr>
      <w:bookmarkStart w:id="64" w:name="_Toc4544_WPSOffice_Level2"/>
      <w:r>
        <w:rPr>
          <w:rFonts w:hint="eastAsia" w:ascii="仿宋" w:hAnsi="仿宋" w:eastAsia="仿宋" w:cs="仿宋"/>
          <w:color w:val="auto"/>
          <w:sz w:val="32"/>
          <w:szCs w:val="28"/>
          <w:highlight w:val="none"/>
        </w:rPr>
        <w:t>七 确定中标</w:t>
      </w:r>
      <w:bookmarkEnd w:id="64"/>
    </w:p>
    <w:p w14:paraId="7FA69A9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31.确定中标人</w:t>
      </w:r>
    </w:p>
    <w:p w14:paraId="3F59749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由采购人或者采购人委托评标委员会按照投标人须知表31中规定的方式确定中标人。</w:t>
      </w:r>
    </w:p>
    <w:p w14:paraId="6A9F4B0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4DC962A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★32.采购任务取消</w:t>
      </w:r>
    </w:p>
    <w:p w14:paraId="7065146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因重大变故采购任务取消时，采购人有权拒绝任何供应商中标，且对受影响的投标人不承担任何责任。</w:t>
      </w:r>
    </w:p>
    <w:p w14:paraId="3B6147C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33.中标通知书</w:t>
      </w:r>
    </w:p>
    <w:p w14:paraId="77CE92F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33.1采购人或者采购代理机构应当自中标人确定之日起2个工作日内，在辽宁政府采购网及其地方分网媒体上公告中标结果。同时向中标人发出中标通知书。</w:t>
      </w:r>
    </w:p>
    <w:p w14:paraId="331BA5B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33.2中标通知书是合同的组成部分。</w:t>
      </w:r>
    </w:p>
    <w:p w14:paraId="2CB8F6D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34.签订合同</w:t>
      </w:r>
    </w:p>
    <w:p w14:paraId="38D96A0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34.1中标人应当自发出中标通知书之日起 30 日内，与采购人签订书面合同。</w:t>
      </w:r>
    </w:p>
    <w:p w14:paraId="0B93A0F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6B5F8F0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34.3 中标人拒绝与采购人签订合同的，采购人可以按照评标报告推荐的中标候选人名单排序，确定下一中标候选人为中标人，也可以重新开展政府采购活动。</w:t>
      </w:r>
    </w:p>
    <w:p w14:paraId="3ADD935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35.履约保证金</w:t>
      </w:r>
    </w:p>
    <w:p w14:paraId="2F44819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35.1中标人应按照投标人须知表35.1款规定向采购人缴纳履约保证金。</w:t>
      </w:r>
    </w:p>
    <w:p w14:paraId="60B6351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BDA8CA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36.采购代理服务费</w:t>
      </w:r>
    </w:p>
    <w:p w14:paraId="08188F0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中标人须按照投标须知表36款规定，向采购代理机构支付采购代理服务费。</w:t>
      </w:r>
    </w:p>
    <w:p w14:paraId="5DA04194">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37.廉洁自律规定</w:t>
      </w:r>
    </w:p>
    <w:p w14:paraId="075E351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37.1采购代理机构工作人员不得以不正当手段获取政府采购代理业务，不得与采购人、投标人恶意串通操纵政府采购活动。</w:t>
      </w:r>
    </w:p>
    <w:p w14:paraId="5F6B5C4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37.2采购代理机构工作人员不得接受采购人或者投标人组织的宴请、旅游、娱乐，不得收受礼品、现金、有价证券等，不得向采购人或者投标人报销应当由个人承担的费用。</w:t>
      </w:r>
    </w:p>
    <w:p w14:paraId="3FBD04EC">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38.人员回避</w:t>
      </w:r>
    </w:p>
    <w:p w14:paraId="70DE458B">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投标人认为采购人及其相关人员有法律法规所列与其他投标人有利害关系的，可以向采购人或采购代理机构书面提出回避申请，并说明理由。</w:t>
      </w:r>
    </w:p>
    <w:p w14:paraId="435B9DF0">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39.质疑与接收</w:t>
      </w:r>
    </w:p>
    <w:p w14:paraId="3D83D62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323BB30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39.2质疑投标人应按照财政部门制定的《政府采购质疑函范本》格式（详见辽宁政府采购网）和《政府采购质疑和投诉办法》的要求，在法定质疑期内以纸质形式</w:t>
      </w:r>
      <w:r>
        <w:rPr>
          <w:rFonts w:hint="eastAsia" w:ascii="仿宋" w:hAnsi="仿宋" w:cs="仿宋"/>
          <w:color w:val="auto"/>
          <w:szCs w:val="21"/>
          <w:highlight w:val="none"/>
          <w:lang w:val="en-US" w:eastAsia="zh-CN"/>
        </w:rPr>
        <w:t>或线上</w:t>
      </w:r>
      <w:r>
        <w:rPr>
          <w:rFonts w:hint="eastAsia" w:ascii="仿宋" w:hAnsi="仿宋" w:eastAsia="仿宋" w:cs="仿宋"/>
          <w:color w:val="auto"/>
          <w:szCs w:val="21"/>
          <w:highlight w:val="none"/>
        </w:rPr>
        <w:t>提出质疑，针对同一采购程序环节的质疑应一次性提出。</w:t>
      </w:r>
    </w:p>
    <w:p w14:paraId="7F51C8B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超出法定质疑期的、重复提出的、分次提出的或内容、形式不符合《政府采购质疑和投诉办法》的，质疑投标人将依法承担不利后果。</w:t>
      </w:r>
    </w:p>
    <w:p w14:paraId="6FAF6F6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39.3采购代理机构质疑函接收部门、联系电话和通讯地址, 见投标人须知表39.3款。</w:t>
      </w:r>
    </w:p>
    <w:p w14:paraId="5D5FF42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40.履约验收</w:t>
      </w:r>
    </w:p>
    <w:p w14:paraId="0632E5EB">
      <w:pPr>
        <w:adjustRightInd w:val="0"/>
        <w:snapToGrid w:val="0"/>
        <w:spacing w:line="360" w:lineRule="auto"/>
        <w:ind w:firstLine="420"/>
        <w:rPr>
          <w:rFonts w:hint="eastAsia" w:ascii="仿宋" w:hAnsi="仿宋" w:eastAsia="仿宋" w:cs="仿宋"/>
          <w:b/>
          <w:color w:val="auto"/>
          <w:highlight w:val="none"/>
        </w:rPr>
        <w:sectPr>
          <w:pgSz w:w="11906" w:h="16838"/>
          <w:pgMar w:top="1440" w:right="1800" w:bottom="1440" w:left="1800" w:header="851" w:footer="992" w:gutter="0"/>
          <w:pgNumType w:fmt="decimal"/>
          <w:cols w:space="720" w:num="1"/>
          <w:docGrid w:type="linesAndChars" w:linePitch="312" w:charSpace="0"/>
        </w:sectPr>
      </w:pPr>
      <w:r>
        <w:rPr>
          <w:rFonts w:hint="eastAsia" w:ascii="仿宋" w:hAnsi="仿宋" w:eastAsia="仿宋" w:cs="仿宋"/>
          <w:color w:val="auto"/>
          <w:szCs w:val="21"/>
          <w:highlight w:val="none"/>
        </w:rPr>
        <w:t>本项目采购人及其委托的采购代理机构将严格按照政府采购相关法律法规以及《辽宁省政府采购履约验收管理办法》（辽财采〔2017〕603号）的要求进行验收。</w:t>
      </w:r>
    </w:p>
    <w:p w14:paraId="5FFD38B6">
      <w:pPr>
        <w:pStyle w:val="2"/>
        <w:adjustRightInd w:val="0"/>
        <w:snapToGrid w:val="0"/>
        <w:spacing w:before="0" w:after="0"/>
        <w:rPr>
          <w:rFonts w:hint="eastAsia" w:ascii="仿宋" w:hAnsi="仿宋" w:eastAsia="仿宋" w:cs="仿宋"/>
          <w:color w:val="auto"/>
          <w:highlight w:val="none"/>
        </w:rPr>
      </w:pPr>
      <w:bookmarkStart w:id="65" w:name="_Toc17725_WPSOffice_Level1"/>
      <w:bookmarkStart w:id="66" w:name="_Toc6403"/>
      <w:r>
        <w:rPr>
          <w:rFonts w:hint="eastAsia" w:ascii="仿宋" w:hAnsi="仿宋" w:eastAsia="仿宋" w:cs="仿宋"/>
          <w:color w:val="auto"/>
          <w:highlight w:val="none"/>
        </w:rPr>
        <w:t>第二章 投标文件内容及格式</w:t>
      </w:r>
      <w:bookmarkEnd w:id="65"/>
      <w:bookmarkEnd w:id="66"/>
    </w:p>
    <w:p w14:paraId="4DDD62F0">
      <w:pPr>
        <w:spacing w:before="159" w:beforeLines="50"/>
        <w:rPr>
          <w:rFonts w:hint="eastAsia" w:ascii="仿宋" w:hAnsi="仿宋" w:eastAsia="仿宋" w:cs="仿宋"/>
          <w:b/>
          <w:color w:val="auto"/>
          <w:sz w:val="24"/>
          <w:highlight w:val="none"/>
        </w:rPr>
      </w:pPr>
      <w:bookmarkStart w:id="67" w:name="sys_投标文件内容及格式：Block"/>
      <w:bookmarkEnd w:id="67"/>
      <w:bookmarkStart w:id="68" w:name="投标文件内容及格式：Block"/>
      <w:bookmarkEnd w:id="68"/>
      <w:bookmarkStart w:id="69" w:name="_Toc2481_WPSOffice_Level2"/>
      <w:bookmarkStart w:id="70" w:name="_Toc1538_WPSOffice_Level2"/>
      <w:r>
        <w:rPr>
          <w:rFonts w:hint="eastAsia" w:ascii="仿宋" w:hAnsi="仿宋" w:eastAsia="仿宋" w:cs="仿宋"/>
          <w:b/>
          <w:color w:val="auto"/>
          <w:sz w:val="24"/>
          <w:highlight w:val="none"/>
        </w:rPr>
        <w:t>一、投标文件、电子文档的外封面、封口、封皮及目录</w:t>
      </w:r>
      <w:bookmarkEnd w:id="69"/>
      <w:bookmarkEnd w:id="70"/>
    </w:p>
    <w:tbl>
      <w:tblPr>
        <w:tblStyle w:val="14"/>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2127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753B2499">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76" w:type="dxa"/>
            <w:noWrap w:val="0"/>
            <w:vAlign w:val="center"/>
          </w:tcPr>
          <w:p w14:paraId="276C317A">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内容</w:t>
            </w:r>
          </w:p>
        </w:tc>
        <w:tc>
          <w:tcPr>
            <w:tcW w:w="742" w:type="dxa"/>
            <w:noWrap w:val="0"/>
            <w:vAlign w:val="center"/>
          </w:tcPr>
          <w:p w14:paraId="5A8A5A7A">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4866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77FA7C77">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76" w:type="dxa"/>
            <w:noWrap w:val="0"/>
            <w:vAlign w:val="center"/>
          </w:tcPr>
          <w:p w14:paraId="5504BAA4">
            <w:pPr>
              <w:widowControl/>
              <w:adjustRightInd w:val="0"/>
              <w:snapToGrid w:val="0"/>
              <w:jc w:val="left"/>
              <w:rPr>
                <w:rFonts w:hint="eastAsia" w:ascii="仿宋" w:hAnsi="仿宋" w:eastAsia="仿宋" w:cs="仿宋"/>
                <w:b/>
                <w:color w:val="auto"/>
                <w:kern w:val="0"/>
                <w:szCs w:val="21"/>
                <w:highlight w:val="none"/>
              </w:rPr>
            </w:pPr>
            <w:r>
              <w:rPr>
                <w:rFonts w:hint="eastAsia" w:ascii="仿宋" w:hAnsi="仿宋" w:eastAsia="仿宋" w:cs="仿宋"/>
                <w:color w:val="auto"/>
                <w:kern w:val="0"/>
                <w:szCs w:val="21"/>
                <w:highlight w:val="none"/>
              </w:rPr>
              <w:t>投标文件、电子文档的外封面及封口</w:t>
            </w:r>
          </w:p>
        </w:tc>
        <w:tc>
          <w:tcPr>
            <w:tcW w:w="742" w:type="dxa"/>
            <w:noWrap w:val="0"/>
            <w:vAlign w:val="center"/>
          </w:tcPr>
          <w:p w14:paraId="5CEA6D97">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r>
      <w:tr w14:paraId="6FE5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55180944">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6976" w:type="dxa"/>
            <w:noWrap w:val="0"/>
            <w:vAlign w:val="center"/>
          </w:tcPr>
          <w:p w14:paraId="68707F8D">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投标文件的封皮</w:t>
            </w:r>
          </w:p>
        </w:tc>
        <w:tc>
          <w:tcPr>
            <w:tcW w:w="742" w:type="dxa"/>
            <w:noWrap w:val="0"/>
            <w:vAlign w:val="center"/>
          </w:tcPr>
          <w:p w14:paraId="3F0F5C98">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r>
      <w:tr w14:paraId="6108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061A8F7D">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6976" w:type="dxa"/>
            <w:noWrap w:val="0"/>
            <w:vAlign w:val="center"/>
          </w:tcPr>
          <w:p w14:paraId="750E237E">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投标文件的目录</w:t>
            </w:r>
          </w:p>
        </w:tc>
        <w:tc>
          <w:tcPr>
            <w:tcW w:w="742" w:type="dxa"/>
            <w:noWrap w:val="0"/>
            <w:vAlign w:val="center"/>
          </w:tcPr>
          <w:p w14:paraId="5BB33CC8">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r>
    </w:tbl>
    <w:p w14:paraId="71254259">
      <w:pPr>
        <w:snapToGrid w:val="0"/>
        <w:spacing w:before="159" w:beforeLines="50"/>
        <w:rPr>
          <w:rFonts w:hint="eastAsia" w:ascii="仿宋" w:hAnsi="仿宋" w:eastAsia="仿宋" w:cs="仿宋"/>
          <w:b/>
          <w:color w:val="auto"/>
          <w:sz w:val="24"/>
          <w:highlight w:val="none"/>
        </w:rPr>
      </w:pPr>
      <w:bookmarkStart w:id="71" w:name="_Toc1266_WPSOffice_Level2"/>
      <w:bookmarkStart w:id="72" w:name="_Toc31052_WPSOffice_Level2"/>
      <w:r>
        <w:rPr>
          <w:rFonts w:hint="eastAsia" w:ascii="仿宋" w:hAnsi="仿宋" w:eastAsia="仿宋" w:cs="仿宋"/>
          <w:b/>
          <w:color w:val="auto"/>
          <w:sz w:val="24"/>
          <w:highlight w:val="none"/>
        </w:rPr>
        <w:t>二、资格证明材料</w:t>
      </w:r>
      <w:bookmarkEnd w:id="71"/>
      <w:bookmarkEnd w:id="72"/>
      <w:r>
        <w:rPr>
          <w:rFonts w:hint="eastAsia" w:ascii="仿宋" w:hAnsi="仿宋" w:eastAsia="仿宋" w:cs="仿宋"/>
          <w:b/>
          <w:color w:val="auto"/>
          <w:sz w:val="24"/>
          <w:highlight w:val="none"/>
        </w:rPr>
        <w:t>（有一项不符合要求，不能进入下一阶段评审）</w:t>
      </w:r>
    </w:p>
    <w:tbl>
      <w:tblPr>
        <w:tblStyle w:val="14"/>
        <w:tblW w:w="8418" w:type="dxa"/>
        <w:jc w:val="center"/>
        <w:tblLayout w:type="fixed"/>
        <w:tblCellMar>
          <w:top w:w="0" w:type="dxa"/>
          <w:left w:w="0" w:type="dxa"/>
          <w:bottom w:w="0" w:type="dxa"/>
          <w:right w:w="0" w:type="dxa"/>
        </w:tblCellMar>
      </w:tblPr>
      <w:tblGrid>
        <w:gridCol w:w="671"/>
        <w:gridCol w:w="6992"/>
        <w:gridCol w:w="755"/>
      </w:tblGrid>
      <w:tr w14:paraId="4A6DE11C">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BCF92F">
            <w:pPr>
              <w:adjustRightInd w:val="0"/>
              <w:snapToGrid w:val="0"/>
              <w:jc w:val="center"/>
              <w:rPr>
                <w:rFonts w:hint="eastAsia" w:ascii="仿宋" w:hAnsi="仿宋" w:eastAsia="仿宋" w:cs="仿宋"/>
                <w:color w:val="auto"/>
                <w:szCs w:val="21"/>
                <w:highlight w:val="none"/>
              </w:rPr>
            </w:pPr>
            <w:bookmarkStart w:id="73" w:name="资格性证明材料：Document"/>
            <w:bookmarkStart w:id="74" w:name="sys_资格性证明材料：Document"/>
            <w:r>
              <w:rPr>
                <w:rFonts w:hint="eastAsia" w:ascii="仿宋" w:hAnsi="仿宋" w:eastAsia="仿宋" w:cs="仿宋"/>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1BE40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4EF95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w:t>
            </w:r>
          </w:p>
        </w:tc>
      </w:tr>
      <w:tr w14:paraId="6DBA3D01">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C26599">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2758B0">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B54385">
            <w:pPr>
              <w:adjustRightInd w:val="0"/>
              <w:snapToGrid w:val="0"/>
              <w:jc w:val="center"/>
              <w:rPr>
                <w:rFonts w:hint="eastAsia" w:ascii="仿宋" w:hAnsi="仿宋" w:eastAsia="仿宋" w:cs="仿宋"/>
                <w:color w:val="auto"/>
                <w:szCs w:val="21"/>
                <w:highlight w:val="none"/>
              </w:rPr>
            </w:pPr>
          </w:p>
        </w:tc>
      </w:tr>
      <w:tr w14:paraId="63A64BC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1453B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EEC9B5">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DF4D73">
            <w:pPr>
              <w:adjustRightInd w:val="0"/>
              <w:snapToGrid w:val="0"/>
              <w:jc w:val="center"/>
              <w:rPr>
                <w:rFonts w:hint="eastAsia" w:ascii="仿宋" w:hAnsi="仿宋" w:eastAsia="仿宋" w:cs="仿宋"/>
                <w:color w:val="auto"/>
                <w:szCs w:val="21"/>
                <w:highlight w:val="none"/>
              </w:rPr>
            </w:pPr>
          </w:p>
        </w:tc>
      </w:tr>
      <w:tr w14:paraId="46A91C61">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58BEC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D817E7">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DCB2E7">
            <w:pPr>
              <w:adjustRightInd w:val="0"/>
              <w:snapToGrid w:val="0"/>
              <w:jc w:val="center"/>
              <w:rPr>
                <w:rFonts w:hint="eastAsia" w:ascii="仿宋" w:hAnsi="仿宋" w:eastAsia="仿宋" w:cs="仿宋"/>
                <w:color w:val="auto"/>
                <w:szCs w:val="21"/>
                <w:highlight w:val="none"/>
              </w:rPr>
            </w:pPr>
          </w:p>
        </w:tc>
      </w:tr>
      <w:tr w14:paraId="325BCA6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E9281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E40389">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027F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r>
      <w:tr w14:paraId="3517D92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FB2BF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7EE3B0">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7C9EB1">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r>
      <w:tr w14:paraId="3980BAF3">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8ADA3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A14B2">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7BF35D">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3D8DB361">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87057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ABFDE4">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开标时间前六个月内任一个月的依法缴纳税收的缴款凭据复印件</w:t>
            </w:r>
          </w:p>
          <w:p w14:paraId="18E25659">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B4B91B">
            <w:pPr>
              <w:adjustRightInd w:val="0"/>
              <w:snapToGrid w:val="0"/>
              <w:jc w:val="center"/>
              <w:rPr>
                <w:rFonts w:hint="eastAsia" w:ascii="仿宋" w:hAnsi="仿宋" w:eastAsia="仿宋" w:cs="仿宋"/>
                <w:color w:val="auto"/>
                <w:szCs w:val="21"/>
                <w:highlight w:val="none"/>
              </w:rPr>
            </w:pPr>
          </w:p>
        </w:tc>
      </w:tr>
      <w:tr w14:paraId="5B2B6B3D">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2FBA5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A13312">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B2419A">
            <w:pPr>
              <w:adjustRightInd w:val="0"/>
              <w:snapToGrid w:val="0"/>
              <w:jc w:val="center"/>
              <w:rPr>
                <w:rFonts w:hint="eastAsia" w:ascii="仿宋" w:hAnsi="仿宋" w:eastAsia="仿宋" w:cs="仿宋"/>
                <w:color w:val="auto"/>
                <w:szCs w:val="21"/>
                <w:highlight w:val="none"/>
              </w:rPr>
            </w:pPr>
          </w:p>
        </w:tc>
      </w:tr>
      <w:tr w14:paraId="61F471B3">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91DD19">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1DFD44">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F3D77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r>
      <w:tr w14:paraId="68FE8150">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23B35B">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976847">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29DF2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r>
      <w:tr w14:paraId="52FDC3FD">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3C8061">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62E0CB">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523231">
            <w:pPr>
              <w:adjustRightInd w:val="0"/>
              <w:snapToGrid w:val="0"/>
              <w:jc w:val="center"/>
              <w:rPr>
                <w:rFonts w:hint="eastAsia" w:ascii="仿宋" w:hAnsi="仿宋" w:eastAsia="仿宋" w:cs="仿宋"/>
                <w:color w:val="auto"/>
                <w:kern w:val="2"/>
                <w:sz w:val="21"/>
                <w:szCs w:val="21"/>
                <w:highlight w:val="none"/>
                <w:lang w:val="en-US" w:eastAsia="zh-CN" w:bidi="ar-SA"/>
              </w:rPr>
            </w:pPr>
          </w:p>
        </w:tc>
      </w:tr>
      <w:tr w14:paraId="04E6900C">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7FF3A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1C386C">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2F4A74">
            <w:pPr>
              <w:adjustRightInd w:val="0"/>
              <w:snapToGrid w:val="0"/>
              <w:jc w:val="center"/>
              <w:rPr>
                <w:rFonts w:hint="eastAsia" w:ascii="仿宋" w:hAnsi="仿宋" w:eastAsia="仿宋" w:cs="仿宋"/>
                <w:color w:val="auto"/>
                <w:kern w:val="2"/>
                <w:sz w:val="21"/>
                <w:szCs w:val="21"/>
                <w:highlight w:val="none"/>
                <w:lang w:val="en-US" w:eastAsia="zh-CN" w:bidi="ar-SA"/>
              </w:rPr>
            </w:pPr>
          </w:p>
        </w:tc>
      </w:tr>
    </w:tbl>
    <w:p w14:paraId="4C76EF72">
      <w:pPr>
        <w:snapToGrid w:val="0"/>
        <w:spacing w:before="159" w:beforeLines="50"/>
        <w:rPr>
          <w:rFonts w:hint="eastAsia" w:ascii="仿宋" w:hAnsi="仿宋" w:eastAsia="仿宋" w:cs="仿宋"/>
          <w:b/>
          <w:color w:val="auto"/>
          <w:sz w:val="24"/>
          <w:highlight w:val="none"/>
        </w:rPr>
      </w:pPr>
      <w:bookmarkStart w:id="75" w:name="_Toc25206_WPSOffice_Level2"/>
      <w:bookmarkStart w:id="76" w:name="_Toc22359_WPSOffice_Level2"/>
      <w:r>
        <w:rPr>
          <w:rFonts w:hint="eastAsia" w:ascii="仿宋" w:hAnsi="仿宋" w:eastAsia="仿宋" w:cs="仿宋"/>
          <w:b/>
          <w:color w:val="auto"/>
          <w:sz w:val="24"/>
          <w:highlight w:val="none"/>
        </w:rPr>
        <w:t>三、符合性证明材料</w:t>
      </w:r>
      <w:bookmarkEnd w:id="75"/>
      <w:bookmarkEnd w:id="76"/>
      <w:r>
        <w:rPr>
          <w:rFonts w:hint="eastAsia" w:ascii="仿宋" w:hAnsi="仿宋" w:eastAsia="仿宋" w:cs="仿宋"/>
          <w:b/>
          <w:color w:val="auto"/>
          <w:sz w:val="24"/>
          <w:highlight w:val="none"/>
        </w:rPr>
        <w:t>（有一项不符合要求，不能进入下一阶段评审）</w:t>
      </w:r>
    </w:p>
    <w:bookmarkEnd w:id="73"/>
    <w:bookmarkEnd w:id="74"/>
    <w:tbl>
      <w:tblPr>
        <w:tblStyle w:val="1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6704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tblHeader/>
          <w:jc w:val="center"/>
        </w:trPr>
        <w:tc>
          <w:tcPr>
            <w:tcW w:w="667" w:type="dxa"/>
            <w:noWrap w:val="0"/>
            <w:vAlign w:val="center"/>
          </w:tcPr>
          <w:p w14:paraId="1E651319">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86" w:type="dxa"/>
            <w:noWrap w:val="0"/>
            <w:vAlign w:val="center"/>
          </w:tcPr>
          <w:p w14:paraId="08BB122F">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符合性证明材料</w:t>
            </w:r>
          </w:p>
        </w:tc>
        <w:tc>
          <w:tcPr>
            <w:tcW w:w="756" w:type="dxa"/>
            <w:noWrap w:val="0"/>
            <w:vAlign w:val="center"/>
          </w:tcPr>
          <w:p w14:paraId="06DC05B6">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4EE2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366DE142">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86" w:type="dxa"/>
            <w:noWrap w:val="0"/>
            <w:vAlign w:val="center"/>
          </w:tcPr>
          <w:p w14:paraId="5E7C6716">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投标函</w:t>
            </w:r>
          </w:p>
        </w:tc>
        <w:tc>
          <w:tcPr>
            <w:tcW w:w="756" w:type="dxa"/>
            <w:noWrap w:val="0"/>
            <w:vAlign w:val="center"/>
          </w:tcPr>
          <w:p w14:paraId="619C1858">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9</w:t>
            </w:r>
          </w:p>
        </w:tc>
      </w:tr>
      <w:tr w14:paraId="1B09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7965FD1">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6986" w:type="dxa"/>
            <w:noWrap w:val="0"/>
            <w:vAlign w:val="center"/>
          </w:tcPr>
          <w:p w14:paraId="5039B76B">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开标一览表</w:t>
            </w:r>
          </w:p>
        </w:tc>
        <w:tc>
          <w:tcPr>
            <w:tcW w:w="756" w:type="dxa"/>
            <w:noWrap w:val="0"/>
            <w:vAlign w:val="center"/>
          </w:tcPr>
          <w:p w14:paraId="2AC51CCF">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r>
              <w:rPr>
                <w:rFonts w:hint="eastAsia" w:ascii="仿宋" w:hAnsi="仿宋" w:eastAsia="仿宋" w:cs="仿宋"/>
                <w:color w:val="auto"/>
                <w:kern w:val="0"/>
                <w:szCs w:val="21"/>
                <w:highlight w:val="none"/>
                <w:lang w:val="en-US" w:eastAsia="zh-CN"/>
              </w:rPr>
              <w:t>0</w:t>
            </w:r>
          </w:p>
        </w:tc>
      </w:tr>
      <w:tr w14:paraId="46B24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A7A587D">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6986" w:type="dxa"/>
            <w:noWrap w:val="0"/>
            <w:vAlign w:val="center"/>
          </w:tcPr>
          <w:p w14:paraId="6FFAC660">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分项报价表</w:t>
            </w:r>
          </w:p>
        </w:tc>
        <w:tc>
          <w:tcPr>
            <w:tcW w:w="756" w:type="dxa"/>
            <w:noWrap w:val="0"/>
            <w:vAlign w:val="center"/>
          </w:tcPr>
          <w:p w14:paraId="68AFACC5">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r>
              <w:rPr>
                <w:rFonts w:hint="eastAsia" w:ascii="仿宋" w:hAnsi="仿宋" w:eastAsia="仿宋" w:cs="仿宋"/>
                <w:color w:val="auto"/>
                <w:kern w:val="0"/>
                <w:szCs w:val="21"/>
                <w:highlight w:val="none"/>
                <w:lang w:val="en-US" w:eastAsia="zh-CN"/>
              </w:rPr>
              <w:t>1</w:t>
            </w:r>
          </w:p>
        </w:tc>
      </w:tr>
      <w:tr w14:paraId="3B09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DE74748">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6986" w:type="dxa"/>
            <w:noWrap w:val="0"/>
            <w:vAlign w:val="center"/>
          </w:tcPr>
          <w:p w14:paraId="0F7848CD">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技术规格偏离表</w:t>
            </w:r>
          </w:p>
        </w:tc>
        <w:tc>
          <w:tcPr>
            <w:tcW w:w="756" w:type="dxa"/>
            <w:noWrap w:val="0"/>
            <w:vAlign w:val="center"/>
          </w:tcPr>
          <w:p w14:paraId="3E36B93A">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r>
              <w:rPr>
                <w:rFonts w:hint="eastAsia" w:ascii="仿宋" w:hAnsi="仿宋" w:cs="仿宋"/>
                <w:color w:val="auto"/>
                <w:kern w:val="0"/>
                <w:szCs w:val="21"/>
                <w:highlight w:val="none"/>
                <w:lang w:val="en-US" w:eastAsia="zh-CN"/>
              </w:rPr>
              <w:t>2</w:t>
            </w:r>
          </w:p>
        </w:tc>
      </w:tr>
      <w:tr w14:paraId="5731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3DA4B33">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6986" w:type="dxa"/>
            <w:noWrap w:val="0"/>
            <w:vAlign w:val="center"/>
          </w:tcPr>
          <w:p w14:paraId="6D10C1AC">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商务条款偏离表</w:t>
            </w:r>
          </w:p>
        </w:tc>
        <w:tc>
          <w:tcPr>
            <w:tcW w:w="756" w:type="dxa"/>
            <w:noWrap w:val="0"/>
            <w:vAlign w:val="center"/>
          </w:tcPr>
          <w:p w14:paraId="39716601">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r>
              <w:rPr>
                <w:rFonts w:hint="eastAsia" w:ascii="仿宋" w:hAnsi="仿宋" w:cs="仿宋"/>
                <w:color w:val="auto"/>
                <w:kern w:val="0"/>
                <w:szCs w:val="21"/>
                <w:highlight w:val="none"/>
                <w:lang w:val="en-US" w:eastAsia="zh-CN"/>
              </w:rPr>
              <w:t>3</w:t>
            </w:r>
          </w:p>
        </w:tc>
      </w:tr>
      <w:tr w14:paraId="07AC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67210D1">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6986" w:type="dxa"/>
            <w:noWrap w:val="0"/>
            <w:vAlign w:val="center"/>
          </w:tcPr>
          <w:p w14:paraId="3E3714BA">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投标人关联单位说明</w:t>
            </w:r>
          </w:p>
        </w:tc>
        <w:tc>
          <w:tcPr>
            <w:tcW w:w="756" w:type="dxa"/>
            <w:noWrap w:val="0"/>
            <w:vAlign w:val="center"/>
          </w:tcPr>
          <w:p w14:paraId="52896891">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r>
              <w:rPr>
                <w:rFonts w:hint="eastAsia" w:ascii="仿宋" w:hAnsi="仿宋" w:cs="仿宋"/>
                <w:color w:val="auto"/>
                <w:kern w:val="0"/>
                <w:szCs w:val="21"/>
                <w:highlight w:val="none"/>
                <w:lang w:val="en-US" w:eastAsia="zh-CN"/>
              </w:rPr>
              <w:t>4</w:t>
            </w:r>
          </w:p>
        </w:tc>
      </w:tr>
      <w:tr w14:paraId="28A5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6C2561B6">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7</w:t>
            </w:r>
          </w:p>
        </w:tc>
        <w:tc>
          <w:tcPr>
            <w:tcW w:w="6986" w:type="dxa"/>
            <w:noWrap w:val="0"/>
            <w:vAlign w:val="center"/>
          </w:tcPr>
          <w:p w14:paraId="27581D58">
            <w:pPr>
              <w:adjustRightInd w:val="0"/>
              <w:snapToGrid w:val="0"/>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投标报价</w:t>
            </w:r>
          </w:p>
        </w:tc>
        <w:tc>
          <w:tcPr>
            <w:tcW w:w="756" w:type="dxa"/>
            <w:noWrap w:val="0"/>
            <w:vAlign w:val="center"/>
          </w:tcPr>
          <w:p w14:paraId="5563952E">
            <w:pPr>
              <w:adjustRightInd w:val="0"/>
              <w:snapToGrid w:val="0"/>
              <w:jc w:val="center"/>
              <w:rPr>
                <w:rFonts w:hint="eastAsia" w:ascii="仿宋" w:hAnsi="仿宋" w:eastAsia="仿宋" w:cs="仿宋"/>
                <w:color w:val="auto"/>
                <w:kern w:val="0"/>
                <w:szCs w:val="21"/>
                <w:highlight w:val="none"/>
              </w:rPr>
            </w:pPr>
          </w:p>
        </w:tc>
      </w:tr>
      <w:tr w14:paraId="22F78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A09EEC7">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8</w:t>
            </w:r>
          </w:p>
        </w:tc>
        <w:tc>
          <w:tcPr>
            <w:tcW w:w="6986" w:type="dxa"/>
            <w:noWrap w:val="0"/>
            <w:vAlign w:val="center"/>
          </w:tcPr>
          <w:p w14:paraId="6D63A7F3">
            <w:pPr>
              <w:adjustRightInd w:val="0"/>
              <w:snapToGrid w:val="0"/>
              <w:rPr>
                <w:rFonts w:hint="eastAsia" w:ascii="仿宋" w:hAnsi="仿宋" w:eastAsia="仿宋" w:cs="仿宋"/>
                <w:color w:val="auto"/>
                <w:kern w:val="0"/>
                <w:szCs w:val="21"/>
                <w:highlight w:val="none"/>
              </w:rPr>
            </w:pPr>
            <w:r>
              <w:rPr>
                <w:rFonts w:hint="eastAsia" w:ascii="仿宋_GB2312" w:hAnsi="仿宋_GB2312" w:eastAsia="仿宋_GB2312" w:cs="仿宋_GB2312"/>
                <w:color w:val="000000"/>
                <w:kern w:val="0"/>
                <w:szCs w:val="21"/>
                <w:highlight w:val="none"/>
              </w:rPr>
              <w:t>《品目清单》</w:t>
            </w:r>
            <w:r>
              <w:rPr>
                <w:rFonts w:hint="eastAsia" w:ascii="仿宋_GB2312" w:hAnsi="仿宋_GB2312" w:eastAsia="仿宋_GB2312" w:cs="仿宋_GB2312"/>
                <w:strike w:val="0"/>
                <w:dstrike w:val="0"/>
                <w:color w:val="000000"/>
                <w:kern w:val="0"/>
                <w:szCs w:val="21"/>
                <w:highlight w:val="none"/>
              </w:rPr>
              <w:t>、国家确定的认证机构出具的、处于有效期之内的《节能产品认证证书》（政府强制采购的节能产品须提供）</w:t>
            </w:r>
          </w:p>
        </w:tc>
        <w:tc>
          <w:tcPr>
            <w:tcW w:w="756" w:type="dxa"/>
            <w:noWrap w:val="0"/>
            <w:vAlign w:val="center"/>
          </w:tcPr>
          <w:p w14:paraId="2B8D8DE2">
            <w:pPr>
              <w:adjustRightInd w:val="0"/>
              <w:snapToGrid w:val="0"/>
              <w:jc w:val="center"/>
              <w:rPr>
                <w:rFonts w:hint="eastAsia" w:ascii="仿宋" w:hAnsi="仿宋" w:eastAsia="仿宋" w:cs="仿宋"/>
                <w:color w:val="auto"/>
                <w:kern w:val="0"/>
                <w:szCs w:val="21"/>
                <w:highlight w:val="none"/>
              </w:rPr>
            </w:pPr>
          </w:p>
        </w:tc>
      </w:tr>
      <w:tr w14:paraId="3EE2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F28244A">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9</w:t>
            </w:r>
          </w:p>
        </w:tc>
        <w:tc>
          <w:tcPr>
            <w:tcW w:w="6986" w:type="dxa"/>
            <w:noWrap w:val="0"/>
            <w:vAlign w:val="center"/>
          </w:tcPr>
          <w:p w14:paraId="026ED158">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其他符合性证明材料：</w:t>
            </w:r>
          </w:p>
          <w:p w14:paraId="33333001">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货物主要技术指标和性能（第三章货物需求中技术功能指标中的★条款）的详细说明（产品技术说明书、技术白皮书、产品彩页等文字资料、图纸和数据均可），备件和专用工具清单、检测报告等。</w:t>
            </w:r>
          </w:p>
        </w:tc>
        <w:tc>
          <w:tcPr>
            <w:tcW w:w="756" w:type="dxa"/>
            <w:noWrap w:val="0"/>
            <w:vAlign w:val="center"/>
          </w:tcPr>
          <w:p w14:paraId="50F385DE">
            <w:pPr>
              <w:adjustRightInd w:val="0"/>
              <w:snapToGrid w:val="0"/>
              <w:jc w:val="center"/>
              <w:rPr>
                <w:rFonts w:hint="eastAsia" w:ascii="仿宋" w:hAnsi="仿宋" w:eastAsia="仿宋" w:cs="仿宋"/>
                <w:color w:val="auto"/>
                <w:kern w:val="0"/>
                <w:sz w:val="21"/>
                <w:szCs w:val="21"/>
                <w:highlight w:val="none"/>
                <w:lang w:val="en-US" w:eastAsia="zh-CN" w:bidi="ar-SA"/>
              </w:rPr>
            </w:pPr>
          </w:p>
        </w:tc>
      </w:tr>
      <w:tr w14:paraId="02A3B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3E5BCC5">
            <w:pPr>
              <w:adjustRightInd w:val="0"/>
              <w:snapToGrid w:val="0"/>
              <w:jc w:val="center"/>
              <w:rPr>
                <w:rFonts w:hint="default" w:ascii="仿宋" w:hAnsi="仿宋" w:cs="仿宋"/>
                <w:color w:val="auto"/>
                <w:kern w:val="0"/>
                <w:szCs w:val="21"/>
                <w:highlight w:val="none"/>
                <w:lang w:val="en-US" w:eastAsia="zh-CN"/>
              </w:rPr>
            </w:pPr>
            <w:bookmarkStart w:id="77" w:name="_Toc27769_WPSOffice_Level2"/>
            <w:bookmarkStart w:id="78" w:name="_Toc24432_WPSOffice_Level2"/>
            <w:r>
              <w:rPr>
                <w:rFonts w:hint="eastAsia" w:ascii="仿宋" w:hAnsi="仿宋" w:cs="仿宋"/>
                <w:color w:val="auto"/>
                <w:kern w:val="0"/>
                <w:szCs w:val="21"/>
                <w:highlight w:val="none"/>
                <w:lang w:val="en-US" w:eastAsia="zh-CN"/>
              </w:rPr>
              <w:t>10</w:t>
            </w:r>
          </w:p>
        </w:tc>
        <w:tc>
          <w:tcPr>
            <w:tcW w:w="6986" w:type="dxa"/>
            <w:noWrap w:val="0"/>
            <w:vAlign w:val="center"/>
          </w:tcPr>
          <w:p w14:paraId="797FE28A">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_GB2312" w:hAnsi="仿宋_GB2312" w:eastAsia="仿宋_GB2312" w:cs="仿宋_GB2312"/>
                <w:color w:val="000000"/>
                <w:kern w:val="0"/>
                <w:szCs w:val="21"/>
                <w:lang w:eastAsia="zh-CN"/>
              </w:rPr>
              <w:t>电子投标文件与备份投标文件内容格式一致性承诺函</w:t>
            </w:r>
          </w:p>
        </w:tc>
        <w:tc>
          <w:tcPr>
            <w:tcW w:w="756" w:type="dxa"/>
            <w:noWrap w:val="0"/>
            <w:vAlign w:val="center"/>
          </w:tcPr>
          <w:p w14:paraId="5F9A8ECD">
            <w:pPr>
              <w:adjustRightInd w:val="0"/>
              <w:snapToGrid w:val="0"/>
              <w:jc w:val="center"/>
              <w:rPr>
                <w:rFonts w:hint="default" w:ascii="仿宋" w:hAnsi="仿宋" w:eastAsia="仿宋" w:cs="仿宋"/>
                <w:color w:val="auto"/>
                <w:kern w:val="0"/>
                <w:sz w:val="21"/>
                <w:szCs w:val="21"/>
                <w:highlight w:val="none"/>
                <w:lang w:val="en-US" w:eastAsia="zh-CN" w:bidi="ar-SA"/>
              </w:rPr>
            </w:pPr>
            <w:r>
              <w:rPr>
                <w:rFonts w:hint="eastAsia" w:ascii="仿宋" w:hAnsi="仿宋" w:cs="仿宋"/>
                <w:color w:val="auto"/>
                <w:kern w:val="0"/>
                <w:sz w:val="21"/>
                <w:szCs w:val="21"/>
                <w:highlight w:val="none"/>
                <w:lang w:val="en-US" w:eastAsia="zh-CN" w:bidi="ar-SA"/>
              </w:rPr>
              <w:t>17</w:t>
            </w:r>
          </w:p>
        </w:tc>
      </w:tr>
    </w:tbl>
    <w:p w14:paraId="3CE2BE87">
      <w:pPr>
        <w:snapToGrid w:val="0"/>
        <w:spacing w:before="159" w:beforeLines="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四、其他材料</w:t>
      </w:r>
      <w:bookmarkEnd w:id="77"/>
      <w:bookmarkEnd w:id="78"/>
      <w:r>
        <w:rPr>
          <w:rFonts w:hint="eastAsia" w:ascii="仿宋" w:hAnsi="仿宋" w:eastAsia="仿宋" w:cs="仿宋"/>
          <w:b/>
          <w:color w:val="auto"/>
          <w:sz w:val="24"/>
          <w:highlight w:val="none"/>
        </w:rPr>
        <w:t>（如有，请提供；如未提供，投标文件不作无效处理）</w:t>
      </w:r>
    </w:p>
    <w:tbl>
      <w:tblPr>
        <w:tblStyle w:val="1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332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668" w:type="dxa"/>
            <w:noWrap w:val="0"/>
            <w:vAlign w:val="center"/>
          </w:tcPr>
          <w:p w14:paraId="40BA6C40">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85" w:type="dxa"/>
            <w:noWrap w:val="0"/>
            <w:vAlign w:val="center"/>
          </w:tcPr>
          <w:p w14:paraId="325827F0">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其他材料</w:t>
            </w:r>
          </w:p>
        </w:tc>
        <w:tc>
          <w:tcPr>
            <w:tcW w:w="756" w:type="dxa"/>
            <w:noWrap w:val="0"/>
            <w:vAlign w:val="center"/>
          </w:tcPr>
          <w:p w14:paraId="061942F2">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01D7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668" w:type="dxa"/>
            <w:noWrap w:val="0"/>
            <w:vAlign w:val="center"/>
          </w:tcPr>
          <w:p w14:paraId="30AEBFCD">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1</w:t>
            </w:r>
          </w:p>
        </w:tc>
        <w:tc>
          <w:tcPr>
            <w:tcW w:w="6985" w:type="dxa"/>
            <w:noWrap w:val="0"/>
            <w:vAlign w:val="center"/>
          </w:tcPr>
          <w:p w14:paraId="6846CCB2">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中小企业声明函</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残疾人福利性单位声明函</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监狱企业证明文件</w:t>
            </w:r>
          </w:p>
        </w:tc>
        <w:tc>
          <w:tcPr>
            <w:tcW w:w="756" w:type="dxa"/>
            <w:noWrap w:val="0"/>
            <w:vAlign w:val="center"/>
          </w:tcPr>
          <w:p w14:paraId="0F72016C">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w:t>
            </w:r>
            <w:r>
              <w:rPr>
                <w:rFonts w:hint="eastAsia" w:ascii="仿宋" w:hAnsi="仿宋" w:cs="仿宋"/>
                <w:color w:val="auto"/>
                <w:szCs w:val="21"/>
                <w:highlight w:val="none"/>
                <w:lang w:val="en-US" w:eastAsia="zh-CN"/>
              </w:rPr>
              <w:t>5</w:t>
            </w:r>
            <w:r>
              <w:rPr>
                <w:rFonts w:hint="eastAsia" w:ascii="仿宋" w:hAnsi="仿宋" w:eastAsia="仿宋" w:cs="仿宋"/>
                <w:color w:val="auto"/>
                <w:szCs w:val="21"/>
                <w:highlight w:val="none"/>
                <w:lang w:val="en-US" w:eastAsia="zh-CN"/>
              </w:rPr>
              <w:t>/1</w:t>
            </w:r>
            <w:r>
              <w:rPr>
                <w:rFonts w:hint="eastAsia" w:ascii="仿宋" w:hAnsi="仿宋" w:cs="仿宋"/>
                <w:color w:val="auto"/>
                <w:szCs w:val="21"/>
                <w:highlight w:val="none"/>
                <w:lang w:val="en-US" w:eastAsia="zh-CN"/>
              </w:rPr>
              <w:t>6</w:t>
            </w:r>
          </w:p>
        </w:tc>
      </w:tr>
      <w:tr w14:paraId="69C1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668" w:type="dxa"/>
            <w:noWrap w:val="0"/>
            <w:vAlign w:val="center"/>
          </w:tcPr>
          <w:p w14:paraId="2B3E52C5">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2</w:t>
            </w:r>
          </w:p>
        </w:tc>
        <w:tc>
          <w:tcPr>
            <w:tcW w:w="6985" w:type="dxa"/>
            <w:shd w:val="clear" w:color="auto" w:fill="auto"/>
            <w:noWrap w:val="0"/>
            <w:vAlign w:val="center"/>
          </w:tcPr>
          <w:p w14:paraId="479808DC">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 xml:space="preserve">《品目清单》、国家确定的认证机构出具的、处于有效期之内的《节能产品、环境标志产品认证证书》（非政府强制采购的节能产品可以提供） </w:t>
            </w:r>
          </w:p>
        </w:tc>
        <w:tc>
          <w:tcPr>
            <w:tcW w:w="756" w:type="dxa"/>
            <w:noWrap w:val="0"/>
            <w:vAlign w:val="center"/>
          </w:tcPr>
          <w:p w14:paraId="143AD727">
            <w:pPr>
              <w:adjustRightInd w:val="0"/>
              <w:snapToGrid w:val="0"/>
              <w:jc w:val="center"/>
              <w:rPr>
                <w:rFonts w:hint="default" w:ascii="仿宋" w:hAnsi="仿宋" w:eastAsia="仿宋" w:cs="仿宋"/>
                <w:color w:val="auto"/>
                <w:kern w:val="0"/>
                <w:sz w:val="21"/>
                <w:szCs w:val="21"/>
                <w:highlight w:val="none"/>
                <w:lang w:val="en-US" w:eastAsia="zh-CN" w:bidi="ar-SA"/>
              </w:rPr>
            </w:pPr>
            <w:r>
              <w:rPr>
                <w:rFonts w:hint="eastAsia" w:ascii="仿宋" w:hAnsi="仿宋" w:cs="仿宋"/>
                <w:color w:val="auto"/>
                <w:kern w:val="0"/>
                <w:sz w:val="21"/>
                <w:szCs w:val="21"/>
                <w:highlight w:val="none"/>
                <w:lang w:val="en-US" w:eastAsia="zh-CN" w:bidi="ar-SA"/>
              </w:rPr>
              <w:t>18</w:t>
            </w:r>
          </w:p>
        </w:tc>
      </w:tr>
      <w:tr w14:paraId="3EF0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68" w:type="dxa"/>
            <w:noWrap w:val="0"/>
            <w:vAlign w:val="center"/>
          </w:tcPr>
          <w:p w14:paraId="0C56E154">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Cs w:val="21"/>
                <w:highlight w:val="none"/>
                <w:lang w:val="en-US" w:eastAsia="zh-CN"/>
              </w:rPr>
              <w:t>3</w:t>
            </w:r>
          </w:p>
        </w:tc>
        <w:tc>
          <w:tcPr>
            <w:tcW w:w="6985" w:type="dxa"/>
            <w:shd w:val="clear" w:color="auto" w:fill="auto"/>
            <w:noWrap w:val="0"/>
            <w:vAlign w:val="center"/>
          </w:tcPr>
          <w:p w14:paraId="4E8514AA">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szCs w:val="21"/>
                <w:highlight w:val="none"/>
              </w:rPr>
              <w:t>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》内的产品、服务的证明材料（如适用）</w:t>
            </w:r>
          </w:p>
          <w:p w14:paraId="70E15B7A">
            <w:pPr>
              <w:adjustRightInd w:val="0"/>
              <w:snapToGrid w:val="0"/>
              <w:ind w:left="25" w:leftChars="12"/>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（此项要求可视实际情况设置在符合性证明材料或其他材料中）</w:t>
            </w:r>
          </w:p>
        </w:tc>
        <w:tc>
          <w:tcPr>
            <w:tcW w:w="756" w:type="dxa"/>
            <w:noWrap w:val="0"/>
            <w:vAlign w:val="center"/>
          </w:tcPr>
          <w:p w14:paraId="6434868B">
            <w:pPr>
              <w:adjustRightInd w:val="0"/>
              <w:snapToGrid w:val="0"/>
              <w:jc w:val="center"/>
              <w:rPr>
                <w:rFonts w:hint="eastAsia" w:ascii="仿宋" w:hAnsi="仿宋" w:eastAsia="仿宋" w:cs="仿宋"/>
                <w:color w:val="auto"/>
                <w:kern w:val="0"/>
                <w:sz w:val="21"/>
                <w:szCs w:val="21"/>
                <w:highlight w:val="none"/>
                <w:lang w:val="en-US" w:eastAsia="zh-CN" w:bidi="ar-SA"/>
              </w:rPr>
            </w:pPr>
          </w:p>
        </w:tc>
      </w:tr>
      <w:tr w14:paraId="3A86E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526F363D">
            <w:pPr>
              <w:adjustRightInd w:val="0"/>
              <w:snapToGrid w:val="0"/>
              <w:jc w:val="center"/>
              <w:rPr>
                <w:rFonts w:hint="eastAsia" w:ascii="仿宋" w:hAnsi="仿宋" w:eastAsia="仿宋" w:cs="仿宋"/>
                <w:color w:val="auto"/>
                <w:kern w:val="0"/>
                <w:szCs w:val="21"/>
                <w:highlight w:val="none"/>
              </w:rPr>
            </w:pPr>
          </w:p>
        </w:tc>
        <w:tc>
          <w:tcPr>
            <w:tcW w:w="6985" w:type="dxa"/>
            <w:noWrap w:val="0"/>
            <w:vAlign w:val="center"/>
          </w:tcPr>
          <w:p w14:paraId="6C465467">
            <w:pPr>
              <w:pStyle w:val="20"/>
              <w:adjustRightInd w:val="0"/>
              <w:snapToGrid w:val="0"/>
              <w:ind w:left="25" w:leftChars="12" w:firstLine="0" w:firstLineChars="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w:t>
            </w:r>
          </w:p>
        </w:tc>
        <w:tc>
          <w:tcPr>
            <w:tcW w:w="756" w:type="dxa"/>
            <w:noWrap w:val="0"/>
            <w:vAlign w:val="center"/>
          </w:tcPr>
          <w:p w14:paraId="7DE351B4">
            <w:pPr>
              <w:adjustRightInd w:val="0"/>
              <w:snapToGrid w:val="0"/>
              <w:jc w:val="center"/>
              <w:rPr>
                <w:rFonts w:hint="eastAsia" w:ascii="仿宋" w:hAnsi="仿宋" w:eastAsia="仿宋" w:cs="仿宋"/>
                <w:color w:val="auto"/>
                <w:kern w:val="0"/>
                <w:szCs w:val="21"/>
                <w:highlight w:val="none"/>
              </w:rPr>
            </w:pPr>
          </w:p>
        </w:tc>
      </w:tr>
    </w:tbl>
    <w:p w14:paraId="3ABC9EC9">
      <w:pPr>
        <w:adjustRightInd w:val="0"/>
        <w:snapToGrid w:val="0"/>
        <w:spacing w:line="360" w:lineRule="auto"/>
        <w:ind w:firstLine="480" w:firstLineChars="200"/>
        <w:rPr>
          <w:rFonts w:hint="eastAsia" w:ascii="仿宋" w:hAnsi="仿宋" w:eastAsia="仿宋" w:cs="仿宋"/>
          <w:b/>
          <w:color w:val="auto"/>
          <w:sz w:val="24"/>
          <w:highlight w:val="none"/>
        </w:rPr>
      </w:pPr>
      <w:bookmarkStart w:id="79" w:name="_Toc23127_WPSOffice_Level2"/>
      <w:bookmarkStart w:id="80" w:name="_Toc24011_WPSOffice_Level2"/>
      <w:r>
        <w:rPr>
          <w:rFonts w:hint="eastAsia" w:ascii="仿宋" w:hAnsi="仿宋" w:eastAsia="仿宋" w:cs="仿宋"/>
          <w:b/>
          <w:color w:val="auto"/>
          <w:sz w:val="24"/>
          <w:highlight w:val="none"/>
        </w:rPr>
        <w:t>重要提示：</w:t>
      </w:r>
      <w:bookmarkEnd w:id="79"/>
      <w:bookmarkEnd w:id="80"/>
    </w:p>
    <w:p w14:paraId="1A44D3E5">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1、投标人提供的证明材料，除需要投标人填报或有特殊说明外，均须按要求提供。</w:t>
      </w:r>
      <w:r>
        <w:rPr>
          <w:rFonts w:hint="eastAsia" w:ascii="仿宋" w:hAnsi="仿宋" w:eastAsia="仿宋" w:cs="仿宋"/>
          <w:b/>
          <w:bCs/>
          <w:color w:val="auto"/>
          <w:szCs w:val="21"/>
          <w:highlight w:val="none"/>
        </w:rPr>
        <w:t xml:space="preserve"> </w:t>
      </w:r>
    </w:p>
    <w:p w14:paraId="28B2DA77">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2、投标人在编制投标文件时，对于给定格式的文件内容，必须按照给定的标准格式进行填报；对于没有给定标准格式的文件内容，可以由投标人自行设计。</w:t>
      </w:r>
    </w:p>
    <w:p w14:paraId="2DE0EEDA">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3、投标文件应用中文书写。投标文件中所附或所引用的材料不是中文时，应附中文译本，并加盖单位公章（自然人投标的，无需加盖单位公章，需要签字）。</w:t>
      </w:r>
    </w:p>
    <w:p w14:paraId="21AA0E66">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4、</w:t>
      </w:r>
      <w:r>
        <w:rPr>
          <w:rFonts w:hint="eastAsia" w:ascii="仿宋" w:hAnsi="仿宋" w:eastAsia="仿宋" w:cs="仿宋"/>
          <w:b/>
          <w:bCs/>
          <w:color w:val="auto"/>
          <w:szCs w:val="21"/>
          <w:highlight w:val="none"/>
        </w:rPr>
        <w:t>“资格证明材料”</w:t>
      </w:r>
      <w:r>
        <w:rPr>
          <w:rFonts w:hint="eastAsia" w:ascii="仿宋" w:hAnsi="仿宋" w:eastAsia="仿宋" w:cs="仿宋"/>
          <w:color w:val="auto"/>
          <w:highlight w:val="none"/>
        </w:rPr>
        <w:t>所列内容即为采购项目的资格审查条件，有一项不符合要求，不能进入下一阶段评审。</w:t>
      </w:r>
    </w:p>
    <w:p w14:paraId="13EC0727">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b/>
          <w:bCs/>
          <w:color w:val="auto"/>
          <w:szCs w:val="21"/>
          <w:highlight w:val="none"/>
        </w:rPr>
        <w:t>“符合性证明材料”</w:t>
      </w:r>
      <w:r>
        <w:rPr>
          <w:rFonts w:hint="eastAsia" w:ascii="仿宋" w:hAnsi="仿宋" w:eastAsia="仿宋" w:cs="仿宋"/>
          <w:color w:val="auto"/>
          <w:highlight w:val="none"/>
        </w:rPr>
        <w:t>所列内容即为采购项目的符合性审查条件，有一项不符合要求，不能进入下一阶段评审。</w:t>
      </w:r>
    </w:p>
    <w:p w14:paraId="5E4C1D9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rPr>
        <w:t>6、</w:t>
      </w:r>
      <w:r>
        <w:rPr>
          <w:rFonts w:hint="eastAsia" w:ascii="仿宋" w:hAnsi="仿宋" w:eastAsia="仿宋" w:cs="仿宋"/>
          <w:color w:val="auto"/>
          <w:szCs w:val="21"/>
          <w:highlight w:val="none"/>
        </w:rPr>
        <w:t>“其他材料”</w:t>
      </w:r>
    </w:p>
    <w:p w14:paraId="62A13DBE">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kern w:val="0"/>
          <w:szCs w:val="21"/>
          <w:highlight w:val="none"/>
        </w:rPr>
        <w:t>综合评分法：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招标文件要求以及</w:t>
      </w:r>
      <w:r>
        <w:rPr>
          <w:rFonts w:hint="eastAsia" w:ascii="仿宋" w:hAnsi="仿宋" w:eastAsia="仿宋" w:cs="仿宋"/>
          <w:b/>
          <w:bCs/>
          <w:color w:val="auto"/>
          <w:kern w:val="0"/>
          <w:szCs w:val="21"/>
          <w:highlight w:val="none"/>
        </w:rPr>
        <w:t>评分细则中各项要求提供相应材料</w:t>
      </w:r>
      <w:r>
        <w:rPr>
          <w:rFonts w:hint="eastAsia" w:ascii="仿宋" w:hAnsi="仿宋" w:eastAsia="仿宋" w:cs="仿宋"/>
          <w:color w:val="auto"/>
          <w:kern w:val="0"/>
          <w:szCs w:val="21"/>
          <w:highlight w:val="none"/>
        </w:rPr>
        <w:t>。</w:t>
      </w:r>
    </w:p>
    <w:p w14:paraId="1230D938">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（2）</w:t>
      </w:r>
      <w:r>
        <w:rPr>
          <w:rFonts w:hint="eastAsia" w:ascii="仿宋" w:hAnsi="仿宋" w:eastAsia="仿宋" w:cs="仿宋"/>
          <w:color w:val="auto"/>
          <w:kern w:val="0"/>
          <w:szCs w:val="21"/>
          <w:highlight w:val="none"/>
        </w:rPr>
        <w:t>最低评标价法：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招标文件要求提供相应材料。</w:t>
      </w:r>
      <w:r>
        <w:rPr>
          <w:rFonts w:hint="eastAsia" w:ascii="仿宋" w:hAnsi="仿宋" w:eastAsia="仿宋" w:cs="仿宋"/>
          <w:color w:val="auto"/>
          <w:highlight w:val="none"/>
        </w:rPr>
        <w:br w:type="page"/>
      </w:r>
    </w:p>
    <w:p w14:paraId="0DD594CE">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w:t>
      </w:r>
    </w:p>
    <w:p w14:paraId="37748D52">
      <w:pPr>
        <w:jc w:val="center"/>
        <w:rPr>
          <w:rFonts w:hint="eastAsia" w:ascii="仿宋" w:hAnsi="仿宋" w:eastAsia="仿宋" w:cs="仿宋"/>
          <w:b/>
          <w:bCs/>
          <w:color w:val="auto"/>
          <w:sz w:val="32"/>
          <w:szCs w:val="32"/>
          <w:highlight w:val="none"/>
        </w:rPr>
      </w:pPr>
      <w:bookmarkStart w:id="81" w:name="_Toc21090_WPSOffice_Level2"/>
      <w:bookmarkStart w:id="82" w:name="_Toc26322_WPSOffice_Level2"/>
      <w:r>
        <w:rPr>
          <w:rFonts w:hint="eastAsia" w:ascii="仿宋" w:hAnsi="仿宋" w:eastAsia="仿宋" w:cs="仿宋"/>
          <w:b/>
          <w:bCs/>
          <w:color w:val="auto"/>
          <w:sz w:val="32"/>
          <w:szCs w:val="32"/>
          <w:highlight w:val="none"/>
        </w:rPr>
        <w:t>电子文档外封面、封口格式</w:t>
      </w:r>
      <w:bookmarkEnd w:id="81"/>
      <w:bookmarkEnd w:id="82"/>
    </w:p>
    <w:p w14:paraId="54267230">
      <w:pPr>
        <w:rPr>
          <w:rFonts w:hint="eastAsia" w:ascii="仿宋" w:hAnsi="仿宋" w:eastAsia="仿宋" w:cs="仿宋"/>
          <w:color w:val="auto"/>
          <w:highlight w:val="none"/>
        </w:rPr>
      </w:pPr>
      <w:r>
        <w:rPr>
          <w:rFonts w:hint="eastAsia" w:ascii="仿宋" w:hAnsi="仿宋" w:eastAsia="仿宋" w:cs="仿宋"/>
          <w:color w:val="auto"/>
          <w:sz w:val="28"/>
          <w:szCs w:val="28"/>
          <w:highlight w:val="none"/>
        </w:rPr>
        <w:t>封面格式：</w:t>
      </w:r>
    </w:p>
    <w:tbl>
      <w:tblPr>
        <w:tblStyle w:val="14"/>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2D64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583A79BF">
            <w:pPr>
              <w:jc w:val="center"/>
              <w:rPr>
                <w:rFonts w:hint="eastAsia" w:ascii="仿宋" w:hAnsi="仿宋" w:eastAsia="仿宋" w:cs="仿宋"/>
                <w:b/>
                <w:bCs/>
                <w:color w:val="auto"/>
                <w:highlight w:val="none"/>
              </w:rPr>
            </w:pPr>
          </w:p>
          <w:p w14:paraId="7D666497">
            <w:pPr>
              <w:jc w:val="center"/>
              <w:rPr>
                <w:rFonts w:hint="eastAsia" w:ascii="仿宋" w:hAnsi="仿宋" w:eastAsia="仿宋" w:cs="仿宋"/>
                <w:b/>
                <w:bCs/>
                <w:color w:val="auto"/>
                <w:highlight w:val="none"/>
              </w:rPr>
            </w:pPr>
          </w:p>
          <w:p w14:paraId="1F7D95DF">
            <w:pPr>
              <w:jc w:val="center"/>
              <w:rPr>
                <w:rFonts w:hint="eastAsia" w:ascii="仿宋" w:hAnsi="仿宋" w:eastAsia="仿宋" w:cs="仿宋"/>
                <w:b/>
                <w:bCs/>
                <w:color w:val="auto"/>
                <w:highlight w:val="none"/>
              </w:rPr>
            </w:pPr>
          </w:p>
          <w:p w14:paraId="2DAFCE4E">
            <w:pPr>
              <w:jc w:val="center"/>
              <w:rPr>
                <w:rFonts w:hint="eastAsia" w:ascii="仿宋" w:hAnsi="仿宋" w:eastAsia="仿宋" w:cs="仿宋"/>
                <w:b/>
                <w:bCs/>
                <w:color w:val="auto"/>
                <w:highlight w:val="none"/>
              </w:rPr>
            </w:pPr>
          </w:p>
          <w:p w14:paraId="045BCD0F">
            <w:pPr>
              <w:jc w:val="center"/>
              <w:rPr>
                <w:rFonts w:hint="eastAsia" w:ascii="仿宋" w:hAnsi="仿宋" w:eastAsia="仿宋" w:cs="仿宋"/>
                <w:b/>
                <w:bCs/>
                <w:color w:val="auto"/>
                <w:highlight w:val="none"/>
              </w:rPr>
            </w:pPr>
          </w:p>
          <w:p w14:paraId="70B59EE2">
            <w:pPr>
              <w:jc w:val="center"/>
              <w:rPr>
                <w:rFonts w:hint="eastAsia" w:ascii="仿宋" w:hAnsi="仿宋" w:eastAsia="仿宋" w:cs="仿宋"/>
                <w:b/>
                <w:bCs/>
                <w:color w:val="auto"/>
                <w:highlight w:val="none"/>
              </w:rPr>
            </w:pPr>
            <w:r>
              <w:rPr>
                <w:rFonts w:hint="eastAsia" w:ascii="仿宋" w:hAnsi="仿宋" w:eastAsia="仿宋" w:cs="仿宋"/>
                <w:b/>
                <w:bCs/>
                <w:color w:val="auto"/>
                <w:sz w:val="44"/>
                <w:szCs w:val="52"/>
                <w:highlight w:val="none"/>
              </w:rPr>
              <w:t>电子文档</w:t>
            </w:r>
          </w:p>
          <w:p w14:paraId="1491071E">
            <w:pPr>
              <w:jc w:val="left"/>
              <w:rPr>
                <w:rFonts w:hint="eastAsia" w:ascii="仿宋" w:hAnsi="仿宋" w:eastAsia="仿宋" w:cs="仿宋"/>
                <w:color w:val="auto"/>
                <w:highlight w:val="none"/>
              </w:rPr>
            </w:pPr>
          </w:p>
          <w:p w14:paraId="74851FE4">
            <w:pPr>
              <w:jc w:val="left"/>
              <w:rPr>
                <w:rFonts w:hint="eastAsia" w:ascii="仿宋" w:hAnsi="仿宋" w:eastAsia="仿宋" w:cs="仿宋"/>
                <w:color w:val="auto"/>
                <w:highlight w:val="none"/>
              </w:rPr>
            </w:pPr>
          </w:p>
          <w:p w14:paraId="454B37F5">
            <w:pPr>
              <w:jc w:val="left"/>
              <w:rPr>
                <w:rFonts w:hint="eastAsia" w:ascii="仿宋" w:hAnsi="仿宋" w:eastAsia="仿宋" w:cs="仿宋"/>
                <w:color w:val="auto"/>
                <w:highlight w:val="none"/>
              </w:rPr>
            </w:pPr>
          </w:p>
          <w:p w14:paraId="244DD048">
            <w:pPr>
              <w:jc w:val="left"/>
              <w:rPr>
                <w:rFonts w:hint="eastAsia" w:ascii="仿宋" w:hAnsi="仿宋" w:eastAsia="仿宋" w:cs="仿宋"/>
                <w:color w:val="auto"/>
                <w:highlight w:val="none"/>
              </w:rPr>
            </w:pPr>
          </w:p>
          <w:p w14:paraId="2B84B2D7">
            <w:pPr>
              <w:jc w:val="left"/>
              <w:rPr>
                <w:rFonts w:hint="eastAsia" w:ascii="仿宋" w:hAnsi="仿宋" w:eastAsia="仿宋" w:cs="仿宋"/>
                <w:color w:val="auto"/>
                <w:highlight w:val="none"/>
              </w:rPr>
            </w:pPr>
          </w:p>
          <w:p w14:paraId="12F14277">
            <w:pPr>
              <w:jc w:val="left"/>
              <w:rPr>
                <w:rFonts w:hint="eastAsia" w:ascii="仿宋" w:hAnsi="仿宋" w:eastAsia="仿宋" w:cs="仿宋"/>
                <w:color w:val="auto"/>
                <w:highlight w:val="none"/>
              </w:rPr>
            </w:pPr>
          </w:p>
          <w:p w14:paraId="083D03B7">
            <w:pPr>
              <w:jc w:val="left"/>
              <w:rPr>
                <w:rFonts w:hint="eastAsia" w:ascii="仿宋" w:hAnsi="仿宋" w:eastAsia="仿宋" w:cs="仿宋"/>
                <w:color w:val="auto"/>
                <w:highlight w:val="none"/>
              </w:rPr>
            </w:pPr>
          </w:p>
          <w:p w14:paraId="1E4E5212">
            <w:pPr>
              <w:jc w:val="left"/>
              <w:rPr>
                <w:rFonts w:hint="eastAsia" w:ascii="仿宋" w:hAnsi="仿宋" w:eastAsia="仿宋" w:cs="仿宋"/>
                <w:color w:val="auto"/>
                <w:highlight w:val="none"/>
              </w:rPr>
            </w:pPr>
            <w:r>
              <w:rPr>
                <w:rFonts w:hint="eastAsia" w:ascii="仿宋" w:hAnsi="仿宋" w:eastAsia="仿宋" w:cs="仿宋"/>
                <w:color w:val="auto"/>
                <w:highlight w:val="none"/>
              </w:rPr>
              <w:t>所投包号：第  包</w:t>
            </w:r>
          </w:p>
          <w:p w14:paraId="29527706">
            <w:pPr>
              <w:jc w:val="left"/>
              <w:rPr>
                <w:rFonts w:hint="eastAsia" w:ascii="仿宋" w:hAnsi="仿宋" w:eastAsia="仿宋" w:cs="仿宋"/>
                <w:color w:val="auto"/>
                <w:highlight w:val="none"/>
              </w:rPr>
            </w:pPr>
          </w:p>
          <w:p w14:paraId="626AF1ED">
            <w:pPr>
              <w:jc w:val="left"/>
              <w:rPr>
                <w:rFonts w:hint="eastAsia" w:ascii="仿宋" w:hAnsi="仿宋" w:eastAsia="仿宋" w:cs="仿宋"/>
                <w:color w:val="auto"/>
                <w:highlight w:val="none"/>
              </w:rPr>
            </w:pPr>
            <w:r>
              <w:rPr>
                <w:rFonts w:hint="eastAsia" w:ascii="仿宋" w:hAnsi="仿宋" w:eastAsia="仿宋" w:cs="仿宋"/>
                <w:color w:val="auto"/>
                <w:highlight w:val="none"/>
              </w:rPr>
              <w:t>项目名称：</w:t>
            </w:r>
          </w:p>
          <w:p w14:paraId="6C451904">
            <w:pPr>
              <w:jc w:val="left"/>
              <w:rPr>
                <w:rFonts w:hint="eastAsia" w:ascii="仿宋" w:hAnsi="仿宋" w:eastAsia="仿宋" w:cs="仿宋"/>
                <w:color w:val="auto"/>
                <w:highlight w:val="none"/>
              </w:rPr>
            </w:pPr>
          </w:p>
          <w:p w14:paraId="6E7E17BA">
            <w:pPr>
              <w:jc w:val="left"/>
              <w:rPr>
                <w:rFonts w:hint="eastAsia" w:ascii="仿宋" w:hAnsi="仿宋" w:eastAsia="仿宋" w:cs="仿宋"/>
                <w:color w:val="auto"/>
                <w:highlight w:val="none"/>
              </w:rPr>
            </w:pPr>
            <w:r>
              <w:rPr>
                <w:rFonts w:hint="eastAsia" w:ascii="仿宋" w:hAnsi="仿宋" w:eastAsia="仿宋" w:cs="仿宋"/>
                <w:color w:val="auto"/>
                <w:highlight w:val="none"/>
              </w:rPr>
              <w:t>项目编号：</w:t>
            </w:r>
          </w:p>
          <w:p w14:paraId="301338EA">
            <w:pPr>
              <w:jc w:val="center"/>
              <w:rPr>
                <w:rFonts w:hint="eastAsia" w:ascii="仿宋" w:hAnsi="仿宋" w:eastAsia="仿宋" w:cs="仿宋"/>
                <w:color w:val="auto"/>
                <w:highlight w:val="none"/>
              </w:rPr>
            </w:pPr>
          </w:p>
          <w:p w14:paraId="46F12681">
            <w:pPr>
              <w:jc w:val="center"/>
              <w:rPr>
                <w:rFonts w:hint="eastAsia" w:ascii="仿宋" w:hAnsi="仿宋" w:eastAsia="仿宋" w:cs="仿宋"/>
                <w:color w:val="auto"/>
                <w:highlight w:val="none"/>
              </w:rPr>
            </w:pPr>
          </w:p>
          <w:p w14:paraId="6767D95D">
            <w:pPr>
              <w:jc w:val="center"/>
              <w:rPr>
                <w:rFonts w:hint="eastAsia" w:ascii="仿宋" w:hAnsi="仿宋" w:eastAsia="仿宋" w:cs="仿宋"/>
                <w:color w:val="auto"/>
                <w:highlight w:val="none"/>
              </w:rPr>
            </w:pPr>
          </w:p>
          <w:p w14:paraId="0A2B9DB2">
            <w:pPr>
              <w:jc w:val="left"/>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tc>
      </w:tr>
    </w:tbl>
    <w:p w14:paraId="39F540DD">
      <w:pPr>
        <w:rPr>
          <w:rFonts w:hint="eastAsia" w:ascii="仿宋" w:hAnsi="仿宋" w:eastAsia="仿宋" w:cs="仿宋"/>
          <w:color w:val="auto"/>
          <w:highlight w:val="none"/>
        </w:rPr>
      </w:pPr>
    </w:p>
    <w:p w14:paraId="713F266A">
      <w:pPr>
        <w:rPr>
          <w:rFonts w:hint="eastAsia" w:ascii="仿宋" w:hAnsi="仿宋" w:eastAsia="仿宋" w:cs="仿宋"/>
          <w:color w:val="auto"/>
          <w:highlight w:val="none"/>
        </w:rPr>
      </w:pPr>
    </w:p>
    <w:p w14:paraId="44270377">
      <w:pPr>
        <w:rPr>
          <w:rFonts w:hint="eastAsia" w:ascii="仿宋" w:hAnsi="仿宋" w:eastAsia="仿宋" w:cs="仿宋"/>
          <w:color w:val="auto"/>
          <w:highlight w:val="none"/>
        </w:rPr>
      </w:pPr>
      <w:r>
        <w:rPr>
          <w:rFonts w:hint="eastAsia" w:ascii="仿宋" w:hAnsi="仿宋" w:eastAsia="仿宋" w:cs="仿宋"/>
          <w:color w:val="auto"/>
          <w:sz w:val="24"/>
          <w:szCs w:val="32"/>
          <w:highlight w:val="none"/>
        </w:rPr>
        <w:t>封口格式：</w:t>
      </w:r>
    </w:p>
    <w:tbl>
      <w:tblPr>
        <w:tblStyle w:val="1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0D2F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58B1F0AC">
            <w:pPr>
              <w:jc w:val="center"/>
              <w:rPr>
                <w:rFonts w:hint="eastAsia" w:ascii="仿宋" w:hAnsi="仿宋" w:eastAsia="仿宋" w:cs="仿宋"/>
                <w:color w:val="auto"/>
                <w:highlight w:val="none"/>
              </w:rPr>
            </w:pPr>
            <w:r>
              <w:rPr>
                <w:rFonts w:hint="eastAsia" w:ascii="仿宋" w:hAnsi="仿宋" w:eastAsia="仿宋" w:cs="仿宋"/>
                <w:color w:val="auto"/>
                <w:highlight w:val="none"/>
              </w:rPr>
              <w:t>——于   年  月  日   时之前不准启封（公章）——</w:t>
            </w:r>
          </w:p>
        </w:tc>
      </w:tr>
    </w:tbl>
    <w:p w14:paraId="1948C04E">
      <w:pPr>
        <w:rPr>
          <w:rFonts w:hint="eastAsia" w:ascii="仿宋" w:hAnsi="仿宋" w:eastAsia="仿宋" w:cs="仿宋"/>
          <w:color w:val="auto"/>
          <w:highlight w:val="none"/>
        </w:rPr>
      </w:pPr>
    </w:p>
    <w:p w14:paraId="074C14DB">
      <w:pPr>
        <w:rPr>
          <w:rFonts w:hint="eastAsia" w:ascii="仿宋" w:hAnsi="仿宋" w:eastAsia="仿宋" w:cs="仿宋"/>
          <w:color w:val="auto"/>
          <w:highlight w:val="none"/>
        </w:rPr>
      </w:pPr>
    </w:p>
    <w:p w14:paraId="27211554">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0FFA9B87">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格式2</w:t>
      </w:r>
    </w:p>
    <w:p w14:paraId="23E4F675">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投标文件的封皮</w:t>
      </w:r>
    </w:p>
    <w:p w14:paraId="03065AAE">
      <w:pPr>
        <w:rPr>
          <w:rFonts w:hint="eastAsia" w:ascii="仿宋" w:hAnsi="仿宋" w:eastAsia="仿宋" w:cs="仿宋"/>
          <w:color w:val="auto"/>
          <w:highlight w:val="none"/>
        </w:rPr>
      </w:pPr>
    </w:p>
    <w:p w14:paraId="12C8B5BF">
      <w:pPr>
        <w:rPr>
          <w:rFonts w:hint="eastAsia" w:ascii="仿宋" w:hAnsi="仿宋" w:eastAsia="仿宋" w:cs="仿宋"/>
          <w:color w:val="auto"/>
          <w:highlight w:val="none"/>
        </w:rPr>
      </w:pPr>
    </w:p>
    <w:p w14:paraId="4E27C620">
      <w:pPr>
        <w:rPr>
          <w:rFonts w:hint="eastAsia" w:ascii="仿宋" w:hAnsi="仿宋" w:eastAsia="仿宋" w:cs="仿宋"/>
          <w:color w:val="auto"/>
          <w:highlight w:val="none"/>
        </w:rPr>
      </w:pPr>
    </w:p>
    <w:p w14:paraId="03B42B33">
      <w:pPr>
        <w:rPr>
          <w:rFonts w:hint="eastAsia" w:ascii="仿宋" w:hAnsi="仿宋" w:eastAsia="仿宋" w:cs="仿宋"/>
          <w:color w:val="auto"/>
          <w:highlight w:val="none"/>
        </w:rPr>
      </w:pPr>
    </w:p>
    <w:p w14:paraId="04EB01D6">
      <w:pPr>
        <w:rPr>
          <w:rFonts w:hint="eastAsia" w:ascii="仿宋" w:hAnsi="仿宋" w:eastAsia="仿宋" w:cs="仿宋"/>
          <w:color w:val="auto"/>
          <w:highlight w:val="none"/>
        </w:rPr>
      </w:pPr>
    </w:p>
    <w:p w14:paraId="00BB5634">
      <w:pPr>
        <w:rPr>
          <w:rFonts w:hint="eastAsia" w:ascii="仿宋" w:hAnsi="仿宋" w:eastAsia="仿宋" w:cs="仿宋"/>
          <w:color w:val="auto"/>
          <w:highlight w:val="none"/>
        </w:rPr>
      </w:pPr>
    </w:p>
    <w:p w14:paraId="055B26C2">
      <w:pPr>
        <w:rPr>
          <w:rFonts w:hint="eastAsia" w:ascii="仿宋" w:hAnsi="仿宋" w:eastAsia="仿宋" w:cs="仿宋"/>
          <w:color w:val="auto"/>
          <w:highlight w:val="none"/>
        </w:rPr>
      </w:pPr>
    </w:p>
    <w:p w14:paraId="4BAA9B97">
      <w:pPr>
        <w:rPr>
          <w:rFonts w:hint="eastAsia" w:ascii="仿宋" w:hAnsi="仿宋" w:eastAsia="仿宋" w:cs="仿宋"/>
          <w:color w:val="auto"/>
          <w:highlight w:val="none"/>
        </w:rPr>
      </w:pPr>
    </w:p>
    <w:p w14:paraId="134ED531">
      <w:pPr>
        <w:rPr>
          <w:rFonts w:hint="eastAsia" w:ascii="仿宋" w:hAnsi="仿宋" w:eastAsia="仿宋" w:cs="仿宋"/>
          <w:color w:val="auto"/>
          <w:highlight w:val="none"/>
        </w:rPr>
      </w:pPr>
    </w:p>
    <w:p w14:paraId="187363DF">
      <w:pPr>
        <w:rPr>
          <w:rFonts w:hint="eastAsia" w:ascii="仿宋" w:hAnsi="仿宋" w:eastAsia="仿宋" w:cs="仿宋"/>
          <w:color w:val="auto"/>
          <w:highlight w:val="none"/>
        </w:rPr>
      </w:pPr>
    </w:p>
    <w:p w14:paraId="7A6ECCB9">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投  标  文  件</w:t>
      </w:r>
    </w:p>
    <w:p w14:paraId="579A3D2C">
      <w:pPr>
        <w:rPr>
          <w:rFonts w:hint="eastAsia" w:ascii="仿宋" w:hAnsi="仿宋" w:eastAsia="仿宋" w:cs="仿宋"/>
          <w:color w:val="auto"/>
          <w:highlight w:val="none"/>
        </w:rPr>
      </w:pPr>
    </w:p>
    <w:p w14:paraId="6B6B5D8D">
      <w:pPr>
        <w:rPr>
          <w:rFonts w:hint="eastAsia" w:ascii="仿宋" w:hAnsi="仿宋" w:eastAsia="仿宋" w:cs="仿宋"/>
          <w:color w:val="auto"/>
          <w:highlight w:val="none"/>
        </w:rPr>
      </w:pPr>
    </w:p>
    <w:p w14:paraId="5FC16DF5">
      <w:pPr>
        <w:rPr>
          <w:rFonts w:hint="eastAsia" w:ascii="仿宋" w:hAnsi="仿宋" w:eastAsia="仿宋" w:cs="仿宋"/>
          <w:color w:val="auto"/>
          <w:highlight w:val="none"/>
        </w:rPr>
      </w:pPr>
    </w:p>
    <w:p w14:paraId="1B7987E1">
      <w:pPr>
        <w:rPr>
          <w:rFonts w:hint="eastAsia" w:ascii="仿宋" w:hAnsi="仿宋" w:eastAsia="仿宋" w:cs="仿宋"/>
          <w:color w:val="auto"/>
          <w:sz w:val="28"/>
          <w:szCs w:val="28"/>
          <w:highlight w:val="none"/>
        </w:rPr>
      </w:pPr>
    </w:p>
    <w:p w14:paraId="5F12D70B">
      <w:pPr>
        <w:rPr>
          <w:rFonts w:hint="eastAsia" w:ascii="仿宋" w:hAnsi="仿宋" w:eastAsia="仿宋" w:cs="仿宋"/>
          <w:color w:val="auto"/>
          <w:sz w:val="28"/>
          <w:szCs w:val="28"/>
          <w:highlight w:val="none"/>
        </w:rPr>
      </w:pPr>
    </w:p>
    <w:p w14:paraId="0D5CE406">
      <w:pPr>
        <w:rPr>
          <w:rFonts w:hint="eastAsia" w:ascii="仿宋" w:hAnsi="仿宋" w:eastAsia="仿宋" w:cs="仿宋"/>
          <w:color w:val="auto"/>
          <w:sz w:val="28"/>
          <w:szCs w:val="28"/>
          <w:highlight w:val="none"/>
        </w:rPr>
      </w:pPr>
    </w:p>
    <w:p w14:paraId="6BCE9B43">
      <w:pPr>
        <w:rPr>
          <w:rFonts w:hint="eastAsia" w:ascii="仿宋" w:hAnsi="仿宋" w:eastAsia="仿宋" w:cs="仿宋"/>
          <w:color w:val="auto"/>
          <w:sz w:val="28"/>
          <w:szCs w:val="28"/>
          <w:highlight w:val="none"/>
        </w:rPr>
      </w:pPr>
    </w:p>
    <w:p w14:paraId="6871148A">
      <w:pPr>
        <w:rPr>
          <w:rFonts w:hint="eastAsia" w:ascii="仿宋" w:hAnsi="仿宋" w:eastAsia="仿宋" w:cs="仿宋"/>
          <w:color w:val="auto"/>
          <w:sz w:val="28"/>
          <w:szCs w:val="28"/>
          <w:highlight w:val="none"/>
        </w:rPr>
      </w:pPr>
    </w:p>
    <w:p w14:paraId="17C09F5F">
      <w:pPr>
        <w:rPr>
          <w:rFonts w:hint="eastAsia" w:ascii="仿宋" w:hAnsi="仿宋" w:eastAsia="仿宋" w:cs="仿宋"/>
          <w:color w:val="auto"/>
          <w:sz w:val="28"/>
          <w:szCs w:val="28"/>
          <w:highlight w:val="none"/>
        </w:rPr>
      </w:pPr>
    </w:p>
    <w:p w14:paraId="70B99170">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所投包号：第  包</w:t>
      </w:r>
    </w:p>
    <w:p w14:paraId="6CCFE176">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p w14:paraId="589F31FE">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p>
    <w:p w14:paraId="718B5B9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 ：</w:t>
      </w:r>
    </w:p>
    <w:p w14:paraId="6F233667">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8A1A79">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格式3</w:t>
      </w:r>
    </w:p>
    <w:p w14:paraId="1B4B00EC">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83" w:name="_Toc2304_WPSOffice_Level2"/>
      <w:bookmarkStart w:id="84" w:name="_Toc21414_WPSOffice_Level2"/>
      <w:r>
        <w:rPr>
          <w:rFonts w:hint="eastAsia" w:ascii="仿宋" w:hAnsi="仿宋" w:eastAsia="仿宋" w:cs="仿宋"/>
          <w:b/>
          <w:color w:val="auto"/>
          <w:sz w:val="32"/>
          <w:szCs w:val="32"/>
          <w:highlight w:val="none"/>
        </w:rPr>
        <w:t>目  录</w:t>
      </w:r>
      <w:bookmarkEnd w:id="83"/>
      <w:bookmarkEnd w:id="84"/>
    </w:p>
    <w:p w14:paraId="2D94693A">
      <w:pPr>
        <w:rPr>
          <w:rFonts w:hint="eastAsia" w:ascii="仿宋" w:hAnsi="仿宋" w:eastAsia="仿宋" w:cs="仿宋"/>
          <w:color w:val="auto"/>
          <w:highlight w:val="none"/>
        </w:rPr>
      </w:pPr>
      <w:bookmarkStart w:id="85" w:name="_Toc7636_WPSOffice_Level2"/>
      <w:bookmarkStart w:id="86" w:name="_Toc30940_WPSOffice_Level2"/>
      <w:r>
        <w:rPr>
          <w:rFonts w:hint="eastAsia" w:ascii="仿宋" w:hAnsi="仿宋" w:eastAsia="仿宋" w:cs="仿宋"/>
          <w:color w:val="auto"/>
          <w:highlight w:val="none"/>
        </w:rPr>
        <w:t>一、资格证明材料</w:t>
      </w:r>
      <w:bookmarkEnd w:id="85"/>
      <w:bookmarkEnd w:id="86"/>
    </w:p>
    <w:p w14:paraId="15523EE2">
      <w:pPr>
        <w:rPr>
          <w:rFonts w:hint="eastAsia" w:ascii="仿宋" w:hAnsi="仿宋" w:eastAsia="仿宋" w:cs="仿宋"/>
          <w:color w:val="auto"/>
          <w:highlight w:val="none"/>
        </w:rPr>
      </w:pPr>
      <w:r>
        <w:rPr>
          <w:rFonts w:hint="eastAsia" w:ascii="仿宋" w:hAnsi="仿宋" w:eastAsia="仿宋" w:cs="仿宋"/>
          <w:color w:val="auto"/>
          <w:highlight w:val="none"/>
        </w:rPr>
        <w:t>……</w:t>
      </w:r>
    </w:p>
    <w:p w14:paraId="265A3C83">
      <w:pPr>
        <w:rPr>
          <w:rFonts w:hint="eastAsia" w:ascii="仿宋" w:hAnsi="仿宋" w:eastAsia="仿宋" w:cs="仿宋"/>
          <w:color w:val="auto"/>
          <w:highlight w:val="none"/>
        </w:rPr>
      </w:pPr>
      <w:bookmarkStart w:id="87" w:name="_Toc31702_WPSOffice_Level2"/>
      <w:bookmarkStart w:id="88" w:name="_Toc13950_WPSOffice_Level2"/>
      <w:r>
        <w:rPr>
          <w:rFonts w:hint="eastAsia" w:ascii="仿宋" w:hAnsi="仿宋" w:eastAsia="仿宋" w:cs="仿宋"/>
          <w:color w:val="auto"/>
          <w:highlight w:val="none"/>
        </w:rPr>
        <w:t>二、符合性证明材料</w:t>
      </w:r>
      <w:bookmarkEnd w:id="87"/>
      <w:bookmarkEnd w:id="88"/>
    </w:p>
    <w:p w14:paraId="4AB09719">
      <w:pPr>
        <w:rPr>
          <w:rFonts w:hint="eastAsia" w:ascii="仿宋" w:hAnsi="仿宋" w:eastAsia="仿宋" w:cs="仿宋"/>
          <w:color w:val="auto"/>
          <w:highlight w:val="none"/>
        </w:rPr>
      </w:pPr>
      <w:r>
        <w:rPr>
          <w:rFonts w:hint="eastAsia" w:ascii="仿宋" w:hAnsi="仿宋" w:eastAsia="仿宋" w:cs="仿宋"/>
          <w:color w:val="auto"/>
          <w:highlight w:val="none"/>
        </w:rPr>
        <w:t>……</w:t>
      </w:r>
    </w:p>
    <w:p w14:paraId="7D259544">
      <w:pPr>
        <w:rPr>
          <w:rFonts w:hint="eastAsia" w:ascii="仿宋" w:hAnsi="仿宋" w:eastAsia="仿宋" w:cs="仿宋"/>
          <w:color w:val="auto"/>
          <w:highlight w:val="none"/>
        </w:rPr>
      </w:pPr>
      <w:bookmarkStart w:id="89" w:name="_Toc14854_WPSOffice_Level2"/>
      <w:bookmarkStart w:id="90" w:name="_Toc9090_WPSOffice_Level2"/>
      <w:r>
        <w:rPr>
          <w:rFonts w:hint="eastAsia" w:ascii="仿宋" w:hAnsi="仿宋" w:eastAsia="仿宋" w:cs="仿宋"/>
          <w:color w:val="auto"/>
          <w:highlight w:val="none"/>
        </w:rPr>
        <w:t>三、其它材料</w:t>
      </w:r>
      <w:bookmarkEnd w:id="89"/>
      <w:bookmarkEnd w:id="90"/>
    </w:p>
    <w:p w14:paraId="1F6AD673">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p w14:paraId="5C78F43E">
      <w:pPr>
        <w:rPr>
          <w:rFonts w:hint="eastAsia" w:ascii="仿宋" w:hAnsi="仿宋" w:eastAsia="仿宋" w:cs="仿宋"/>
          <w:color w:val="auto"/>
          <w:szCs w:val="21"/>
          <w:highlight w:val="none"/>
        </w:rPr>
      </w:pPr>
    </w:p>
    <w:p w14:paraId="0720C021">
      <w:pPr>
        <w:rPr>
          <w:rFonts w:hint="eastAsia" w:ascii="仿宋" w:hAnsi="仿宋" w:eastAsia="仿宋" w:cs="仿宋"/>
          <w:color w:val="auto"/>
          <w:szCs w:val="21"/>
          <w:highlight w:val="none"/>
        </w:rPr>
      </w:pPr>
    </w:p>
    <w:p w14:paraId="6F601E26">
      <w:pPr>
        <w:rPr>
          <w:rFonts w:hint="eastAsia" w:ascii="仿宋" w:hAnsi="仿宋" w:eastAsia="仿宋" w:cs="仿宋"/>
          <w:color w:val="auto"/>
          <w:szCs w:val="21"/>
          <w:highlight w:val="none"/>
        </w:rPr>
      </w:pPr>
    </w:p>
    <w:p w14:paraId="62A4B3E6">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0D9678C7">
      <w:pPr>
        <w:spacing w:line="360" w:lineRule="auto"/>
        <w:rPr>
          <w:rFonts w:hint="eastAsia" w:ascii="仿宋" w:hAnsi="仿宋" w:eastAsia="仿宋" w:cs="仿宋"/>
          <w:color w:val="auto"/>
          <w:highlight w:val="none"/>
        </w:rPr>
      </w:pPr>
    </w:p>
    <w:p w14:paraId="2E5812D7">
      <w:pPr>
        <w:rPr>
          <w:rFonts w:hint="eastAsia" w:ascii="仿宋" w:hAnsi="仿宋" w:eastAsia="仿宋" w:cs="仿宋"/>
          <w:color w:val="auto"/>
          <w:highlight w:val="none"/>
        </w:rPr>
      </w:pPr>
    </w:p>
    <w:p w14:paraId="787F57FF">
      <w:pPr>
        <w:rPr>
          <w:rFonts w:hint="eastAsia" w:ascii="仿宋" w:hAnsi="仿宋" w:eastAsia="仿宋" w:cs="仿宋"/>
          <w:color w:val="auto"/>
          <w:highlight w:val="none"/>
        </w:rPr>
      </w:pPr>
    </w:p>
    <w:p w14:paraId="31686369">
      <w:pPr>
        <w:rPr>
          <w:rFonts w:hint="eastAsia" w:ascii="仿宋" w:hAnsi="仿宋" w:eastAsia="仿宋" w:cs="仿宋"/>
          <w:color w:val="auto"/>
          <w:highlight w:val="none"/>
        </w:rPr>
      </w:pPr>
    </w:p>
    <w:p w14:paraId="67074F12">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23783BD1">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其授权委托人(签字或盖章)：</w:t>
      </w:r>
      <w:r>
        <w:rPr>
          <w:rFonts w:hint="eastAsia" w:ascii="仿宋" w:hAnsi="仿宋" w:eastAsia="仿宋" w:cs="仿宋"/>
          <w:color w:val="auto"/>
          <w:highlight w:val="none"/>
          <w:u w:val="single"/>
        </w:rPr>
        <w:t xml:space="preserve">           </w:t>
      </w:r>
    </w:p>
    <w:p w14:paraId="08625FF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56E47AFC">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Cs w:val="28"/>
          <w:highlight w:val="none"/>
        </w:rPr>
        <w:t>格式4</w:t>
      </w:r>
    </w:p>
    <w:p w14:paraId="7242BCC8">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1" w:name="_Toc3401_WPSOffice_Level2"/>
      <w:bookmarkStart w:id="92" w:name="_Toc16924_WPSOffice_Level2"/>
      <w:r>
        <w:rPr>
          <w:rFonts w:hint="eastAsia" w:ascii="仿宋" w:hAnsi="仿宋" w:eastAsia="仿宋" w:cs="仿宋"/>
          <w:b/>
          <w:color w:val="auto"/>
          <w:sz w:val="32"/>
          <w:szCs w:val="32"/>
          <w:highlight w:val="none"/>
        </w:rPr>
        <w:t>法定代表人（或非法人组织负责人）身份证明书</w:t>
      </w:r>
      <w:bookmarkEnd w:id="91"/>
      <w:bookmarkEnd w:id="92"/>
    </w:p>
    <w:p w14:paraId="42D1CAF6">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，出生日期：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，现任职务：</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（投标人名称）的法定代表人（或非法人组织负责人）。</w:t>
      </w:r>
    </w:p>
    <w:p w14:paraId="2EEB7F20">
      <w:pPr>
        <w:rPr>
          <w:rFonts w:hint="eastAsia" w:ascii="仿宋" w:hAnsi="仿宋" w:eastAsia="仿宋" w:cs="仿宋"/>
          <w:color w:val="auto"/>
          <w:szCs w:val="21"/>
          <w:highlight w:val="none"/>
        </w:rPr>
      </w:pPr>
    </w:p>
    <w:p w14:paraId="1C5F602E">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6ACC96BC">
      <w:pPr>
        <w:rPr>
          <w:rFonts w:hint="eastAsia" w:ascii="仿宋" w:hAnsi="仿宋" w:eastAsia="仿宋" w:cs="仿宋"/>
          <w:color w:val="auto"/>
          <w:szCs w:val="21"/>
          <w:highlight w:val="none"/>
        </w:rPr>
      </w:pPr>
    </w:p>
    <w:p w14:paraId="4DDEB207">
      <w:pPr>
        <w:rPr>
          <w:rFonts w:hint="eastAsia" w:ascii="仿宋" w:hAnsi="仿宋" w:eastAsia="仿宋" w:cs="仿宋"/>
          <w:color w:val="auto"/>
          <w:szCs w:val="21"/>
          <w:highlight w:val="none"/>
        </w:rPr>
      </w:pPr>
    </w:p>
    <w:p w14:paraId="556EA951">
      <w:pPr>
        <w:rPr>
          <w:rFonts w:hint="eastAsia" w:ascii="仿宋" w:hAnsi="仿宋" w:eastAsia="仿宋" w:cs="仿宋"/>
          <w:color w:val="auto"/>
          <w:szCs w:val="21"/>
          <w:highlight w:val="none"/>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5F5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3F0B998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（※法定代表人（或非法人组织负责人）身份证正、反面复印件※）</w:t>
            </w:r>
          </w:p>
        </w:tc>
      </w:tr>
    </w:tbl>
    <w:p w14:paraId="4D6F500D">
      <w:pPr>
        <w:rPr>
          <w:rFonts w:hint="eastAsia" w:ascii="仿宋" w:hAnsi="仿宋" w:eastAsia="仿宋" w:cs="仿宋"/>
          <w:color w:val="auto"/>
          <w:szCs w:val="21"/>
          <w:highlight w:val="none"/>
        </w:rPr>
      </w:pPr>
    </w:p>
    <w:p w14:paraId="577164AB">
      <w:pPr>
        <w:rPr>
          <w:rFonts w:hint="eastAsia" w:ascii="仿宋" w:hAnsi="仿宋" w:eastAsia="仿宋" w:cs="仿宋"/>
          <w:color w:val="auto"/>
          <w:szCs w:val="21"/>
          <w:highlight w:val="none"/>
        </w:rPr>
      </w:pPr>
    </w:p>
    <w:p w14:paraId="3C07893C">
      <w:pPr>
        <w:rPr>
          <w:rFonts w:hint="eastAsia" w:ascii="仿宋" w:hAnsi="仿宋" w:eastAsia="仿宋" w:cs="仿宋"/>
          <w:color w:val="auto"/>
          <w:szCs w:val="21"/>
          <w:highlight w:val="none"/>
        </w:rPr>
      </w:pPr>
    </w:p>
    <w:p w14:paraId="063D4E8E">
      <w:pPr>
        <w:rPr>
          <w:rFonts w:hint="eastAsia" w:ascii="仿宋" w:hAnsi="仿宋" w:eastAsia="仿宋" w:cs="仿宋"/>
          <w:color w:val="auto"/>
          <w:szCs w:val="21"/>
          <w:highlight w:val="none"/>
        </w:rPr>
      </w:pPr>
    </w:p>
    <w:p w14:paraId="051A7699">
      <w:pPr>
        <w:rPr>
          <w:rFonts w:hint="eastAsia" w:ascii="仿宋" w:hAnsi="仿宋" w:eastAsia="仿宋" w:cs="仿宋"/>
          <w:color w:val="auto"/>
          <w:szCs w:val="21"/>
          <w:highlight w:val="none"/>
        </w:rPr>
      </w:pPr>
    </w:p>
    <w:p w14:paraId="1F73A6ED">
      <w:pPr>
        <w:rPr>
          <w:rFonts w:hint="eastAsia" w:ascii="仿宋" w:hAnsi="仿宋" w:eastAsia="仿宋" w:cs="仿宋"/>
          <w:color w:val="auto"/>
          <w:szCs w:val="21"/>
          <w:highlight w:val="none"/>
        </w:rPr>
      </w:pPr>
    </w:p>
    <w:p w14:paraId="1751C2BF">
      <w:pPr>
        <w:spacing w:line="48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7D28DBA2">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6719035F">
      <w:pPr>
        <w:rPr>
          <w:rFonts w:hint="eastAsia" w:ascii="仿宋" w:hAnsi="仿宋" w:eastAsia="仿宋" w:cs="仿宋"/>
          <w:color w:val="auto"/>
          <w:highlight w:val="none"/>
        </w:rPr>
      </w:pPr>
    </w:p>
    <w:p w14:paraId="2FD4D590">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1E5D0195">
      <w:pPr>
        <w:pStyle w:val="3"/>
        <w:adjustRightInd w:val="0"/>
        <w:snapToGrid w:val="0"/>
        <w:spacing w:before="0" w:after="0" w:line="240" w:lineRule="auto"/>
        <w:jc w:val="left"/>
        <w:rPr>
          <w:rFonts w:hint="eastAsia" w:ascii="仿宋" w:hAnsi="仿宋" w:eastAsia="仿宋" w:cs="仿宋"/>
          <w:b w:val="0"/>
          <w:bCs/>
          <w:color w:val="auto"/>
          <w:sz w:val="32"/>
          <w:szCs w:val="32"/>
          <w:highlight w:val="none"/>
        </w:rPr>
      </w:pPr>
      <w:r>
        <w:rPr>
          <w:rFonts w:hint="eastAsia" w:ascii="仿宋" w:hAnsi="仿宋" w:eastAsia="仿宋" w:cs="仿宋"/>
          <w:color w:val="auto"/>
          <w:szCs w:val="28"/>
          <w:highlight w:val="none"/>
        </w:rPr>
        <w:t>格式5</w:t>
      </w:r>
      <w:bookmarkStart w:id="93" w:name="_Toc122_WPSOffice_Level2"/>
      <w:bookmarkStart w:id="94" w:name="_Toc21833_WPSOffice_Level2"/>
    </w:p>
    <w:p w14:paraId="6DE0CEBD">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法定代表人（或非法人组织负责人）授权委托书</w:t>
      </w:r>
      <w:bookmarkEnd w:id="93"/>
      <w:bookmarkEnd w:id="94"/>
    </w:p>
    <w:p w14:paraId="438FA17B">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单位名称：</w:t>
      </w:r>
      <w:r>
        <w:rPr>
          <w:rFonts w:hint="eastAsia" w:ascii="仿宋" w:hAnsi="仿宋" w:eastAsia="仿宋" w:cs="仿宋"/>
          <w:color w:val="auto"/>
          <w:szCs w:val="21"/>
          <w:highlight w:val="none"/>
          <w:u w:val="single"/>
        </w:rPr>
        <w:t xml:space="preserve">                </w:t>
      </w:r>
    </w:p>
    <w:p w14:paraId="111E335C">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法定代表人（或非法人组织负责人）姓名：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身份证号码：</w:t>
      </w:r>
      <w:r>
        <w:rPr>
          <w:rFonts w:hint="eastAsia" w:ascii="仿宋" w:hAnsi="仿宋" w:eastAsia="仿宋" w:cs="仿宋"/>
          <w:color w:val="auto"/>
          <w:szCs w:val="21"/>
          <w:highlight w:val="none"/>
          <w:u w:val="single"/>
        </w:rPr>
        <w:t xml:space="preserve">         </w:t>
      </w:r>
    </w:p>
    <w:p w14:paraId="32C7D251">
      <w:pPr>
        <w:tabs>
          <w:tab w:val="left" w:pos="5205"/>
        </w:tabs>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住所地：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p>
    <w:p w14:paraId="6077B69C">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身份证号码：</w:t>
      </w:r>
      <w:r>
        <w:rPr>
          <w:rFonts w:hint="eastAsia" w:ascii="仿宋" w:hAnsi="仿宋" w:eastAsia="仿宋" w:cs="仿宋"/>
          <w:color w:val="auto"/>
          <w:szCs w:val="21"/>
          <w:highlight w:val="none"/>
          <w:u w:val="single"/>
        </w:rPr>
        <w:t xml:space="preserve">         </w:t>
      </w:r>
    </w:p>
    <w:p w14:paraId="40A96E8E">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工作单位：</w:t>
      </w:r>
      <w:r>
        <w:rPr>
          <w:rFonts w:hint="eastAsia" w:ascii="仿宋" w:hAnsi="仿宋" w:eastAsia="仿宋" w:cs="仿宋"/>
          <w:color w:val="auto"/>
          <w:szCs w:val="21"/>
          <w:highlight w:val="none"/>
          <w:u w:val="single"/>
        </w:rPr>
        <w:t xml:space="preserve">                  </w:t>
      </w:r>
    </w:p>
    <w:p w14:paraId="6A27AD76">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电话：</w:t>
      </w:r>
      <w:r>
        <w:rPr>
          <w:rFonts w:hint="eastAsia" w:ascii="仿宋" w:hAnsi="仿宋" w:eastAsia="仿宋" w:cs="仿宋"/>
          <w:color w:val="auto"/>
          <w:szCs w:val="21"/>
          <w:highlight w:val="none"/>
          <w:u w:val="single"/>
        </w:rPr>
        <w:t xml:space="preserve">               </w:t>
      </w:r>
    </w:p>
    <w:p w14:paraId="423C580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现委托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就</w:t>
      </w:r>
      <w:r>
        <w:rPr>
          <w:rFonts w:hint="eastAsia" w:ascii="仿宋" w:hAnsi="仿宋" w:eastAsia="仿宋" w:cs="仿宋"/>
          <w:color w:val="auto"/>
          <w:szCs w:val="21"/>
          <w:highlight w:val="none"/>
          <w:u w:val="single"/>
        </w:rPr>
        <w:t>（项目编号、项目名称、包号）</w:t>
      </w:r>
      <w:r>
        <w:rPr>
          <w:rFonts w:hint="eastAsia" w:ascii="仿宋" w:hAnsi="仿宋" w:eastAsia="仿宋" w:cs="仿宋"/>
          <w:color w:val="auto"/>
          <w:szCs w:val="21"/>
          <w:highlight w:val="none"/>
        </w:rPr>
        <w:t>投标中，以我单位名义处理一切与之有关的事务。</w:t>
      </w:r>
    </w:p>
    <w:p w14:paraId="314D46E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日签字或盖章生效，无转委托，特此声明。</w:t>
      </w:r>
    </w:p>
    <w:p w14:paraId="48B2E455">
      <w:pPr>
        <w:spacing w:line="360" w:lineRule="auto"/>
        <w:rPr>
          <w:rFonts w:hint="eastAsia" w:ascii="仿宋" w:hAnsi="仿宋" w:eastAsia="仿宋" w:cs="仿宋"/>
          <w:color w:val="auto"/>
          <w:szCs w:val="21"/>
          <w:highlight w:val="none"/>
        </w:rPr>
      </w:pPr>
    </w:p>
    <w:tbl>
      <w:tblPr>
        <w:tblStyle w:val="1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116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58A35B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人身份证正、反面复印件※）</w:t>
            </w:r>
          </w:p>
        </w:tc>
      </w:tr>
    </w:tbl>
    <w:p w14:paraId="3445F6AA">
      <w:pPr>
        <w:spacing w:line="360" w:lineRule="auto"/>
        <w:rPr>
          <w:rFonts w:hint="eastAsia" w:ascii="仿宋" w:hAnsi="仿宋" w:eastAsia="仿宋" w:cs="仿宋"/>
          <w:color w:val="auto"/>
          <w:szCs w:val="21"/>
          <w:highlight w:val="none"/>
        </w:rPr>
      </w:pPr>
    </w:p>
    <w:p w14:paraId="62CF26E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委托人（加盖单位公章）：</w:t>
      </w:r>
      <w:r>
        <w:rPr>
          <w:rFonts w:hint="eastAsia" w:ascii="仿宋" w:hAnsi="仿宋" w:eastAsia="仿宋" w:cs="仿宋"/>
          <w:color w:val="auto"/>
          <w:szCs w:val="21"/>
          <w:highlight w:val="none"/>
          <w:u w:val="single"/>
        </w:rPr>
        <w:t xml:space="preserve">              </w:t>
      </w:r>
    </w:p>
    <w:p w14:paraId="007713F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法定代表人（或非法人组织负责人）（签字或盖章）：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7657E76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人（签字或盖章）：</w:t>
      </w:r>
      <w:r>
        <w:rPr>
          <w:rFonts w:hint="eastAsia" w:ascii="仿宋" w:hAnsi="仿宋" w:eastAsia="仿宋" w:cs="仿宋"/>
          <w:color w:val="auto"/>
          <w:szCs w:val="21"/>
          <w:highlight w:val="none"/>
          <w:u w:val="single"/>
        </w:rPr>
        <w:t xml:space="preserve">              </w:t>
      </w:r>
    </w:p>
    <w:p w14:paraId="276C6EA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详细通讯地址：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邮政编码 ：</w:t>
      </w:r>
      <w:r>
        <w:rPr>
          <w:rFonts w:hint="eastAsia" w:ascii="仿宋" w:hAnsi="仿宋" w:eastAsia="仿宋" w:cs="仿宋"/>
          <w:color w:val="auto"/>
          <w:szCs w:val="21"/>
          <w:highlight w:val="none"/>
          <w:u w:val="single"/>
        </w:rPr>
        <w:t xml:space="preserve">              </w:t>
      </w:r>
    </w:p>
    <w:p w14:paraId="430A7636">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传        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     话：</w:t>
      </w:r>
      <w:r>
        <w:rPr>
          <w:rFonts w:hint="eastAsia" w:ascii="仿宋" w:hAnsi="仿宋" w:eastAsia="仿宋" w:cs="仿宋"/>
          <w:color w:val="auto"/>
          <w:szCs w:val="21"/>
          <w:highlight w:val="none"/>
          <w:u w:val="single"/>
        </w:rPr>
        <w:t xml:space="preserve">              </w:t>
      </w:r>
    </w:p>
    <w:p w14:paraId="329D1D10">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2399B166">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0E169226">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格式6</w:t>
      </w:r>
    </w:p>
    <w:p w14:paraId="4C7AC260">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具有良好的商业信誉和健全的财务会计制度的承诺函</w:t>
      </w:r>
    </w:p>
    <w:p w14:paraId="77D25F0E">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（格式自拟）</w:t>
      </w:r>
    </w:p>
    <w:p w14:paraId="6F30FB22">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11505F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E52E38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00811F9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35CD45C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F0A1E6F">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E00245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47713EE">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C2B8D9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5FEC90A">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5448A8CA">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5E58E0DC">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65C6C446">
      <w:pPr>
        <w:adjustRightInd w:val="0"/>
        <w:snapToGrid w:val="0"/>
        <w:spacing w:line="360" w:lineRule="auto"/>
        <w:ind w:right="105" w:rightChars="50"/>
        <w:jc w:val="left"/>
        <w:rPr>
          <w:rFonts w:hint="eastAsia" w:ascii="仿宋" w:hAnsi="仿宋" w:eastAsia="仿宋" w:cs="仿宋"/>
          <w:color w:val="auto"/>
          <w:highlight w:val="none"/>
          <w:u w:val="single"/>
        </w:rPr>
      </w:pPr>
    </w:p>
    <w:p w14:paraId="398D461A">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3C216DC0">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格式7</w:t>
      </w:r>
    </w:p>
    <w:p w14:paraId="3EDDBDCD">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5" w:name="_Toc23728_WPSOffice_Level2"/>
      <w:bookmarkStart w:id="96" w:name="_Toc12037_WPSOffice_Level2"/>
      <w:r>
        <w:rPr>
          <w:rFonts w:hint="eastAsia" w:ascii="仿宋" w:hAnsi="仿宋" w:eastAsia="仿宋" w:cs="仿宋"/>
          <w:b/>
          <w:color w:val="auto"/>
          <w:sz w:val="32"/>
          <w:szCs w:val="32"/>
          <w:highlight w:val="none"/>
        </w:rPr>
        <w:t>具备履行合同所必需的设备和专业技术能力声明函</w:t>
      </w:r>
      <w:bookmarkEnd w:id="95"/>
      <w:bookmarkEnd w:id="96"/>
    </w:p>
    <w:p w14:paraId="6C305178">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bookmarkStart w:id="97" w:name="_Toc28831_WPSOffice_Level2"/>
      <w:bookmarkStart w:id="98" w:name="_Toc1917_WPSOffice_Level2"/>
      <w:r>
        <w:rPr>
          <w:rFonts w:hint="eastAsia" w:ascii="仿宋" w:hAnsi="仿宋" w:eastAsia="仿宋" w:cs="仿宋"/>
          <w:color w:val="auto"/>
          <w:sz w:val="28"/>
          <w:szCs w:val="28"/>
          <w:highlight w:val="none"/>
        </w:rPr>
        <w:t>（格式自拟）</w:t>
      </w:r>
      <w:bookmarkEnd w:id="97"/>
      <w:bookmarkEnd w:id="98"/>
    </w:p>
    <w:p w14:paraId="1B86C4A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43C7F3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A873E2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00008F6">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3B4336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D953A5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0E705C52">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3532BD8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BB6EF8B">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BD9BC47">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4DB8ACF4">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33910384">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2B9656D0">
      <w:pPr>
        <w:adjustRightInd w:val="0"/>
        <w:snapToGrid w:val="0"/>
        <w:spacing w:line="360" w:lineRule="auto"/>
        <w:ind w:right="105" w:rightChars="50"/>
        <w:jc w:val="left"/>
        <w:rPr>
          <w:rFonts w:hint="eastAsia" w:ascii="仿宋" w:hAnsi="仿宋" w:eastAsia="仿宋" w:cs="仿宋"/>
          <w:color w:val="auto"/>
          <w:highlight w:val="none"/>
          <w:u w:val="single"/>
        </w:rPr>
      </w:pPr>
    </w:p>
    <w:p w14:paraId="5A9E83EE">
      <w:pPr>
        <w:adjustRightInd w:val="0"/>
        <w:snapToGrid w:val="0"/>
        <w:spacing w:line="360" w:lineRule="auto"/>
        <w:ind w:right="105" w:rightChars="50"/>
        <w:jc w:val="left"/>
        <w:rPr>
          <w:rFonts w:hint="eastAsia" w:ascii="仿宋" w:hAnsi="仿宋" w:eastAsia="仿宋" w:cs="仿宋"/>
          <w:b/>
          <w:color w:val="auto"/>
          <w:sz w:val="28"/>
          <w:szCs w:val="28"/>
          <w:highlight w:val="none"/>
        </w:rPr>
      </w:pPr>
    </w:p>
    <w:p w14:paraId="16B2E932">
      <w:pPr>
        <w:widowControl/>
        <w:jc w:val="left"/>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br w:type="page"/>
      </w:r>
    </w:p>
    <w:p w14:paraId="2FA1C249">
      <w:pPr>
        <w:pStyle w:val="3"/>
        <w:adjustRightInd w:val="0"/>
        <w:snapToGrid w:val="0"/>
        <w:spacing w:before="0" w:after="0" w:line="240" w:lineRule="auto"/>
        <w:jc w:val="left"/>
        <w:rPr>
          <w:rFonts w:hint="eastAsia" w:ascii="仿宋" w:hAnsi="仿宋" w:eastAsia="仿宋" w:cs="仿宋"/>
          <w:color w:val="auto"/>
          <w:highlight w:val="none"/>
        </w:rPr>
      </w:pPr>
      <w:r>
        <w:rPr>
          <w:rFonts w:hint="eastAsia" w:ascii="仿宋" w:hAnsi="仿宋" w:eastAsia="仿宋" w:cs="仿宋"/>
          <w:color w:val="auto"/>
          <w:szCs w:val="28"/>
          <w:highlight w:val="none"/>
        </w:rPr>
        <w:t>格式8</w:t>
      </w:r>
    </w:p>
    <w:p w14:paraId="4FAE467D">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bookmarkStart w:id="99" w:name="_Toc7498_WPSOffice_Level2"/>
      <w:bookmarkStart w:id="100" w:name="_Toc11967_WPSOffice_Level2"/>
      <w:r>
        <w:rPr>
          <w:rFonts w:hint="eastAsia" w:ascii="仿宋" w:hAnsi="仿宋" w:eastAsia="仿宋" w:cs="仿宋"/>
          <w:b/>
          <w:color w:val="auto"/>
          <w:sz w:val="32"/>
          <w:szCs w:val="32"/>
          <w:highlight w:val="none"/>
        </w:rPr>
        <w:t>参加政府采购活动前3年内在经营活动中没有重大违法记录的书面声明</w:t>
      </w:r>
      <w:bookmarkEnd w:id="99"/>
      <w:bookmarkEnd w:id="100"/>
    </w:p>
    <w:p w14:paraId="61966890">
      <w:pPr>
        <w:spacing w:line="360" w:lineRule="auto"/>
        <w:ind w:right="630" w:rightChars="300"/>
        <w:rPr>
          <w:rFonts w:hint="eastAsia" w:ascii="仿宋" w:hAnsi="仿宋" w:eastAsia="仿宋" w:cs="仿宋"/>
          <w:b/>
          <w:color w:val="auto"/>
          <w:szCs w:val="21"/>
          <w:highlight w:val="none"/>
        </w:rPr>
      </w:pPr>
      <w:r>
        <w:rPr>
          <w:rFonts w:hint="eastAsia" w:ascii="仿宋" w:hAnsi="仿宋" w:eastAsia="仿宋" w:cs="仿宋"/>
          <w:b/>
          <w:color w:val="auto"/>
          <w:szCs w:val="21"/>
          <w:highlight w:val="none"/>
          <w:u w:val="single"/>
        </w:rPr>
        <w:t xml:space="preserve">（采购人或采购代理机构名称） </w:t>
      </w:r>
      <w:r>
        <w:rPr>
          <w:rFonts w:hint="eastAsia" w:ascii="仿宋" w:hAnsi="仿宋" w:eastAsia="仿宋" w:cs="仿宋"/>
          <w:b/>
          <w:color w:val="auto"/>
          <w:szCs w:val="21"/>
          <w:highlight w:val="none"/>
        </w:rPr>
        <w:t xml:space="preserve"> ：</w:t>
      </w:r>
    </w:p>
    <w:p w14:paraId="42B3E368">
      <w:pPr>
        <w:spacing w:line="360" w:lineRule="auto"/>
        <w:ind w:right="-21" w:rightChars="-10" w:firstLine="493" w:firstLineChars="235"/>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771CFC94">
      <w:pPr>
        <w:tabs>
          <w:tab w:val="left" w:pos="10065"/>
        </w:tabs>
        <w:spacing w:line="360" w:lineRule="auto"/>
        <w:ind w:right="-21" w:rightChars="-10" w:firstLine="371" w:firstLineChars="177"/>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如发现我单位提供的声明函不实时，我单位将按照《政府采购法》有关提供虚假材料的规定，接受处罚。</w:t>
      </w:r>
    </w:p>
    <w:p w14:paraId="5B220E2E">
      <w:pPr>
        <w:spacing w:line="360" w:lineRule="auto"/>
        <w:ind w:right="1050" w:rightChars="50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特此声明。</w:t>
      </w:r>
    </w:p>
    <w:p w14:paraId="0618F583">
      <w:pPr>
        <w:spacing w:line="500" w:lineRule="exact"/>
        <w:ind w:right="1050" w:rightChars="500"/>
        <w:rPr>
          <w:rFonts w:hint="eastAsia" w:ascii="仿宋" w:hAnsi="仿宋" w:eastAsia="仿宋" w:cs="仿宋"/>
          <w:color w:val="auto"/>
          <w:szCs w:val="21"/>
          <w:highlight w:val="none"/>
        </w:rPr>
      </w:pPr>
    </w:p>
    <w:p w14:paraId="4485FFD1">
      <w:pPr>
        <w:spacing w:before="159" w:beforeLines="50" w:after="159" w:afterLines="50" w:line="400" w:lineRule="exact"/>
        <w:ind w:right="1050" w:rightChars="500"/>
        <w:rPr>
          <w:rFonts w:hint="eastAsia" w:ascii="仿宋" w:hAnsi="仿宋" w:eastAsia="仿宋" w:cs="仿宋"/>
          <w:color w:val="auto"/>
          <w:szCs w:val="21"/>
          <w:highlight w:val="none"/>
        </w:rPr>
      </w:pPr>
    </w:p>
    <w:p w14:paraId="6705D407">
      <w:pPr>
        <w:spacing w:before="159" w:beforeLines="50" w:after="159" w:afterLines="50" w:line="400" w:lineRule="exact"/>
        <w:ind w:right="1050" w:rightChars="500"/>
        <w:rPr>
          <w:rFonts w:hint="eastAsia" w:ascii="仿宋" w:hAnsi="仿宋" w:eastAsia="仿宋" w:cs="仿宋"/>
          <w:color w:val="auto"/>
          <w:szCs w:val="21"/>
          <w:highlight w:val="none"/>
        </w:rPr>
      </w:pPr>
    </w:p>
    <w:p w14:paraId="77FD3BD4">
      <w:pPr>
        <w:spacing w:before="159" w:beforeLines="50" w:after="159" w:afterLines="50" w:line="400" w:lineRule="exact"/>
        <w:ind w:right="1050" w:rightChars="500"/>
        <w:rPr>
          <w:rFonts w:hint="eastAsia" w:ascii="仿宋" w:hAnsi="仿宋" w:eastAsia="仿宋" w:cs="仿宋"/>
          <w:color w:val="auto"/>
          <w:szCs w:val="21"/>
          <w:highlight w:val="none"/>
        </w:rPr>
      </w:pPr>
    </w:p>
    <w:p w14:paraId="224AA912">
      <w:pPr>
        <w:spacing w:line="360" w:lineRule="exact"/>
        <w:ind w:right="1050" w:rightChars="500"/>
        <w:rPr>
          <w:rFonts w:hint="eastAsia" w:ascii="仿宋" w:hAnsi="仿宋" w:eastAsia="仿宋" w:cs="仿宋"/>
          <w:color w:val="auto"/>
          <w:szCs w:val="21"/>
          <w:highlight w:val="none"/>
        </w:rPr>
      </w:pPr>
    </w:p>
    <w:p w14:paraId="04A8A4A4">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4E47BB40">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52995C42">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57E83694">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62CBAE87">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格式9</w:t>
      </w:r>
    </w:p>
    <w:p w14:paraId="33002B41">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101" w:name="_Toc24841_WPSOffice_Level2"/>
      <w:bookmarkStart w:id="102" w:name="_Toc14782_WPSOffice_Level2"/>
      <w:r>
        <w:rPr>
          <w:rFonts w:hint="eastAsia" w:ascii="仿宋" w:hAnsi="仿宋" w:eastAsia="仿宋" w:cs="仿宋"/>
          <w:b/>
          <w:color w:val="auto"/>
          <w:sz w:val="32"/>
          <w:szCs w:val="32"/>
          <w:highlight w:val="none"/>
        </w:rPr>
        <w:t>投标函</w:t>
      </w:r>
      <w:bookmarkEnd w:id="101"/>
      <w:bookmarkEnd w:id="102"/>
    </w:p>
    <w:p w14:paraId="620DC8E9">
      <w:pPr>
        <w:adjustRightInd w:val="0"/>
        <w:snapToGrid w:val="0"/>
        <w:spacing w:line="360" w:lineRule="auto"/>
        <w:ind w:right="630" w:rightChars="3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u w:val="single"/>
        </w:rPr>
        <w:t>（采购人或采购代理机构）：</w:t>
      </w:r>
    </w:p>
    <w:p w14:paraId="3A19505C">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根据贵方</w:t>
      </w:r>
      <w:r>
        <w:rPr>
          <w:rFonts w:hint="eastAsia" w:ascii="仿宋" w:hAnsi="仿宋" w:eastAsia="仿宋" w:cs="仿宋"/>
          <w:color w:val="auto"/>
          <w:szCs w:val="21"/>
          <w:highlight w:val="none"/>
          <w:u w:val="single"/>
        </w:rPr>
        <w:t>(项目名称)</w:t>
      </w:r>
      <w:r>
        <w:rPr>
          <w:rFonts w:hint="eastAsia" w:ascii="仿宋" w:hAnsi="仿宋" w:eastAsia="仿宋" w:cs="仿宋"/>
          <w:color w:val="auto"/>
          <w:szCs w:val="21"/>
          <w:highlight w:val="none"/>
        </w:rPr>
        <w:t>项目的招标公告</w:t>
      </w:r>
      <w:r>
        <w:rPr>
          <w:rFonts w:hint="eastAsia" w:ascii="仿宋" w:hAnsi="仿宋" w:eastAsia="仿宋" w:cs="仿宋"/>
          <w:color w:val="auto"/>
          <w:szCs w:val="21"/>
          <w:highlight w:val="none"/>
          <w:u w:val="single"/>
        </w:rPr>
        <w:t>(招标编号)</w:t>
      </w:r>
      <w:r>
        <w:rPr>
          <w:rFonts w:hint="eastAsia" w:ascii="仿宋" w:hAnsi="仿宋" w:eastAsia="仿宋" w:cs="仿宋"/>
          <w:color w:val="auto"/>
          <w:szCs w:val="21"/>
          <w:highlight w:val="none"/>
        </w:rPr>
        <w:t>,签字代表</w:t>
      </w:r>
      <w:r>
        <w:rPr>
          <w:rFonts w:hint="eastAsia" w:ascii="仿宋" w:hAnsi="仿宋" w:eastAsia="仿宋" w:cs="仿宋"/>
          <w:color w:val="auto"/>
          <w:szCs w:val="21"/>
          <w:highlight w:val="none"/>
          <w:u w:val="single"/>
        </w:rPr>
        <w:t>(姓名、职务)</w:t>
      </w:r>
      <w:r>
        <w:rPr>
          <w:rFonts w:hint="eastAsia" w:ascii="仿宋" w:hAnsi="仿宋" w:eastAsia="仿宋" w:cs="仿宋"/>
          <w:color w:val="auto"/>
          <w:szCs w:val="21"/>
          <w:highlight w:val="none"/>
        </w:rPr>
        <w:t>经正式授权并代表投标人</w:t>
      </w:r>
      <w:r>
        <w:rPr>
          <w:rFonts w:hint="eastAsia" w:ascii="仿宋" w:hAnsi="仿宋" w:eastAsia="仿宋" w:cs="仿宋"/>
          <w:color w:val="auto"/>
          <w:szCs w:val="21"/>
          <w:highlight w:val="none"/>
          <w:u w:val="single"/>
        </w:rPr>
        <w:t>（名称、地址）</w:t>
      </w:r>
      <w:r>
        <w:rPr>
          <w:rFonts w:hint="eastAsia" w:ascii="仿宋" w:hAnsi="仿宋" w:eastAsia="仿宋" w:cs="仿宋"/>
          <w:color w:val="auto"/>
          <w:szCs w:val="21"/>
          <w:highlight w:val="none"/>
        </w:rPr>
        <w:t>在辽宁政府采购网</w:t>
      </w:r>
      <w:r>
        <w:rPr>
          <w:rFonts w:hint="eastAsia" w:ascii="仿宋" w:hAnsi="仿宋" w:cs="仿宋"/>
          <w:color w:val="auto"/>
          <w:szCs w:val="21"/>
          <w:highlight w:val="none"/>
          <w:lang w:eastAsia="zh-CN"/>
        </w:rPr>
        <w:t>递交</w:t>
      </w:r>
      <w:r>
        <w:rPr>
          <w:rFonts w:hint="eastAsia" w:ascii="仿宋" w:hAnsi="仿宋" w:eastAsia="仿宋" w:cs="仿宋"/>
          <w:color w:val="auto"/>
          <w:szCs w:val="21"/>
          <w:highlight w:val="none"/>
        </w:rPr>
        <w:t>投标文件。</w:t>
      </w:r>
    </w:p>
    <w:p w14:paraId="1762F684">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据此，签字代表宣布同意如下：</w:t>
      </w:r>
    </w:p>
    <w:p w14:paraId="59246014">
      <w:pPr>
        <w:numPr>
          <w:ilvl w:val="0"/>
          <w:numId w:val="3"/>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本项目投标总价详见开标一览表。</w:t>
      </w:r>
    </w:p>
    <w:p w14:paraId="3C8DE22E">
      <w:pPr>
        <w:numPr>
          <w:ilvl w:val="0"/>
          <w:numId w:val="3"/>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本投标有效期为自递交投标文件截止之日起</w:t>
      </w:r>
      <w:r>
        <w:rPr>
          <w:rFonts w:hint="eastAsia" w:ascii="仿宋" w:hAnsi="仿宋" w:eastAsia="仿宋" w:cs="仿宋"/>
          <w:color w:val="auto"/>
          <w:szCs w:val="21"/>
          <w:highlight w:val="none"/>
          <w:u w:val="single"/>
        </w:rPr>
        <w:t>90</w:t>
      </w:r>
      <w:r>
        <w:rPr>
          <w:rFonts w:hint="eastAsia" w:ascii="仿宋" w:hAnsi="仿宋" w:eastAsia="仿宋" w:cs="仿宋"/>
          <w:color w:val="auto"/>
          <w:szCs w:val="21"/>
          <w:highlight w:val="none"/>
        </w:rPr>
        <w:t>日历日。</w:t>
      </w:r>
    </w:p>
    <w:p w14:paraId="1C71A042">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（3）已详细审查全部招标文件，包括所有补充通知（如果有的话）。</w:t>
      </w:r>
    </w:p>
    <w:p w14:paraId="7732BCE5">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（4）在规定的开标时间后，遵守招标文件中有关保证金的规定。</w:t>
      </w:r>
    </w:p>
    <w:p w14:paraId="3255923A">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（5）我方不是为本项目提供整体设计、规范编制或者项目管理、监理、检测等服务的供应商，我方不是采购代理机构的附属机构。</w:t>
      </w:r>
    </w:p>
    <w:p w14:paraId="3C8AA463">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（6）在领取中标通知书的同时按招标文件规定的形式，向采购代理机构一次性支付采购代理服务费（适用于中标人支付采购代理服务费情形）。</w:t>
      </w:r>
    </w:p>
    <w:p w14:paraId="1F8C4A79">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（7）按照贵方可能要求，提供与其投标有关的一切数据或资料，完全理解贵方不一定接受最低价的投标或收到的任何投标。</w:t>
      </w:r>
    </w:p>
    <w:p w14:paraId="58518F92">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（8）按照招标文件的规定履行合同责任和义务。</w:t>
      </w:r>
    </w:p>
    <w:p w14:paraId="0C2DCA49">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（9）我方承诺投标文件中的证明材料真实、合法、有效。</w:t>
      </w:r>
    </w:p>
    <w:p w14:paraId="5ACAB1DD">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其他事项：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p>
    <w:p w14:paraId="6F3E4508">
      <w:pPr>
        <w:adjustRightInd w:val="0"/>
        <w:snapToGrid w:val="0"/>
        <w:spacing w:line="360" w:lineRule="auto"/>
        <w:ind w:right="-21" w:rightChars="-10"/>
        <w:rPr>
          <w:rFonts w:hint="eastAsia" w:ascii="仿宋" w:hAnsi="仿宋" w:eastAsia="仿宋" w:cs="仿宋"/>
          <w:color w:val="auto"/>
          <w:szCs w:val="21"/>
          <w:highlight w:val="none"/>
        </w:rPr>
      </w:pPr>
    </w:p>
    <w:p w14:paraId="567B7B35">
      <w:pPr>
        <w:adjustRightInd w:val="0"/>
        <w:snapToGrid w:val="0"/>
        <w:spacing w:line="360" w:lineRule="auto"/>
        <w:ind w:right="-21" w:rightChars="-10"/>
        <w:rPr>
          <w:rFonts w:hint="eastAsia" w:ascii="仿宋" w:hAnsi="仿宋" w:eastAsia="仿宋" w:cs="仿宋"/>
          <w:color w:val="auto"/>
          <w:szCs w:val="21"/>
          <w:highlight w:val="none"/>
        </w:rPr>
      </w:pPr>
    </w:p>
    <w:p w14:paraId="20F294CB">
      <w:pPr>
        <w:adjustRightInd w:val="0"/>
        <w:snapToGrid w:val="0"/>
        <w:spacing w:line="360" w:lineRule="auto"/>
        <w:ind w:right="-21" w:rightChars="-10"/>
        <w:rPr>
          <w:rFonts w:hint="eastAsia" w:ascii="仿宋" w:hAnsi="仿宋" w:eastAsia="仿宋" w:cs="仿宋"/>
          <w:color w:val="auto"/>
          <w:szCs w:val="21"/>
          <w:highlight w:val="none"/>
        </w:rPr>
      </w:pPr>
    </w:p>
    <w:p w14:paraId="5EEACF81">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与本项目有关的一切往来通讯请寄</w:t>
      </w:r>
    </w:p>
    <w:p w14:paraId="42489F6F">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传真：</w:t>
      </w:r>
      <w:r>
        <w:rPr>
          <w:rFonts w:hint="eastAsia" w:ascii="仿宋" w:hAnsi="仿宋" w:eastAsia="仿宋" w:cs="仿宋"/>
          <w:color w:val="auto"/>
          <w:szCs w:val="21"/>
          <w:highlight w:val="none"/>
          <w:u w:val="single"/>
        </w:rPr>
        <w:t xml:space="preserve">                         </w:t>
      </w:r>
    </w:p>
    <w:p w14:paraId="43B0E850">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电子邮件：</w:t>
      </w:r>
      <w:r>
        <w:rPr>
          <w:rFonts w:hint="eastAsia" w:ascii="仿宋" w:hAnsi="仿宋" w:eastAsia="仿宋" w:cs="仿宋"/>
          <w:color w:val="auto"/>
          <w:szCs w:val="21"/>
          <w:highlight w:val="none"/>
          <w:u w:val="single"/>
        </w:rPr>
        <w:t xml:space="preserve">                     </w:t>
      </w:r>
    </w:p>
    <w:p w14:paraId="5721E0F8">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法定代表人（非法人组织负责人）或其授权委托人（签字或盖章）：</w:t>
      </w:r>
      <w:r>
        <w:rPr>
          <w:rFonts w:hint="eastAsia" w:ascii="仿宋" w:hAnsi="仿宋" w:eastAsia="仿宋" w:cs="仿宋"/>
          <w:color w:val="auto"/>
          <w:szCs w:val="21"/>
          <w:highlight w:val="none"/>
          <w:u w:val="single"/>
        </w:rPr>
        <w:t xml:space="preserve">       </w:t>
      </w:r>
    </w:p>
    <w:p w14:paraId="55C5FE52">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投标人名称（加盖单位公章）：</w:t>
      </w:r>
      <w:r>
        <w:rPr>
          <w:rFonts w:hint="eastAsia" w:ascii="仿宋" w:hAnsi="仿宋" w:eastAsia="仿宋" w:cs="仿宋"/>
          <w:color w:val="auto"/>
          <w:szCs w:val="21"/>
          <w:highlight w:val="none"/>
          <w:u w:val="single"/>
        </w:rPr>
        <w:t xml:space="preserve">         </w:t>
      </w:r>
    </w:p>
    <w:p w14:paraId="1F520990">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投标人开户银行（全称）：</w:t>
      </w:r>
      <w:r>
        <w:rPr>
          <w:rFonts w:hint="eastAsia" w:ascii="仿宋" w:hAnsi="仿宋" w:eastAsia="仿宋" w:cs="仿宋"/>
          <w:color w:val="auto"/>
          <w:szCs w:val="21"/>
          <w:highlight w:val="none"/>
          <w:u w:val="single"/>
        </w:rPr>
        <w:t xml:space="preserve">             </w:t>
      </w:r>
    </w:p>
    <w:p w14:paraId="2E023448">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投标人银行账号：</w:t>
      </w:r>
      <w:r>
        <w:rPr>
          <w:rFonts w:hint="eastAsia" w:ascii="仿宋" w:hAnsi="仿宋" w:eastAsia="仿宋" w:cs="仿宋"/>
          <w:color w:val="auto"/>
          <w:szCs w:val="21"/>
          <w:highlight w:val="none"/>
          <w:u w:val="single"/>
        </w:rPr>
        <w:t xml:space="preserve">                     </w:t>
      </w:r>
    </w:p>
    <w:p w14:paraId="2430BA15">
      <w:pPr>
        <w:adjustRightInd w:val="0"/>
        <w:snapToGrid w:val="0"/>
        <w:spacing w:line="36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61E286FA">
      <w:pPr>
        <w:adjustRightInd w:val="0"/>
        <w:snapToGrid w:val="0"/>
        <w:spacing w:line="360" w:lineRule="auto"/>
        <w:ind w:right="1050" w:rightChars="500"/>
        <w:jc w:val="left"/>
        <w:rPr>
          <w:rFonts w:hint="eastAsia" w:ascii="仿宋" w:hAnsi="仿宋" w:eastAsia="仿宋" w:cs="仿宋"/>
          <w:color w:val="auto"/>
          <w:szCs w:val="21"/>
          <w:highlight w:val="none"/>
          <w:u w:val="single"/>
        </w:rPr>
      </w:pPr>
    </w:p>
    <w:p w14:paraId="6D96A719">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t>格式1</w:t>
      </w:r>
      <w:r>
        <w:rPr>
          <w:rFonts w:hint="eastAsia" w:ascii="仿宋" w:hAnsi="仿宋" w:eastAsia="仿宋" w:cs="仿宋"/>
          <w:color w:val="auto"/>
          <w:szCs w:val="28"/>
          <w:highlight w:val="none"/>
          <w:lang w:val="en-US" w:eastAsia="zh-CN"/>
        </w:rPr>
        <w:t>0</w:t>
      </w:r>
    </w:p>
    <w:p w14:paraId="65C39BDE">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3" w:name="_Toc11267_WPSOffice_Level2"/>
      <w:bookmarkStart w:id="104" w:name="_Toc2673_WPSOffice_Level2"/>
      <w:r>
        <w:rPr>
          <w:rFonts w:hint="eastAsia" w:ascii="仿宋" w:hAnsi="仿宋" w:eastAsia="仿宋" w:cs="仿宋"/>
          <w:b/>
          <w:bCs/>
          <w:color w:val="auto"/>
          <w:sz w:val="32"/>
          <w:szCs w:val="32"/>
          <w:highlight w:val="none"/>
        </w:rPr>
        <w:t>开标一览表</w:t>
      </w:r>
      <w:bookmarkEnd w:id="103"/>
      <w:bookmarkEnd w:id="104"/>
    </w:p>
    <w:p w14:paraId="33FC8610">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                                                      报价单位：</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2"/>
        <w:gridCol w:w="2793"/>
        <w:gridCol w:w="1305"/>
        <w:gridCol w:w="1473"/>
        <w:gridCol w:w="1120"/>
      </w:tblGrid>
      <w:tr w14:paraId="67E1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0" w:type="pct"/>
            <w:noWrap w:val="0"/>
            <w:vAlign w:val="center"/>
          </w:tcPr>
          <w:p w14:paraId="15F4C507">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cs="仿宋"/>
                <w:color w:val="auto"/>
                <w:szCs w:val="21"/>
                <w:highlight w:val="none"/>
                <w:lang w:val="en-US" w:eastAsia="zh-CN"/>
              </w:rPr>
              <w:t>项目</w:t>
            </w:r>
            <w:r>
              <w:rPr>
                <w:rFonts w:hint="eastAsia" w:ascii="仿宋" w:hAnsi="仿宋" w:eastAsia="仿宋" w:cs="仿宋"/>
                <w:color w:val="auto"/>
                <w:szCs w:val="21"/>
                <w:highlight w:val="none"/>
              </w:rPr>
              <w:t>名称</w:t>
            </w:r>
          </w:p>
        </w:tc>
        <w:tc>
          <w:tcPr>
            <w:tcW w:w="1640" w:type="pct"/>
            <w:noWrap w:val="0"/>
            <w:vAlign w:val="center"/>
          </w:tcPr>
          <w:p w14:paraId="4B2EA494">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投标总价</w:t>
            </w:r>
          </w:p>
        </w:tc>
        <w:tc>
          <w:tcPr>
            <w:tcW w:w="766" w:type="pct"/>
            <w:noWrap w:val="0"/>
            <w:vAlign w:val="center"/>
          </w:tcPr>
          <w:p w14:paraId="1649EC0B">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交货时间</w:t>
            </w:r>
          </w:p>
        </w:tc>
        <w:tc>
          <w:tcPr>
            <w:tcW w:w="865" w:type="pct"/>
            <w:noWrap w:val="0"/>
            <w:vAlign w:val="center"/>
          </w:tcPr>
          <w:p w14:paraId="102B885F">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交货地点</w:t>
            </w:r>
          </w:p>
        </w:tc>
        <w:tc>
          <w:tcPr>
            <w:tcW w:w="657" w:type="pct"/>
            <w:noWrap w:val="0"/>
            <w:vAlign w:val="center"/>
          </w:tcPr>
          <w:p w14:paraId="1AD352DE">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167E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070" w:type="pct"/>
            <w:noWrap w:val="0"/>
            <w:vAlign w:val="center"/>
          </w:tcPr>
          <w:p w14:paraId="6CDA1AF3">
            <w:pPr>
              <w:adjustRightInd w:val="0"/>
              <w:snapToGrid w:val="0"/>
              <w:ind w:left="-54" w:leftChars="-26" w:right="-46" w:rightChars="-22"/>
              <w:jc w:val="center"/>
              <w:rPr>
                <w:rFonts w:hint="eastAsia" w:ascii="仿宋" w:hAnsi="仿宋" w:eastAsia="仿宋" w:cs="仿宋"/>
                <w:color w:val="auto"/>
                <w:szCs w:val="21"/>
                <w:highlight w:val="none"/>
              </w:rPr>
            </w:pPr>
          </w:p>
        </w:tc>
        <w:tc>
          <w:tcPr>
            <w:tcW w:w="1640" w:type="pct"/>
            <w:noWrap w:val="0"/>
            <w:vAlign w:val="center"/>
          </w:tcPr>
          <w:p w14:paraId="49448DB3">
            <w:pPr>
              <w:adjustRightInd w:val="0"/>
              <w:snapToGrid w:val="0"/>
              <w:ind w:left="-54" w:leftChars="-26" w:right="-46" w:rightChars="-2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小写：</w:t>
            </w:r>
          </w:p>
          <w:p w14:paraId="499A5F0E">
            <w:pPr>
              <w:adjustRightInd w:val="0"/>
              <w:snapToGrid w:val="0"/>
              <w:ind w:left="-54" w:leftChars="-26" w:right="-46" w:rightChars="-22"/>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大写：</w:t>
            </w:r>
          </w:p>
        </w:tc>
        <w:tc>
          <w:tcPr>
            <w:tcW w:w="766" w:type="pct"/>
            <w:noWrap w:val="0"/>
            <w:vAlign w:val="center"/>
          </w:tcPr>
          <w:p w14:paraId="18D6AF55">
            <w:pPr>
              <w:adjustRightInd w:val="0"/>
              <w:snapToGrid w:val="0"/>
              <w:ind w:left="-54" w:leftChars="-26" w:right="-46" w:rightChars="-22"/>
              <w:jc w:val="center"/>
              <w:rPr>
                <w:rFonts w:hint="eastAsia" w:ascii="仿宋" w:hAnsi="仿宋" w:eastAsia="仿宋" w:cs="仿宋"/>
                <w:color w:val="auto"/>
                <w:szCs w:val="21"/>
                <w:highlight w:val="none"/>
              </w:rPr>
            </w:pPr>
          </w:p>
        </w:tc>
        <w:tc>
          <w:tcPr>
            <w:tcW w:w="865" w:type="pct"/>
            <w:noWrap w:val="0"/>
            <w:vAlign w:val="center"/>
          </w:tcPr>
          <w:p w14:paraId="220953E6">
            <w:pPr>
              <w:adjustRightInd w:val="0"/>
              <w:snapToGrid w:val="0"/>
              <w:ind w:left="-54" w:leftChars="-26" w:right="-46" w:rightChars="-22"/>
              <w:jc w:val="center"/>
              <w:rPr>
                <w:rFonts w:hint="eastAsia" w:ascii="仿宋" w:hAnsi="仿宋" w:eastAsia="仿宋" w:cs="仿宋"/>
                <w:color w:val="auto"/>
                <w:szCs w:val="21"/>
                <w:highlight w:val="none"/>
              </w:rPr>
            </w:pPr>
          </w:p>
        </w:tc>
        <w:tc>
          <w:tcPr>
            <w:tcW w:w="657" w:type="pct"/>
            <w:noWrap w:val="0"/>
            <w:vAlign w:val="center"/>
          </w:tcPr>
          <w:p w14:paraId="15DCB272">
            <w:pPr>
              <w:adjustRightInd w:val="0"/>
              <w:snapToGrid w:val="0"/>
              <w:ind w:left="-54" w:leftChars="-26" w:right="-46" w:rightChars="-22"/>
              <w:jc w:val="center"/>
              <w:rPr>
                <w:rFonts w:hint="eastAsia" w:ascii="仿宋" w:hAnsi="仿宋" w:eastAsia="仿宋" w:cs="仿宋"/>
                <w:color w:val="auto"/>
                <w:szCs w:val="21"/>
                <w:highlight w:val="none"/>
              </w:rPr>
            </w:pPr>
          </w:p>
        </w:tc>
      </w:tr>
    </w:tbl>
    <w:p w14:paraId="2386D5C6">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p>
    <w:p w14:paraId="53A27C34">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注：此表中，投标总价应和分项报价表的总价相一致。</w:t>
      </w:r>
    </w:p>
    <w:p w14:paraId="51C0930B">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EE9011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D910FE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FF8C9E2">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30838A1">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E060B6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6211E1CF">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328E61F7">
      <w:pPr>
        <w:spacing w:line="48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rPr>
        <w:t xml:space="preserve">  </w:t>
      </w:r>
    </w:p>
    <w:p w14:paraId="1E6AA566">
      <w:pPr>
        <w:adjustRightInd w:val="0"/>
        <w:snapToGrid w:val="0"/>
        <w:spacing w:line="360" w:lineRule="auto"/>
        <w:ind w:right="105" w:rightChars="50"/>
        <w:jc w:val="left"/>
        <w:rPr>
          <w:rFonts w:hint="eastAsia" w:ascii="仿宋" w:hAnsi="仿宋" w:eastAsia="仿宋" w:cs="仿宋"/>
          <w:color w:val="auto"/>
          <w:szCs w:val="21"/>
          <w:highlight w:val="none"/>
        </w:rPr>
      </w:pPr>
    </w:p>
    <w:p w14:paraId="7B4446FA">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1E398AF1">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t>格式1</w:t>
      </w:r>
      <w:r>
        <w:rPr>
          <w:rFonts w:hint="eastAsia" w:ascii="仿宋" w:hAnsi="仿宋" w:eastAsia="仿宋" w:cs="仿宋"/>
          <w:color w:val="auto"/>
          <w:szCs w:val="28"/>
          <w:highlight w:val="none"/>
          <w:lang w:val="en-US" w:eastAsia="zh-CN"/>
        </w:rPr>
        <w:t>1</w:t>
      </w:r>
    </w:p>
    <w:p w14:paraId="2C39E8CF">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5" w:name="_Toc16044_WPSOffice_Level2"/>
      <w:bookmarkStart w:id="106" w:name="_Toc28271_WPSOffice_Level2"/>
      <w:r>
        <w:rPr>
          <w:rFonts w:hint="eastAsia" w:ascii="仿宋" w:hAnsi="仿宋" w:eastAsia="仿宋" w:cs="仿宋"/>
          <w:b/>
          <w:bCs/>
          <w:color w:val="auto"/>
          <w:sz w:val="32"/>
          <w:szCs w:val="32"/>
          <w:highlight w:val="none"/>
        </w:rPr>
        <w:t>分项报价表</w:t>
      </w:r>
      <w:bookmarkEnd w:id="105"/>
      <w:bookmarkEnd w:id="106"/>
    </w:p>
    <w:p w14:paraId="21EB46A3">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                                                      报价单位：</w:t>
      </w:r>
    </w:p>
    <w:tbl>
      <w:tblPr>
        <w:tblStyle w:val="14"/>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05FC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17B8DA6C">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47" w:type="dxa"/>
            <w:noWrap w:val="0"/>
            <w:vAlign w:val="center"/>
          </w:tcPr>
          <w:p w14:paraId="64EC5186">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产品名称</w:t>
            </w:r>
          </w:p>
        </w:tc>
        <w:tc>
          <w:tcPr>
            <w:tcW w:w="1033" w:type="dxa"/>
            <w:noWrap w:val="0"/>
            <w:vAlign w:val="center"/>
          </w:tcPr>
          <w:p w14:paraId="71F3D817">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品牌</w:t>
            </w:r>
          </w:p>
        </w:tc>
        <w:tc>
          <w:tcPr>
            <w:tcW w:w="1033" w:type="dxa"/>
            <w:noWrap w:val="0"/>
            <w:vAlign w:val="center"/>
          </w:tcPr>
          <w:p w14:paraId="690C4DC8">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4BB0493D">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721" w:type="dxa"/>
            <w:noWrap w:val="0"/>
            <w:vAlign w:val="center"/>
          </w:tcPr>
          <w:p w14:paraId="4314AA54">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02" w:type="dxa"/>
            <w:noWrap w:val="0"/>
            <w:vAlign w:val="center"/>
          </w:tcPr>
          <w:p w14:paraId="742BDC6E">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原产地</w:t>
            </w:r>
          </w:p>
        </w:tc>
        <w:tc>
          <w:tcPr>
            <w:tcW w:w="802" w:type="dxa"/>
            <w:noWrap w:val="0"/>
            <w:vAlign w:val="center"/>
          </w:tcPr>
          <w:p w14:paraId="0A4C2651">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制造商名称</w:t>
            </w:r>
          </w:p>
        </w:tc>
        <w:tc>
          <w:tcPr>
            <w:tcW w:w="675" w:type="dxa"/>
            <w:noWrap w:val="0"/>
            <w:vAlign w:val="center"/>
          </w:tcPr>
          <w:p w14:paraId="36553E65">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单价</w:t>
            </w:r>
          </w:p>
        </w:tc>
        <w:tc>
          <w:tcPr>
            <w:tcW w:w="682" w:type="dxa"/>
            <w:noWrap w:val="0"/>
            <w:vAlign w:val="center"/>
          </w:tcPr>
          <w:p w14:paraId="27E46FA9">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802" w:type="dxa"/>
            <w:noWrap w:val="0"/>
            <w:vAlign w:val="center"/>
          </w:tcPr>
          <w:p w14:paraId="1A1D0CBA">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1C87A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0B41AFB">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7B08CF23">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03BD65AE">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439C02C2">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7992EF6A">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5EA33E8A">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11022274">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0E7B6732">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297B543B">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12985FDC">
            <w:pPr>
              <w:adjustRightInd w:val="0"/>
              <w:snapToGrid w:val="0"/>
              <w:ind w:left="-96" w:leftChars="-46" w:right="-63" w:rightChars="-30"/>
              <w:jc w:val="center"/>
              <w:rPr>
                <w:rFonts w:hint="eastAsia" w:ascii="仿宋" w:hAnsi="仿宋" w:eastAsia="仿宋" w:cs="仿宋"/>
                <w:color w:val="auto"/>
                <w:szCs w:val="21"/>
                <w:highlight w:val="none"/>
              </w:rPr>
            </w:pPr>
          </w:p>
        </w:tc>
      </w:tr>
      <w:tr w14:paraId="7767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E566EDC">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269C7213">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3928807D">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7EEA70E5">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51057EEA">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46479562">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52B0A3FE">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0575C414">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723A45EC">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43D8B158">
            <w:pPr>
              <w:adjustRightInd w:val="0"/>
              <w:snapToGrid w:val="0"/>
              <w:ind w:left="-96" w:leftChars="-46" w:right="-63" w:rightChars="-30"/>
              <w:jc w:val="center"/>
              <w:rPr>
                <w:rFonts w:hint="eastAsia" w:ascii="仿宋" w:hAnsi="仿宋" w:eastAsia="仿宋" w:cs="仿宋"/>
                <w:color w:val="auto"/>
                <w:szCs w:val="21"/>
                <w:highlight w:val="none"/>
              </w:rPr>
            </w:pPr>
          </w:p>
        </w:tc>
      </w:tr>
      <w:tr w14:paraId="30ED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7AF83FB">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1F885F5C">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19F84635">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29EF61AE">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0B4D2C06">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018C58F0">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43BEC503">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09DB72C8">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31556B6A">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7976532A">
            <w:pPr>
              <w:adjustRightInd w:val="0"/>
              <w:snapToGrid w:val="0"/>
              <w:ind w:left="-96" w:leftChars="-46" w:right="-63" w:rightChars="-30"/>
              <w:jc w:val="center"/>
              <w:rPr>
                <w:rFonts w:hint="eastAsia" w:ascii="仿宋" w:hAnsi="仿宋" w:eastAsia="仿宋" w:cs="仿宋"/>
                <w:color w:val="auto"/>
                <w:szCs w:val="21"/>
                <w:highlight w:val="none"/>
              </w:rPr>
            </w:pPr>
          </w:p>
        </w:tc>
      </w:tr>
      <w:tr w14:paraId="7B75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BAA0960">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268A0D5D">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264BAB80">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43E58AF0">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3A8B5536">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47CFF96F">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19E8B58F">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500C0E70">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2C9B1F0F">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593EA539">
            <w:pPr>
              <w:adjustRightInd w:val="0"/>
              <w:snapToGrid w:val="0"/>
              <w:ind w:left="-96" w:leftChars="-46" w:right="-63" w:rightChars="-30"/>
              <w:jc w:val="center"/>
              <w:rPr>
                <w:rFonts w:hint="eastAsia" w:ascii="仿宋" w:hAnsi="仿宋" w:eastAsia="仿宋" w:cs="仿宋"/>
                <w:color w:val="auto"/>
                <w:szCs w:val="21"/>
                <w:highlight w:val="none"/>
              </w:rPr>
            </w:pPr>
          </w:p>
        </w:tc>
      </w:tr>
      <w:tr w14:paraId="2AF3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3FD9B8D">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73E94391">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4AA8BA1F">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2C92D32E">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0B533885">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16474CD0">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1F5A6FB6">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0902044D">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20699190">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6980D7FB">
            <w:pPr>
              <w:adjustRightInd w:val="0"/>
              <w:snapToGrid w:val="0"/>
              <w:ind w:left="-96" w:leftChars="-46" w:right="-63" w:rightChars="-30"/>
              <w:jc w:val="center"/>
              <w:rPr>
                <w:rFonts w:hint="eastAsia" w:ascii="仿宋" w:hAnsi="仿宋" w:eastAsia="仿宋" w:cs="仿宋"/>
                <w:color w:val="auto"/>
                <w:szCs w:val="21"/>
                <w:highlight w:val="none"/>
              </w:rPr>
            </w:pPr>
          </w:p>
        </w:tc>
      </w:tr>
      <w:tr w14:paraId="48A4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6F881AB5">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noWrap w:val="0"/>
            <w:vAlign w:val="center"/>
          </w:tcPr>
          <w:p w14:paraId="62798284">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0F7E5279">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noWrap w:val="0"/>
            <w:vAlign w:val="center"/>
          </w:tcPr>
          <w:p w14:paraId="443119E6">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noWrap w:val="0"/>
            <w:vAlign w:val="center"/>
          </w:tcPr>
          <w:p w14:paraId="54BEECCB">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4DC6AF64">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73BD588D">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noWrap w:val="0"/>
            <w:vAlign w:val="center"/>
          </w:tcPr>
          <w:p w14:paraId="2390E9FA">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noWrap w:val="0"/>
            <w:vAlign w:val="center"/>
          </w:tcPr>
          <w:p w14:paraId="554C2317">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noWrap w:val="0"/>
            <w:vAlign w:val="center"/>
          </w:tcPr>
          <w:p w14:paraId="648CD1B3">
            <w:pPr>
              <w:adjustRightInd w:val="0"/>
              <w:snapToGrid w:val="0"/>
              <w:ind w:left="-96" w:leftChars="-46" w:right="-63" w:rightChars="-30"/>
              <w:jc w:val="center"/>
              <w:rPr>
                <w:rFonts w:hint="eastAsia" w:ascii="仿宋" w:hAnsi="仿宋" w:eastAsia="仿宋" w:cs="仿宋"/>
                <w:color w:val="auto"/>
                <w:szCs w:val="21"/>
                <w:highlight w:val="none"/>
              </w:rPr>
            </w:pPr>
          </w:p>
        </w:tc>
      </w:tr>
      <w:tr w14:paraId="78D51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7BCD7C89">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1033" w:type="dxa"/>
            <w:noWrap w:val="0"/>
            <w:vAlign w:val="center"/>
          </w:tcPr>
          <w:p w14:paraId="45F70977">
            <w:pPr>
              <w:adjustRightInd w:val="0"/>
              <w:snapToGrid w:val="0"/>
              <w:ind w:right="105" w:rightChars="50"/>
              <w:jc w:val="center"/>
              <w:rPr>
                <w:rFonts w:hint="eastAsia" w:ascii="仿宋" w:hAnsi="仿宋" w:eastAsia="仿宋" w:cs="仿宋"/>
                <w:color w:val="auto"/>
                <w:szCs w:val="21"/>
                <w:highlight w:val="none"/>
              </w:rPr>
            </w:pPr>
          </w:p>
        </w:tc>
        <w:tc>
          <w:tcPr>
            <w:tcW w:w="1033" w:type="dxa"/>
            <w:noWrap w:val="0"/>
            <w:vAlign w:val="center"/>
          </w:tcPr>
          <w:p w14:paraId="7FC3EAEF">
            <w:pPr>
              <w:adjustRightInd w:val="0"/>
              <w:snapToGrid w:val="0"/>
              <w:ind w:right="105" w:rightChars="50"/>
              <w:jc w:val="center"/>
              <w:rPr>
                <w:rFonts w:hint="eastAsia" w:ascii="仿宋" w:hAnsi="仿宋" w:eastAsia="仿宋" w:cs="仿宋"/>
                <w:color w:val="auto"/>
                <w:szCs w:val="21"/>
                <w:highlight w:val="none"/>
              </w:rPr>
            </w:pPr>
          </w:p>
        </w:tc>
        <w:tc>
          <w:tcPr>
            <w:tcW w:w="721" w:type="dxa"/>
            <w:noWrap w:val="0"/>
            <w:vAlign w:val="center"/>
          </w:tcPr>
          <w:p w14:paraId="0848C89E">
            <w:pPr>
              <w:adjustRightInd w:val="0"/>
              <w:snapToGrid w:val="0"/>
              <w:ind w:right="105" w:rightChars="50"/>
              <w:jc w:val="center"/>
              <w:rPr>
                <w:rFonts w:hint="eastAsia" w:ascii="仿宋" w:hAnsi="仿宋" w:eastAsia="仿宋" w:cs="仿宋"/>
                <w:color w:val="auto"/>
                <w:szCs w:val="21"/>
                <w:highlight w:val="none"/>
              </w:rPr>
            </w:pPr>
          </w:p>
        </w:tc>
        <w:tc>
          <w:tcPr>
            <w:tcW w:w="802" w:type="dxa"/>
            <w:noWrap w:val="0"/>
            <w:vAlign w:val="center"/>
          </w:tcPr>
          <w:p w14:paraId="267A058B">
            <w:pPr>
              <w:adjustRightInd w:val="0"/>
              <w:snapToGrid w:val="0"/>
              <w:ind w:right="105" w:rightChars="50"/>
              <w:jc w:val="center"/>
              <w:rPr>
                <w:rFonts w:hint="eastAsia" w:ascii="仿宋" w:hAnsi="仿宋" w:eastAsia="仿宋" w:cs="仿宋"/>
                <w:color w:val="auto"/>
                <w:szCs w:val="21"/>
                <w:highlight w:val="none"/>
              </w:rPr>
            </w:pPr>
          </w:p>
        </w:tc>
        <w:tc>
          <w:tcPr>
            <w:tcW w:w="802" w:type="dxa"/>
            <w:noWrap w:val="0"/>
            <w:vAlign w:val="center"/>
          </w:tcPr>
          <w:p w14:paraId="2CE3C252">
            <w:pPr>
              <w:adjustRightInd w:val="0"/>
              <w:snapToGrid w:val="0"/>
              <w:ind w:right="105" w:rightChars="50"/>
              <w:jc w:val="center"/>
              <w:rPr>
                <w:rFonts w:hint="eastAsia" w:ascii="仿宋" w:hAnsi="仿宋" w:eastAsia="仿宋" w:cs="仿宋"/>
                <w:color w:val="auto"/>
                <w:szCs w:val="21"/>
                <w:highlight w:val="none"/>
              </w:rPr>
            </w:pPr>
          </w:p>
        </w:tc>
        <w:tc>
          <w:tcPr>
            <w:tcW w:w="675" w:type="dxa"/>
            <w:noWrap w:val="0"/>
            <w:vAlign w:val="center"/>
          </w:tcPr>
          <w:p w14:paraId="4CFE69D3">
            <w:pPr>
              <w:adjustRightInd w:val="0"/>
              <w:snapToGrid w:val="0"/>
              <w:ind w:right="105" w:rightChars="50"/>
              <w:jc w:val="center"/>
              <w:rPr>
                <w:rFonts w:hint="eastAsia" w:ascii="仿宋" w:hAnsi="仿宋" w:eastAsia="仿宋" w:cs="仿宋"/>
                <w:color w:val="auto"/>
                <w:szCs w:val="21"/>
                <w:highlight w:val="none"/>
              </w:rPr>
            </w:pPr>
          </w:p>
        </w:tc>
        <w:tc>
          <w:tcPr>
            <w:tcW w:w="682" w:type="dxa"/>
            <w:noWrap w:val="0"/>
            <w:vAlign w:val="center"/>
          </w:tcPr>
          <w:p w14:paraId="388C876B">
            <w:pPr>
              <w:adjustRightInd w:val="0"/>
              <w:snapToGrid w:val="0"/>
              <w:ind w:right="105" w:rightChars="50"/>
              <w:jc w:val="center"/>
              <w:rPr>
                <w:rFonts w:hint="eastAsia" w:ascii="仿宋" w:hAnsi="仿宋" w:eastAsia="仿宋" w:cs="仿宋"/>
                <w:color w:val="auto"/>
                <w:szCs w:val="21"/>
                <w:highlight w:val="none"/>
              </w:rPr>
            </w:pPr>
          </w:p>
        </w:tc>
        <w:tc>
          <w:tcPr>
            <w:tcW w:w="802" w:type="dxa"/>
            <w:noWrap w:val="0"/>
            <w:vAlign w:val="center"/>
          </w:tcPr>
          <w:p w14:paraId="257AE539">
            <w:pPr>
              <w:adjustRightInd w:val="0"/>
              <w:snapToGrid w:val="0"/>
              <w:ind w:right="105" w:rightChars="50"/>
              <w:jc w:val="center"/>
              <w:rPr>
                <w:rFonts w:hint="eastAsia" w:ascii="仿宋" w:hAnsi="仿宋" w:eastAsia="仿宋" w:cs="仿宋"/>
                <w:color w:val="auto"/>
                <w:szCs w:val="21"/>
                <w:highlight w:val="none"/>
              </w:rPr>
            </w:pPr>
          </w:p>
        </w:tc>
      </w:tr>
    </w:tbl>
    <w:p w14:paraId="075C0BEE">
      <w:pPr>
        <w:adjustRightInd w:val="0"/>
        <w:snapToGrid w:val="0"/>
        <w:spacing w:line="360" w:lineRule="auto"/>
        <w:ind w:right="105" w:rightChars="50"/>
        <w:jc w:val="left"/>
        <w:rPr>
          <w:rFonts w:hint="eastAsia" w:ascii="仿宋" w:hAnsi="仿宋" w:eastAsia="仿宋" w:cs="仿宋"/>
          <w:color w:val="auto"/>
          <w:szCs w:val="21"/>
          <w:highlight w:val="none"/>
        </w:rPr>
      </w:pPr>
    </w:p>
    <w:p w14:paraId="6A557E90">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注：此表中，总价应和开标一览表的投标总价相一致。</w:t>
      </w:r>
    </w:p>
    <w:p w14:paraId="4AEC16E5">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cs="仿宋"/>
          <w:b/>
          <w:bCs/>
          <w:szCs w:val="21"/>
        </w:rPr>
        <w:t>报价应包含与产品相关的一切费用（如生产、运输、装卸、安装、调试、培训、保证设备正常运转的必要零配件及用品等），除中标金额外</w:t>
      </w:r>
      <w:r>
        <w:rPr>
          <w:rFonts w:hint="eastAsia" w:ascii="仿宋" w:hAnsi="仿宋" w:cs="仿宋"/>
          <w:b/>
          <w:bCs/>
          <w:szCs w:val="21"/>
          <w:lang w:val="en-US" w:eastAsia="zh-CN"/>
        </w:rPr>
        <w:t>采购人</w:t>
      </w:r>
      <w:r>
        <w:rPr>
          <w:rFonts w:hint="eastAsia" w:ascii="仿宋" w:hAnsi="仿宋" w:cs="仿宋"/>
          <w:b/>
          <w:bCs/>
          <w:szCs w:val="21"/>
        </w:rPr>
        <w:t>不再另行支付任何费用。</w:t>
      </w:r>
    </w:p>
    <w:p w14:paraId="7A86933A">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p>
    <w:p w14:paraId="36B46353">
      <w:pPr>
        <w:adjustRightInd w:val="0"/>
        <w:snapToGrid w:val="0"/>
        <w:spacing w:line="360" w:lineRule="auto"/>
        <w:ind w:right="105" w:rightChars="50"/>
        <w:jc w:val="left"/>
        <w:rPr>
          <w:rFonts w:hint="eastAsia" w:ascii="仿宋" w:hAnsi="仿宋" w:eastAsia="仿宋" w:cs="仿宋"/>
          <w:color w:val="auto"/>
          <w:szCs w:val="21"/>
          <w:highlight w:val="none"/>
        </w:rPr>
      </w:pPr>
    </w:p>
    <w:p w14:paraId="6F3C89B3">
      <w:pPr>
        <w:adjustRightInd w:val="0"/>
        <w:snapToGrid w:val="0"/>
        <w:spacing w:line="360" w:lineRule="auto"/>
        <w:ind w:right="105" w:rightChars="50"/>
        <w:jc w:val="left"/>
        <w:rPr>
          <w:rFonts w:hint="eastAsia" w:ascii="仿宋" w:hAnsi="仿宋" w:eastAsia="仿宋" w:cs="仿宋"/>
          <w:color w:val="auto"/>
          <w:szCs w:val="21"/>
          <w:highlight w:val="none"/>
        </w:rPr>
      </w:pPr>
    </w:p>
    <w:p w14:paraId="3F7C1D08">
      <w:pPr>
        <w:adjustRightInd w:val="0"/>
        <w:snapToGrid w:val="0"/>
        <w:spacing w:line="360" w:lineRule="auto"/>
        <w:ind w:right="105" w:rightChars="50"/>
        <w:jc w:val="left"/>
        <w:rPr>
          <w:rFonts w:hint="eastAsia" w:ascii="仿宋" w:hAnsi="仿宋" w:eastAsia="仿宋" w:cs="仿宋"/>
          <w:color w:val="auto"/>
          <w:szCs w:val="21"/>
          <w:highlight w:val="none"/>
        </w:rPr>
      </w:pPr>
    </w:p>
    <w:p w14:paraId="6E644636">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5D91DAE0">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695755A7">
      <w:pPr>
        <w:adjustRightInd w:val="0"/>
        <w:snapToGrid w:val="0"/>
        <w:spacing w:line="480" w:lineRule="auto"/>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50549895">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1"/>
          <w:highlight w:val="none"/>
        </w:rPr>
        <w:br w:type="page"/>
      </w:r>
      <w:r>
        <w:rPr>
          <w:rFonts w:hint="eastAsia" w:ascii="仿宋" w:hAnsi="仿宋" w:eastAsia="仿宋" w:cs="仿宋"/>
          <w:color w:val="auto"/>
          <w:szCs w:val="28"/>
          <w:highlight w:val="none"/>
        </w:rPr>
        <w:t>格式1</w:t>
      </w:r>
      <w:r>
        <w:rPr>
          <w:rFonts w:hint="eastAsia" w:ascii="仿宋" w:hAnsi="仿宋" w:cs="仿宋"/>
          <w:color w:val="auto"/>
          <w:szCs w:val="28"/>
          <w:highlight w:val="none"/>
          <w:lang w:val="en-US" w:eastAsia="zh-CN"/>
        </w:rPr>
        <w:t>2</w:t>
      </w:r>
    </w:p>
    <w:p w14:paraId="76BD7468">
      <w:pPr>
        <w:adjustRightInd w:val="0"/>
        <w:snapToGrid w:val="0"/>
        <w:spacing w:before="319" w:beforeLines="100" w:line="360" w:lineRule="auto"/>
        <w:ind w:right="105" w:rightChars="50"/>
        <w:jc w:val="center"/>
        <w:rPr>
          <w:rFonts w:hint="eastAsia" w:ascii="仿宋" w:hAnsi="仿宋" w:eastAsia="仿宋" w:cs="仿宋"/>
          <w:b/>
          <w:bCs/>
          <w:color w:val="auto"/>
          <w:sz w:val="32"/>
          <w:szCs w:val="32"/>
          <w:highlight w:val="none"/>
        </w:rPr>
      </w:pPr>
      <w:bookmarkStart w:id="107" w:name="_Toc31555_WPSOffice_Level2"/>
      <w:bookmarkStart w:id="108" w:name="_Toc9235_WPSOffice_Level2"/>
      <w:r>
        <w:rPr>
          <w:rFonts w:hint="eastAsia" w:ascii="仿宋" w:hAnsi="仿宋" w:eastAsia="仿宋" w:cs="仿宋"/>
          <w:b/>
          <w:bCs/>
          <w:color w:val="auto"/>
          <w:sz w:val="32"/>
          <w:szCs w:val="32"/>
          <w:highlight w:val="none"/>
        </w:rPr>
        <w:t>技术规格偏离表</w:t>
      </w:r>
      <w:bookmarkEnd w:id="107"/>
      <w:bookmarkEnd w:id="108"/>
    </w:p>
    <w:tbl>
      <w:tblPr>
        <w:tblStyle w:val="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3C6F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7A254CAB">
            <w:pPr>
              <w:adjustRightInd w:val="0"/>
              <w:snapToGrid w:val="0"/>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包号/序号：</w:t>
            </w:r>
          </w:p>
          <w:p w14:paraId="065D2A52">
            <w:pPr>
              <w:pStyle w:val="12"/>
              <w:widowControl w:val="0"/>
              <w:adjustRightInd w:val="0"/>
              <w:snapToGrid w:val="0"/>
              <w:spacing w:before="0" w:beforeAutospacing="0" w:after="0" w:afterAutospacing="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产品名称：</w:t>
            </w:r>
          </w:p>
          <w:p w14:paraId="2A82F501">
            <w:pPr>
              <w:pStyle w:val="12"/>
              <w:widowControl w:val="0"/>
              <w:adjustRightInd w:val="0"/>
              <w:snapToGrid w:val="0"/>
              <w:spacing w:before="0" w:beforeAutospacing="0" w:after="0" w:afterAutospacing="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数量：</w:t>
            </w:r>
          </w:p>
          <w:p w14:paraId="5A9CBA12">
            <w:pPr>
              <w:tabs>
                <w:tab w:val="left" w:pos="0"/>
              </w:tabs>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是否为经过审批采购的进口产品：</w:t>
            </w:r>
          </w:p>
          <w:p w14:paraId="43778F4E">
            <w:pPr>
              <w:tabs>
                <w:tab w:val="left" w:pos="0"/>
              </w:tabs>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是否为核心产品（非单一产品采购项目时适用）：</w:t>
            </w:r>
          </w:p>
        </w:tc>
      </w:tr>
      <w:tr w14:paraId="07D4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E8A511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招标文件要求</w:t>
            </w:r>
          </w:p>
          <w:p w14:paraId="2E6E9CC6">
            <w:pPr>
              <w:ind w:hanging="1"/>
              <w:rPr>
                <w:rFonts w:hint="eastAsia" w:ascii="仿宋" w:hAnsi="仿宋" w:eastAsia="仿宋" w:cs="仿宋"/>
                <w:b/>
                <w:color w:val="auto"/>
                <w:szCs w:val="21"/>
                <w:highlight w:val="none"/>
              </w:rPr>
            </w:pPr>
            <w:r>
              <w:rPr>
                <w:rFonts w:hint="eastAsia" w:ascii="仿宋" w:hAnsi="仿宋" w:eastAsia="仿宋" w:cs="仿宋"/>
                <w:b/>
                <w:color w:val="auto"/>
                <w:sz w:val="18"/>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7A31E0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w:t>
            </w:r>
          </w:p>
          <w:p w14:paraId="52B659AD">
            <w:pPr>
              <w:tabs>
                <w:tab w:val="left" w:pos="0"/>
              </w:tabs>
              <w:spacing w:line="24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AC99CB7">
            <w:pPr>
              <w:tabs>
                <w:tab w:val="left" w:pos="0"/>
              </w:tabs>
              <w:spacing w:line="24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13B7C60">
            <w:pPr>
              <w:tabs>
                <w:tab w:val="left" w:pos="0"/>
              </w:tabs>
              <w:spacing w:line="24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42C2394D">
            <w:pPr>
              <w:tabs>
                <w:tab w:val="left" w:pos="0"/>
              </w:tabs>
              <w:spacing w:line="2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证明材料</w:t>
            </w:r>
          </w:p>
        </w:tc>
      </w:tr>
      <w:tr w14:paraId="5679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CD6A563">
            <w:pPr>
              <w:adjustRightInd w:val="0"/>
              <w:snapToGrid w:val="0"/>
              <w:ind w:hanging="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w:t>
            </w:r>
            <w:r>
              <w:rPr>
                <w:rFonts w:hint="eastAsia" w:ascii="仿宋" w:hAnsi="仿宋" w:cs="仿宋"/>
                <w:color w:val="auto"/>
                <w:szCs w:val="21"/>
                <w:highlight w:val="none"/>
                <w:lang w:val="en-US" w:eastAsia="zh-CN"/>
              </w:rPr>
              <w:t>第三章货物</w:t>
            </w:r>
            <w:r>
              <w:rPr>
                <w:rFonts w:hint="eastAsia" w:ascii="仿宋" w:hAnsi="仿宋" w:eastAsia="仿宋" w:cs="仿宋"/>
                <w:color w:val="auto"/>
                <w:szCs w:val="21"/>
                <w:highlight w:val="none"/>
              </w:rPr>
              <w:t>需求填写</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628A3DC">
            <w:pPr>
              <w:tabs>
                <w:tab w:val="left" w:pos="0"/>
              </w:tabs>
              <w:adjustRightInd w:val="0"/>
              <w:snapToGrid w:val="0"/>
              <w:jc w:val="center"/>
              <w:rPr>
                <w:rFonts w:hint="eastAsia" w:ascii="仿宋" w:hAnsi="仿宋" w:eastAsia="仿宋" w:cs="仿宋"/>
                <w:color w:val="auto"/>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3BAB2BB">
            <w:pPr>
              <w:tabs>
                <w:tab w:val="left" w:pos="0"/>
              </w:tabs>
              <w:spacing w:line="240" w:lineRule="exact"/>
              <w:jc w:val="center"/>
              <w:rPr>
                <w:rFonts w:hint="eastAsia" w:ascii="仿宋" w:hAnsi="仿宋" w:eastAsia="仿宋" w:cs="仿宋"/>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BA1B269">
            <w:pPr>
              <w:tabs>
                <w:tab w:val="left" w:pos="0"/>
              </w:tabs>
              <w:spacing w:line="240" w:lineRule="exact"/>
              <w:jc w:val="center"/>
              <w:rPr>
                <w:rFonts w:hint="eastAsia" w:ascii="仿宋" w:hAnsi="仿宋" w:eastAsia="仿宋" w:cs="仿宋"/>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A025455">
            <w:pPr>
              <w:tabs>
                <w:tab w:val="left" w:pos="0"/>
              </w:tabs>
              <w:spacing w:line="240" w:lineRule="exact"/>
              <w:jc w:val="center"/>
              <w:rPr>
                <w:rFonts w:hint="eastAsia" w:ascii="仿宋" w:hAnsi="仿宋" w:eastAsia="仿宋" w:cs="仿宋"/>
                <w:color w:val="auto"/>
                <w:kern w:val="0"/>
                <w:szCs w:val="21"/>
                <w:highlight w:val="none"/>
              </w:rPr>
            </w:pPr>
          </w:p>
        </w:tc>
      </w:tr>
      <w:tr w14:paraId="7392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214D298">
            <w:pPr>
              <w:adjustRightInd w:val="0"/>
              <w:snapToGrid w:val="0"/>
              <w:ind w:hanging="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EEBABF7">
            <w:pPr>
              <w:tabs>
                <w:tab w:val="left" w:pos="-61"/>
              </w:tabs>
              <w:adjustRightInd w:val="0"/>
              <w:snapToGrid w:val="0"/>
              <w:ind w:right="-54" w:rightChars="-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D55953F">
            <w:pPr>
              <w:tabs>
                <w:tab w:val="left" w:pos="0"/>
              </w:tabs>
              <w:spacing w:line="240" w:lineRule="exact"/>
              <w:jc w:val="center"/>
              <w:rPr>
                <w:rFonts w:hint="eastAsia" w:ascii="仿宋" w:hAnsi="仿宋" w:eastAsia="仿宋" w:cs="仿宋"/>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0CD3AB5">
            <w:pPr>
              <w:tabs>
                <w:tab w:val="left" w:pos="0"/>
              </w:tabs>
              <w:spacing w:line="240" w:lineRule="exact"/>
              <w:jc w:val="center"/>
              <w:rPr>
                <w:rFonts w:hint="eastAsia" w:ascii="仿宋" w:hAnsi="仿宋" w:eastAsia="仿宋" w:cs="仿宋"/>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00BE191A">
            <w:pPr>
              <w:tabs>
                <w:tab w:val="left" w:pos="0"/>
              </w:tabs>
              <w:spacing w:line="240" w:lineRule="exact"/>
              <w:jc w:val="center"/>
              <w:rPr>
                <w:rFonts w:hint="eastAsia" w:ascii="仿宋" w:hAnsi="仿宋" w:eastAsia="仿宋" w:cs="仿宋"/>
                <w:color w:val="auto"/>
                <w:kern w:val="0"/>
                <w:szCs w:val="21"/>
                <w:highlight w:val="none"/>
              </w:rPr>
            </w:pPr>
          </w:p>
        </w:tc>
      </w:tr>
    </w:tbl>
    <w:p w14:paraId="3EAC218E">
      <w:pPr>
        <w:adjustRightInd w:val="0"/>
        <w:snapToGrid w:val="0"/>
        <w:spacing w:line="360" w:lineRule="auto"/>
        <w:ind w:right="105" w:rightChars="5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填表要求：</w:t>
      </w:r>
    </w:p>
    <w:p w14:paraId="419109D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1．“投标文件响应内容”一栏由投标人按照招标文件要求填写并进行逐项响应。</w:t>
      </w:r>
    </w:p>
    <w:p w14:paraId="52F63A7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14:paraId="3111030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14:paraId="04D76BC4">
      <w:pPr>
        <w:adjustRightInd w:val="0"/>
        <w:snapToGrid w:val="0"/>
        <w:spacing w:line="360" w:lineRule="auto"/>
        <w:rPr>
          <w:rFonts w:hint="eastAsia" w:ascii="仿宋" w:hAnsi="仿宋" w:eastAsia="仿宋" w:cs="仿宋"/>
          <w:color w:val="auto"/>
          <w:szCs w:val="21"/>
          <w:highlight w:val="none"/>
        </w:rPr>
      </w:pPr>
    </w:p>
    <w:p w14:paraId="12310C49">
      <w:pPr>
        <w:adjustRightInd w:val="0"/>
        <w:snapToGrid w:val="0"/>
        <w:spacing w:line="360" w:lineRule="auto"/>
        <w:rPr>
          <w:rFonts w:hint="eastAsia" w:ascii="仿宋" w:hAnsi="仿宋" w:eastAsia="仿宋" w:cs="仿宋"/>
          <w:color w:val="auto"/>
          <w:szCs w:val="21"/>
          <w:highlight w:val="none"/>
        </w:rPr>
      </w:pPr>
    </w:p>
    <w:p w14:paraId="7AAA1BF0">
      <w:pPr>
        <w:adjustRightInd w:val="0"/>
        <w:snapToGrid w:val="0"/>
        <w:spacing w:line="360" w:lineRule="auto"/>
        <w:rPr>
          <w:rFonts w:hint="eastAsia" w:ascii="仿宋" w:hAnsi="仿宋" w:eastAsia="仿宋" w:cs="仿宋"/>
          <w:color w:val="auto"/>
          <w:szCs w:val="21"/>
          <w:highlight w:val="none"/>
        </w:rPr>
      </w:pPr>
    </w:p>
    <w:p w14:paraId="4A34E4F2">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239E0BCB">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67B2DEB1">
      <w:pPr>
        <w:adjustRightInd w:val="0"/>
        <w:snapToGrid w:val="0"/>
        <w:spacing w:line="480" w:lineRule="auto"/>
        <w:ind w:right="105" w:rightChars="50"/>
        <w:jc w:val="left"/>
        <w:rPr>
          <w:rFonts w:hint="eastAsia" w:ascii="仿宋" w:hAnsi="仿宋" w:eastAsia="仿宋" w:cs="仿宋"/>
          <w:color w:val="auto"/>
          <w:szCs w:val="21"/>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11715380">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b w:val="0"/>
          <w:color w:val="auto"/>
          <w:szCs w:val="28"/>
          <w:highlight w:val="none"/>
        </w:rPr>
        <w:br w:type="page"/>
      </w:r>
      <w:r>
        <w:rPr>
          <w:rFonts w:hint="eastAsia" w:ascii="仿宋" w:hAnsi="仿宋" w:eastAsia="仿宋" w:cs="仿宋"/>
          <w:color w:val="auto"/>
          <w:szCs w:val="28"/>
          <w:highlight w:val="none"/>
        </w:rPr>
        <w:t>格式1</w:t>
      </w:r>
      <w:r>
        <w:rPr>
          <w:rFonts w:hint="eastAsia" w:ascii="仿宋" w:hAnsi="仿宋" w:cs="仿宋"/>
          <w:color w:val="auto"/>
          <w:szCs w:val="28"/>
          <w:highlight w:val="none"/>
          <w:lang w:val="en-US" w:eastAsia="zh-CN"/>
        </w:rPr>
        <w:t>3</w:t>
      </w:r>
    </w:p>
    <w:p w14:paraId="76CB2522">
      <w:pPr>
        <w:adjustRightInd w:val="0"/>
        <w:snapToGrid w:val="0"/>
        <w:ind w:right="105" w:rightChars="50"/>
        <w:jc w:val="center"/>
        <w:rPr>
          <w:rFonts w:hint="eastAsia" w:ascii="仿宋" w:hAnsi="仿宋" w:eastAsia="仿宋" w:cs="仿宋"/>
          <w:b/>
          <w:bCs/>
          <w:color w:val="auto"/>
          <w:sz w:val="32"/>
          <w:szCs w:val="32"/>
          <w:highlight w:val="none"/>
        </w:rPr>
      </w:pPr>
      <w:bookmarkStart w:id="109" w:name="_Toc4431_WPSOffice_Level2"/>
      <w:bookmarkStart w:id="110" w:name="_Toc8488_WPSOffice_Level2"/>
      <w:r>
        <w:rPr>
          <w:rFonts w:hint="eastAsia" w:ascii="仿宋" w:hAnsi="仿宋" w:eastAsia="仿宋" w:cs="仿宋"/>
          <w:b/>
          <w:bCs/>
          <w:color w:val="auto"/>
          <w:sz w:val="32"/>
          <w:szCs w:val="32"/>
          <w:highlight w:val="none"/>
        </w:rPr>
        <w:t>商务条款偏离表</w:t>
      </w:r>
      <w:bookmarkEnd w:id="109"/>
      <w:bookmarkEnd w:id="110"/>
    </w:p>
    <w:p w14:paraId="534FC2D6">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w:t>
      </w:r>
    </w:p>
    <w:tbl>
      <w:tblPr>
        <w:tblStyle w:val="14"/>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3545"/>
        <w:gridCol w:w="2261"/>
        <w:gridCol w:w="926"/>
        <w:gridCol w:w="936"/>
      </w:tblGrid>
      <w:tr w14:paraId="4AFC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845" w:type="dxa"/>
            <w:noWrap w:val="0"/>
            <w:vAlign w:val="center"/>
          </w:tcPr>
          <w:p w14:paraId="586A6809">
            <w:pPr>
              <w:adjustRightInd w:val="0"/>
              <w:snapToGrid w:val="0"/>
              <w:ind w:right="-48" w:rightChars="-23"/>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3545" w:type="dxa"/>
            <w:noWrap w:val="0"/>
            <w:vAlign w:val="center"/>
          </w:tcPr>
          <w:p w14:paraId="6DD3E476">
            <w:pPr>
              <w:adjustRightInd w:val="0"/>
              <w:snapToGrid w:val="0"/>
              <w:ind w:right="-73" w:rightChars="-35"/>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招标文件的商务条款</w:t>
            </w:r>
          </w:p>
          <w:p w14:paraId="25B656D7">
            <w:pPr>
              <w:adjustRightInd w:val="0"/>
              <w:snapToGrid w:val="0"/>
              <w:ind w:right="-73" w:rightChars="-35"/>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color w:val="auto"/>
                <w:sz w:val="18"/>
                <w:szCs w:val="18"/>
                <w:highlight w:val="none"/>
              </w:rPr>
              <w:t>实质性要求及重要指标用★标注，★标注项不得负偏离，如果负偏离，则投标文件无效。</w:t>
            </w:r>
            <w:r>
              <w:rPr>
                <w:rFonts w:hint="eastAsia" w:ascii="仿宋" w:hAnsi="仿宋" w:eastAsia="仿宋" w:cs="仿宋"/>
                <w:color w:val="auto"/>
                <w:szCs w:val="21"/>
                <w:highlight w:val="none"/>
              </w:rPr>
              <w:t>）</w:t>
            </w:r>
          </w:p>
        </w:tc>
        <w:tc>
          <w:tcPr>
            <w:tcW w:w="2261" w:type="dxa"/>
            <w:noWrap w:val="0"/>
            <w:vAlign w:val="center"/>
          </w:tcPr>
          <w:p w14:paraId="0CB68C9D">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投标文件响应内容</w:t>
            </w:r>
          </w:p>
        </w:tc>
        <w:tc>
          <w:tcPr>
            <w:tcW w:w="926" w:type="dxa"/>
            <w:noWrap w:val="0"/>
            <w:vAlign w:val="center"/>
          </w:tcPr>
          <w:p w14:paraId="53D1BA3E">
            <w:pPr>
              <w:adjustRightInd w:val="0"/>
              <w:snapToGrid w:val="0"/>
              <w:ind w:left="-58" w:leftChars="-28" w:right="-105" w:right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偏离程度</w:t>
            </w:r>
          </w:p>
        </w:tc>
        <w:tc>
          <w:tcPr>
            <w:tcW w:w="936" w:type="dxa"/>
            <w:noWrap w:val="0"/>
            <w:vAlign w:val="center"/>
          </w:tcPr>
          <w:p w14:paraId="4CA107B4">
            <w:pPr>
              <w:adjustRightInd w:val="0"/>
              <w:snapToGrid w:val="0"/>
              <w:ind w:left="-58" w:leftChars="-28" w:right="-105" w:right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偏离说明</w:t>
            </w:r>
          </w:p>
        </w:tc>
      </w:tr>
      <w:tr w14:paraId="070C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45" w:type="dxa"/>
            <w:noWrap w:val="0"/>
            <w:vAlign w:val="center"/>
          </w:tcPr>
          <w:p w14:paraId="774772E1">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1</w:t>
            </w:r>
          </w:p>
        </w:tc>
        <w:tc>
          <w:tcPr>
            <w:tcW w:w="3545" w:type="dxa"/>
            <w:noWrap w:val="0"/>
            <w:vAlign w:val="center"/>
          </w:tcPr>
          <w:p w14:paraId="24854FAD">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交货时间：</w:t>
            </w:r>
            <w:r>
              <w:rPr>
                <w:rFonts w:hint="eastAsia" w:ascii="仿宋" w:hAnsi="仿宋" w:eastAsia="仿宋" w:cs="仿宋"/>
                <w:color w:val="auto"/>
                <w:highlight w:val="none"/>
                <w:lang w:eastAsia="zh-CN"/>
              </w:rPr>
              <w:t>合同签订后</w:t>
            </w:r>
            <w:r>
              <w:rPr>
                <w:rFonts w:hint="eastAsia" w:ascii="仿宋" w:hAnsi="仿宋" w:cs="仿宋"/>
                <w:color w:val="auto"/>
                <w:highlight w:val="none"/>
                <w:lang w:val="en-US" w:eastAsia="zh-CN"/>
              </w:rPr>
              <w:t>45</w:t>
            </w:r>
            <w:r>
              <w:rPr>
                <w:rFonts w:hint="eastAsia" w:ascii="仿宋" w:hAnsi="仿宋" w:eastAsia="仿宋" w:cs="仿宋"/>
                <w:color w:val="auto"/>
                <w:highlight w:val="none"/>
                <w:lang w:eastAsia="zh-CN"/>
              </w:rPr>
              <w:t>日内完成</w:t>
            </w:r>
            <w:r>
              <w:rPr>
                <w:rFonts w:hint="eastAsia" w:ascii="仿宋" w:hAnsi="仿宋" w:cs="仿宋"/>
                <w:color w:val="auto"/>
                <w:szCs w:val="21"/>
                <w:highlight w:val="none"/>
                <w:lang w:eastAsia="zh-CN"/>
              </w:rPr>
              <w:t>供货安装调试</w:t>
            </w:r>
            <w:r>
              <w:rPr>
                <w:rFonts w:hint="eastAsia" w:ascii="仿宋" w:hAnsi="仿宋" w:eastAsia="仿宋" w:cs="仿宋"/>
                <w:color w:val="auto"/>
                <w:highlight w:val="none"/>
                <w:lang w:val="en-US" w:eastAsia="zh-CN"/>
              </w:rPr>
              <w:t>（具体以实际签订合同为准）</w:t>
            </w:r>
            <w:r>
              <w:rPr>
                <w:rFonts w:hint="eastAsia" w:ascii="仿宋" w:hAnsi="仿宋" w:eastAsia="仿宋" w:cs="仿宋"/>
                <w:color w:val="auto"/>
                <w:szCs w:val="21"/>
                <w:highlight w:val="none"/>
                <w:lang w:val="en-US" w:eastAsia="zh-CN"/>
              </w:rPr>
              <w:t>。</w:t>
            </w:r>
          </w:p>
        </w:tc>
        <w:tc>
          <w:tcPr>
            <w:tcW w:w="2261" w:type="dxa"/>
            <w:noWrap w:val="0"/>
            <w:vAlign w:val="center"/>
          </w:tcPr>
          <w:p w14:paraId="0ECA51F6">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41567D21">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634569B1">
            <w:pPr>
              <w:adjustRightInd w:val="0"/>
              <w:snapToGrid w:val="0"/>
              <w:ind w:right="105" w:rightChars="50"/>
              <w:jc w:val="center"/>
              <w:rPr>
                <w:rFonts w:hint="eastAsia" w:ascii="仿宋" w:hAnsi="仿宋" w:eastAsia="仿宋" w:cs="仿宋"/>
                <w:color w:val="auto"/>
                <w:szCs w:val="21"/>
                <w:highlight w:val="none"/>
              </w:rPr>
            </w:pPr>
          </w:p>
        </w:tc>
      </w:tr>
      <w:tr w14:paraId="0988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45" w:type="dxa"/>
            <w:noWrap w:val="0"/>
            <w:vAlign w:val="center"/>
          </w:tcPr>
          <w:p w14:paraId="6D894BD9">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p>
        </w:tc>
        <w:tc>
          <w:tcPr>
            <w:tcW w:w="3545" w:type="dxa"/>
            <w:noWrap w:val="0"/>
            <w:vAlign w:val="center"/>
          </w:tcPr>
          <w:p w14:paraId="569927BD">
            <w:pPr>
              <w:adjustRightInd w:val="0"/>
              <w:snapToGrid w:val="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交货地点：</w:t>
            </w:r>
            <w:r>
              <w:rPr>
                <w:rFonts w:hint="eastAsia" w:ascii="仿宋" w:hAnsi="仿宋" w:eastAsia="仿宋" w:cs="仿宋"/>
                <w:color w:val="auto"/>
                <w:szCs w:val="21"/>
                <w:highlight w:val="none"/>
                <w:lang w:val="en-US" w:eastAsia="zh-CN"/>
              </w:rPr>
              <w:t>采购人</w:t>
            </w:r>
            <w:r>
              <w:rPr>
                <w:rFonts w:hint="eastAsia" w:ascii="仿宋" w:hAnsi="仿宋" w:eastAsia="仿宋" w:cs="仿宋"/>
                <w:color w:val="auto"/>
                <w:szCs w:val="21"/>
                <w:highlight w:val="none"/>
                <w:lang w:eastAsia="zh-CN"/>
              </w:rPr>
              <w:t>指定地点。</w:t>
            </w:r>
          </w:p>
        </w:tc>
        <w:tc>
          <w:tcPr>
            <w:tcW w:w="2261" w:type="dxa"/>
            <w:noWrap w:val="0"/>
            <w:vAlign w:val="center"/>
          </w:tcPr>
          <w:p w14:paraId="37528D35">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61CFE402">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089A04C8">
            <w:pPr>
              <w:adjustRightInd w:val="0"/>
              <w:snapToGrid w:val="0"/>
              <w:ind w:right="105" w:rightChars="50"/>
              <w:jc w:val="center"/>
              <w:rPr>
                <w:rFonts w:hint="eastAsia" w:ascii="仿宋" w:hAnsi="仿宋" w:eastAsia="仿宋" w:cs="仿宋"/>
                <w:color w:val="auto"/>
                <w:szCs w:val="21"/>
                <w:highlight w:val="none"/>
              </w:rPr>
            </w:pPr>
          </w:p>
        </w:tc>
      </w:tr>
      <w:tr w14:paraId="7DD4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45" w:type="dxa"/>
            <w:noWrap w:val="0"/>
            <w:vAlign w:val="center"/>
          </w:tcPr>
          <w:p w14:paraId="3FBC6F48">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p>
        </w:tc>
        <w:tc>
          <w:tcPr>
            <w:tcW w:w="3545" w:type="dxa"/>
            <w:noWrap w:val="0"/>
            <w:vAlign w:val="center"/>
          </w:tcPr>
          <w:p w14:paraId="3D0A7DA5">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付款方式及条件：</w:t>
            </w:r>
            <w:r>
              <w:rPr>
                <w:rFonts w:hint="eastAsia" w:ascii="仿宋" w:hAnsi="仿宋" w:eastAsia="仿宋" w:cs="仿宋"/>
                <w:color w:val="auto"/>
                <w:szCs w:val="21"/>
                <w:highlight w:val="none"/>
                <w:lang w:val="en-US" w:eastAsia="zh-CN"/>
              </w:rPr>
              <w:t>签订合同后，支付合同金额30%的预付款；安装调试完成并验收合格后支付剩余的70％</w:t>
            </w:r>
            <w:r>
              <w:rPr>
                <w:rFonts w:hint="eastAsia" w:ascii="仿宋" w:hAnsi="仿宋" w:eastAsia="仿宋" w:cs="仿宋"/>
                <w:color w:val="auto"/>
                <w:szCs w:val="21"/>
                <w:highlight w:val="none"/>
              </w:rPr>
              <w:t>。</w:t>
            </w:r>
          </w:p>
        </w:tc>
        <w:tc>
          <w:tcPr>
            <w:tcW w:w="2261" w:type="dxa"/>
            <w:noWrap w:val="0"/>
            <w:vAlign w:val="center"/>
          </w:tcPr>
          <w:p w14:paraId="0AF22CBA">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7ECFF6B3">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2A010460">
            <w:pPr>
              <w:adjustRightInd w:val="0"/>
              <w:snapToGrid w:val="0"/>
              <w:ind w:right="105" w:rightChars="50"/>
              <w:jc w:val="center"/>
              <w:rPr>
                <w:rFonts w:hint="eastAsia" w:ascii="仿宋" w:hAnsi="仿宋" w:eastAsia="仿宋" w:cs="仿宋"/>
                <w:color w:val="auto"/>
                <w:szCs w:val="21"/>
                <w:highlight w:val="none"/>
              </w:rPr>
            </w:pPr>
          </w:p>
        </w:tc>
      </w:tr>
      <w:tr w14:paraId="1C90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845" w:type="dxa"/>
            <w:noWrap w:val="0"/>
            <w:vAlign w:val="center"/>
          </w:tcPr>
          <w:p w14:paraId="2901149D">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4</w:t>
            </w:r>
          </w:p>
        </w:tc>
        <w:tc>
          <w:tcPr>
            <w:tcW w:w="3545" w:type="dxa"/>
            <w:noWrap w:val="0"/>
            <w:vAlign w:val="center"/>
          </w:tcPr>
          <w:p w14:paraId="4B75DE6F">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验收标准：按照《关于印发辽宁省政府采购履约验收管理办法的通知》【辽政采（2017）603号】规定执行</w:t>
            </w:r>
          </w:p>
          <w:p w14:paraId="32139750">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验收程序：采购人组织</w:t>
            </w:r>
          </w:p>
          <w:p w14:paraId="5E70BEBD">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验收报告：采购人出具</w:t>
            </w:r>
          </w:p>
          <w:p w14:paraId="0AE6EA1D">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组织验收主体：本项目的履约验收工作由采购人依法组织实施。</w:t>
            </w:r>
          </w:p>
        </w:tc>
        <w:tc>
          <w:tcPr>
            <w:tcW w:w="2261" w:type="dxa"/>
            <w:noWrap w:val="0"/>
            <w:vAlign w:val="center"/>
          </w:tcPr>
          <w:p w14:paraId="52B8DB84">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31EDAEFF">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493B2C6D">
            <w:pPr>
              <w:adjustRightInd w:val="0"/>
              <w:snapToGrid w:val="0"/>
              <w:ind w:right="105" w:rightChars="50"/>
              <w:jc w:val="center"/>
              <w:rPr>
                <w:rFonts w:hint="eastAsia" w:ascii="仿宋" w:hAnsi="仿宋" w:eastAsia="仿宋" w:cs="仿宋"/>
                <w:color w:val="auto"/>
                <w:szCs w:val="21"/>
                <w:highlight w:val="none"/>
              </w:rPr>
            </w:pPr>
          </w:p>
        </w:tc>
      </w:tr>
      <w:tr w14:paraId="0A97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845" w:type="dxa"/>
            <w:noWrap w:val="0"/>
            <w:vAlign w:val="center"/>
          </w:tcPr>
          <w:p w14:paraId="7D64D940">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5</w:t>
            </w:r>
          </w:p>
        </w:tc>
        <w:tc>
          <w:tcPr>
            <w:tcW w:w="3545" w:type="dxa"/>
            <w:noWrap w:val="0"/>
            <w:vAlign w:val="center"/>
          </w:tcPr>
          <w:p w14:paraId="5A2BE656">
            <w:pPr>
              <w:adjustRightInd w:val="0"/>
              <w:snapToGrid w:val="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质保期：自验收合格之日起</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lang w:eastAsia="zh-CN"/>
              </w:rPr>
              <w:t>年，在产品质保期内须免费更换有缺陷的产品、部件和材料，直到达到验收指标和性能要求。换货的供货期不得超过一个月，且换货后重新计算换货物品质保期，自新货品供货安装调试且验收合格之日起计算。质保期内发生与产品质量相关的一切费用由中标单位承担。提供备件服务，质保期过后，按照成本价维修。</w:t>
            </w:r>
          </w:p>
        </w:tc>
        <w:tc>
          <w:tcPr>
            <w:tcW w:w="2261" w:type="dxa"/>
            <w:noWrap w:val="0"/>
            <w:vAlign w:val="center"/>
          </w:tcPr>
          <w:p w14:paraId="42E4982A">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456CEDC1">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0A28ADB7">
            <w:pPr>
              <w:adjustRightInd w:val="0"/>
              <w:snapToGrid w:val="0"/>
              <w:ind w:right="105" w:rightChars="50"/>
              <w:jc w:val="center"/>
              <w:rPr>
                <w:rFonts w:hint="eastAsia" w:ascii="仿宋" w:hAnsi="仿宋" w:eastAsia="仿宋" w:cs="仿宋"/>
                <w:color w:val="auto"/>
                <w:szCs w:val="21"/>
                <w:highlight w:val="none"/>
              </w:rPr>
            </w:pPr>
          </w:p>
        </w:tc>
      </w:tr>
      <w:tr w14:paraId="5DC5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5" w:type="dxa"/>
            <w:noWrap w:val="0"/>
            <w:vAlign w:val="center"/>
          </w:tcPr>
          <w:p w14:paraId="069EA3C8">
            <w:pPr>
              <w:adjustRightInd w:val="0"/>
              <w:snapToGrid w:val="0"/>
              <w:ind w:right="105" w:rightChars="5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cs="仿宋"/>
                <w:color w:val="auto"/>
                <w:szCs w:val="21"/>
                <w:highlight w:val="none"/>
                <w:lang w:val="en-US" w:eastAsia="zh-CN"/>
              </w:rPr>
              <w:t>6</w:t>
            </w:r>
          </w:p>
        </w:tc>
        <w:tc>
          <w:tcPr>
            <w:tcW w:w="3545" w:type="dxa"/>
            <w:shd w:val="clear" w:color="auto" w:fill="auto"/>
            <w:noWrap w:val="0"/>
            <w:vAlign w:val="center"/>
          </w:tcPr>
          <w:p w14:paraId="4E6C4C6A">
            <w:pPr>
              <w:adjustRightInd w:val="0"/>
              <w:snapToGrid w:val="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保修期内上门免费服务，终身维修，提供配件：（ </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）年</w:t>
            </w:r>
          </w:p>
        </w:tc>
        <w:tc>
          <w:tcPr>
            <w:tcW w:w="2261" w:type="dxa"/>
            <w:noWrap w:val="0"/>
            <w:vAlign w:val="center"/>
          </w:tcPr>
          <w:p w14:paraId="2B0AA095">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11B21503">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3B8CFB9D">
            <w:pPr>
              <w:adjustRightInd w:val="0"/>
              <w:snapToGrid w:val="0"/>
              <w:ind w:right="105" w:rightChars="50"/>
              <w:jc w:val="center"/>
              <w:rPr>
                <w:rFonts w:hint="eastAsia" w:ascii="仿宋" w:hAnsi="仿宋" w:eastAsia="仿宋" w:cs="仿宋"/>
                <w:color w:val="auto"/>
                <w:szCs w:val="21"/>
                <w:highlight w:val="none"/>
              </w:rPr>
            </w:pPr>
          </w:p>
        </w:tc>
      </w:tr>
      <w:tr w14:paraId="7474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5" w:type="dxa"/>
            <w:noWrap w:val="0"/>
            <w:vAlign w:val="center"/>
          </w:tcPr>
          <w:p w14:paraId="71B93E37">
            <w:pPr>
              <w:adjustRightInd w:val="0"/>
              <w:snapToGrid w:val="0"/>
              <w:ind w:right="105" w:rightChars="5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cs="仿宋"/>
                <w:color w:val="auto"/>
                <w:szCs w:val="21"/>
                <w:highlight w:val="none"/>
                <w:lang w:val="en-US" w:eastAsia="zh-CN"/>
              </w:rPr>
              <w:t>7</w:t>
            </w:r>
          </w:p>
        </w:tc>
        <w:tc>
          <w:tcPr>
            <w:tcW w:w="3545" w:type="dxa"/>
            <w:shd w:val="clear" w:color="auto" w:fill="auto"/>
            <w:noWrap w:val="0"/>
            <w:vAlign w:val="center"/>
          </w:tcPr>
          <w:p w14:paraId="79DE2E52">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热线支持：7x24小时热线支持电话</w:t>
            </w:r>
          </w:p>
          <w:p w14:paraId="4F47E4D1">
            <w:pPr>
              <w:adjustRightInd w:val="0"/>
              <w:snapToGrid w:val="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现场支持：（</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）小时内响应；（</w:t>
            </w:r>
            <w:r>
              <w:rPr>
                <w:rFonts w:hint="eastAsia" w:ascii="仿宋" w:hAnsi="仿宋" w:eastAsia="仿宋" w:cs="仿宋"/>
                <w:color w:val="auto"/>
                <w:szCs w:val="21"/>
                <w:highlight w:val="none"/>
                <w:lang w:val="en-US" w:eastAsia="zh-CN"/>
              </w:rPr>
              <w:t>12</w:t>
            </w:r>
            <w:r>
              <w:rPr>
                <w:rFonts w:hint="eastAsia" w:ascii="仿宋" w:hAnsi="仿宋" w:eastAsia="仿宋" w:cs="仿宋"/>
                <w:color w:val="auto"/>
                <w:szCs w:val="21"/>
                <w:highlight w:val="none"/>
              </w:rPr>
              <w:t>）小时内到达</w:t>
            </w:r>
          </w:p>
        </w:tc>
        <w:tc>
          <w:tcPr>
            <w:tcW w:w="2261" w:type="dxa"/>
            <w:noWrap w:val="0"/>
            <w:vAlign w:val="center"/>
          </w:tcPr>
          <w:p w14:paraId="4CEF5753">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3807A400">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4A82CA7D">
            <w:pPr>
              <w:adjustRightInd w:val="0"/>
              <w:snapToGrid w:val="0"/>
              <w:ind w:right="105" w:rightChars="50"/>
              <w:jc w:val="center"/>
              <w:rPr>
                <w:rFonts w:hint="eastAsia" w:ascii="仿宋" w:hAnsi="仿宋" w:eastAsia="仿宋" w:cs="仿宋"/>
                <w:color w:val="auto"/>
                <w:szCs w:val="21"/>
                <w:highlight w:val="none"/>
              </w:rPr>
            </w:pPr>
          </w:p>
        </w:tc>
      </w:tr>
      <w:tr w14:paraId="0E94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5" w:type="dxa"/>
            <w:noWrap w:val="0"/>
            <w:vAlign w:val="center"/>
          </w:tcPr>
          <w:p w14:paraId="732C94C8">
            <w:pPr>
              <w:adjustRightInd w:val="0"/>
              <w:snapToGrid w:val="0"/>
              <w:ind w:right="105" w:rightChars="5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cs="仿宋"/>
                <w:color w:val="auto"/>
                <w:szCs w:val="21"/>
                <w:highlight w:val="none"/>
                <w:lang w:val="en-US" w:eastAsia="zh-CN"/>
              </w:rPr>
              <w:t>8</w:t>
            </w:r>
          </w:p>
        </w:tc>
        <w:tc>
          <w:tcPr>
            <w:tcW w:w="3545" w:type="dxa"/>
            <w:shd w:val="clear" w:color="auto" w:fill="auto"/>
            <w:noWrap w:val="0"/>
            <w:vAlign w:val="center"/>
          </w:tcPr>
          <w:p w14:paraId="553375D8">
            <w:pPr>
              <w:adjustRightInd w:val="0"/>
              <w:snapToGrid w:val="0"/>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维修技术人员及设备方面的保证措施及收费标准的要求：</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保修期内，除人为损坏和不可抗拒的自然因素损坏外，其他正常使用仪器时出现的质量问题均由中标供应商进行免费维修和更换。</w:t>
            </w:r>
          </w:p>
        </w:tc>
        <w:tc>
          <w:tcPr>
            <w:tcW w:w="2261" w:type="dxa"/>
            <w:noWrap w:val="0"/>
            <w:vAlign w:val="center"/>
          </w:tcPr>
          <w:p w14:paraId="7179AC62">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44D0C41A">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3F362119">
            <w:pPr>
              <w:adjustRightInd w:val="0"/>
              <w:snapToGrid w:val="0"/>
              <w:ind w:right="105" w:rightChars="50"/>
              <w:jc w:val="center"/>
              <w:rPr>
                <w:rFonts w:hint="eastAsia" w:ascii="仿宋" w:hAnsi="仿宋" w:eastAsia="仿宋" w:cs="仿宋"/>
                <w:color w:val="auto"/>
                <w:szCs w:val="21"/>
                <w:highlight w:val="none"/>
              </w:rPr>
            </w:pPr>
          </w:p>
        </w:tc>
      </w:tr>
      <w:tr w14:paraId="274C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5" w:type="dxa"/>
            <w:noWrap w:val="0"/>
            <w:vAlign w:val="center"/>
          </w:tcPr>
          <w:p w14:paraId="6E893588">
            <w:pPr>
              <w:adjustRightInd w:val="0"/>
              <w:snapToGrid w:val="0"/>
              <w:ind w:right="105" w:rightChars="5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cs="仿宋"/>
                <w:color w:val="auto"/>
                <w:szCs w:val="21"/>
                <w:highlight w:val="none"/>
                <w:lang w:val="en-US" w:eastAsia="zh-CN"/>
              </w:rPr>
              <w:t>9</w:t>
            </w:r>
          </w:p>
        </w:tc>
        <w:tc>
          <w:tcPr>
            <w:tcW w:w="3545" w:type="dxa"/>
            <w:shd w:val="clear" w:color="auto" w:fill="auto"/>
            <w:noWrap w:val="0"/>
            <w:vAlign w:val="center"/>
          </w:tcPr>
          <w:p w14:paraId="3C4F3AB6">
            <w:pPr>
              <w:adjustRightInd w:val="0"/>
              <w:snapToGrid w:val="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培训时长：验收合格后，中标供应商需根据采购人使用情况提供至少1次线下培训，时长不少于1天。</w:t>
            </w:r>
          </w:p>
        </w:tc>
        <w:tc>
          <w:tcPr>
            <w:tcW w:w="2261" w:type="dxa"/>
            <w:noWrap w:val="0"/>
            <w:vAlign w:val="center"/>
          </w:tcPr>
          <w:p w14:paraId="2845A728">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2846A536">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237869A6">
            <w:pPr>
              <w:adjustRightInd w:val="0"/>
              <w:snapToGrid w:val="0"/>
              <w:ind w:right="105" w:rightChars="50"/>
              <w:jc w:val="center"/>
              <w:rPr>
                <w:rFonts w:hint="eastAsia" w:ascii="仿宋" w:hAnsi="仿宋" w:eastAsia="仿宋" w:cs="仿宋"/>
                <w:color w:val="auto"/>
                <w:szCs w:val="21"/>
                <w:highlight w:val="none"/>
              </w:rPr>
            </w:pPr>
          </w:p>
        </w:tc>
      </w:tr>
      <w:tr w14:paraId="35A4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5" w:type="dxa"/>
            <w:noWrap w:val="0"/>
            <w:vAlign w:val="center"/>
          </w:tcPr>
          <w:p w14:paraId="6B994ED5">
            <w:pPr>
              <w:adjustRightInd w:val="0"/>
              <w:snapToGrid w:val="0"/>
              <w:ind w:right="105" w:rightChars="50"/>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w:t>
            </w:r>
            <w:r>
              <w:rPr>
                <w:rFonts w:hint="eastAsia" w:ascii="仿宋" w:hAnsi="仿宋" w:cs="仿宋"/>
                <w:color w:val="auto"/>
                <w:szCs w:val="21"/>
                <w:highlight w:val="none"/>
                <w:lang w:val="en-US" w:eastAsia="zh-CN"/>
              </w:rPr>
              <w:t>10</w:t>
            </w:r>
          </w:p>
        </w:tc>
        <w:tc>
          <w:tcPr>
            <w:tcW w:w="3545" w:type="dxa"/>
            <w:shd w:val="clear" w:color="auto" w:fill="auto"/>
            <w:noWrap w:val="0"/>
            <w:vAlign w:val="center"/>
          </w:tcPr>
          <w:p w14:paraId="4BFB5ABF">
            <w:pPr>
              <w:adjustRightInd w:val="0"/>
              <w:snapToGrid w:val="0"/>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系统扩展、升级服务要求：质保期内免费提供升级服务。</w:t>
            </w:r>
          </w:p>
        </w:tc>
        <w:tc>
          <w:tcPr>
            <w:tcW w:w="2261" w:type="dxa"/>
            <w:noWrap w:val="0"/>
            <w:vAlign w:val="center"/>
          </w:tcPr>
          <w:p w14:paraId="18108DEF">
            <w:pPr>
              <w:adjustRightInd w:val="0"/>
              <w:snapToGrid w:val="0"/>
              <w:ind w:right="105" w:rightChars="50"/>
              <w:jc w:val="center"/>
              <w:rPr>
                <w:rFonts w:hint="eastAsia" w:ascii="仿宋" w:hAnsi="仿宋" w:eastAsia="仿宋" w:cs="仿宋"/>
                <w:color w:val="auto"/>
                <w:szCs w:val="21"/>
                <w:highlight w:val="none"/>
              </w:rPr>
            </w:pPr>
          </w:p>
        </w:tc>
        <w:tc>
          <w:tcPr>
            <w:tcW w:w="926" w:type="dxa"/>
            <w:noWrap w:val="0"/>
            <w:vAlign w:val="center"/>
          </w:tcPr>
          <w:p w14:paraId="51E3721C">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29ED1A18">
            <w:pPr>
              <w:adjustRightInd w:val="0"/>
              <w:snapToGrid w:val="0"/>
              <w:ind w:right="105" w:rightChars="50"/>
              <w:jc w:val="center"/>
              <w:rPr>
                <w:rFonts w:hint="eastAsia" w:ascii="仿宋" w:hAnsi="仿宋" w:eastAsia="仿宋" w:cs="仿宋"/>
                <w:color w:val="auto"/>
                <w:szCs w:val="21"/>
                <w:highlight w:val="none"/>
              </w:rPr>
            </w:pPr>
          </w:p>
        </w:tc>
      </w:tr>
      <w:tr w14:paraId="15BA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45" w:type="dxa"/>
            <w:noWrap w:val="0"/>
            <w:vAlign w:val="center"/>
          </w:tcPr>
          <w:p w14:paraId="4DD4428F">
            <w:pPr>
              <w:adjustRightInd w:val="0"/>
              <w:snapToGrid w:val="0"/>
              <w:ind w:right="105" w:rightChars="50"/>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11</w:t>
            </w:r>
          </w:p>
        </w:tc>
        <w:tc>
          <w:tcPr>
            <w:tcW w:w="3545" w:type="dxa"/>
            <w:noWrap w:val="0"/>
            <w:vAlign w:val="center"/>
          </w:tcPr>
          <w:p w14:paraId="3233B480">
            <w:pPr>
              <w:adjustRightInd w:val="0"/>
              <w:snapToGrid w:val="0"/>
              <w:ind w:hanging="1"/>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w:t>
            </w:r>
          </w:p>
        </w:tc>
        <w:tc>
          <w:tcPr>
            <w:tcW w:w="2261" w:type="dxa"/>
            <w:noWrap w:val="0"/>
            <w:vAlign w:val="center"/>
          </w:tcPr>
          <w:p w14:paraId="04BAD526">
            <w:pPr>
              <w:adjustRightInd w:val="0"/>
              <w:snapToGrid w:val="0"/>
              <w:ind w:left="-52" w:leftChars="-25" w:right="-16" w:rightChars="-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采购单位未提供需求而投标人认为需说明及补充的内容在此填列</w:t>
            </w:r>
          </w:p>
        </w:tc>
        <w:tc>
          <w:tcPr>
            <w:tcW w:w="926" w:type="dxa"/>
            <w:noWrap w:val="0"/>
            <w:vAlign w:val="center"/>
          </w:tcPr>
          <w:p w14:paraId="307DB5C7">
            <w:pPr>
              <w:adjustRightInd w:val="0"/>
              <w:snapToGrid w:val="0"/>
              <w:ind w:right="105" w:rightChars="50"/>
              <w:jc w:val="center"/>
              <w:rPr>
                <w:rFonts w:hint="eastAsia" w:ascii="仿宋" w:hAnsi="仿宋" w:eastAsia="仿宋" w:cs="仿宋"/>
                <w:color w:val="auto"/>
                <w:szCs w:val="21"/>
                <w:highlight w:val="none"/>
              </w:rPr>
            </w:pPr>
          </w:p>
        </w:tc>
        <w:tc>
          <w:tcPr>
            <w:tcW w:w="936" w:type="dxa"/>
            <w:noWrap w:val="0"/>
            <w:vAlign w:val="center"/>
          </w:tcPr>
          <w:p w14:paraId="54D09495">
            <w:pPr>
              <w:adjustRightInd w:val="0"/>
              <w:snapToGrid w:val="0"/>
              <w:ind w:right="105" w:rightChars="50"/>
              <w:jc w:val="center"/>
              <w:rPr>
                <w:rFonts w:hint="eastAsia" w:ascii="仿宋" w:hAnsi="仿宋" w:eastAsia="仿宋" w:cs="仿宋"/>
                <w:color w:val="auto"/>
                <w:szCs w:val="21"/>
                <w:highlight w:val="none"/>
              </w:rPr>
            </w:pPr>
          </w:p>
        </w:tc>
      </w:tr>
    </w:tbl>
    <w:p w14:paraId="2030D0E8">
      <w:pPr>
        <w:adjustRightInd w:val="0"/>
        <w:snapToGrid w:val="0"/>
        <w:spacing w:line="360" w:lineRule="auto"/>
        <w:ind w:right="105" w:rightChars="5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填表要求：</w:t>
      </w:r>
    </w:p>
    <w:p w14:paraId="16736ED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1．“投标文件响应内容”一栏由投标人按照招标文件要求填写，进行响应。</w:t>
      </w:r>
    </w:p>
    <w:p w14:paraId="611C748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14:paraId="232C86C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14:paraId="2B40D64E">
      <w:pPr>
        <w:adjustRightInd w:val="0"/>
        <w:snapToGrid w:val="0"/>
        <w:spacing w:line="360" w:lineRule="auto"/>
        <w:rPr>
          <w:rFonts w:hint="eastAsia" w:ascii="仿宋" w:hAnsi="仿宋" w:eastAsia="仿宋" w:cs="仿宋"/>
          <w:color w:val="auto"/>
          <w:szCs w:val="21"/>
          <w:highlight w:val="none"/>
        </w:rPr>
      </w:pPr>
    </w:p>
    <w:p w14:paraId="275AC110">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44F9318C">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377554EF">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4AE0E25E">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格式1</w:t>
      </w:r>
      <w:r>
        <w:rPr>
          <w:rFonts w:hint="eastAsia" w:ascii="仿宋" w:hAnsi="仿宋" w:cs="仿宋"/>
          <w:color w:val="auto"/>
          <w:szCs w:val="28"/>
          <w:highlight w:val="none"/>
          <w:lang w:val="en-US" w:eastAsia="zh-CN"/>
        </w:rPr>
        <w:t>4</w:t>
      </w:r>
    </w:p>
    <w:p w14:paraId="76C0FD29">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11" w:name="_Toc20929_WPSOffice_Level2"/>
      <w:bookmarkStart w:id="112" w:name="_Toc9410_WPSOffice_Level2"/>
      <w:r>
        <w:rPr>
          <w:rFonts w:hint="eastAsia" w:ascii="仿宋" w:hAnsi="仿宋" w:eastAsia="仿宋" w:cs="仿宋"/>
          <w:b/>
          <w:bCs/>
          <w:color w:val="auto"/>
          <w:sz w:val="32"/>
          <w:szCs w:val="32"/>
          <w:highlight w:val="none"/>
        </w:rPr>
        <w:t>投标人关联单位的说明</w:t>
      </w:r>
      <w:bookmarkEnd w:id="111"/>
      <w:bookmarkEnd w:id="112"/>
    </w:p>
    <w:p w14:paraId="0155224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说明：投标人应当如实披露与本单位存在下列关联关系的单位名称：</w:t>
      </w:r>
    </w:p>
    <w:p w14:paraId="5F97A6CF">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3" w:name="_Toc2074_WPSOffice_Level2"/>
      <w:bookmarkStart w:id="114" w:name="_Toc31070_WPSOffice_Level2"/>
      <w:r>
        <w:rPr>
          <w:rFonts w:hint="eastAsia" w:ascii="仿宋" w:hAnsi="仿宋" w:eastAsia="仿宋" w:cs="仿宋"/>
          <w:color w:val="auto"/>
          <w:szCs w:val="21"/>
          <w:highlight w:val="none"/>
        </w:rPr>
        <w:t>（1）与投标人单位法定代表人（或非法人组织负责人）为同一人的其他单位；</w:t>
      </w:r>
      <w:bookmarkEnd w:id="113"/>
      <w:bookmarkEnd w:id="114"/>
    </w:p>
    <w:p w14:paraId="7A264C7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5" w:name="_Toc27053_WPSOffice_Level2"/>
      <w:bookmarkStart w:id="116" w:name="_Toc889_WPSOffice_Level2"/>
      <w:r>
        <w:rPr>
          <w:rFonts w:hint="eastAsia" w:ascii="仿宋" w:hAnsi="仿宋" w:eastAsia="仿宋" w:cs="仿宋"/>
          <w:color w:val="auto"/>
          <w:szCs w:val="21"/>
          <w:highlight w:val="none"/>
        </w:rPr>
        <w:t>（2）与投标人存在直接控股、管理关系的其他单位。</w:t>
      </w:r>
      <w:bookmarkEnd w:id="115"/>
      <w:bookmarkEnd w:id="116"/>
    </w:p>
    <w:p w14:paraId="178F75F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141A8A9">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注：若无此情形，写“无”即可</w:t>
      </w:r>
    </w:p>
    <w:p w14:paraId="1CC731A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73D426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A4BEDB8">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3CA72AA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2AC577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354AE031">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71FDF923">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15449E75">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0D73B198">
      <w:pPr>
        <w:adjustRightInd w:val="0"/>
        <w:snapToGrid w:val="0"/>
        <w:spacing w:line="360" w:lineRule="auto"/>
        <w:ind w:right="105" w:rightChars="50"/>
        <w:jc w:val="left"/>
        <w:rPr>
          <w:rFonts w:hint="eastAsia" w:ascii="仿宋" w:hAnsi="仿宋" w:eastAsia="仿宋" w:cs="仿宋"/>
          <w:color w:val="auto"/>
          <w:szCs w:val="21"/>
          <w:highlight w:val="none"/>
        </w:rPr>
      </w:pPr>
    </w:p>
    <w:p w14:paraId="136A1B8D">
      <w:pPr>
        <w:adjustRightInd w:val="0"/>
        <w:snapToGrid w:val="0"/>
        <w:spacing w:line="360" w:lineRule="auto"/>
        <w:ind w:right="105" w:rightChars="50"/>
        <w:jc w:val="left"/>
        <w:rPr>
          <w:rFonts w:hint="eastAsia" w:ascii="仿宋" w:hAnsi="仿宋" w:eastAsia="仿宋" w:cs="仿宋"/>
          <w:color w:val="auto"/>
          <w:szCs w:val="21"/>
          <w:highlight w:val="none"/>
        </w:rPr>
      </w:pPr>
    </w:p>
    <w:p w14:paraId="7B2EE905">
      <w:pPr>
        <w:adjustRightInd w:val="0"/>
        <w:snapToGrid w:val="0"/>
        <w:spacing w:line="360" w:lineRule="auto"/>
        <w:ind w:right="105" w:rightChars="50"/>
        <w:jc w:val="left"/>
        <w:rPr>
          <w:rFonts w:hint="eastAsia" w:ascii="仿宋" w:hAnsi="仿宋" w:eastAsia="仿宋" w:cs="仿宋"/>
          <w:color w:val="auto"/>
          <w:szCs w:val="21"/>
          <w:highlight w:val="none"/>
        </w:rPr>
      </w:pPr>
    </w:p>
    <w:p w14:paraId="006BD88F">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格式1</w:t>
      </w:r>
      <w:r>
        <w:rPr>
          <w:rFonts w:hint="eastAsia" w:ascii="仿宋" w:hAnsi="仿宋" w:cs="仿宋"/>
          <w:color w:val="auto"/>
          <w:szCs w:val="28"/>
          <w:highlight w:val="none"/>
          <w:lang w:val="en-US" w:eastAsia="zh-CN"/>
        </w:rPr>
        <w:t>5</w:t>
      </w:r>
    </w:p>
    <w:p w14:paraId="223CAE6E">
      <w:pPr>
        <w:adjustRightInd w:val="0"/>
        <w:snapToGrid w:val="0"/>
        <w:spacing w:line="480" w:lineRule="auto"/>
        <w:ind w:right="105" w:rightChars="50"/>
        <w:jc w:val="center"/>
        <w:rPr>
          <w:rFonts w:hint="eastAsia" w:ascii="仿宋" w:hAnsi="仿宋" w:eastAsia="仿宋" w:cs="仿宋"/>
          <w:b/>
          <w:bCs/>
          <w:color w:val="auto"/>
          <w:sz w:val="32"/>
          <w:szCs w:val="32"/>
          <w:highlight w:val="none"/>
        </w:rPr>
      </w:pPr>
      <w:bookmarkStart w:id="117" w:name="_Hlk73968874"/>
      <w:bookmarkStart w:id="118" w:name="_Hlk73969205"/>
      <w:r>
        <w:rPr>
          <w:rFonts w:hint="eastAsia" w:ascii="仿宋" w:hAnsi="仿宋" w:eastAsia="仿宋" w:cs="仿宋"/>
          <w:b/>
          <w:bCs/>
          <w:color w:val="auto"/>
          <w:sz w:val="32"/>
          <w:szCs w:val="32"/>
          <w:highlight w:val="none"/>
        </w:rPr>
        <w:t>中小企业声明函（货物）</w:t>
      </w:r>
    </w:p>
    <w:bookmarkEnd w:id="117"/>
    <w:bookmarkEnd w:id="118"/>
    <w:p w14:paraId="4C8597E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本公司（联合体）郑重声明，根据《政府采购促进中小企业发展管理办法》（财库﹝2020﹞46 号）的规定，本公司（联合体）参加 </w:t>
      </w:r>
      <w:r>
        <w:rPr>
          <w:rFonts w:hint="eastAsia" w:ascii="仿宋" w:hAnsi="仿宋" w:eastAsia="仿宋" w:cs="仿宋"/>
          <w:color w:val="auto"/>
          <w:highlight w:val="none"/>
          <w:u w:val="single"/>
        </w:rPr>
        <w:t xml:space="preserve">（单位名称） </w:t>
      </w:r>
      <w:r>
        <w:rPr>
          <w:rFonts w:hint="eastAsia" w:ascii="仿宋" w:hAnsi="仿宋" w:eastAsia="仿宋" w:cs="仿宋"/>
          <w:color w:val="auto"/>
          <w:highlight w:val="none"/>
        </w:rPr>
        <w:t xml:space="preserve">的 </w:t>
      </w:r>
      <w:r>
        <w:rPr>
          <w:rFonts w:hint="eastAsia" w:ascii="仿宋" w:hAnsi="仿宋" w:eastAsia="仿宋" w:cs="仿宋"/>
          <w:color w:val="auto"/>
          <w:highlight w:val="none"/>
          <w:u w:val="single"/>
        </w:rPr>
        <w:t xml:space="preserve">（项目名称） </w:t>
      </w:r>
      <w:r>
        <w:rPr>
          <w:rFonts w:hint="eastAsia" w:ascii="仿宋" w:hAnsi="仿宋" w:eastAsia="仿宋" w:cs="仿宋"/>
          <w:color w:val="auto"/>
          <w:highlight w:val="none"/>
        </w:rPr>
        <w:t>采购活动，提</w:t>
      </w:r>
    </w:p>
    <w:p w14:paraId="2F6A46B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供的货物全部由符合政策要求的中小企业制造。相关企业（含联合体中的中小企业、签订分包意向协议的中小企业）的具体情况如下：</w:t>
      </w:r>
    </w:p>
    <w:p w14:paraId="00DEE4E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 xml:space="preserve">（标的名称） </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 xml:space="preserve"> （采购文件中明确的所属行业）</w:t>
      </w:r>
      <w:r>
        <w:rPr>
          <w:rFonts w:hint="eastAsia" w:ascii="仿宋" w:hAnsi="仿宋" w:eastAsia="仿宋" w:cs="仿宋"/>
          <w:color w:val="auto"/>
          <w:highlight w:val="none"/>
        </w:rPr>
        <w:t>行业 ；制造商为 （企业名称） ，从业人员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人，营业收入为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万元① ，属于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（中型企业、小型企业、微型企业） ；</w:t>
      </w:r>
    </w:p>
    <w:p w14:paraId="5F4480B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u w:val="single"/>
        </w:rPr>
        <w:t xml:space="preserve">（标的名称） </w:t>
      </w:r>
      <w:r>
        <w:rPr>
          <w:rFonts w:hint="eastAsia" w:ascii="仿宋" w:hAnsi="仿宋" w:eastAsia="仿宋" w:cs="仿宋"/>
          <w:color w:val="auto"/>
          <w:highlight w:val="none"/>
        </w:rPr>
        <w:t>，属于</w:t>
      </w:r>
      <w:r>
        <w:rPr>
          <w:rFonts w:hint="eastAsia" w:ascii="仿宋" w:hAnsi="仿宋" w:eastAsia="仿宋" w:cs="仿宋"/>
          <w:color w:val="auto"/>
          <w:highlight w:val="none"/>
          <w:u w:val="single"/>
        </w:rPr>
        <w:t xml:space="preserve"> （采购文件中明确的所属行业）</w:t>
      </w:r>
      <w:r>
        <w:rPr>
          <w:rFonts w:hint="eastAsia" w:ascii="仿宋" w:hAnsi="仿宋" w:eastAsia="仿宋" w:cs="仿宋"/>
          <w:color w:val="auto"/>
          <w:highlight w:val="none"/>
        </w:rPr>
        <w:t>行业 ；制造商为</w:t>
      </w:r>
      <w:r>
        <w:rPr>
          <w:rFonts w:hint="eastAsia" w:ascii="仿宋" w:hAnsi="仿宋" w:eastAsia="仿宋" w:cs="仿宋"/>
          <w:color w:val="auto"/>
          <w:highlight w:val="none"/>
          <w:u w:val="single"/>
        </w:rPr>
        <w:t xml:space="preserve"> （企业名称） </w:t>
      </w:r>
      <w:r>
        <w:rPr>
          <w:rFonts w:hint="eastAsia" w:ascii="仿宋" w:hAnsi="仿宋" w:eastAsia="仿宋" w:cs="仿宋"/>
          <w:color w:val="auto"/>
          <w:highlight w:val="none"/>
        </w:rPr>
        <w:t>，从业人员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人，营业收入为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万元，属于</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（中型企业、小型企业、微型企业） ；</w:t>
      </w:r>
    </w:p>
    <w:p w14:paraId="73CF2E3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w:t>
      </w:r>
    </w:p>
    <w:p w14:paraId="7891257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以上企业，不属于大企业的分支机构，不存在控股股东为大企业的情形，也不存在与大企业的负责人为同一人的情形。</w:t>
      </w:r>
    </w:p>
    <w:p w14:paraId="684C926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本企业对上述声明内容的真实性负责。如有虚假，将依法承担相应责任。</w:t>
      </w:r>
    </w:p>
    <w:p w14:paraId="33F48FF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20D1FAD">
      <w:pPr>
        <w:keepNext w:val="0"/>
        <w:keepLines w:val="0"/>
        <w:pageBreakBefore w:val="0"/>
        <w:widowControl w:val="0"/>
        <w:kinsoku/>
        <w:wordWrap/>
        <w:overflowPunct/>
        <w:topLinePunct w:val="0"/>
        <w:autoSpaceDE/>
        <w:autoSpaceDN/>
        <w:bidi w:val="0"/>
        <w:adjustRightInd w:val="0"/>
        <w:snapToGrid w:val="0"/>
        <w:spacing w:line="360" w:lineRule="auto"/>
        <w:ind w:firstLine="3360" w:firstLineChars="16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企业名称（盖章）：</w:t>
      </w:r>
    </w:p>
    <w:p w14:paraId="115B24CE">
      <w:pPr>
        <w:keepNext w:val="0"/>
        <w:keepLines w:val="0"/>
        <w:pageBreakBefore w:val="0"/>
        <w:widowControl w:val="0"/>
        <w:kinsoku/>
        <w:wordWrap/>
        <w:overflowPunct/>
        <w:topLinePunct w:val="0"/>
        <w:autoSpaceDE/>
        <w:autoSpaceDN/>
        <w:bidi w:val="0"/>
        <w:adjustRightInd w:val="0"/>
        <w:snapToGrid w:val="0"/>
        <w:spacing w:line="360" w:lineRule="auto"/>
        <w:ind w:firstLine="3780" w:firstLineChars="1800"/>
        <w:textAlignment w:val="auto"/>
        <w:rPr>
          <w:rFonts w:hint="eastAsia" w:ascii="仿宋" w:hAnsi="仿宋" w:eastAsia="仿宋" w:cs="仿宋"/>
          <w:color w:val="auto"/>
          <w:highlight w:val="none"/>
        </w:rPr>
      </w:pPr>
      <w:r>
        <w:rPr>
          <w:rFonts w:hint="eastAsia" w:ascii="仿宋" w:hAnsi="仿宋" w:eastAsia="仿宋" w:cs="仿宋"/>
          <w:color w:val="auto"/>
          <w:highlight w:val="none"/>
        </w:rPr>
        <w:t>日 期：</w:t>
      </w:r>
    </w:p>
    <w:p w14:paraId="711563D8">
      <w:pPr>
        <w:keepNext w:val="0"/>
        <w:keepLines w:val="0"/>
        <w:pageBreakBefore w:val="0"/>
        <w:widowControl w:val="0"/>
        <w:kinsoku/>
        <w:wordWrap/>
        <w:overflowPunct/>
        <w:topLinePunct w:val="0"/>
        <w:autoSpaceDE/>
        <w:autoSpaceDN/>
        <w:bidi w:val="0"/>
        <w:adjustRightInd w:val="0"/>
        <w:snapToGrid w:val="0"/>
        <w:spacing w:line="360" w:lineRule="auto"/>
        <w:ind w:firstLine="3780" w:firstLineChars="1800"/>
        <w:textAlignment w:val="auto"/>
        <w:rPr>
          <w:rFonts w:hint="eastAsia" w:ascii="仿宋" w:hAnsi="仿宋" w:eastAsia="仿宋" w:cs="仿宋"/>
          <w:color w:val="auto"/>
          <w:highlight w:val="none"/>
        </w:rPr>
      </w:pPr>
    </w:p>
    <w:p w14:paraId="60AC3880">
      <w:pPr>
        <w:numPr>
          <w:ilvl w:val="0"/>
          <w:numId w:val="4"/>
        </w:numPr>
        <w:rPr>
          <w:rFonts w:hint="eastAsia" w:ascii="仿宋" w:hAnsi="仿宋" w:eastAsia="仿宋" w:cs="仿宋"/>
          <w:color w:val="auto"/>
          <w:highlight w:val="none"/>
        </w:rPr>
      </w:pPr>
      <w:r>
        <w:rPr>
          <w:rFonts w:hint="eastAsia" w:ascii="仿宋" w:hAnsi="仿宋" w:eastAsia="仿宋" w:cs="仿宋"/>
          <w:color w:val="auto"/>
          <w:highlight w:val="none"/>
        </w:rPr>
        <w:t>从业人员、营业收入、资产总额填报上一年度数据，无上一年度数据的新成立企业可不填报。</w:t>
      </w:r>
      <w:r>
        <w:rPr>
          <w:rFonts w:hint="eastAsia" w:ascii="仿宋" w:hAnsi="仿宋" w:eastAsia="仿宋" w:cs="仿宋"/>
          <w:color w:val="auto"/>
          <w:highlight w:val="none"/>
        </w:rPr>
        <w:br w:type="page"/>
      </w:r>
    </w:p>
    <w:p w14:paraId="2CF96730">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w:t>
      </w:r>
      <w:r>
        <w:rPr>
          <w:rFonts w:hint="eastAsia" w:ascii="仿宋" w:hAnsi="仿宋" w:cs="仿宋"/>
          <w:color w:val="auto"/>
          <w:szCs w:val="28"/>
          <w:highlight w:val="none"/>
          <w:lang w:val="en-US" w:eastAsia="zh-CN"/>
        </w:rPr>
        <w:t>6</w:t>
      </w:r>
    </w:p>
    <w:p w14:paraId="79B8E6A0">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19" w:name="_Toc29880_WPSOffice_Level2"/>
      <w:bookmarkStart w:id="120" w:name="_Toc13566_WPSOffice_Level2"/>
      <w:r>
        <w:rPr>
          <w:rFonts w:hint="eastAsia" w:ascii="仿宋" w:hAnsi="仿宋" w:eastAsia="仿宋" w:cs="仿宋"/>
          <w:b/>
          <w:bCs/>
          <w:color w:val="auto"/>
          <w:sz w:val="32"/>
          <w:szCs w:val="32"/>
          <w:highlight w:val="none"/>
        </w:rPr>
        <w:t>残疾人福利性单位声明函</w:t>
      </w:r>
      <w:bookmarkEnd w:id="119"/>
      <w:bookmarkEnd w:id="120"/>
    </w:p>
    <w:p w14:paraId="670AF7C8">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3DEDB948">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tbl>
      <w:tblPr>
        <w:tblStyle w:val="14"/>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D9C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58F56C8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582" w:type="dxa"/>
            <w:noWrap w:val="0"/>
            <w:vAlign w:val="center"/>
          </w:tcPr>
          <w:p w14:paraId="632565E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  名</w:t>
            </w:r>
          </w:p>
        </w:tc>
        <w:tc>
          <w:tcPr>
            <w:tcW w:w="1587" w:type="dxa"/>
            <w:noWrap w:val="0"/>
            <w:vAlign w:val="center"/>
          </w:tcPr>
          <w:p w14:paraId="5BA2146E">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1427" w:type="dxa"/>
            <w:noWrap w:val="0"/>
            <w:vAlign w:val="center"/>
          </w:tcPr>
          <w:p w14:paraId="4EA374C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p w14:paraId="615FDE0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tc>
        <w:tc>
          <w:tcPr>
            <w:tcW w:w="1427" w:type="dxa"/>
            <w:noWrap w:val="0"/>
            <w:vAlign w:val="center"/>
          </w:tcPr>
          <w:p w14:paraId="447667A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0F99FEE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厂家</w:t>
            </w:r>
          </w:p>
        </w:tc>
        <w:tc>
          <w:tcPr>
            <w:tcW w:w="1344" w:type="dxa"/>
            <w:noWrap w:val="0"/>
            <w:vAlign w:val="center"/>
          </w:tcPr>
          <w:p w14:paraId="30D517D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10962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1AA5FEC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582" w:type="dxa"/>
            <w:noWrap w:val="0"/>
            <w:vAlign w:val="center"/>
          </w:tcPr>
          <w:p w14:paraId="73D37C99">
            <w:pPr>
              <w:jc w:val="center"/>
              <w:rPr>
                <w:rFonts w:hint="eastAsia" w:ascii="仿宋" w:hAnsi="仿宋" w:eastAsia="仿宋" w:cs="仿宋"/>
                <w:color w:val="auto"/>
                <w:szCs w:val="21"/>
                <w:highlight w:val="none"/>
              </w:rPr>
            </w:pPr>
          </w:p>
        </w:tc>
        <w:tc>
          <w:tcPr>
            <w:tcW w:w="1587" w:type="dxa"/>
            <w:noWrap w:val="0"/>
            <w:vAlign w:val="center"/>
          </w:tcPr>
          <w:p w14:paraId="0BFF535F">
            <w:pPr>
              <w:jc w:val="center"/>
              <w:rPr>
                <w:rFonts w:hint="eastAsia" w:ascii="仿宋" w:hAnsi="仿宋" w:eastAsia="仿宋" w:cs="仿宋"/>
                <w:color w:val="auto"/>
                <w:szCs w:val="21"/>
                <w:highlight w:val="none"/>
              </w:rPr>
            </w:pPr>
          </w:p>
        </w:tc>
        <w:tc>
          <w:tcPr>
            <w:tcW w:w="1427" w:type="dxa"/>
            <w:noWrap w:val="0"/>
            <w:vAlign w:val="center"/>
          </w:tcPr>
          <w:p w14:paraId="531ADD36">
            <w:pPr>
              <w:jc w:val="center"/>
              <w:rPr>
                <w:rFonts w:hint="eastAsia" w:ascii="仿宋" w:hAnsi="仿宋" w:eastAsia="仿宋" w:cs="仿宋"/>
                <w:color w:val="auto"/>
                <w:szCs w:val="21"/>
                <w:highlight w:val="none"/>
              </w:rPr>
            </w:pPr>
          </w:p>
        </w:tc>
        <w:tc>
          <w:tcPr>
            <w:tcW w:w="1427" w:type="dxa"/>
            <w:noWrap w:val="0"/>
            <w:vAlign w:val="center"/>
          </w:tcPr>
          <w:p w14:paraId="272A22A4">
            <w:pPr>
              <w:jc w:val="center"/>
              <w:rPr>
                <w:rFonts w:hint="eastAsia" w:ascii="仿宋" w:hAnsi="仿宋" w:eastAsia="仿宋" w:cs="仿宋"/>
                <w:color w:val="auto"/>
                <w:szCs w:val="21"/>
                <w:highlight w:val="none"/>
              </w:rPr>
            </w:pPr>
          </w:p>
        </w:tc>
        <w:tc>
          <w:tcPr>
            <w:tcW w:w="1344" w:type="dxa"/>
            <w:noWrap w:val="0"/>
            <w:vAlign w:val="center"/>
          </w:tcPr>
          <w:p w14:paraId="21A89B34">
            <w:pPr>
              <w:spacing w:line="360" w:lineRule="auto"/>
              <w:rPr>
                <w:rFonts w:hint="eastAsia" w:ascii="仿宋" w:hAnsi="仿宋" w:eastAsia="仿宋" w:cs="仿宋"/>
                <w:color w:val="auto"/>
                <w:szCs w:val="21"/>
                <w:highlight w:val="none"/>
              </w:rPr>
            </w:pPr>
          </w:p>
        </w:tc>
      </w:tr>
      <w:tr w14:paraId="344F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4E41280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582" w:type="dxa"/>
            <w:noWrap w:val="0"/>
            <w:vAlign w:val="center"/>
          </w:tcPr>
          <w:p w14:paraId="1B7FE25C">
            <w:pPr>
              <w:jc w:val="center"/>
              <w:rPr>
                <w:rFonts w:hint="eastAsia" w:ascii="仿宋" w:hAnsi="仿宋" w:eastAsia="仿宋" w:cs="仿宋"/>
                <w:color w:val="auto"/>
                <w:szCs w:val="21"/>
                <w:highlight w:val="none"/>
              </w:rPr>
            </w:pPr>
          </w:p>
        </w:tc>
        <w:tc>
          <w:tcPr>
            <w:tcW w:w="1587" w:type="dxa"/>
            <w:noWrap w:val="0"/>
            <w:vAlign w:val="center"/>
          </w:tcPr>
          <w:p w14:paraId="6E441B8F">
            <w:pPr>
              <w:jc w:val="center"/>
              <w:rPr>
                <w:rFonts w:hint="eastAsia" w:ascii="仿宋" w:hAnsi="仿宋" w:eastAsia="仿宋" w:cs="仿宋"/>
                <w:color w:val="auto"/>
                <w:szCs w:val="21"/>
                <w:highlight w:val="none"/>
              </w:rPr>
            </w:pPr>
          </w:p>
        </w:tc>
        <w:tc>
          <w:tcPr>
            <w:tcW w:w="1427" w:type="dxa"/>
            <w:noWrap w:val="0"/>
            <w:vAlign w:val="center"/>
          </w:tcPr>
          <w:p w14:paraId="2F1790BA">
            <w:pPr>
              <w:jc w:val="center"/>
              <w:rPr>
                <w:rFonts w:hint="eastAsia" w:ascii="仿宋" w:hAnsi="仿宋" w:eastAsia="仿宋" w:cs="仿宋"/>
                <w:color w:val="auto"/>
                <w:szCs w:val="21"/>
                <w:highlight w:val="none"/>
              </w:rPr>
            </w:pPr>
          </w:p>
        </w:tc>
        <w:tc>
          <w:tcPr>
            <w:tcW w:w="1427" w:type="dxa"/>
            <w:noWrap w:val="0"/>
            <w:vAlign w:val="center"/>
          </w:tcPr>
          <w:p w14:paraId="2B5AAFED">
            <w:pPr>
              <w:jc w:val="center"/>
              <w:rPr>
                <w:rFonts w:hint="eastAsia" w:ascii="仿宋" w:hAnsi="仿宋" w:eastAsia="仿宋" w:cs="仿宋"/>
                <w:color w:val="auto"/>
                <w:szCs w:val="21"/>
                <w:highlight w:val="none"/>
              </w:rPr>
            </w:pPr>
          </w:p>
        </w:tc>
        <w:tc>
          <w:tcPr>
            <w:tcW w:w="1344" w:type="dxa"/>
            <w:noWrap w:val="0"/>
            <w:vAlign w:val="center"/>
          </w:tcPr>
          <w:p w14:paraId="56DF46CA">
            <w:pPr>
              <w:spacing w:line="360" w:lineRule="auto"/>
              <w:rPr>
                <w:rFonts w:hint="eastAsia" w:ascii="仿宋" w:hAnsi="仿宋" w:eastAsia="仿宋" w:cs="仿宋"/>
                <w:color w:val="auto"/>
                <w:szCs w:val="21"/>
                <w:highlight w:val="none"/>
              </w:rPr>
            </w:pPr>
          </w:p>
        </w:tc>
      </w:tr>
      <w:tr w14:paraId="622C9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1F0FE5E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582" w:type="dxa"/>
            <w:noWrap w:val="0"/>
            <w:vAlign w:val="center"/>
          </w:tcPr>
          <w:p w14:paraId="18AB2AC5">
            <w:pPr>
              <w:jc w:val="center"/>
              <w:rPr>
                <w:rFonts w:hint="eastAsia" w:ascii="仿宋" w:hAnsi="仿宋" w:eastAsia="仿宋" w:cs="仿宋"/>
                <w:color w:val="auto"/>
                <w:szCs w:val="21"/>
                <w:highlight w:val="none"/>
              </w:rPr>
            </w:pPr>
          </w:p>
        </w:tc>
        <w:tc>
          <w:tcPr>
            <w:tcW w:w="1587" w:type="dxa"/>
            <w:noWrap w:val="0"/>
            <w:vAlign w:val="center"/>
          </w:tcPr>
          <w:p w14:paraId="0B479C45">
            <w:pPr>
              <w:jc w:val="center"/>
              <w:rPr>
                <w:rFonts w:hint="eastAsia" w:ascii="仿宋" w:hAnsi="仿宋" w:eastAsia="仿宋" w:cs="仿宋"/>
                <w:color w:val="auto"/>
                <w:szCs w:val="21"/>
                <w:highlight w:val="none"/>
              </w:rPr>
            </w:pPr>
          </w:p>
        </w:tc>
        <w:tc>
          <w:tcPr>
            <w:tcW w:w="1427" w:type="dxa"/>
            <w:noWrap w:val="0"/>
            <w:vAlign w:val="center"/>
          </w:tcPr>
          <w:p w14:paraId="149BB2AE">
            <w:pPr>
              <w:jc w:val="center"/>
              <w:rPr>
                <w:rFonts w:hint="eastAsia" w:ascii="仿宋" w:hAnsi="仿宋" w:eastAsia="仿宋" w:cs="仿宋"/>
                <w:color w:val="auto"/>
                <w:szCs w:val="21"/>
                <w:highlight w:val="none"/>
              </w:rPr>
            </w:pPr>
          </w:p>
        </w:tc>
        <w:tc>
          <w:tcPr>
            <w:tcW w:w="1427" w:type="dxa"/>
            <w:noWrap w:val="0"/>
            <w:vAlign w:val="center"/>
          </w:tcPr>
          <w:p w14:paraId="31E48491">
            <w:pPr>
              <w:jc w:val="center"/>
              <w:rPr>
                <w:rFonts w:hint="eastAsia" w:ascii="仿宋" w:hAnsi="仿宋" w:eastAsia="仿宋" w:cs="仿宋"/>
                <w:color w:val="auto"/>
                <w:szCs w:val="21"/>
                <w:highlight w:val="none"/>
              </w:rPr>
            </w:pPr>
          </w:p>
        </w:tc>
        <w:tc>
          <w:tcPr>
            <w:tcW w:w="1344" w:type="dxa"/>
            <w:noWrap w:val="0"/>
            <w:vAlign w:val="center"/>
          </w:tcPr>
          <w:p w14:paraId="2FB284F8">
            <w:pPr>
              <w:spacing w:line="360" w:lineRule="auto"/>
              <w:rPr>
                <w:rFonts w:hint="eastAsia" w:ascii="仿宋" w:hAnsi="仿宋" w:eastAsia="仿宋" w:cs="仿宋"/>
                <w:color w:val="auto"/>
                <w:szCs w:val="21"/>
                <w:highlight w:val="none"/>
              </w:rPr>
            </w:pPr>
          </w:p>
        </w:tc>
      </w:tr>
      <w:tr w14:paraId="3DBC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29EB7A7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582" w:type="dxa"/>
            <w:noWrap w:val="0"/>
            <w:vAlign w:val="center"/>
          </w:tcPr>
          <w:p w14:paraId="200EFD61">
            <w:pPr>
              <w:jc w:val="center"/>
              <w:rPr>
                <w:rFonts w:hint="eastAsia" w:ascii="仿宋" w:hAnsi="仿宋" w:eastAsia="仿宋" w:cs="仿宋"/>
                <w:color w:val="auto"/>
                <w:szCs w:val="21"/>
                <w:highlight w:val="none"/>
              </w:rPr>
            </w:pPr>
          </w:p>
        </w:tc>
        <w:tc>
          <w:tcPr>
            <w:tcW w:w="1587" w:type="dxa"/>
            <w:noWrap w:val="0"/>
            <w:vAlign w:val="center"/>
          </w:tcPr>
          <w:p w14:paraId="66241A32">
            <w:pPr>
              <w:jc w:val="center"/>
              <w:rPr>
                <w:rFonts w:hint="eastAsia" w:ascii="仿宋" w:hAnsi="仿宋" w:eastAsia="仿宋" w:cs="仿宋"/>
                <w:color w:val="auto"/>
                <w:szCs w:val="21"/>
                <w:highlight w:val="none"/>
              </w:rPr>
            </w:pPr>
          </w:p>
        </w:tc>
        <w:tc>
          <w:tcPr>
            <w:tcW w:w="1427" w:type="dxa"/>
            <w:noWrap w:val="0"/>
            <w:vAlign w:val="center"/>
          </w:tcPr>
          <w:p w14:paraId="03CCE4A4">
            <w:pPr>
              <w:jc w:val="center"/>
              <w:rPr>
                <w:rFonts w:hint="eastAsia" w:ascii="仿宋" w:hAnsi="仿宋" w:eastAsia="仿宋" w:cs="仿宋"/>
                <w:color w:val="auto"/>
                <w:szCs w:val="21"/>
                <w:highlight w:val="none"/>
              </w:rPr>
            </w:pPr>
          </w:p>
        </w:tc>
        <w:tc>
          <w:tcPr>
            <w:tcW w:w="1427" w:type="dxa"/>
            <w:noWrap w:val="0"/>
            <w:vAlign w:val="center"/>
          </w:tcPr>
          <w:p w14:paraId="307C753D">
            <w:pPr>
              <w:jc w:val="center"/>
              <w:rPr>
                <w:rFonts w:hint="eastAsia" w:ascii="仿宋" w:hAnsi="仿宋" w:eastAsia="仿宋" w:cs="仿宋"/>
                <w:color w:val="auto"/>
                <w:szCs w:val="21"/>
                <w:highlight w:val="none"/>
              </w:rPr>
            </w:pPr>
          </w:p>
        </w:tc>
        <w:tc>
          <w:tcPr>
            <w:tcW w:w="1344" w:type="dxa"/>
            <w:noWrap w:val="0"/>
            <w:vAlign w:val="center"/>
          </w:tcPr>
          <w:p w14:paraId="7A848885">
            <w:pPr>
              <w:spacing w:line="360" w:lineRule="auto"/>
              <w:rPr>
                <w:rFonts w:hint="eastAsia" w:ascii="仿宋" w:hAnsi="仿宋" w:eastAsia="仿宋" w:cs="仿宋"/>
                <w:color w:val="auto"/>
                <w:szCs w:val="21"/>
                <w:highlight w:val="none"/>
              </w:rPr>
            </w:pPr>
          </w:p>
        </w:tc>
      </w:tr>
      <w:tr w14:paraId="7121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14:paraId="19F34CAA">
            <w:pPr>
              <w:ind w:firstLine="420" w:firstLineChars="20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xml:space="preserve"> </w:t>
            </w:r>
            <w:r>
              <w:rPr>
                <w:rFonts w:hint="eastAsia" w:ascii="仿宋" w:hAnsi="仿宋" w:eastAsia="仿宋" w:cs="仿宋"/>
                <w:b/>
                <w:color w:val="auto"/>
                <w:szCs w:val="21"/>
                <w:highlight w:val="none"/>
                <w:lang w:val="zh-CN"/>
              </w:rPr>
              <w:t>投标文件中所提供投标的以上伴随产品为我单位生产的产品，</w:t>
            </w:r>
            <w:r>
              <w:rPr>
                <w:rFonts w:hint="eastAsia" w:ascii="仿宋" w:hAnsi="仿宋" w:eastAsia="仿宋" w:cs="仿宋"/>
                <w:b/>
                <w:color w:val="auto"/>
                <w:szCs w:val="21"/>
                <w:highlight w:val="none"/>
              </w:rPr>
              <w:t>如有虚假</w:t>
            </w:r>
            <w:r>
              <w:rPr>
                <w:rFonts w:hint="eastAsia" w:ascii="仿宋" w:hAnsi="仿宋" w:eastAsia="仿宋" w:cs="仿宋"/>
                <w:b/>
                <w:color w:val="auto"/>
                <w:szCs w:val="21"/>
                <w:highlight w:val="none"/>
                <w:lang w:val="zh-CN"/>
              </w:rPr>
              <w:t>，我单位承担由此产生的一切后果</w:t>
            </w:r>
            <w:r>
              <w:rPr>
                <w:rFonts w:hint="eastAsia" w:ascii="仿宋" w:hAnsi="仿宋" w:eastAsia="仿宋" w:cs="仿宋"/>
                <w:color w:val="auto"/>
                <w:szCs w:val="21"/>
                <w:highlight w:val="none"/>
                <w:lang w:val="zh-CN"/>
              </w:rPr>
              <w:t>。</w:t>
            </w:r>
          </w:p>
        </w:tc>
      </w:tr>
    </w:tbl>
    <w:p w14:paraId="253CA90F">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CB12443">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注：1、供应商为非残疾人福利性单位的，无需填写此声明函。</w:t>
      </w:r>
    </w:p>
    <w:p w14:paraId="06ECEA90">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2、仅为本项目提供服务，未提供服务所伴随产品的，此表格可不填写。</w:t>
      </w:r>
    </w:p>
    <w:p w14:paraId="03F0246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3、如为本项目提供本单位伴随产品的，请填写此表格。</w:t>
      </w:r>
    </w:p>
    <w:p w14:paraId="341BE3B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4、如为本项目提供的伴随产品是其他单位生产的，无需填写此表格，但需生产单位按此格式出具此声明。</w:t>
      </w:r>
    </w:p>
    <w:p w14:paraId="4E07EEFB">
      <w:pPr>
        <w:adjustRightInd w:val="0"/>
        <w:snapToGrid w:val="0"/>
        <w:spacing w:line="360" w:lineRule="auto"/>
        <w:ind w:right="105" w:rightChars="50"/>
        <w:jc w:val="left"/>
        <w:rPr>
          <w:rFonts w:hint="eastAsia" w:ascii="仿宋" w:hAnsi="仿宋" w:eastAsia="仿宋" w:cs="仿宋"/>
          <w:color w:val="auto"/>
          <w:szCs w:val="21"/>
          <w:highlight w:val="none"/>
        </w:rPr>
      </w:pPr>
    </w:p>
    <w:p w14:paraId="25E20363">
      <w:pPr>
        <w:adjustRightInd w:val="0"/>
        <w:snapToGrid w:val="0"/>
        <w:spacing w:line="360" w:lineRule="auto"/>
        <w:ind w:right="105" w:rightChars="50"/>
        <w:jc w:val="left"/>
        <w:rPr>
          <w:rFonts w:hint="eastAsia" w:ascii="仿宋" w:hAnsi="仿宋" w:eastAsia="仿宋" w:cs="仿宋"/>
          <w:color w:val="auto"/>
          <w:szCs w:val="21"/>
          <w:highlight w:val="none"/>
        </w:rPr>
      </w:pPr>
    </w:p>
    <w:p w14:paraId="7474847C">
      <w:pPr>
        <w:adjustRightInd w:val="0"/>
        <w:snapToGrid w:val="0"/>
        <w:spacing w:line="360" w:lineRule="auto"/>
        <w:ind w:right="105" w:rightChars="50"/>
        <w:jc w:val="left"/>
        <w:rPr>
          <w:rFonts w:hint="eastAsia" w:ascii="仿宋" w:hAnsi="仿宋" w:eastAsia="仿宋" w:cs="仿宋"/>
          <w:color w:val="auto"/>
          <w:szCs w:val="21"/>
          <w:highlight w:val="none"/>
        </w:rPr>
      </w:pPr>
    </w:p>
    <w:p w14:paraId="21A1E75D">
      <w:pPr>
        <w:adjustRightInd w:val="0"/>
        <w:snapToGrid w:val="0"/>
        <w:spacing w:line="480" w:lineRule="auto"/>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投标人名称（加盖单位公章）：</w:t>
      </w:r>
      <w:r>
        <w:rPr>
          <w:rFonts w:hint="eastAsia" w:ascii="仿宋" w:hAnsi="仿宋" w:eastAsia="仿宋" w:cs="仿宋"/>
          <w:color w:val="auto"/>
          <w:szCs w:val="21"/>
          <w:highlight w:val="none"/>
          <w:u w:val="single"/>
        </w:rPr>
        <w:t xml:space="preserve">              </w:t>
      </w:r>
    </w:p>
    <w:p w14:paraId="19DF155B">
      <w:pPr>
        <w:adjustRightInd w:val="0"/>
        <w:snapToGrid w:val="0"/>
        <w:spacing w:line="480" w:lineRule="auto"/>
        <w:ind w:right="105" w:rightChars="50"/>
        <w:jc w:val="left"/>
        <w:rPr>
          <w:rFonts w:hint="eastAsia" w:ascii="仿宋" w:hAnsi="仿宋" w:eastAsia="仿宋" w:cs="仿宋"/>
          <w:b/>
          <w:color w:val="auto"/>
          <w:sz w:val="28"/>
          <w:szCs w:val="28"/>
          <w:highlight w:val="non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0D8AC795">
      <w:pPr>
        <w:adjustRightInd w:val="0"/>
        <w:snapToGrid w:val="0"/>
        <w:spacing w:line="360" w:lineRule="auto"/>
        <w:ind w:right="105" w:rightChars="50"/>
        <w:jc w:val="left"/>
        <w:rPr>
          <w:rFonts w:hint="eastAsia" w:ascii="仿宋" w:hAnsi="仿宋" w:eastAsia="仿宋" w:cs="仿宋"/>
          <w:color w:val="auto"/>
          <w:szCs w:val="21"/>
          <w:highlight w:val="none"/>
          <w:u w:val="single"/>
        </w:rPr>
      </w:pPr>
    </w:p>
    <w:p w14:paraId="72619CE2">
      <w:pPr>
        <w:pStyle w:val="3"/>
        <w:adjustRightInd w:val="0"/>
        <w:snapToGrid w:val="0"/>
        <w:spacing w:before="0" w:after="0" w:line="240" w:lineRule="auto"/>
        <w:jc w:val="left"/>
        <w:rPr>
          <w:rFonts w:hint="eastAsia" w:ascii="仿宋_GB2312" w:hAnsi="仿宋_GB2312" w:eastAsia="仿宋_GB2312" w:cs="仿宋_GB2312"/>
          <w:b/>
          <w:bCs/>
          <w:sz w:val="32"/>
          <w:szCs w:val="32"/>
        </w:rPr>
      </w:pPr>
      <w:r>
        <w:rPr>
          <w:rFonts w:hint="eastAsia" w:ascii="仿宋" w:hAnsi="仿宋" w:eastAsia="仿宋" w:cs="仿宋"/>
          <w:color w:val="auto"/>
          <w:szCs w:val="21"/>
          <w:highlight w:val="none"/>
          <w:u w:val="single"/>
        </w:rPr>
        <w:br w:type="page"/>
      </w: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w:t>
      </w:r>
      <w:r>
        <w:rPr>
          <w:rFonts w:hint="eastAsia" w:ascii="仿宋" w:hAnsi="仿宋" w:cs="仿宋"/>
          <w:color w:val="auto"/>
          <w:szCs w:val="28"/>
          <w:highlight w:val="none"/>
          <w:lang w:val="en-US" w:eastAsia="zh-CN"/>
        </w:rPr>
        <w:t>7</w:t>
      </w:r>
      <w:bookmarkStart w:id="121" w:name="_Toc4498_WPSOffice_Level1"/>
    </w:p>
    <w:p w14:paraId="22824FE9">
      <w:pPr>
        <w:spacing w:before="319" w:beforeLines="100" w:after="319" w:afterLines="100" w:line="360" w:lineRule="auto"/>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关于“电子文件和备份文件一致性”的承诺函</w:t>
      </w:r>
    </w:p>
    <w:p w14:paraId="5EE7F930">
      <w:pPr>
        <w:adjustRightInd w:val="0"/>
        <w:snapToGrid w:val="0"/>
        <w:spacing w:line="360" w:lineRule="auto"/>
        <w:ind w:right="105" w:rightChars="50"/>
        <w:jc w:val="left"/>
        <w:rPr>
          <w:rFonts w:hint="eastAsia" w:ascii="仿宋_GB2312" w:hAnsi="仿宋_GB2312" w:eastAsia="仿宋_GB2312" w:cs="仿宋_GB2312"/>
          <w:szCs w:val="21"/>
          <w:u w:val="single"/>
        </w:rPr>
      </w:pPr>
    </w:p>
    <w:p w14:paraId="1E743C9C">
      <w:pPr>
        <w:adjustRightInd w:val="0"/>
        <w:snapToGrid w:val="0"/>
        <w:spacing w:line="36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（采购人或采购代理机构名称）：</w:t>
      </w:r>
    </w:p>
    <w:p w14:paraId="3B4B0AE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CE0D5E5">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0012B4DB">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r>
        <w:rPr>
          <w:rFonts w:hint="eastAsia" w:ascii="仿宋_GB2312" w:hAnsi="仿宋_GB2312" w:eastAsia="仿宋_GB2312" w:cs="仿宋_GB2312"/>
          <w:szCs w:val="21"/>
        </w:rPr>
        <w:t>本公司承诺：本公司提供的关于项目名称：（项目编号）的备份文件与电子评审系统中上传的投标（响应）文件内容、格式一致，并按采购文件要求进行签字、盖章。如不一致，本公司将自行承担一切后果。</w:t>
      </w:r>
    </w:p>
    <w:p w14:paraId="31C98592">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CFC3F95">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67A5B0B">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008F7D04">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637DED09">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211347C7">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507F90A1">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39F9795D">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14:paraId="1567314A">
      <w:pPr>
        <w:adjustRightInd w:val="0"/>
        <w:snapToGrid w:val="0"/>
        <w:spacing w:line="36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供应商名称（加盖单位公章）：</w:t>
      </w:r>
      <w:r>
        <w:rPr>
          <w:rFonts w:hint="eastAsia" w:ascii="仿宋_GB2312" w:hAnsi="仿宋_GB2312" w:eastAsia="仿宋_GB2312" w:cs="仿宋_GB2312"/>
          <w:szCs w:val="21"/>
          <w:u w:val="single"/>
        </w:rPr>
        <w:t xml:space="preserve">           </w:t>
      </w:r>
    </w:p>
    <w:p w14:paraId="28F04DA3">
      <w:pPr>
        <w:adjustRightInd w:val="0"/>
        <w:snapToGrid w:val="0"/>
        <w:spacing w:line="360" w:lineRule="auto"/>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法定代表人（或非法人组织负责人）或其授权委托人(签字或盖章)：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74EB2287">
      <w:pPr>
        <w:widowControl/>
        <w:jc w:val="left"/>
        <w:rPr>
          <w:rFonts w:hint="eastAsia" w:ascii="仿宋" w:hAnsi="仿宋" w:eastAsia="仿宋" w:cs="仿宋"/>
          <w:b/>
          <w:color w:val="auto"/>
          <w:kern w:val="44"/>
          <w:sz w:val="44"/>
          <w:highlight w:val="none"/>
        </w:rPr>
      </w:pPr>
      <w:r>
        <w:rPr>
          <w:rFonts w:hint="eastAsia" w:ascii="仿宋_GB2312" w:hAnsi="仿宋_GB2312" w:eastAsia="仿宋_GB2312" w:cs="仿宋_GB2312"/>
          <w:szCs w:val="21"/>
          <w:lang w:val="en-US" w:eastAsia="zh-CN"/>
        </w:rPr>
        <w:t>日期：</w:t>
      </w:r>
      <w:r>
        <w:rPr>
          <w:rFonts w:hint="eastAsia" w:ascii="仿宋_GB2312" w:hAnsi="仿宋_GB2312" w:eastAsia="仿宋_GB2312" w:cs="仿宋_GB2312"/>
          <w:szCs w:val="21"/>
          <w:u w:val="single"/>
          <w:lang w:val="en-US" w:eastAsia="zh-CN"/>
        </w:rPr>
        <w:t xml:space="preserve">                </w:t>
      </w:r>
      <w:r>
        <w:rPr>
          <w:rFonts w:hint="eastAsia" w:ascii="仿宋" w:hAnsi="仿宋" w:eastAsia="仿宋" w:cs="仿宋"/>
          <w:color w:val="auto"/>
          <w:highlight w:val="none"/>
        </w:rPr>
        <w:br w:type="page"/>
      </w:r>
    </w:p>
    <w:p w14:paraId="05A21C20">
      <w:pPr>
        <w:jc w:val="left"/>
        <w:rPr>
          <w:rFonts w:hint="default" w:ascii="仿宋" w:hAnsi="仿宋" w:eastAsia="仿宋" w:cs="仿宋"/>
          <w:b/>
          <w:color w:val="auto"/>
          <w:kern w:val="2"/>
          <w:sz w:val="28"/>
          <w:szCs w:val="28"/>
          <w:highlight w:val="none"/>
          <w:lang w:val="en-US" w:eastAsia="zh-CN" w:bidi="ar-SA"/>
        </w:rPr>
      </w:pPr>
      <w:bookmarkStart w:id="122" w:name="_Toc17590"/>
      <w:r>
        <w:rPr>
          <w:rFonts w:hint="eastAsia" w:ascii="仿宋" w:hAnsi="仿宋" w:eastAsia="仿宋" w:cs="仿宋"/>
          <w:b/>
          <w:color w:val="auto"/>
          <w:kern w:val="2"/>
          <w:sz w:val="28"/>
          <w:szCs w:val="28"/>
          <w:highlight w:val="none"/>
          <w:lang w:val="en-US" w:eastAsia="zh-CN" w:bidi="ar-SA"/>
        </w:rPr>
        <w:t>格式1</w:t>
      </w:r>
      <w:r>
        <w:rPr>
          <w:rFonts w:hint="eastAsia" w:ascii="仿宋" w:hAnsi="仿宋" w:cs="仿宋"/>
          <w:b/>
          <w:color w:val="auto"/>
          <w:kern w:val="2"/>
          <w:sz w:val="28"/>
          <w:szCs w:val="28"/>
          <w:highlight w:val="none"/>
          <w:lang w:val="en-US" w:eastAsia="zh-CN" w:bidi="ar-SA"/>
        </w:rPr>
        <w:t>8</w:t>
      </w:r>
    </w:p>
    <w:p w14:paraId="092AA27C">
      <w:pPr>
        <w:jc w:val="center"/>
        <w:rPr>
          <w:rFonts w:hint="eastAsia" w:ascii="仿宋" w:hAnsi="仿宋" w:eastAsia="仿宋" w:cs="仿宋"/>
          <w:b/>
          <w:bCs/>
          <w:color w:val="auto"/>
          <w:sz w:val="40"/>
          <w:szCs w:val="48"/>
          <w:lang w:eastAsia="zh-CN"/>
        </w:rPr>
      </w:pPr>
      <w:r>
        <w:rPr>
          <w:rFonts w:hint="eastAsia" w:ascii="仿宋" w:hAnsi="仿宋" w:eastAsia="仿宋" w:cs="仿宋"/>
          <w:b/>
          <w:bCs/>
          <w:color w:val="auto"/>
          <w:sz w:val="32"/>
          <w:szCs w:val="32"/>
          <w:lang w:eastAsia="zh-CN"/>
        </w:rPr>
        <w:t>政府采购节能产品、环境标志产品声明函</w:t>
      </w:r>
    </w:p>
    <w:p w14:paraId="4912B40F">
      <w:pPr>
        <w:spacing w:before="156" w:beforeLines="5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单位承诺，本次参加的_________________________采购项目（项目编号：____________），所投的下列产品属于《政府采购节能产品、环境标志产品品目清单》内的产品，并且具有法定认证资格的认证机构出具的认证证明，符合优先采购/强制采购政策。本单位对以下填列的各项信息以及相关产品认证证明的真实性负责。如有虚假，将依法承担相应责任。</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
        <w:gridCol w:w="764"/>
        <w:gridCol w:w="764"/>
        <w:gridCol w:w="764"/>
        <w:gridCol w:w="1327"/>
        <w:gridCol w:w="764"/>
        <w:gridCol w:w="764"/>
        <w:gridCol w:w="539"/>
        <w:gridCol w:w="539"/>
        <w:gridCol w:w="764"/>
        <w:gridCol w:w="989"/>
      </w:tblGrid>
      <w:tr w14:paraId="2A4C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0F89669A">
            <w:pPr>
              <w:spacing w:line="24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0" w:type="auto"/>
            <w:noWrap w:val="0"/>
            <w:vAlign w:val="center"/>
          </w:tcPr>
          <w:p w14:paraId="108AB99B">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所投产品</w:t>
            </w:r>
          </w:p>
        </w:tc>
        <w:tc>
          <w:tcPr>
            <w:tcW w:w="0" w:type="auto"/>
            <w:noWrap w:val="0"/>
            <w:vAlign w:val="center"/>
          </w:tcPr>
          <w:p w14:paraId="51F21FFB">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产品属性</w:t>
            </w:r>
          </w:p>
        </w:tc>
        <w:tc>
          <w:tcPr>
            <w:tcW w:w="0" w:type="auto"/>
            <w:noWrap w:val="0"/>
            <w:vAlign w:val="center"/>
          </w:tcPr>
          <w:p w14:paraId="5884596A">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产品类别</w:t>
            </w:r>
          </w:p>
        </w:tc>
        <w:tc>
          <w:tcPr>
            <w:tcW w:w="0" w:type="auto"/>
            <w:noWrap w:val="0"/>
            <w:vAlign w:val="center"/>
          </w:tcPr>
          <w:p w14:paraId="04628001">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是否为强制采购产品</w:t>
            </w:r>
          </w:p>
        </w:tc>
        <w:tc>
          <w:tcPr>
            <w:tcW w:w="0" w:type="auto"/>
            <w:noWrap w:val="0"/>
            <w:vAlign w:val="center"/>
          </w:tcPr>
          <w:p w14:paraId="7DD5857A">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规格型号</w:t>
            </w:r>
          </w:p>
        </w:tc>
        <w:tc>
          <w:tcPr>
            <w:tcW w:w="0" w:type="auto"/>
            <w:noWrap w:val="0"/>
            <w:vAlign w:val="center"/>
          </w:tcPr>
          <w:p w14:paraId="64654FEB">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计量单位</w:t>
            </w:r>
          </w:p>
        </w:tc>
        <w:tc>
          <w:tcPr>
            <w:tcW w:w="0" w:type="auto"/>
            <w:noWrap w:val="0"/>
            <w:vAlign w:val="center"/>
          </w:tcPr>
          <w:p w14:paraId="68C07DC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数量</w:t>
            </w:r>
          </w:p>
        </w:tc>
        <w:tc>
          <w:tcPr>
            <w:tcW w:w="0" w:type="auto"/>
            <w:noWrap w:val="0"/>
            <w:vAlign w:val="center"/>
          </w:tcPr>
          <w:p w14:paraId="0EF5050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单价</w:t>
            </w:r>
          </w:p>
        </w:tc>
        <w:tc>
          <w:tcPr>
            <w:tcW w:w="0" w:type="auto"/>
            <w:noWrap w:val="0"/>
            <w:vAlign w:val="center"/>
          </w:tcPr>
          <w:p w14:paraId="2DCFC83D">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金额合计</w:t>
            </w:r>
          </w:p>
        </w:tc>
        <w:tc>
          <w:tcPr>
            <w:tcW w:w="0" w:type="auto"/>
            <w:noWrap w:val="0"/>
            <w:vAlign w:val="center"/>
          </w:tcPr>
          <w:p w14:paraId="047F92AE">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认证证书编号</w:t>
            </w:r>
          </w:p>
        </w:tc>
      </w:tr>
      <w:tr w14:paraId="5738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noWrap w:val="0"/>
            <w:vAlign w:val="center"/>
          </w:tcPr>
          <w:p w14:paraId="07B43593">
            <w:pPr>
              <w:jc w:val="center"/>
              <w:rPr>
                <w:rFonts w:hint="eastAsia" w:ascii="仿宋" w:hAnsi="仿宋" w:eastAsia="仿宋" w:cs="仿宋"/>
                <w:color w:val="auto"/>
                <w:sz w:val="21"/>
                <w:szCs w:val="21"/>
                <w:highlight w:val="none"/>
              </w:rPr>
            </w:pPr>
          </w:p>
        </w:tc>
        <w:tc>
          <w:tcPr>
            <w:tcW w:w="0" w:type="auto"/>
            <w:noWrap w:val="0"/>
            <w:vAlign w:val="center"/>
          </w:tcPr>
          <w:p w14:paraId="0F4241BB">
            <w:pPr>
              <w:jc w:val="center"/>
              <w:rPr>
                <w:rFonts w:hint="eastAsia" w:ascii="仿宋" w:hAnsi="仿宋" w:eastAsia="仿宋" w:cs="仿宋"/>
                <w:color w:val="auto"/>
                <w:sz w:val="21"/>
                <w:szCs w:val="21"/>
                <w:highlight w:val="none"/>
              </w:rPr>
            </w:pPr>
          </w:p>
        </w:tc>
        <w:tc>
          <w:tcPr>
            <w:tcW w:w="0" w:type="auto"/>
            <w:noWrap w:val="0"/>
            <w:vAlign w:val="center"/>
          </w:tcPr>
          <w:p w14:paraId="25D3F2BE">
            <w:pPr>
              <w:jc w:val="center"/>
              <w:rPr>
                <w:rFonts w:hint="eastAsia" w:ascii="仿宋" w:hAnsi="仿宋" w:eastAsia="仿宋" w:cs="仿宋"/>
                <w:color w:val="auto"/>
                <w:sz w:val="21"/>
                <w:szCs w:val="21"/>
                <w:highlight w:val="none"/>
              </w:rPr>
            </w:pPr>
          </w:p>
        </w:tc>
        <w:tc>
          <w:tcPr>
            <w:tcW w:w="0" w:type="auto"/>
            <w:noWrap w:val="0"/>
            <w:vAlign w:val="center"/>
          </w:tcPr>
          <w:p w14:paraId="07929EFF">
            <w:pPr>
              <w:jc w:val="center"/>
              <w:rPr>
                <w:rFonts w:hint="eastAsia" w:ascii="仿宋" w:hAnsi="仿宋" w:eastAsia="仿宋" w:cs="仿宋"/>
                <w:color w:val="auto"/>
                <w:sz w:val="21"/>
                <w:szCs w:val="21"/>
                <w:highlight w:val="none"/>
              </w:rPr>
            </w:pPr>
          </w:p>
        </w:tc>
        <w:tc>
          <w:tcPr>
            <w:tcW w:w="0" w:type="auto"/>
            <w:noWrap w:val="0"/>
            <w:vAlign w:val="center"/>
          </w:tcPr>
          <w:p w14:paraId="44E5EC7D">
            <w:pPr>
              <w:jc w:val="center"/>
              <w:rPr>
                <w:rFonts w:hint="eastAsia" w:ascii="仿宋" w:hAnsi="仿宋" w:eastAsia="仿宋" w:cs="仿宋"/>
                <w:color w:val="auto"/>
                <w:sz w:val="21"/>
                <w:szCs w:val="21"/>
                <w:highlight w:val="none"/>
              </w:rPr>
            </w:pPr>
          </w:p>
        </w:tc>
        <w:tc>
          <w:tcPr>
            <w:tcW w:w="0" w:type="auto"/>
            <w:noWrap w:val="0"/>
            <w:vAlign w:val="center"/>
          </w:tcPr>
          <w:p w14:paraId="50CC1546">
            <w:pPr>
              <w:jc w:val="center"/>
              <w:rPr>
                <w:rFonts w:hint="eastAsia" w:ascii="仿宋" w:hAnsi="仿宋" w:eastAsia="仿宋" w:cs="仿宋"/>
                <w:color w:val="auto"/>
                <w:sz w:val="21"/>
                <w:szCs w:val="21"/>
                <w:highlight w:val="none"/>
              </w:rPr>
            </w:pPr>
          </w:p>
        </w:tc>
        <w:tc>
          <w:tcPr>
            <w:tcW w:w="0" w:type="auto"/>
            <w:noWrap w:val="0"/>
            <w:vAlign w:val="center"/>
          </w:tcPr>
          <w:p w14:paraId="618A5D1C">
            <w:pPr>
              <w:jc w:val="center"/>
              <w:rPr>
                <w:rFonts w:hint="eastAsia" w:ascii="仿宋" w:hAnsi="仿宋" w:eastAsia="仿宋" w:cs="仿宋"/>
                <w:color w:val="auto"/>
                <w:sz w:val="21"/>
                <w:szCs w:val="21"/>
                <w:highlight w:val="none"/>
              </w:rPr>
            </w:pPr>
          </w:p>
        </w:tc>
        <w:tc>
          <w:tcPr>
            <w:tcW w:w="0" w:type="auto"/>
            <w:noWrap w:val="0"/>
            <w:vAlign w:val="center"/>
          </w:tcPr>
          <w:p w14:paraId="2FAA6FE3">
            <w:pPr>
              <w:jc w:val="center"/>
              <w:rPr>
                <w:rFonts w:hint="eastAsia" w:ascii="仿宋" w:hAnsi="仿宋" w:eastAsia="仿宋" w:cs="仿宋"/>
                <w:color w:val="auto"/>
                <w:sz w:val="21"/>
                <w:szCs w:val="21"/>
                <w:highlight w:val="none"/>
              </w:rPr>
            </w:pPr>
          </w:p>
        </w:tc>
        <w:tc>
          <w:tcPr>
            <w:tcW w:w="0" w:type="auto"/>
            <w:noWrap w:val="0"/>
            <w:vAlign w:val="center"/>
          </w:tcPr>
          <w:p w14:paraId="0447BF12">
            <w:pPr>
              <w:jc w:val="center"/>
              <w:rPr>
                <w:rFonts w:hint="eastAsia" w:ascii="仿宋" w:hAnsi="仿宋" w:eastAsia="仿宋" w:cs="仿宋"/>
                <w:color w:val="auto"/>
                <w:sz w:val="21"/>
                <w:szCs w:val="21"/>
                <w:highlight w:val="none"/>
              </w:rPr>
            </w:pPr>
          </w:p>
        </w:tc>
        <w:tc>
          <w:tcPr>
            <w:tcW w:w="0" w:type="auto"/>
            <w:noWrap w:val="0"/>
            <w:vAlign w:val="center"/>
          </w:tcPr>
          <w:p w14:paraId="748DF8A0">
            <w:pPr>
              <w:jc w:val="center"/>
              <w:rPr>
                <w:rFonts w:hint="eastAsia" w:ascii="仿宋" w:hAnsi="仿宋" w:eastAsia="仿宋" w:cs="仿宋"/>
                <w:color w:val="auto"/>
                <w:sz w:val="21"/>
                <w:szCs w:val="21"/>
                <w:highlight w:val="none"/>
              </w:rPr>
            </w:pPr>
          </w:p>
        </w:tc>
        <w:tc>
          <w:tcPr>
            <w:tcW w:w="0" w:type="auto"/>
            <w:noWrap w:val="0"/>
            <w:vAlign w:val="center"/>
          </w:tcPr>
          <w:p w14:paraId="409AEECE">
            <w:pPr>
              <w:jc w:val="center"/>
              <w:rPr>
                <w:rFonts w:hint="eastAsia" w:ascii="仿宋" w:hAnsi="仿宋" w:eastAsia="仿宋" w:cs="仿宋"/>
                <w:color w:val="auto"/>
                <w:sz w:val="21"/>
                <w:szCs w:val="21"/>
                <w:highlight w:val="none"/>
              </w:rPr>
            </w:pPr>
          </w:p>
        </w:tc>
      </w:tr>
      <w:tr w14:paraId="0F21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noWrap w:val="0"/>
            <w:vAlign w:val="center"/>
          </w:tcPr>
          <w:p w14:paraId="69BFBC85">
            <w:pPr>
              <w:jc w:val="center"/>
              <w:rPr>
                <w:rFonts w:hint="eastAsia" w:ascii="仿宋" w:hAnsi="仿宋" w:eastAsia="仿宋" w:cs="仿宋"/>
                <w:color w:val="auto"/>
                <w:sz w:val="21"/>
                <w:szCs w:val="21"/>
                <w:highlight w:val="none"/>
              </w:rPr>
            </w:pPr>
          </w:p>
        </w:tc>
        <w:tc>
          <w:tcPr>
            <w:tcW w:w="0" w:type="auto"/>
            <w:noWrap w:val="0"/>
            <w:vAlign w:val="center"/>
          </w:tcPr>
          <w:p w14:paraId="3E839296">
            <w:pPr>
              <w:jc w:val="center"/>
              <w:rPr>
                <w:rFonts w:hint="eastAsia" w:ascii="仿宋" w:hAnsi="仿宋" w:eastAsia="仿宋" w:cs="仿宋"/>
                <w:color w:val="auto"/>
                <w:sz w:val="21"/>
                <w:szCs w:val="21"/>
                <w:highlight w:val="none"/>
              </w:rPr>
            </w:pPr>
          </w:p>
        </w:tc>
        <w:tc>
          <w:tcPr>
            <w:tcW w:w="0" w:type="auto"/>
            <w:noWrap w:val="0"/>
            <w:vAlign w:val="center"/>
          </w:tcPr>
          <w:p w14:paraId="00F5D74E">
            <w:pPr>
              <w:jc w:val="center"/>
              <w:rPr>
                <w:rFonts w:hint="eastAsia" w:ascii="仿宋" w:hAnsi="仿宋" w:eastAsia="仿宋" w:cs="仿宋"/>
                <w:color w:val="auto"/>
                <w:sz w:val="21"/>
                <w:szCs w:val="21"/>
                <w:highlight w:val="none"/>
              </w:rPr>
            </w:pPr>
          </w:p>
        </w:tc>
        <w:tc>
          <w:tcPr>
            <w:tcW w:w="0" w:type="auto"/>
            <w:noWrap w:val="0"/>
            <w:vAlign w:val="center"/>
          </w:tcPr>
          <w:p w14:paraId="4F8F69BC">
            <w:pPr>
              <w:jc w:val="center"/>
              <w:rPr>
                <w:rFonts w:hint="eastAsia" w:ascii="仿宋" w:hAnsi="仿宋" w:eastAsia="仿宋" w:cs="仿宋"/>
                <w:color w:val="auto"/>
                <w:sz w:val="21"/>
                <w:szCs w:val="21"/>
                <w:highlight w:val="none"/>
              </w:rPr>
            </w:pPr>
          </w:p>
        </w:tc>
        <w:tc>
          <w:tcPr>
            <w:tcW w:w="0" w:type="auto"/>
            <w:noWrap w:val="0"/>
            <w:vAlign w:val="center"/>
          </w:tcPr>
          <w:p w14:paraId="44BA733C">
            <w:pPr>
              <w:jc w:val="center"/>
              <w:rPr>
                <w:rFonts w:hint="eastAsia" w:ascii="仿宋" w:hAnsi="仿宋" w:eastAsia="仿宋" w:cs="仿宋"/>
                <w:color w:val="auto"/>
                <w:sz w:val="21"/>
                <w:szCs w:val="21"/>
                <w:highlight w:val="none"/>
              </w:rPr>
            </w:pPr>
          </w:p>
        </w:tc>
        <w:tc>
          <w:tcPr>
            <w:tcW w:w="0" w:type="auto"/>
            <w:noWrap w:val="0"/>
            <w:vAlign w:val="center"/>
          </w:tcPr>
          <w:p w14:paraId="49FF683E">
            <w:pPr>
              <w:jc w:val="center"/>
              <w:rPr>
                <w:rFonts w:hint="eastAsia" w:ascii="仿宋" w:hAnsi="仿宋" w:eastAsia="仿宋" w:cs="仿宋"/>
                <w:color w:val="auto"/>
                <w:sz w:val="21"/>
                <w:szCs w:val="21"/>
                <w:highlight w:val="none"/>
              </w:rPr>
            </w:pPr>
          </w:p>
        </w:tc>
        <w:tc>
          <w:tcPr>
            <w:tcW w:w="0" w:type="auto"/>
            <w:noWrap w:val="0"/>
            <w:vAlign w:val="center"/>
          </w:tcPr>
          <w:p w14:paraId="4E51BBA5">
            <w:pPr>
              <w:jc w:val="center"/>
              <w:rPr>
                <w:rFonts w:hint="eastAsia" w:ascii="仿宋" w:hAnsi="仿宋" w:eastAsia="仿宋" w:cs="仿宋"/>
                <w:color w:val="auto"/>
                <w:sz w:val="21"/>
                <w:szCs w:val="21"/>
                <w:highlight w:val="none"/>
              </w:rPr>
            </w:pPr>
          </w:p>
        </w:tc>
        <w:tc>
          <w:tcPr>
            <w:tcW w:w="0" w:type="auto"/>
            <w:noWrap w:val="0"/>
            <w:vAlign w:val="center"/>
          </w:tcPr>
          <w:p w14:paraId="59794A71">
            <w:pPr>
              <w:jc w:val="center"/>
              <w:rPr>
                <w:rFonts w:hint="eastAsia" w:ascii="仿宋" w:hAnsi="仿宋" w:eastAsia="仿宋" w:cs="仿宋"/>
                <w:color w:val="auto"/>
                <w:sz w:val="21"/>
                <w:szCs w:val="21"/>
                <w:highlight w:val="none"/>
              </w:rPr>
            </w:pPr>
          </w:p>
        </w:tc>
        <w:tc>
          <w:tcPr>
            <w:tcW w:w="0" w:type="auto"/>
            <w:noWrap w:val="0"/>
            <w:vAlign w:val="center"/>
          </w:tcPr>
          <w:p w14:paraId="0E876837">
            <w:pPr>
              <w:jc w:val="center"/>
              <w:rPr>
                <w:rFonts w:hint="eastAsia" w:ascii="仿宋" w:hAnsi="仿宋" w:eastAsia="仿宋" w:cs="仿宋"/>
                <w:color w:val="auto"/>
                <w:sz w:val="21"/>
                <w:szCs w:val="21"/>
                <w:highlight w:val="none"/>
              </w:rPr>
            </w:pPr>
          </w:p>
        </w:tc>
        <w:tc>
          <w:tcPr>
            <w:tcW w:w="0" w:type="auto"/>
            <w:noWrap w:val="0"/>
            <w:vAlign w:val="center"/>
          </w:tcPr>
          <w:p w14:paraId="4EB19C6E">
            <w:pPr>
              <w:jc w:val="center"/>
              <w:rPr>
                <w:rFonts w:hint="eastAsia" w:ascii="仿宋" w:hAnsi="仿宋" w:eastAsia="仿宋" w:cs="仿宋"/>
                <w:color w:val="auto"/>
                <w:sz w:val="21"/>
                <w:szCs w:val="21"/>
                <w:highlight w:val="none"/>
              </w:rPr>
            </w:pPr>
          </w:p>
        </w:tc>
        <w:tc>
          <w:tcPr>
            <w:tcW w:w="0" w:type="auto"/>
            <w:noWrap w:val="0"/>
            <w:vAlign w:val="center"/>
          </w:tcPr>
          <w:p w14:paraId="1E82DB0F">
            <w:pPr>
              <w:jc w:val="center"/>
              <w:rPr>
                <w:rFonts w:hint="eastAsia" w:ascii="仿宋" w:hAnsi="仿宋" w:eastAsia="仿宋" w:cs="仿宋"/>
                <w:color w:val="auto"/>
                <w:sz w:val="21"/>
                <w:szCs w:val="21"/>
                <w:highlight w:val="none"/>
              </w:rPr>
            </w:pPr>
          </w:p>
        </w:tc>
      </w:tr>
    </w:tbl>
    <w:p w14:paraId="329166F0">
      <w:pPr>
        <w:spacing w:line="360" w:lineRule="auto"/>
        <w:ind w:firstLine="420" w:firstLineChars="20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附件：认证证明可以是认证证书复印件</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复印件需是</w:t>
      </w:r>
      <w:r>
        <w:rPr>
          <w:rFonts w:hint="eastAsia" w:ascii="仿宋" w:hAnsi="仿宋" w:eastAsia="仿宋" w:cs="仿宋"/>
          <w:b/>
          <w:color w:val="auto"/>
          <w:sz w:val="21"/>
          <w:szCs w:val="21"/>
          <w:highlight w:val="none"/>
          <w:lang w:val="zh-CN" w:eastAsia="zh-CN"/>
        </w:rPr>
        <w:t>国家确定的认证机构出具的、处于有效期之内的所投产品节能产品认证证书复印件，并在复印件上以明显标识标出，所投产品型号必须与节能证书型号一致，明确到最小型号）</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rPr>
        <w:t>也可以是法定信息发布平台公布的认证信息截图</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截图需是</w:t>
      </w:r>
      <w:r>
        <w:rPr>
          <w:rFonts w:hint="eastAsia" w:ascii="仿宋" w:hAnsi="仿宋" w:eastAsia="仿宋" w:cs="仿宋"/>
          <w:b/>
          <w:color w:val="auto"/>
          <w:sz w:val="21"/>
          <w:szCs w:val="21"/>
          <w:highlight w:val="none"/>
        </w:rPr>
        <w:t>法定信息发布平台公布</w:t>
      </w:r>
      <w:r>
        <w:rPr>
          <w:rFonts w:hint="eastAsia" w:ascii="仿宋" w:hAnsi="仿宋" w:eastAsia="仿宋" w:cs="仿宋"/>
          <w:b/>
          <w:color w:val="auto"/>
          <w:sz w:val="21"/>
          <w:szCs w:val="21"/>
          <w:highlight w:val="none"/>
          <w:lang w:val="zh-CN" w:eastAsia="zh-CN"/>
        </w:rPr>
        <w:t>处于有效期之内的</w:t>
      </w:r>
      <w:r>
        <w:rPr>
          <w:rFonts w:hint="eastAsia" w:ascii="仿宋" w:hAnsi="仿宋" w:eastAsia="仿宋" w:cs="仿宋"/>
          <w:b/>
          <w:color w:val="auto"/>
          <w:sz w:val="21"/>
          <w:szCs w:val="21"/>
          <w:highlight w:val="none"/>
        </w:rPr>
        <w:t>认证信息</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zh-CN" w:eastAsia="zh-CN"/>
        </w:rPr>
        <w:t>并在</w:t>
      </w:r>
      <w:r>
        <w:rPr>
          <w:rFonts w:hint="eastAsia" w:ascii="仿宋" w:hAnsi="仿宋" w:eastAsia="仿宋" w:cs="仿宋"/>
          <w:b/>
          <w:color w:val="auto"/>
          <w:sz w:val="21"/>
          <w:szCs w:val="21"/>
          <w:highlight w:val="none"/>
          <w:lang w:val="en-US" w:eastAsia="zh-CN"/>
        </w:rPr>
        <w:t>截图</w:t>
      </w:r>
      <w:r>
        <w:rPr>
          <w:rFonts w:hint="eastAsia" w:ascii="仿宋" w:hAnsi="仿宋" w:eastAsia="仿宋" w:cs="仿宋"/>
          <w:b/>
          <w:color w:val="auto"/>
          <w:sz w:val="21"/>
          <w:szCs w:val="21"/>
          <w:highlight w:val="none"/>
          <w:lang w:val="zh-CN" w:eastAsia="zh-CN"/>
        </w:rPr>
        <w:t>上以明显标识标出，所投产品型号必须与节能证书型号一致，明确到最小型号</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zh-CN" w:eastAsia="zh-CN"/>
        </w:rPr>
        <w:t>。</w:t>
      </w:r>
      <w:r>
        <w:rPr>
          <w:rFonts w:hint="eastAsia" w:ascii="仿宋" w:hAnsi="仿宋" w:eastAsia="仿宋" w:cs="仿宋"/>
          <w:b/>
          <w:color w:val="auto"/>
          <w:sz w:val="21"/>
          <w:szCs w:val="21"/>
          <w:highlight w:val="none"/>
        </w:rPr>
        <w:t>认证证明应加盖投标单位公章。</w:t>
      </w:r>
    </w:p>
    <w:p w14:paraId="10570265">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说明：1.产品类别，是指国家有关部门发布的节能产品、环境标志产品品目清单规定的产品类别。如计算机、电冰箱、水嘴等。</w:t>
      </w:r>
    </w:p>
    <w:p w14:paraId="4F227435">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2.产品属性：节能、环保、节能环保。</w:t>
      </w:r>
    </w:p>
    <w:p w14:paraId="289C08D8">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3.本表应逐项填写，并按规定签署，不得漏项，否则视为该《声明函》无效。</w:t>
      </w:r>
    </w:p>
    <w:p w14:paraId="7A257132">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4.认证证明应与所投产品、产品类别保持一致，否则视为认证证明无效。</w:t>
      </w:r>
    </w:p>
    <w:p w14:paraId="20D00291">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5.投标单位应同时提供有效的《政府采购节能产品、环境标志产品声明函》与有效的节能环保产品认证证明，才能享受节能环保优惠政策。</w:t>
      </w:r>
    </w:p>
    <w:p w14:paraId="4A884F10">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w:t>
      </w:r>
      <w:r>
        <w:rPr>
          <w:rFonts w:hint="eastAsia" w:ascii="仿宋" w:hAnsi="仿宋" w:eastAsia="仿宋" w:cs="仿宋"/>
          <w:sz w:val="21"/>
          <w:szCs w:val="21"/>
          <w:highlight w:val="none"/>
          <w:lang w:eastAsia="zh-CN"/>
        </w:rPr>
        <w:t>/负责人</w:t>
      </w:r>
      <w:r>
        <w:rPr>
          <w:rFonts w:hint="eastAsia" w:ascii="仿宋" w:hAnsi="仿宋" w:eastAsia="仿宋" w:cs="仿宋"/>
          <w:sz w:val="21"/>
          <w:szCs w:val="21"/>
          <w:highlight w:val="none"/>
        </w:rPr>
        <w:t>（签字或盖章）或其授权委托人（签字）：</w:t>
      </w:r>
    </w:p>
    <w:p w14:paraId="1A83FCA8">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投标人名称（公章）：</w:t>
      </w:r>
    </w:p>
    <w:p w14:paraId="64E8D288">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日期：</w:t>
      </w:r>
    </w:p>
    <w:p w14:paraId="7FD26CBF">
      <w:pPr>
        <w:pStyle w:val="2"/>
        <w:snapToGrid w:val="0"/>
        <w:spacing w:before="319" w:beforeLines="100" w:after="319" w:afterLines="100" w:line="360" w:lineRule="auto"/>
        <w:rPr>
          <w:rFonts w:hint="eastAsia" w:ascii="仿宋" w:hAnsi="仿宋" w:eastAsia="仿宋" w:cs="仿宋"/>
          <w:color w:val="auto"/>
          <w:highlight w:val="none"/>
        </w:rPr>
      </w:pPr>
    </w:p>
    <w:p w14:paraId="0A5EC291">
      <w:pPr>
        <w:pStyle w:val="2"/>
        <w:snapToGrid w:val="0"/>
        <w:spacing w:before="319" w:beforeLines="100" w:after="319" w:afterLines="100" w:line="360" w:lineRule="auto"/>
        <w:rPr>
          <w:rFonts w:hint="eastAsia" w:ascii="仿宋" w:hAnsi="仿宋" w:eastAsia="仿宋" w:cs="仿宋"/>
          <w:color w:val="auto"/>
          <w:highlight w:val="none"/>
        </w:rPr>
      </w:pPr>
    </w:p>
    <w:p w14:paraId="3F0941F3">
      <w:pPr>
        <w:pStyle w:val="2"/>
        <w:snapToGrid w:val="0"/>
        <w:spacing w:before="319" w:beforeLines="100" w:after="319" w:afterLines="100" w:line="360" w:lineRule="auto"/>
        <w:rPr>
          <w:rFonts w:hint="eastAsia" w:ascii="仿宋" w:hAnsi="仿宋" w:eastAsia="仿宋" w:cs="仿宋"/>
          <w:color w:val="auto"/>
          <w:highlight w:val="none"/>
        </w:rPr>
      </w:pPr>
      <w:r>
        <w:rPr>
          <w:rFonts w:hint="eastAsia" w:ascii="仿宋" w:hAnsi="仿宋" w:eastAsia="仿宋" w:cs="仿宋"/>
          <w:color w:val="auto"/>
          <w:highlight w:val="none"/>
        </w:rPr>
        <w:t>第三章 货物需求</w:t>
      </w:r>
      <w:bookmarkEnd w:id="121"/>
      <w:bookmarkEnd w:id="122"/>
    </w:p>
    <w:p w14:paraId="7CE58109">
      <w:pPr>
        <w:pStyle w:val="21"/>
        <w:spacing w:line="360" w:lineRule="auto"/>
        <w:ind w:left="0" w:leftChars="0" w:firstLine="0" w:firstLineChars="0"/>
        <w:rPr>
          <w:rFonts w:hint="eastAsia" w:ascii="仿宋" w:hAnsi="仿宋" w:eastAsia="仿宋" w:cs="仿宋"/>
          <w:color w:val="auto"/>
          <w:highlight w:val="none"/>
          <w:lang w:val="en-US" w:eastAsia="zh-CN"/>
        </w:rPr>
      </w:pPr>
    </w:p>
    <w:p w14:paraId="640E2480">
      <w:pPr>
        <w:numPr>
          <w:ilvl w:val="0"/>
          <w:numId w:val="0"/>
        </w:numPr>
        <w:spacing w:line="360" w:lineRule="auto"/>
        <w:ind w:firstLine="420" w:firstLineChars="200"/>
        <w:rPr>
          <w:rFonts w:hint="eastAsia" w:ascii="仿宋" w:hAnsi="仿宋" w:eastAsia="仿宋" w:cs="仿宋"/>
          <w:color w:val="auto"/>
          <w:szCs w:val="21"/>
          <w:highlight w:val="none"/>
        </w:rPr>
      </w:pPr>
    </w:p>
    <w:p w14:paraId="1E8FD960">
      <w:pPr>
        <w:spacing w:line="360" w:lineRule="auto"/>
        <w:rPr>
          <w:rFonts w:hint="eastAsia" w:ascii="仿宋" w:hAnsi="仿宋" w:eastAsia="仿宋" w:cs="仿宋"/>
          <w:color w:val="auto"/>
          <w:szCs w:val="21"/>
          <w:highlight w:val="none"/>
        </w:rPr>
      </w:pPr>
    </w:p>
    <w:p w14:paraId="2524A408">
      <w:pPr>
        <w:pStyle w:val="21"/>
        <w:keepNext w:val="0"/>
        <w:keepLines w:val="0"/>
        <w:pageBreakBefore w:val="0"/>
        <w:widowControl w:val="0"/>
        <w:kinsoku/>
        <w:wordWrap/>
        <w:overflowPunct/>
        <w:topLinePunct w:val="0"/>
        <w:autoSpaceDE/>
        <w:autoSpaceDN/>
        <w:bidi w:val="0"/>
        <w:adjustRightInd/>
        <w:snapToGrid w:val="0"/>
        <w:spacing w:line="360" w:lineRule="auto"/>
        <w:ind w:firstLine="562"/>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highlight w:val="none"/>
        </w:rPr>
        <w:br w:type="page"/>
      </w:r>
      <w:bookmarkStart w:id="123" w:name="_Toc2821_WPSOffice_Level1"/>
      <w:r>
        <w:rPr>
          <w:rFonts w:hint="eastAsia" w:ascii="仿宋" w:hAnsi="仿宋" w:eastAsia="仿宋" w:cs="仿宋"/>
          <w:b/>
          <w:color w:val="auto"/>
          <w:sz w:val="21"/>
          <w:szCs w:val="21"/>
          <w:highlight w:val="none"/>
        </w:rPr>
        <w:t>一、项目</w:t>
      </w:r>
      <w:r>
        <w:rPr>
          <w:rFonts w:hint="eastAsia" w:ascii="仿宋" w:hAnsi="仿宋" w:cs="仿宋"/>
          <w:b/>
          <w:color w:val="auto"/>
          <w:sz w:val="21"/>
          <w:szCs w:val="21"/>
          <w:highlight w:val="none"/>
          <w:lang w:val="en-US" w:eastAsia="zh-CN"/>
        </w:rPr>
        <w:t>概况</w:t>
      </w:r>
    </w:p>
    <w:p w14:paraId="597CE319">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猴石地区抗联密营遗址群位于新宾县木奇镇猴石国家森林公园区域内，现已探明的抗联密营共7处，分布于头道阳、二道阳、三道阳、岔沟、赵坡沟、老黑槽沟及蛤蟆塘沟，遗址总占地面积约38万平方米。遗址群地表遗留建筑痕迹明显，现已发现遗址、遗迹90余处，包括前沿哨所、地窨子、烟道、营房、练兵场、打谷场、灶台、指挥所、野战医院、储藏窖及伙房等建筑遗址。并发现碾子、石磙、石磨、水井等生产、生活设施。由于遗址群地处深山密林，未被大规模人为破坏，现存状态较为完好，是迄今为止辽宁地区发现的内容最为丰富、规模最为庞大、遗址信息保留最为完整、历史信息最为充分的抗联密营遗址群。是杨靖宇领导下的东北抗联第一军第三师的重要密营地之一，是东北三省现存重要抗联密营遗址遗迹。‌</w:t>
      </w:r>
    </w:p>
    <w:p w14:paraId="7B9ACFC3">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当前，作为猴石国家级森林公园核心区域的遗址群面临文物风雨侵蚀、游客活动影响等保护压力、重点区域森林火灾隐患、复杂地形安全隐患、节假日人流密集等问题，本次项目将通过建设视频监控系统实现文物动态保护、区域越界报警、游客人流管控、森林火灾报警及管理效能提升等。</w:t>
      </w:r>
    </w:p>
    <w:p w14:paraId="55ECFBC7">
      <w:pPr>
        <w:pStyle w:val="21"/>
        <w:spacing w:line="36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该项目将融合科技手段与红色文化传承需求，既符合国家智慧景区建设导向，又能强化爱国主义教育基地功能，为革命文物保护和抗联精神弘扬提供技术支撑。</w:t>
      </w:r>
    </w:p>
    <w:p w14:paraId="04CC089F">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cs="仿宋"/>
          <w:b/>
          <w:color w:val="auto"/>
          <w:sz w:val="21"/>
          <w:szCs w:val="21"/>
          <w:highlight w:val="none"/>
          <w:lang w:val="en-US" w:eastAsia="zh-CN"/>
        </w:rPr>
        <w:t>二</w:t>
      </w:r>
      <w:r>
        <w:rPr>
          <w:rFonts w:hint="eastAsia" w:ascii="仿宋" w:hAnsi="仿宋" w:eastAsia="仿宋" w:cs="仿宋"/>
          <w:b/>
          <w:color w:val="auto"/>
          <w:sz w:val="21"/>
          <w:szCs w:val="21"/>
          <w:highlight w:val="none"/>
        </w:rPr>
        <w:t>、</w:t>
      </w:r>
      <w:r>
        <w:rPr>
          <w:rFonts w:hint="eastAsia" w:ascii="仿宋" w:hAnsi="仿宋" w:cs="仿宋"/>
          <w:b/>
          <w:color w:val="auto"/>
          <w:sz w:val="21"/>
          <w:szCs w:val="21"/>
          <w:highlight w:val="none"/>
          <w:lang w:val="en-US" w:eastAsia="zh-CN"/>
        </w:rPr>
        <w:t>采购产品要求</w:t>
      </w:r>
    </w:p>
    <w:tbl>
      <w:tblPr>
        <w:tblStyle w:val="14"/>
        <w:tblW w:w="87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375"/>
        <w:gridCol w:w="764"/>
        <w:gridCol w:w="709"/>
        <w:gridCol w:w="709"/>
      </w:tblGrid>
      <w:tr w14:paraId="0A4E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D94A587">
            <w:pPr>
              <w:pStyle w:val="27"/>
              <w:adjustRightInd w:val="0"/>
              <w:snapToGrid w:val="0"/>
              <w:ind w:right="105" w:rightChars="50"/>
              <w:jc w:val="left"/>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包号/序号：001</w:t>
            </w:r>
            <w:r>
              <w:rPr>
                <w:rFonts w:hint="eastAsia" w:ascii="仿宋_GB2312" w:hAnsi="仿宋_GB2312" w:eastAsia="仿宋_GB2312" w:cs="仿宋_GB2312"/>
                <w:color w:val="000000"/>
                <w:szCs w:val="21"/>
                <w:highlight w:val="none"/>
                <w:lang w:val="en-US" w:eastAsia="zh-CN"/>
              </w:rPr>
              <w:t>/</w:t>
            </w:r>
            <w:r>
              <w:rPr>
                <w:rFonts w:hint="eastAsia" w:ascii="仿宋_GB2312" w:hAnsi="仿宋_GB2312" w:eastAsia="仿宋_GB2312" w:cs="仿宋_GB2312"/>
                <w:color w:val="000000"/>
                <w:szCs w:val="21"/>
                <w:highlight w:val="none"/>
              </w:rPr>
              <w:t>1</w:t>
            </w:r>
          </w:p>
          <w:p w14:paraId="3350206A">
            <w:pPr>
              <w:pStyle w:val="28"/>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智慧景区管理系统平台</w:t>
            </w:r>
          </w:p>
          <w:p w14:paraId="5020D842">
            <w:pPr>
              <w:pStyle w:val="28"/>
              <w:widowControl w:val="0"/>
              <w:adjustRightInd w:val="0"/>
              <w:snapToGrid w:val="0"/>
              <w:spacing w:before="0" w:beforeAutospacing="0" w:after="0" w:afterAutospacing="0"/>
              <w:jc w:val="both"/>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数量：</w:t>
            </w:r>
            <w:r>
              <w:rPr>
                <w:rFonts w:hint="eastAsia" w:ascii="仿宋_GB2312" w:hAnsi="仿宋_GB2312" w:eastAsia="仿宋_GB2312" w:cs="仿宋_GB2312"/>
                <w:color w:val="000000"/>
                <w:kern w:val="2"/>
                <w:sz w:val="21"/>
                <w:szCs w:val="21"/>
                <w:highlight w:val="none"/>
                <w:lang w:val="en-US" w:eastAsia="zh-CN"/>
              </w:rPr>
              <w:t>1套</w:t>
            </w:r>
          </w:p>
          <w:p w14:paraId="4C9CC4FE">
            <w:pPr>
              <w:pStyle w:val="28"/>
              <w:adjustRightInd w:val="0"/>
              <w:snapToGrid w:val="0"/>
              <w:spacing w:before="0" w:beforeAutospacing="0" w:after="0" w:afterAutospacing="0"/>
              <w:rPr>
                <w:rFonts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是否为经过审批采购的进口产品：否</w:t>
            </w:r>
          </w:p>
          <w:p w14:paraId="57BF0B34">
            <w:pPr>
              <w:pStyle w:val="28"/>
              <w:widowControl w:val="0"/>
              <w:adjustRightInd w:val="0"/>
              <w:snapToGrid w:val="0"/>
              <w:spacing w:before="0" w:beforeAutospacing="0" w:after="0" w:afterAutospacing="0"/>
              <w:jc w:val="both"/>
              <w:rPr>
                <w:rFonts w:hint="eastAsia" w:ascii="仿宋_GB2312" w:hAnsi="仿宋_GB2312" w:eastAsia="仿宋_GB2312" w:cs="仿宋_GB2312"/>
                <w:color w:val="000000"/>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E7A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21F3C5D">
            <w:pPr>
              <w:pStyle w:val="27"/>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采购文件要求</w:t>
            </w:r>
          </w:p>
          <w:p w14:paraId="519D7EAF">
            <w:pPr>
              <w:pStyle w:val="27"/>
              <w:ind w:hanging="1"/>
              <w:rPr>
                <w:rFonts w:ascii="仿宋_GB2312" w:hAnsi="仿宋_GB2312" w:eastAsia="仿宋_GB2312" w:cs="仿宋_GB2312"/>
                <w:b/>
                <w:color w:val="000000"/>
                <w:szCs w:val="21"/>
                <w:highlight w:val="none"/>
              </w:rPr>
            </w:pPr>
            <w:r>
              <w:rPr>
                <w:rFonts w:hint="eastAsia" w:ascii="仿宋_GB2312" w:hAnsi="仿宋_GB2312" w:eastAsia="仿宋_GB2312" w:cs="仿宋_GB2312"/>
                <w:b/>
                <w:color w:val="000000"/>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2EAA89E">
            <w:pPr>
              <w:pStyle w:val="27"/>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报价文件</w:t>
            </w:r>
          </w:p>
          <w:p w14:paraId="736484BC">
            <w:pPr>
              <w:pStyle w:val="27"/>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946693D">
            <w:pPr>
              <w:pStyle w:val="27"/>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348DDF">
            <w:pPr>
              <w:pStyle w:val="27"/>
              <w:tabs>
                <w:tab w:val="left" w:pos="0"/>
              </w:tabs>
              <w:spacing w:line="240" w:lineRule="exact"/>
              <w:jc w:val="center"/>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E1D54E">
            <w:pPr>
              <w:pStyle w:val="27"/>
              <w:tabs>
                <w:tab w:val="left" w:pos="0"/>
              </w:tabs>
              <w:spacing w:line="240" w:lineRule="exact"/>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证明材料</w:t>
            </w:r>
          </w:p>
        </w:tc>
      </w:tr>
      <w:tr w14:paraId="1EAD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0C69128">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采</w:t>
            </w:r>
          </w:p>
          <w:p w14:paraId="788AE9DD">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购</w:t>
            </w:r>
          </w:p>
          <w:p w14:paraId="4E14119F">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产</w:t>
            </w:r>
          </w:p>
          <w:p w14:paraId="0ABD1B71">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品</w:t>
            </w:r>
          </w:p>
          <w:p w14:paraId="13404694">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要</w:t>
            </w:r>
          </w:p>
          <w:p w14:paraId="618ED7D8">
            <w:pPr>
              <w:pStyle w:val="27"/>
              <w:adjustRightInd w:val="0"/>
              <w:snapToGrid w:val="0"/>
              <w:ind w:hanging="1"/>
              <w:jc w:val="center"/>
              <w:rPr>
                <w:rFonts w:ascii="仿宋_GB2312" w:hAnsi="仿宋_GB2312" w:eastAsia="仿宋_GB2312" w:cs="仿宋_GB2312"/>
                <w:color w:val="000000"/>
                <w:szCs w:val="21"/>
                <w:highlight w:val="none"/>
              </w:rPr>
            </w:pPr>
            <w:r>
              <w:rPr>
                <w:rFonts w:ascii="仿宋_GB2312" w:hAnsi="仿宋_GB2312" w:eastAsia="仿宋_GB2312" w:cs="仿宋_GB2312"/>
                <w:color w:val="000000"/>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2582D1C">
            <w:pPr>
              <w:ind w:hanging="1"/>
              <w:rPr>
                <w:rFonts w:hint="eastAsia" w:ascii="仿宋" w:hAnsi="仿宋" w:eastAsia="仿宋"/>
                <w:highlight w:val="none"/>
              </w:rPr>
            </w:pPr>
            <w:r>
              <w:rPr>
                <w:rFonts w:hint="eastAsia" w:ascii="仿宋" w:hAnsi="仿宋" w:eastAsia="仿宋"/>
                <w:highlight w:val="none"/>
              </w:rPr>
              <w:t>1、系统管理提供了系统业务应用依赖的基础资源，包括但不限于安保用户管理、安保基础数据管理、安保区域管理、安保系统配置、物联设备管理，统一管理了组织、区域、人员、物联设备等资源。</w:t>
            </w:r>
          </w:p>
          <w:p w14:paraId="4337A48C">
            <w:pPr>
              <w:ind w:hanging="1"/>
              <w:rPr>
                <w:rFonts w:hint="eastAsia" w:ascii="仿宋" w:hAnsi="仿宋" w:eastAsia="仿宋"/>
                <w:highlight w:val="none"/>
              </w:rPr>
            </w:pPr>
            <w:r>
              <w:rPr>
                <w:rFonts w:hint="eastAsia" w:ascii="仿宋" w:hAnsi="仿宋" w:eastAsia="仿宋"/>
                <w:highlight w:val="none"/>
              </w:rPr>
              <w:t>（1）、提供组织资源管理，包含但不限于支持组织基础信息的增删改查、导入、导出等功能；</w:t>
            </w:r>
          </w:p>
          <w:p w14:paraId="6779B160">
            <w:pPr>
              <w:ind w:hanging="1"/>
              <w:rPr>
                <w:rFonts w:hint="eastAsia" w:ascii="仿宋" w:hAnsi="仿宋" w:eastAsia="仿宋"/>
                <w:highlight w:val="none"/>
              </w:rPr>
            </w:pPr>
            <w:r>
              <w:rPr>
                <w:rFonts w:hint="eastAsia" w:ascii="仿宋" w:hAnsi="仿宋" w:eastAsia="仿宋"/>
                <w:highlight w:val="none"/>
              </w:rPr>
              <w:t>（2）、提供区域资源管理，包含但不限于支持区域基础信息的增删改查、导入、导出等功能；</w:t>
            </w:r>
          </w:p>
          <w:p w14:paraId="25DE35F2">
            <w:pPr>
              <w:ind w:hanging="1"/>
              <w:rPr>
                <w:rFonts w:hint="eastAsia" w:ascii="仿宋" w:hAnsi="仿宋" w:eastAsia="仿宋"/>
                <w:highlight w:val="none"/>
              </w:rPr>
            </w:pPr>
            <w:r>
              <w:rPr>
                <w:rFonts w:hint="eastAsia" w:ascii="仿宋" w:hAnsi="仿宋" w:eastAsia="仿宋"/>
                <w:highlight w:val="none"/>
              </w:rPr>
              <w:t>（3）、提供人员信息管理，包含但不限于支持人员基础信息自定义扩展；</w:t>
            </w:r>
          </w:p>
          <w:p w14:paraId="014A73FF">
            <w:pPr>
              <w:ind w:hanging="1"/>
              <w:rPr>
                <w:rFonts w:hint="eastAsia" w:ascii="仿宋" w:hAnsi="仿宋" w:eastAsia="仿宋"/>
                <w:highlight w:val="none"/>
              </w:rPr>
            </w:pPr>
            <w:r>
              <w:rPr>
                <w:rFonts w:hint="eastAsia" w:ascii="仿宋" w:hAnsi="仿宋" w:eastAsia="仿宋"/>
                <w:highlight w:val="none"/>
              </w:rPr>
              <w:t>（4）、提供设备统一接入管理</w:t>
            </w:r>
          </w:p>
          <w:p w14:paraId="20D1183C">
            <w:pPr>
              <w:ind w:hanging="1"/>
              <w:rPr>
                <w:rFonts w:hint="eastAsia" w:ascii="仿宋" w:hAnsi="仿宋" w:eastAsia="仿宋"/>
                <w:highlight w:val="none"/>
              </w:rPr>
            </w:pPr>
            <w:r>
              <w:rPr>
                <w:rFonts w:hint="eastAsia" w:ascii="仿宋" w:hAnsi="仿宋" w:eastAsia="仿宋"/>
                <w:highlight w:val="none"/>
              </w:rPr>
              <w:t>（5）、提供系统用户管理，包含但不限于支持账户基本信息和角色信息的增删改查；支持配置不同角色权限，包括菜单权限、组织权限、区域权限、资源权限、功能控制权限；</w:t>
            </w:r>
          </w:p>
          <w:p w14:paraId="55C1D3AF">
            <w:pPr>
              <w:ind w:hanging="1"/>
              <w:rPr>
                <w:rFonts w:hint="eastAsia" w:ascii="仿宋" w:hAnsi="仿宋" w:eastAsia="仿宋"/>
                <w:highlight w:val="none"/>
              </w:rPr>
            </w:pPr>
            <w:r>
              <w:rPr>
                <w:rFonts w:hint="eastAsia" w:ascii="仿宋" w:hAnsi="仿宋" w:eastAsia="仿宋"/>
                <w:highlight w:val="none"/>
              </w:rPr>
              <w:t>支持用户组权限分配；支持用户安全管理，可绑定用户mac地址及IP，可自行修改用户密码或者管理员重置密码；</w:t>
            </w:r>
          </w:p>
          <w:p w14:paraId="6378A8D2">
            <w:pPr>
              <w:ind w:hanging="1"/>
              <w:rPr>
                <w:rFonts w:hint="eastAsia" w:ascii="仿宋" w:hAnsi="仿宋" w:eastAsia="仿宋"/>
                <w:highlight w:val="none"/>
              </w:rPr>
            </w:pPr>
            <w:r>
              <w:rPr>
                <w:rFonts w:hint="eastAsia" w:ascii="仿宋" w:hAnsi="仿宋" w:eastAsia="仿宋"/>
                <w:highlight w:val="none"/>
              </w:rPr>
              <w:t>（6）、提供核心参数配置，包含但不限于支持首页菜单自定义展示设置；支持所有设备统一校时；提供账户安全设置，支持账户密码有效期设置。</w:t>
            </w:r>
          </w:p>
          <w:p w14:paraId="4A6984AC">
            <w:pPr>
              <w:ind w:hanging="1"/>
              <w:rPr>
                <w:rFonts w:hint="eastAsia" w:ascii="仿宋" w:hAnsi="仿宋" w:eastAsia="仿宋"/>
                <w:highlight w:val="none"/>
                <w:lang w:eastAsia="zh-CN"/>
              </w:rPr>
            </w:pPr>
            <w:r>
              <w:rPr>
                <w:rFonts w:hint="eastAsia" w:ascii="仿宋_GB2312" w:hAnsi="仿宋_GB2312" w:eastAsia="仿宋_GB2312" w:cs="仿宋_GB2312"/>
                <w:b/>
                <w:color w:val="000000"/>
                <w:sz w:val="18"/>
                <w:szCs w:val="18"/>
                <w:highlight w:val="none"/>
              </w:rPr>
              <w:t>★</w:t>
            </w:r>
            <w:r>
              <w:rPr>
                <w:rFonts w:hint="eastAsia" w:ascii="仿宋" w:hAnsi="仿宋" w:eastAsia="仿宋"/>
                <w:highlight w:val="none"/>
              </w:rPr>
              <w:t>2.须与展馆系统软件进行对接，实现展馆系统软件按需调取监控画面。</w:t>
            </w:r>
            <w:r>
              <w:rPr>
                <w:rFonts w:hint="eastAsia" w:ascii="仿宋" w:hAnsi="仿宋"/>
                <w:highlight w:val="none"/>
                <w:lang w:eastAsia="zh-CN"/>
              </w:rPr>
              <w:t>（</w:t>
            </w:r>
            <w:r>
              <w:rPr>
                <w:rFonts w:hint="eastAsia" w:ascii="仿宋" w:hAnsi="仿宋"/>
                <w:highlight w:val="none"/>
                <w:lang w:val="en-US" w:eastAsia="zh-CN"/>
              </w:rPr>
              <w:t>提供对接承诺函并加盖投标人公章</w:t>
            </w:r>
            <w:r>
              <w:rPr>
                <w:rFonts w:hint="eastAsia" w:ascii="仿宋" w:hAnsi="仿宋"/>
                <w:highlight w:val="none"/>
                <w:lang w:eastAsia="zh-CN"/>
              </w:rPr>
              <w:t>）</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0BE7769">
            <w:pPr>
              <w:pStyle w:val="27"/>
              <w:tabs>
                <w:tab w:val="left" w:pos="0"/>
              </w:tabs>
              <w:adjustRightInd w:val="0"/>
              <w:snapToGrid w:val="0"/>
              <w:ind w:hanging="1"/>
              <w:rPr>
                <w:rFonts w:ascii="仿宋" w:hAnsi="仿宋" w:cs="Times New Roman"/>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AFA1C97">
            <w:pPr>
              <w:pStyle w:val="27"/>
              <w:rPr>
                <w:rFonts w:ascii="仿宋" w:hAnsi="仿宋" w:cs="宋体"/>
                <w:color w:val="00000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CFC0EF">
            <w:pPr>
              <w:pStyle w:val="27"/>
              <w:tabs>
                <w:tab w:val="left" w:pos="0"/>
              </w:tabs>
              <w:spacing w:line="240" w:lineRule="exact"/>
              <w:jc w:val="center"/>
              <w:rPr>
                <w:rFonts w:ascii="仿宋_GB2312" w:hAnsi="仿宋_GB2312" w:eastAsia="仿宋_GB2312" w:cs="仿宋_GB2312"/>
                <w:color w:val="000000"/>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611BE1">
            <w:pPr>
              <w:pStyle w:val="27"/>
              <w:tabs>
                <w:tab w:val="left" w:pos="0"/>
              </w:tabs>
              <w:spacing w:line="240" w:lineRule="exact"/>
              <w:jc w:val="center"/>
              <w:rPr>
                <w:rFonts w:ascii="仿宋_GB2312" w:hAnsi="仿宋_GB2312" w:eastAsia="仿宋_GB2312" w:cs="仿宋_GB2312"/>
                <w:color w:val="000000"/>
                <w:kern w:val="0"/>
                <w:szCs w:val="21"/>
                <w:highlight w:val="none"/>
              </w:rPr>
            </w:pPr>
          </w:p>
        </w:tc>
      </w:tr>
      <w:tr w14:paraId="3E9A7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4B071E7">
            <w:pPr>
              <w:pStyle w:val="27"/>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包号/序号：001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2</w:t>
            </w:r>
          </w:p>
          <w:p w14:paraId="7D40095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客流管理平台</w:t>
            </w:r>
          </w:p>
          <w:p w14:paraId="30732092">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000000"/>
                <w:kern w:val="2"/>
                <w:sz w:val="21"/>
                <w:szCs w:val="21"/>
                <w:highlight w:val="none"/>
                <w:lang w:val="en-US" w:eastAsia="zh-CN"/>
              </w:rPr>
              <w:t>1套</w:t>
            </w:r>
          </w:p>
          <w:p w14:paraId="14B283E6">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2B5BCF5">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4F4E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579E9F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7DB2DC9">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C949D3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F92B9D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B612FA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90157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817B2B">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E0D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268017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3420F0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B07BEA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697C8B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6091BA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1FD840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D354BA4">
            <w:pPr>
              <w:ind w:hanging="1"/>
              <w:rPr>
                <w:rFonts w:hint="eastAsia" w:ascii="仿宋" w:hAnsi="仿宋" w:eastAsia="仿宋"/>
                <w:color w:val="auto"/>
                <w:highlight w:val="none"/>
              </w:rPr>
            </w:pPr>
            <w:r>
              <w:rPr>
                <w:rFonts w:hint="eastAsia" w:ascii="仿宋" w:hAnsi="仿宋" w:eastAsia="仿宋"/>
                <w:color w:val="auto"/>
                <w:highlight w:val="none"/>
              </w:rPr>
              <w:t>1.支持客流区域管理和区域人数展示；</w:t>
            </w:r>
          </w:p>
          <w:p w14:paraId="14318ED8">
            <w:pPr>
              <w:ind w:hanging="1"/>
              <w:rPr>
                <w:rFonts w:hint="eastAsia" w:ascii="仿宋" w:hAnsi="仿宋" w:eastAsia="仿宋"/>
                <w:color w:val="auto"/>
                <w:highlight w:val="none"/>
              </w:rPr>
            </w:pPr>
            <w:r>
              <w:rPr>
                <w:rFonts w:hint="eastAsia" w:ascii="仿宋" w:hAnsi="仿宋" w:eastAsia="仿宋"/>
                <w:color w:val="auto"/>
                <w:highlight w:val="none"/>
              </w:rPr>
              <w:t>2.支持实时和历史进出客流、累计客流、客流占比的统计与导出；</w:t>
            </w:r>
          </w:p>
          <w:p w14:paraId="6CD0BF55">
            <w:pPr>
              <w:ind w:hanging="1"/>
              <w:rPr>
                <w:rFonts w:hint="eastAsia" w:ascii="仿宋" w:hAnsi="仿宋" w:eastAsia="仿宋"/>
                <w:color w:val="auto"/>
                <w:highlight w:val="none"/>
              </w:rPr>
            </w:pPr>
            <w:r>
              <w:rPr>
                <w:rFonts w:hint="eastAsia" w:ascii="仿宋" w:hAnsi="仿宋" w:eastAsia="仿宋"/>
                <w:color w:val="auto"/>
                <w:highlight w:val="none"/>
              </w:rPr>
              <w:t>3.支持按区域、时间查询客流分布排行、滞留统计、区域分析等，并以表格、折线图、柱状图等形式展示；</w:t>
            </w:r>
          </w:p>
          <w:p w14:paraId="2BE6A799">
            <w:pPr>
              <w:ind w:hanging="1"/>
              <w:rPr>
                <w:rFonts w:hint="eastAsia" w:ascii="仿宋" w:hAnsi="仿宋" w:eastAsia="仿宋"/>
                <w:color w:val="auto"/>
                <w:highlight w:val="none"/>
              </w:rPr>
            </w:pPr>
            <w:r>
              <w:rPr>
                <w:rFonts w:hint="eastAsia" w:ascii="仿宋" w:hAnsi="仿宋" w:eastAsia="仿宋"/>
                <w:color w:val="auto"/>
                <w:highlight w:val="none"/>
              </w:rPr>
              <w:t>4.支持门禁设备在场人员、过人记录统计与导出；</w:t>
            </w:r>
          </w:p>
          <w:p w14:paraId="66EBC196">
            <w:pPr>
              <w:ind w:hanging="1"/>
              <w:rPr>
                <w:rFonts w:hint="eastAsia" w:ascii="仿宋" w:hAnsi="仿宋" w:eastAsia="仿宋"/>
                <w:color w:val="auto"/>
                <w:highlight w:val="none"/>
              </w:rPr>
            </w:pPr>
            <w:r>
              <w:rPr>
                <w:rFonts w:hint="eastAsia" w:ascii="仿宋" w:hAnsi="仿宋" w:eastAsia="仿宋"/>
                <w:color w:val="auto"/>
                <w:highlight w:val="none"/>
              </w:rPr>
              <w:t>5.支持区域离岗检测、区域人数上限/下限检测、计划人数不符检测及报警联动；</w:t>
            </w:r>
          </w:p>
          <w:p w14:paraId="7AD1C85F">
            <w:pPr>
              <w:ind w:hanging="1"/>
              <w:rPr>
                <w:rFonts w:hint="eastAsia" w:ascii="仿宋" w:hAnsi="仿宋" w:eastAsia="仿宋"/>
                <w:color w:val="auto"/>
                <w:highlight w:val="none"/>
              </w:rPr>
            </w:pPr>
            <w:r>
              <w:rPr>
                <w:rFonts w:hint="eastAsia" w:ascii="仿宋" w:hAnsi="仿宋" w:eastAsia="仿宋"/>
                <w:color w:val="auto"/>
                <w:highlight w:val="none"/>
              </w:rPr>
              <w:t>6.支持客流数据补采；</w:t>
            </w:r>
          </w:p>
          <w:p w14:paraId="73F05BF0">
            <w:pPr>
              <w:ind w:hanging="1"/>
              <w:rPr>
                <w:rFonts w:ascii="仿宋" w:hAnsi="仿宋" w:eastAsia="仿宋"/>
                <w:color w:val="auto"/>
                <w:highlight w:val="none"/>
              </w:rPr>
            </w:pPr>
            <w:r>
              <w:rPr>
                <w:rFonts w:hint="eastAsia" w:ascii="仿宋" w:hAnsi="仿宋" w:eastAsia="仿宋"/>
                <w:color w:val="auto"/>
                <w:highlight w:val="none"/>
              </w:rPr>
              <w:t>7.支持移动端展示区域客流分布分析。</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5F8C4A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B732ED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664107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1AD5F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8D0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69BA666">
            <w:pPr>
              <w:pStyle w:val="27"/>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包号/序号：001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3</w:t>
            </w:r>
          </w:p>
          <w:p w14:paraId="60AE695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视频监控管理平台</w:t>
            </w:r>
          </w:p>
          <w:p w14:paraId="3BA306C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100路</w:t>
            </w:r>
          </w:p>
          <w:p w14:paraId="25486C9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207F35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85D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77FC0C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D915C09">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628A0C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170EAA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D29A38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957CA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B121FE">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9F2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D7B62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F3F5FF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7E4204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F01CAB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FF085A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FF7938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72695BC">
            <w:pPr>
              <w:ind w:hanging="1"/>
              <w:rPr>
                <w:rFonts w:hint="eastAsia" w:ascii="仿宋" w:hAnsi="仿宋" w:eastAsia="仿宋"/>
                <w:color w:val="auto"/>
                <w:highlight w:val="none"/>
              </w:rPr>
            </w:pPr>
            <w:r>
              <w:rPr>
                <w:rFonts w:hint="eastAsia" w:ascii="仿宋" w:hAnsi="仿宋" w:eastAsia="仿宋"/>
                <w:color w:val="auto"/>
                <w:highlight w:val="none"/>
              </w:rPr>
              <w:t>1.提供视频管理服务，支持编码设备通过GB28181协议、ONVIF协议等接入平台，实现视频预览、录像回放、视频上墙、视频事件监控服务能力，并且在网络带宽不足、有流量限制的网络环境下可以通过以图片替代视频的模式提供监控服务。</w:t>
            </w:r>
          </w:p>
          <w:p w14:paraId="783F52AD">
            <w:pPr>
              <w:ind w:hanging="1"/>
              <w:rPr>
                <w:rFonts w:hint="eastAsia" w:ascii="仿宋" w:hAnsi="仿宋" w:eastAsia="仿宋"/>
                <w:color w:val="auto"/>
                <w:highlight w:val="none"/>
              </w:rPr>
            </w:pPr>
            <w:r>
              <w:rPr>
                <w:rFonts w:hint="eastAsia" w:ascii="仿宋" w:hAnsi="仿宋" w:eastAsia="仿宋"/>
                <w:color w:val="auto"/>
                <w:highlight w:val="none"/>
              </w:rPr>
              <w:t>2、支持BS客户端、CS客户端、移动客户端（Android、iOS）视频预览，支持多浏览器实时预览。</w:t>
            </w:r>
          </w:p>
          <w:p w14:paraId="1FBA6342">
            <w:pPr>
              <w:ind w:hanging="1"/>
              <w:rPr>
                <w:rFonts w:hint="eastAsia" w:ascii="仿宋" w:hAnsi="仿宋" w:eastAsia="仿宋"/>
                <w:color w:val="auto"/>
                <w:highlight w:val="none"/>
              </w:rPr>
            </w:pPr>
            <w:r>
              <w:rPr>
                <w:rFonts w:hint="eastAsia" w:ascii="仿宋" w:hAnsi="仿宋" w:eastAsia="仿宋"/>
                <w:color w:val="auto"/>
                <w:highlight w:val="none"/>
              </w:rPr>
              <w:t>3、支持图片实时监控及历史查询</w:t>
            </w:r>
          </w:p>
          <w:p w14:paraId="465B6104">
            <w:pPr>
              <w:ind w:hanging="1"/>
              <w:rPr>
                <w:rFonts w:hint="eastAsia" w:ascii="仿宋" w:hAnsi="仿宋" w:eastAsia="仿宋"/>
                <w:color w:val="auto"/>
                <w:highlight w:val="none"/>
              </w:rPr>
            </w:pPr>
            <w:r>
              <w:rPr>
                <w:rFonts w:hint="eastAsia" w:ascii="仿宋" w:hAnsi="仿宋" w:eastAsia="仿宋"/>
                <w:color w:val="auto"/>
                <w:highlight w:val="none"/>
              </w:rPr>
              <w:t>4、支持定时录像、报警录像和移动侦测录像等录像模式，不同类型录像以不同颜色进行区分</w:t>
            </w:r>
          </w:p>
          <w:p w14:paraId="517984BC">
            <w:pPr>
              <w:ind w:hanging="1"/>
              <w:rPr>
                <w:rFonts w:hint="eastAsia" w:ascii="仿宋" w:hAnsi="仿宋" w:eastAsia="仿宋"/>
                <w:color w:val="auto"/>
                <w:highlight w:val="none"/>
              </w:rPr>
            </w:pPr>
            <w:r>
              <w:rPr>
                <w:rFonts w:hint="eastAsia" w:ascii="仿宋" w:hAnsi="仿宋" w:eastAsia="仿宋"/>
                <w:color w:val="auto"/>
                <w:highlight w:val="none"/>
              </w:rPr>
              <w:t>5、支持录像标签功能，支持搜索、修改、删除标签，并可通过标签定位录像并回放；支持通过车牌搜索定位录像并回放</w:t>
            </w:r>
          </w:p>
          <w:p w14:paraId="739FE4D1">
            <w:pPr>
              <w:ind w:hanging="1"/>
              <w:rPr>
                <w:rFonts w:hint="eastAsia" w:ascii="仿宋" w:hAnsi="仿宋" w:eastAsia="仿宋"/>
                <w:color w:val="auto"/>
                <w:highlight w:val="none"/>
              </w:rPr>
            </w:pPr>
            <w:r>
              <w:rPr>
                <w:rFonts w:hint="eastAsia" w:ascii="仿宋" w:hAnsi="仿宋" w:eastAsia="仿宋"/>
                <w:color w:val="auto"/>
                <w:highlight w:val="none"/>
              </w:rPr>
              <w:t>6、支持视频实时预览能力，实现预览窗口布局切换、预览画面自适应及全屏切换；</w:t>
            </w:r>
          </w:p>
          <w:p w14:paraId="74C249AB">
            <w:pPr>
              <w:ind w:hanging="1"/>
              <w:rPr>
                <w:rFonts w:hint="eastAsia" w:ascii="仿宋" w:hAnsi="仿宋" w:eastAsia="仿宋"/>
                <w:color w:val="auto"/>
                <w:highlight w:val="none"/>
              </w:rPr>
            </w:pPr>
            <w:r>
              <w:rPr>
                <w:rFonts w:hint="eastAsia" w:ascii="仿宋" w:hAnsi="仿宋" w:eastAsia="仿宋"/>
                <w:color w:val="auto"/>
                <w:highlight w:val="none"/>
              </w:rPr>
              <w:t>7、支持视频上墙</w:t>
            </w:r>
          </w:p>
          <w:p w14:paraId="721FC510">
            <w:pPr>
              <w:ind w:hanging="1"/>
              <w:rPr>
                <w:rFonts w:hint="eastAsia" w:ascii="仿宋" w:hAnsi="仿宋" w:eastAsia="仿宋"/>
                <w:color w:val="auto"/>
                <w:highlight w:val="none"/>
              </w:rPr>
            </w:pPr>
            <w:r>
              <w:rPr>
                <w:rFonts w:hint="eastAsia" w:ascii="仿宋" w:hAnsi="仿宋" w:eastAsia="仿宋"/>
                <w:color w:val="auto"/>
                <w:highlight w:val="none"/>
              </w:rPr>
              <w:t>8、支持视频预览与图片实时监控模式切换能力，实现图片监控模式</w:t>
            </w:r>
          </w:p>
          <w:p w14:paraId="1C045DFA">
            <w:pPr>
              <w:ind w:hanging="1"/>
              <w:rPr>
                <w:rFonts w:ascii="仿宋" w:hAnsi="仿宋" w:eastAsia="仿宋"/>
                <w:color w:val="auto"/>
                <w:highlight w:val="none"/>
              </w:rPr>
            </w:pPr>
            <w:r>
              <w:rPr>
                <w:rFonts w:hint="eastAsia" w:ascii="仿宋" w:hAnsi="仿宋" w:eastAsia="仿宋"/>
                <w:color w:val="auto"/>
                <w:highlight w:val="none"/>
              </w:rPr>
              <w:t>9、支持图片下载能力</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69B502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BE5F3F1">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9F4D6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ED9CD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E05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A98E697">
            <w:pPr>
              <w:pStyle w:val="27"/>
              <w:adjustRightInd w:val="0"/>
              <w:snapToGrid w:val="0"/>
              <w:ind w:right="105" w:rightChars="50"/>
              <w:jc w:val="left"/>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color w:val="auto"/>
                <w:szCs w:val="21"/>
                <w:highlight w:val="none"/>
              </w:rPr>
              <w:t>包号/序号：001</w:t>
            </w:r>
            <w:r>
              <w:rPr>
                <w:rFonts w:hint="eastAsia" w:ascii="仿宋_GB2312" w:hAnsi="仿宋_GB2312" w:eastAsia="仿宋_GB2312" w:cs="仿宋_GB2312"/>
                <w:color w:val="auto"/>
                <w:szCs w:val="21"/>
                <w:highlight w:val="none"/>
                <w:lang w:val="en-US" w:eastAsia="zh-CN"/>
              </w:rPr>
              <w:t>/4</w:t>
            </w:r>
          </w:p>
          <w:p w14:paraId="78BBD92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设备网络管理平台</w:t>
            </w:r>
          </w:p>
          <w:p w14:paraId="0F3726F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w:t>
            </w:r>
            <w:r>
              <w:rPr>
                <w:rFonts w:hint="eastAsia" w:ascii="仿宋" w:hAnsi="仿宋" w:eastAsia="仿宋" w:cs="仿宋"/>
                <w:i w:val="0"/>
                <w:iCs w:val="0"/>
                <w:color w:val="000000"/>
                <w:kern w:val="0"/>
                <w:sz w:val="21"/>
                <w:szCs w:val="21"/>
                <w:highlight w:val="none"/>
                <w:u w:val="none"/>
                <w:lang w:val="en-US" w:eastAsia="zh-CN" w:bidi="ar"/>
              </w:rPr>
              <w:t>00路</w:t>
            </w:r>
          </w:p>
          <w:p w14:paraId="37B3C9A3">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1A03795">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6DF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610C61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64947E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2422F5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5DF688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3890F5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932BE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876BD7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9D7A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69C22F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3B66E9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B0138D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172EBD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676F9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D6DE5D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5730896">
            <w:pPr>
              <w:ind w:hanging="1"/>
              <w:rPr>
                <w:rFonts w:ascii="仿宋" w:hAnsi="仿宋" w:eastAsia="仿宋"/>
                <w:color w:val="auto"/>
                <w:highlight w:val="none"/>
              </w:rPr>
            </w:pPr>
            <w:r>
              <w:rPr>
                <w:rFonts w:hint="eastAsia" w:ascii="仿宋" w:hAnsi="仿宋" w:eastAsia="仿宋"/>
                <w:color w:val="auto"/>
                <w:highlight w:val="none"/>
              </w:rPr>
              <w:t>1.支持对接入平台的视频设备等进行在线巡检，及时发现故障设备和掉线设备，支持监控点通道的录制状态、录像完整性、录像保存天数指标检测。</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094A21A">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7C0B4B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A7E46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C5478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C02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BC00338">
            <w:pPr>
              <w:pStyle w:val="27"/>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包号/序号：001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5</w:t>
            </w:r>
          </w:p>
          <w:p w14:paraId="25ED1E1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视频质量诊断平台</w:t>
            </w:r>
          </w:p>
          <w:p w14:paraId="2ED4F6F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100路</w:t>
            </w:r>
          </w:p>
          <w:p w14:paraId="7B6BAC2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E986FF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82A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35236C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CDF4DD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3D5C7C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608C94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DEEEB5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9A6AF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91FB5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180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E85976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22D060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A7AA83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FF92FE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A15E9C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320FE7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8413D6F">
            <w:pPr>
              <w:ind w:hanging="1"/>
              <w:rPr>
                <w:rFonts w:hint="eastAsia"/>
                <w:highlight w:val="none"/>
              </w:rPr>
            </w:pPr>
            <w:r>
              <w:rPr>
                <w:rFonts w:hint="eastAsia" w:ascii="仿宋" w:hAnsi="仿宋" w:eastAsia="仿宋" w:cs="仿宋"/>
                <w:i w:val="0"/>
                <w:iCs w:val="0"/>
                <w:color w:val="000000"/>
                <w:kern w:val="0"/>
                <w:sz w:val="21"/>
                <w:szCs w:val="21"/>
                <w:highlight w:val="none"/>
                <w:u w:val="none"/>
                <w:lang w:val="en-US" w:eastAsia="zh-CN" w:bidi="ar"/>
              </w:rPr>
              <w:t>1.</w:t>
            </w:r>
            <w:r>
              <w:rPr>
                <w:rFonts w:hint="eastAsia"/>
                <w:highlight w:val="none"/>
              </w:rPr>
              <w:t>提供视频图像诊断和监测服务</w:t>
            </w:r>
          </w:p>
          <w:p w14:paraId="7BAB072D">
            <w:pPr>
              <w:ind w:hanging="1"/>
              <w:rPr>
                <w:rFonts w:hint="eastAsia"/>
                <w:highlight w:val="none"/>
              </w:rPr>
            </w:pPr>
            <w:r>
              <w:rPr>
                <w:rFonts w:hint="eastAsia"/>
                <w:highlight w:val="none"/>
              </w:rPr>
              <w:t>2、支持对监控的图像进行视频质量诊断，图像异常项包括但不限于图像偏色、噪声干扰、图像过暗、图像过亮、视频丢帧、视频抖动、对比度异常、条纹干扰、视频遮挡、信号丢失、图像黑白、图像模糊、场景变换、视频剧变。</w:t>
            </w:r>
          </w:p>
          <w:p w14:paraId="1BF17CE5">
            <w:pPr>
              <w:ind w:hanging="1"/>
              <w:rPr>
                <w:rFonts w:ascii="仿宋" w:hAnsi="仿宋" w:eastAsia="仿宋"/>
                <w:color w:val="auto"/>
                <w:highlight w:val="none"/>
              </w:rPr>
            </w:pPr>
            <w:r>
              <w:rPr>
                <w:rFonts w:hint="eastAsia"/>
                <w:highlight w:val="none"/>
              </w:rPr>
              <w:t>3、支持按监控点总数、图像正常数、图像异常数、诊断失败数、未检测数进行统计</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8DCC60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A2B9DFD">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159BD3">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95FA26">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284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654C1D2">
            <w:pPr>
              <w:pStyle w:val="27"/>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包号/序号：001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6</w:t>
            </w:r>
          </w:p>
          <w:p w14:paraId="1C3932E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智慧林草综合管护平台</w:t>
            </w:r>
          </w:p>
          <w:p w14:paraId="444DF2E2">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1666622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CC7D231">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021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97CB1A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0B9BC19">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B9DA2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B6B6C4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8B5F3C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A957A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28744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D41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150ABE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E43135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9D81F7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9E5E0E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E5CBC1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9F8E7F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311ED57">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1.提供火情预警、历史火情查询</w:t>
            </w:r>
          </w:p>
          <w:p w14:paraId="1F91F341">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2.支持接入热成像的火情预警信息，支持预警信息声音提醒，支持查看告警设备的实时视频，支持录像回放以及火情抓拍图片查看。</w:t>
            </w:r>
          </w:p>
          <w:p w14:paraId="1C60FB7C">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3、支持展示实时推送的火情信息。包括但不限于设备识别的火情和巡护上报的火情。</w:t>
            </w:r>
          </w:p>
          <w:p w14:paraId="30AC798C">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4、支持预警关联的视频点位信息，打开视频后，视频画面自动转动到火情发生处。支持实时视频和录像回放。</w:t>
            </w:r>
          </w:p>
          <w:p w14:paraId="261C219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5、支持查看火情档案详情信息，包括但不限于基本信息、处理记录、辅助决策信息。</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3EB680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B1E7E0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F70E0E">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259541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945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623615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w:t>
            </w:r>
          </w:p>
          <w:p w14:paraId="410F9D31">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运维管理平台</w:t>
            </w:r>
          </w:p>
          <w:p w14:paraId="0F58B0D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524FB200">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8DAAA1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7B9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B168D2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21B223A">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CFFAC93">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55D952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19E7D3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BAAA2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0D73A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4AC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F60D90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B08120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02CFD1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709A46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E2F549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B0DB32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3531F12">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1.系统须具有用户登录查询功能，为记录用户登录操作，保证用户为正常登录，无异常信息。</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2.系统须具有实时监控功能，管理人员实时监测服务器运行状态，有无异常提供详细信息，包含服务器信息，内存占用，cpu占用等情况的查看。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3.系统须具有告警列表功能，当服务器某项指标处于不良状态时自动生成的告警信息列表，方便管理者了解服务器自身情况，对可能出现的异常做好提前方案。</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系统须具有操作日志查询功能，记录用户操作的审计日志，快速定位问题的根源，追踪程序执行的过程，追踪数据的变化，当系统发生异常或用户操作异常时定位当时做了什么操作，环境有无影响进一步提供解决方案。</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5.系统须与景区管理系统软件进行对接，实现对景区管理系统、前端设备等设备全链路设备状态实时监测与异常告警功能。</w:t>
            </w:r>
            <w:r>
              <w:rPr>
                <w:rFonts w:hint="eastAsia" w:ascii="仿宋" w:hAnsi="仿宋"/>
                <w:highlight w:val="none"/>
                <w:lang w:eastAsia="zh-CN"/>
              </w:rPr>
              <w:t>（</w:t>
            </w:r>
            <w:r>
              <w:rPr>
                <w:rFonts w:hint="eastAsia" w:ascii="仿宋" w:hAnsi="仿宋"/>
                <w:highlight w:val="none"/>
                <w:lang w:val="en-US" w:eastAsia="zh-CN"/>
              </w:rPr>
              <w:t>提供对接承诺函并加盖投标人公章</w:t>
            </w:r>
            <w:r>
              <w:rPr>
                <w:rFonts w:hint="eastAsia" w:ascii="仿宋" w:hAnsi="仿宋"/>
                <w:highlight w:val="none"/>
                <w:lang w:eastAsia="zh-CN"/>
              </w:rPr>
              <w:t>）</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623F08D">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29256B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7625CE">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EBC046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8111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5BACEF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w:t>
            </w:r>
          </w:p>
          <w:p w14:paraId="53148A7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审核过滤服务器及控制软件系统</w:t>
            </w:r>
          </w:p>
          <w:p w14:paraId="7FBCEBA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7901B03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3DECE9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7F6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97FA32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974B79A">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B66A7A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5AE593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D35B65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9C8740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5EB22C">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871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3F3892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48B8A6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290C84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1A1A90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087EBB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67EB8C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0974FE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内容安全AI审核过滤模式:审核范围包括:涉黄(包括真人或者动漫)、血腥、敏感旗帜、敏感人脸、枪支、涉政言论(分裂、反动、邪教传播等)、网络赌博、网络招嫖、淫秽平台传播、低俗辱骂等。且支持素材黑名单、白名单管理，文件格式包括但不局限于图片、视频、gif、docx、xlsx、pptx、 pdf、txt。</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2.须支持数字水印加密防篡改模式:支持用户通过系统管理平台进行播放前的素材数字水印加密，一旦出现计划外播放内容(不论内容是否具有危害性)都视为违规素材不予播放,且加密素材特征采用国密加密存储。</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3.该设备检测到不良内容时，应立刻将其替换成预置画面进行播放，且预置画面可自定义形式。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4.设备应具备延时播放能力，可实现毫秒级阻断，配置时间可自定0.5秒-10秒，避免违规信息播放;当出现违规视频、图像、文本信息时，防护反应时间应小于延时播放时间，避免违规信息播放。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5.该设备须具备存储、播放素材功能。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6.须支持多种素材自由排版、分区显示;支持多种播放方式，按日按周、轮播、自定义等。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7.须具备对输入源素材画中画与弹窗内容进行检测过滤。</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8.该设备须满足24小时不间断连续检测的需求。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9.该设备应支持本地边缘计算，无需联网。</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10.该设备须具备音频输入和输出，音视频同步播放并对内容进行检测过滤。</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11.系统管理平台须具备分级分权限管理功能，管理员可创建子账户并分配其权限。</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12.须支持上报系统数据至安全监管中心，并接收监管中心下发的操作指令。</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13.该设备须具备Android、windows、Linux、IOS、统信UOS、银河麒麟KylinOS等包括但不限于主流操作系统的播放内容检测过滤。</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14.系统须支持用户结合监管需求或当下时政热点等，自行导入敏感人脸至数据库，可单条或批量添加或删除管理。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15.该设备的文字检测敏感词库应支持50000条以上，每个敏感词字数最高可支持20字，可单条或批量添加或删除管理。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16.须可实时远程监控发布内容，对不健康显示内容无需人工介入可自动智能AI分析并及时报警提示并发送至工作人员微信、钉钉</w:t>
            </w:r>
            <w:r>
              <w:rPr>
                <w:rFonts w:hint="eastAsia" w:ascii="仿宋" w:hAnsi="仿宋" w:cs="仿宋"/>
                <w:i w:val="0"/>
                <w:iCs w:val="0"/>
                <w:color w:val="000000"/>
                <w:kern w:val="0"/>
                <w:sz w:val="21"/>
                <w:szCs w:val="21"/>
                <w:highlight w:val="none"/>
                <w:u w:val="none"/>
                <w:lang w:val="en-US" w:eastAsia="zh-CN" w:bidi="ar"/>
              </w:rPr>
              <w:t>等</w:t>
            </w:r>
            <w:r>
              <w:rPr>
                <w:rFonts w:hint="eastAsia" w:ascii="仿宋" w:hAnsi="仿宋" w:eastAsia="仿宋" w:cs="仿宋"/>
                <w:i w:val="0"/>
                <w:iCs w:val="0"/>
                <w:color w:val="000000"/>
                <w:kern w:val="0"/>
                <w:sz w:val="21"/>
                <w:szCs w:val="21"/>
                <w:highlight w:val="none"/>
                <w:u w:val="none"/>
                <w:lang w:val="en-US" w:eastAsia="zh-CN" w:bidi="ar"/>
              </w:rPr>
              <w:t>。</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E5F906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248FB1B">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ED8EC43">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657312">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355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EA6850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001/9</w:t>
            </w:r>
          </w:p>
          <w:p w14:paraId="4195882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LED显示屏1</w:t>
            </w:r>
          </w:p>
          <w:p w14:paraId="47F94D42">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3.69平方米</w:t>
            </w:r>
          </w:p>
          <w:p w14:paraId="692588D3">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CAE6377">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8D9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1F4A51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B1708D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1B6C5E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D3FA79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4E379A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D2F024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B8B4A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72D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15B2C3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F079C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AEAD17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0A3E66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0062B2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BF55A5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DB5DE72">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1.屏幕尺寸≥宽2.56m*高1.44m；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2.LED像素点间距≤1.25m;像素密度≥640000点/m2，模组尺寸：320mm*160mm;；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3.屏幕亮度：≥1200cd/m²可调，256级无灰度损失调节;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4.可视角度：水平≥178°，垂直≥178°；</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5.亮度均匀性 ≥99.5%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6.峰值功耗≤290W/㎡，平均功耗≤110W/㎡；</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7.使用寿命与时效时间：≥120000H；</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8.发光中心距偏差：≤0.5%；</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9.对比度≥21000:1;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10.反光率:≤1%;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11.色温：1000K～20000K可调;</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12.投标产品要求刷新率960Hz-7680Hz可调；</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025BB56">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F4E932E">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FBD06D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D8D52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49B8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F49ED7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001/10</w:t>
            </w:r>
          </w:p>
          <w:p w14:paraId="445FA0D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开关电源1</w:t>
            </w:r>
          </w:p>
          <w:p w14:paraId="6CF332C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15块</w:t>
            </w:r>
          </w:p>
          <w:p w14:paraId="35CE4F1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FB4CF51">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2285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22FEC82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D09AACB">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59CBAD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9559C2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E47DEF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05C32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6684E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9BC6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018889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97E7A8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EEB642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EC5560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A5CBC4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C06F46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7F81082">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1.≥5V 40A</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0118CE9">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D5EF4F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5AF1D3B">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8667B0">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FA5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9FF87AF">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001/11</w:t>
            </w:r>
          </w:p>
          <w:p w14:paraId="4EA90031">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接收卡1</w:t>
            </w:r>
          </w:p>
          <w:p w14:paraId="12F35DE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16张</w:t>
            </w:r>
          </w:p>
          <w:p w14:paraId="572ABC81">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178CFA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4B3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6FE736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7C03FC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3D092C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514D81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86A9D4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C412B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BC878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BE3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6A7A94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901E8F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6D5239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A5F09F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F7397F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220F5F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63581C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1.带载须不低于512×384个像素点。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2.须支持在线监测板卡和箱体的运行状态，包括：电压，温度，误码数、主备状态、网口状态、风扇状态、箱门状态、烟雾状态、指示灯状态等，可实时巡检接收卡链路，上报异常。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3.须支持通过一个客户端软件，可实现多台设备的集中管理。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4.接收卡配置过程中需可采用快速走线模板中的走线方式，实现快速高效走线。</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5.须可通过箱体液晶模块显示接收卡温度、电压、单次运行时间和总运行时间。</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6.须支持接收卡和箱体的监控，包括电压、温度、湿度、误码数、主备状态、网口状态、风扇状态、箱门状态、烟雾状态等。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7.须可通过多台设备级联,共同实现 LED 显示屏的显示。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8.须支持接收卡的恢复出厂设置。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9.须支持对已连接设备进行探测。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10.须支持通过指示灯的闪烁频率，提示设备的运行状态。</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815CAD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4F1103F">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AFA01E">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EDB10C">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CA55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32C9FF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001/12</w:t>
            </w:r>
          </w:p>
          <w:p w14:paraId="66F407C6">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视频控制器1</w:t>
            </w:r>
          </w:p>
          <w:p w14:paraId="55E7AC6A">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02C9CEF6">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CE1AD9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4D3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0FAD74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DFA38C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68794E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7CBE9D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70E57B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00335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9C298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4A5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6D1AD3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1873FB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06FDAE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F24CA1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021187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16FF3F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DE7BC08">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1.设备支持≥5路输入接口，包括HDMI、DVI、VGA、CVBS、USB；支持≥5路网口输出，带载像素点不低于325万。</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2.支持≥16bit灰阶处理与显示，可实现≥65536个灰阶选择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3.须支持不同的身份登录控制系统，实现分权管理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4.须支持通过传感器监测设备异常后可实现系统自动断电</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5.须支持快速对 LED 亮度和色度校正,校正参数下发给接收卡时间低于60S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6.须支持通过一个客户端软件，对多台设备的集中管理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7.须可通过箱体液晶模块显示接收卡温度、电压、单次运行时间和总运行时间</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8.须支持对图像色域进行调节，支持自动调节/色域图调节和手动调节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须支持不同信号源类型的切换VGA/DVI，HDMI等;支持设置输入区域坐标、宽、高等信息发送，支持8bit/10bit色深设置，支持输入源的EDID设置，包括分辨率、刷新率输入源位数，支持当前音频输入方式的切换，包括跟随或外部输入</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10.须支持对已连接设备进行固件信息的回读并导出为文件并进行升级</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118666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E23BEA8">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CBCFA9">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658B09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F88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64A3C04">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001/13</w:t>
            </w:r>
          </w:p>
          <w:p w14:paraId="36AA80B8">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配电柜1</w:t>
            </w:r>
          </w:p>
          <w:p w14:paraId="69DD7E1A">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4E39161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975C59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6A5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C382C0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867FA4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E608D4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D0921F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CAB97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1B7C6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FA726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3CA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9873C2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CAAFB2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612E34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E420F4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889C3E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2A64B7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E13DBF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1.须支持自定义能效输出及回路，支持中央控制和多媒体总控和分路控制管理功能，支持RS232、RS485、UDP、RJ45管理通道，支持物联网远程控制与自定义编程控制。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2.须支持因出现短路、烟雾、高温、过压等紧急状态，具备智能自动保护功能，支持可编程远程控制唤醒功能；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选配智能监测功能，系统运行出现异常时，具有短信提醒功能和自动防护功能，有效防止系统运行异常造成的设备损坏及安全问题。集成器内部结构具有滑轨锁扣式固定结构，可对接地短路进行分离，提升了漏电保护安全性。支持运行状态数据日志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4.须支持选配户外防护性漏洞自检并开启自动保护功能，当传感器检测到设备运行指标异常时及时告警，并启动应急保护装置。支持选配液晶触摸屏，触摸屏显示界面支持自定义软件门户界面编程功能。</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EAFE9E9">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D63E7C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7F20A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1EC743">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D93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02F941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001/14</w:t>
            </w:r>
          </w:p>
          <w:p w14:paraId="3C81F69C">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电脑1</w:t>
            </w:r>
          </w:p>
          <w:p w14:paraId="655DE207">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0CB67150">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BCF3591">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2EED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8602B0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D8F3D84">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137EDD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958466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1E4DDF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F7FF1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953E5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95E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1E6B24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6BE942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4EA428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045AD2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E4728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19E188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87CE0A5">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1.CPU：≥8核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2.内存：≥16G</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3.硬盘：≥512固态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4.显卡：独立显卡，≥2G显存</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5.显示器：≥23.8寸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6.预装操作系统</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C4EA9A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601297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98EFE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73E62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F51D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7C06FD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001/15</w:t>
            </w:r>
          </w:p>
          <w:p w14:paraId="6D5C2DF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框架结构1</w:t>
            </w:r>
          </w:p>
          <w:p w14:paraId="5177A0D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4平方米</w:t>
            </w:r>
          </w:p>
          <w:p w14:paraId="44621BB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B7C237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04A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64765C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C21C3CF">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7A6169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971EF3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4493B9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CB62A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E3FF1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14E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9BC03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A60EE1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DF5609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1CE1FA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1E2D2E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E236F2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BE4A246">
            <w:pPr>
              <w:ind w:hanging="1"/>
              <w:jc w:val="left"/>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1.须根据现场环境定制，采用镀锌钢管，包括屏幕周边的封边处理</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D05B5C4">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7D3E7D1">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96DD63">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7CE2B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947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CC7346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001/16</w:t>
            </w:r>
          </w:p>
          <w:p w14:paraId="69CE04D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LED显示屏电缆1</w:t>
            </w:r>
          </w:p>
          <w:p w14:paraId="0E4163E1">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100米</w:t>
            </w:r>
          </w:p>
          <w:p w14:paraId="5704AA14">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3F30B4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25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9C1008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B9D3D5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8FB6E8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86D851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28FE6C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3C264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A2C50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7D6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FA9EFE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29256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52A954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126B16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854FBC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F7AE42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C22B16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1.不低于ZR-YJV-0.6/1KV-4*4</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5028BF8">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4C97E5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43A5A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3F7EE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75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D67267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001/17</w:t>
            </w:r>
          </w:p>
          <w:p w14:paraId="1974676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HDMI线1</w:t>
            </w:r>
          </w:p>
          <w:p w14:paraId="7BDB4F5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1根</w:t>
            </w:r>
          </w:p>
          <w:p w14:paraId="4EE2D0C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2B432C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C0B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6A6CC7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AEAFD3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38717E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433725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4007CA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4A021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AB9EC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A39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2CD503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14358E9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C1836D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9B2ECE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452384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52D4F7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FBB7F2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1.HDMI线，≥10米</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218A48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9CFBF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E95E6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4F68B9">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28E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BCC87C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001/18</w:t>
            </w:r>
          </w:p>
          <w:p w14:paraId="6EAB7FD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LED显示屏2</w:t>
            </w:r>
          </w:p>
          <w:p w14:paraId="761F6DA1">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9平方米</w:t>
            </w:r>
          </w:p>
          <w:p w14:paraId="21DD99AB">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E44BBD4">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是</w:t>
            </w:r>
          </w:p>
        </w:tc>
      </w:tr>
      <w:tr w14:paraId="4F48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BD7771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53278E5">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994E94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4460AB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E0B5BC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456E0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5078F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2786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7664C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43F6BF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650B6F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1B38B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E9931F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FEABB9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35D96AB">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1.屏幕尺寸≥宽5.12m*高1.76m；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2.LED像素点间距≤1.25m;像素密度≥640000点/m2，模组尺寸：320mm*160mm;；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3.屏幕亮度：≥1200cd/m²可调，256级无灰度损失调节;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4.可视角度：水平≥178°，垂直≥178°；</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5.亮度均匀性 ≥99.5%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6.峰值功耗≤290W/㎡，平均功耗≤110W/㎡；</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7.使用寿命与时效时间：≥120000H；</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8.发光中心距偏差：≤0.5%；</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9.对比度≥21000:1;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10.反光率:≤1%;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11.色温：1000K～20000K可调;</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12.投标产品要求刷新率960Hz-7680Hz可调；</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97BEBC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1A198C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964CE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EC5243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618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E222EDD">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001/19</w:t>
            </w:r>
          </w:p>
          <w:p w14:paraId="6B82C919">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开关电源2</w:t>
            </w:r>
          </w:p>
          <w:p w14:paraId="4ABFFF7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30块</w:t>
            </w:r>
          </w:p>
          <w:p w14:paraId="21D60C63">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55C75B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865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70F7EC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A81E3D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E03012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663E53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F51870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9E239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C1858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C3E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DFA632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05C268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2728C8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ECEB6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DF24A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017E6B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D0242E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1.≥5V 40A</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979AB98">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E3395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640A7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4D591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297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2CD565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001/20</w:t>
            </w:r>
          </w:p>
          <w:p w14:paraId="4C3D753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接收卡2</w:t>
            </w:r>
          </w:p>
          <w:p w14:paraId="255CB08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32张</w:t>
            </w:r>
          </w:p>
          <w:p w14:paraId="65F9B525">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E94FC15">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423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F905F6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E78E4DF">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BD31E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8DEBCA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DD20E9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31A0B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E6BF62">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2E6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A60BA2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D6303D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989238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AA6837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DE6E15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B72C58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A3B753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1.带载须不低于512×384个像素点。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2.须支持在线监测板卡和箱体的运行状态，包括：电压，温度，误码数、主备状态、网口状态、风扇状态、箱门状态、烟雾状态、指示灯状态等，可实时巡检接收卡链路，上报异常。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3.须支持通过一个客户端软件，可实现多台设备的集中管理。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4.须接收卡配置过程中可采用快速走线模板中的走线方式，实现快速高效走线。</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5.须可通过箱体液晶模块显示接收卡温度、电压、单次运行时间和总运行时间。</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6.须支持接收卡和箱体的监控，包括电压、温度、湿度、误码数、主备状态、网口状态、风扇状态、箱门状态、烟雾状态等。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7.须可通过多台设备级联,共同实现 LED 显示屏的显示。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8.须支持接收卡的恢复出厂设置。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9.须支持对已连接设备进行探测。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10.须支持通过指示灯的闪烁频率，提示设备的运行状态。</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DD3871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ECC70E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08628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28526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99C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21DC3A3">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001/21</w:t>
            </w:r>
          </w:p>
          <w:p w14:paraId="51D6C35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视频控制器2</w:t>
            </w:r>
          </w:p>
          <w:p w14:paraId="41950E4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66FFE17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2A241B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768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E2307E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C96FD8F">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8C1D79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05A904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3847A0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4F203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90FF16">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B78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337D75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B51EFE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09AE2B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CA1C20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3FEDFD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A22427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81FAEFD">
            <w:pPr>
              <w:ind w:hanging="1"/>
              <w:rPr>
                <w:rFonts w:ascii="仿宋" w:hAnsi="仿宋" w:eastAsia="仿宋"/>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1.须支持HDMI2.0、HDMI1.3、DVI、USB、12G-SDI/DP1.2(选配)信号输入</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 HDR 信号输入，可支持 8bit、10bit、12bit视频输入</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3.须多台设备之间可实现同步传输显示，不同设备带载 LED 不会出现撕裂现象</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4.须支持对图像色域进行调节，支持自动调节(色域图调节) 和手动调节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5.须可用不同的身份登录控制系统，实现分权管理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6.须通过传感器感知到设备异常后可实现系统自动断电</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7.须支持LED 亮色度校正,校正参数下发给接收卡时间低于60S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8.配置≥8路千兆网口和≥2路光纤接口输出，单台设备最大带载≥520万像素，输出横向最大为≥8192像素，纵向最大为≥8192像素</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83AB43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CC6112B">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A81789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27A886">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89C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8F6AB5A">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001/22</w:t>
            </w:r>
          </w:p>
          <w:p w14:paraId="7F7BCA39">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配电柜2</w:t>
            </w:r>
          </w:p>
          <w:p w14:paraId="3A8C1717">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60C3D463">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AB8EE8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C71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C3C913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CA48395">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222803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05F759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7178A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D22ADD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D4ECBE">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87A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DC8FEA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BF2155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51D9D3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5BD0B0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A88A0F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46F5E5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D7BCA7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1.须支持自定义能效输出及回路，支持中央控制和多媒体总控和分路控制管理功能，支持RS232、RS485、UDP、RJ45管理通道，支持物联网远程控制与自定义编程控制。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2.须支持因出现短路、烟雾、高温、过压等紧急状态，具备智能自动保护功能，支持可编程远程控制唤醒功能；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选配智能监测功能，系统运行出现异常时，具有短信提醒功能和自动防护功能，有效防止系统运行异常造成的设备损坏及安全问题。集成器内部结构具有滑轨锁扣式固定结构，可对接地短路进行分离，提升了漏电保护安全性。支持运行状态数据日志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4.须支持选配户外防护性漏洞自检并开启自动保护功能，当传感器检测到设备运行指标异常时及时告警，并启动应急保护装置。支持选配液晶触摸屏，触摸屏显示界面支持自定义软件门户界面编程功能。</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121AB8D">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5BABEBF">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B1259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5B9F6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1DC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FF8356D">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001/23</w:t>
            </w:r>
          </w:p>
          <w:p w14:paraId="48B4E6F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电脑2</w:t>
            </w:r>
          </w:p>
          <w:p w14:paraId="484D3851">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22679AD5">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736B56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1CF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25D4C4E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6AF261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AD6443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E88758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2B3412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DC7965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28999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91E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33774D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B52687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0ACC94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1C2CA6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761373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F7ABDA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FBB04C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1.CPU：≥8核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2.内存：≥16G</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3.硬盘：≥512固态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4.显卡：独立显卡，≥2G显存</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5.显示器：≥23.8寸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6.预装操作系统</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8649C1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6EEC0B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5A685E">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E4715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0F9B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3866CB5">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001/24</w:t>
            </w:r>
          </w:p>
          <w:p w14:paraId="25BE749D">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框架结构2</w:t>
            </w:r>
          </w:p>
          <w:p w14:paraId="3E7B6D49">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10平方米</w:t>
            </w:r>
          </w:p>
          <w:p w14:paraId="2BF4BEC9">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9B0039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0B9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776319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9C99CBB">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F29F16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21E315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6C46C6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E75E54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99CAA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D41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773900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93D3DB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099C53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4438D8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731663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3147AC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7E0DF6B">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1.须根据现场环境定制，采用镀锌钢管，包括屏幕周边的封边处理</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71B0225">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006249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943E26">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AFA45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7DB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A5621C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001/25</w:t>
            </w:r>
          </w:p>
          <w:p w14:paraId="0EBD82A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LED显示屏电缆2</w:t>
            </w:r>
          </w:p>
          <w:p w14:paraId="362381C0">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100米</w:t>
            </w:r>
          </w:p>
          <w:p w14:paraId="6D78DB94">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3BCC00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CBE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B7CEFE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F27D80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F44D4B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B3766E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F1B126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6F965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2DDA9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078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1D3131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A7BFA9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619900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5DE9FC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7649C3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5CB23F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A46EFC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1.不低于ZR-YJV-0.6/1KV-4*4</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90B9CD9">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6B2828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1217A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0618F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CF5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C4F4E7A">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001/26</w:t>
            </w:r>
          </w:p>
          <w:p w14:paraId="67F2F72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HDMI线2</w:t>
            </w:r>
          </w:p>
          <w:p w14:paraId="04C9E79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1根</w:t>
            </w:r>
          </w:p>
          <w:p w14:paraId="77F86330">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E77C5AA">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19F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F08CA2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31F7B3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648118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897EBC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6848CB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B9797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3175A0">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EAD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6CC639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132488B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D863DE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FB4DD0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4DB257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AD5815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D5CA50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1.HDMI线，≥10米</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07ED9D6">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ED7558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296049">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201E3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E0C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69AB5B8">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001/27</w:t>
            </w:r>
          </w:p>
          <w:p w14:paraId="12A721A0">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图像远程切换器</w:t>
            </w:r>
          </w:p>
          <w:p w14:paraId="0231CC47">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60892E5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B04DEA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F06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E49C46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D076EBC">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12E828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702F13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1A1EFE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0ECB1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90B54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ED9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249119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62FE62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CC841C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7E39D1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EBA788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DF401A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EEC24D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1.须支持远程辅助LED大屏幕轮播观看提醒功能，图像辅助切换速度≤1S，支持操作端与PC端互动控制。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2.须支持一键发射远程辅助显示射频信号，远程辅助射频命令可通过人体操控进行远端控制，支持人机互动功能，可通过按键进行显示画面任意切换功能，远程控制距离≥30米。</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3.须图像远程切换器为免维护设计，具有≥4个控制开关和指令按钮。</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ABE4D25">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F53A29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BA7979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70AB3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B37B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A61A87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001/28</w:t>
            </w:r>
          </w:p>
          <w:p w14:paraId="2C2A36FA">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警戒网络摄像机</w:t>
            </w:r>
          </w:p>
          <w:p w14:paraId="152574CE">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25台</w:t>
            </w:r>
          </w:p>
          <w:p w14:paraId="3348D4E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E86DC44">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2D5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302A34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B7751A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A145C9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C14D73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A87CD8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81559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0BCAE6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271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DCF78F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3AC7C8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1F3245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DE216F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E782FC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DD43E6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4A8C367">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1.不低于400万像素，筒型网络摄像机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2.须提供准确的人车分类侦测，支持越界侦测，区域入侵侦测，进入区域侦测和离开区域侦测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3.当检测区域出现篮球、小狗、树摇晃等情况时，不会触发报警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4.须支持报警联动白光闪烁报警和声音报警，报警声音类型不小于11种，报警音量和重复次数可设置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5.须支持智能资源模式切换：包含但不限于人脸抓拍、热度图、道路监控、Smart事件、人数统计，多种智能模式可按需切换</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6.须支持不少于三码流技术，支持同时不少于20路取流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7.传感器类型：不低于1/1.8" </w:t>
            </w:r>
          </w:p>
          <w:p w14:paraId="65A2EDF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8.最低照度彩色不大于0.0002lx，黑白不大于0.0001 lx</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9.内置不低于2.7~13.5mm镜头，支持电动变焦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10.须支持防补光过曝开启和关闭，开启下支持自动和手动，手动支持根据距离等级控制补光灯亮度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11.不少于4颗灯珠，普通监控：最远补光距离不低于50 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12.同一场景相同图像质量下设备在H.264或H.265编码时，开启智能编码和不开启智能编码相比，码率节约≥90%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13.防护：不低于IP67</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B00EC6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EC8103E">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30A61F">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3CFAAF">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282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E247F0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001/29</w:t>
            </w:r>
          </w:p>
          <w:p w14:paraId="4FC5128D">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智能球型摄像机</w:t>
            </w:r>
          </w:p>
          <w:p w14:paraId="28E3C3C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29台</w:t>
            </w:r>
          </w:p>
          <w:p w14:paraId="12E66512">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FE37FE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885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F5F784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7D468AF">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2C447E3">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642316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65A6AD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4765D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E7273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4CB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ABE1C1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B7614A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C6C0C5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228091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A96C22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E82C78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70A7C4E">
            <w:pPr>
              <w:ind w:hanging="1"/>
              <w:rPr>
                <w:rFonts w:ascii="仿宋" w:hAnsi="仿宋" w:eastAsia="仿宋"/>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1.不低于400万像素，球机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2.须支持声光警戒，支持区域入侵侦测、越界侦测、进入区域侦测和离开区域侦等智能侦测并联动跟随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3.须提供精准的人车分类侦测、报警、联动球机镜头进行快速查看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4.须支持报警联动白光闪烁报警和声音报警，声音内容可选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5.须支持切换为人脸抓拍模式，最大同时抓拍不少于5张人脸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6.须支持人车检测信息叠加至码流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7.须内置加热玻璃，有效除雾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8.须支持16倍数字变倍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9.传感器类型：不低于1/1.8＂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10.最低照度：红外灯关闭：彩色≤0.005Lux，黑白模式≤0.001Lux</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11.不低于23倍光学变焦镜头，最大焦距不低于135.7mm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12.水平旋转范围不低于360°连续旋转，垂直旋转范围不低于-15°~90°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13.不少于一个内置扬声器，有效距离不低于30 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14.防护不低于：IP66</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FE0DA31">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DCF5AF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54C80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66FCF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01A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381B89C">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001/30</w:t>
            </w:r>
          </w:p>
          <w:p w14:paraId="767DA554">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热成像球型摄像机</w:t>
            </w:r>
          </w:p>
          <w:p w14:paraId="16B8128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3台</w:t>
            </w:r>
          </w:p>
          <w:p w14:paraId="2A495501">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C21136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41D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BA2776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78CCE49">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2DCF8F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453990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A08C26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32144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4F2329">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74D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0FE45B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4DABA1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8817D4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552B0C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D66574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261B1F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8717AE2">
            <w:pPr>
              <w:ind w:hanging="1"/>
              <w:rPr>
                <w:rFonts w:ascii="仿宋" w:hAnsi="仿宋" w:eastAsia="仿宋"/>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1.热成像传感器类型：氧化钒非制冷型探测器；热成像像元尺寸：不低于12 μm；热成像响应波段：不低于8~14μm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2.热成像分辨率：不低于640 × 512；热成像焦距：不低于18mm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3.热成像最大光圈值：不低于F1.1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4.热成像近摄距：不低于4.5m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5.人员最远报警距离（以1.8米*0.5米为准）：不低于180m；车辆最远报警距离（以4米*1.4米为准）：不低于540m；火点最远报警距离（以2米*2米为准）：不低于1500m；船只最远报警距离（以10米*5米为准）：不低于720m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6.可见光补光功能：红外补光，有效距离不低于250 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7.水平范围不低于360°连续旋转，垂直范围不低于：-20°~90°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8.最大预览路数：不少于20路</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9.网口：1 个RJ45 10/100M自适应以太网口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10.抗风等级：不低于12级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11.防护等级：不低于IP67</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897E03C">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A319A6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FC204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2BC49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E4D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C0393B4">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001/31</w:t>
            </w:r>
          </w:p>
          <w:p w14:paraId="17C38C4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客流统计摄像机</w:t>
            </w:r>
          </w:p>
          <w:p w14:paraId="7CB02EC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3台</w:t>
            </w:r>
          </w:p>
          <w:p w14:paraId="3EA7207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3ECAB68">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ED7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B2D767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3A7D0A1">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53CF98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5343C5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7D4609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94125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AA6EB0">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FB7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2ED7F5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DAFC5B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681D0A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DFDD43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794D05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E25166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32DDB8F">
            <w:pPr>
              <w:ind w:hanging="1"/>
              <w:rPr>
                <w:rFonts w:hint="eastAsia" w:ascii="仿宋" w:hAnsi="仿宋" w:eastAsia="仿宋" w:cs="仿宋"/>
                <w:i w:val="0"/>
                <w:iCs w:val="0"/>
                <w:color w:val="000000"/>
                <w:kern w:val="0"/>
                <w:sz w:val="21"/>
                <w:szCs w:val="21"/>
                <w:highlight w:val="none"/>
                <w:u w:val="none"/>
                <w:lang w:val="en-US" w:eastAsia="zh-CN" w:bidi="ar"/>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1.不低于400万像素，筒型摄像机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2.须可实现对客流统计、人数统计、人员密度等功能的准确统计</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3.传感器类型：不低于1/2.7" </w:t>
            </w:r>
          </w:p>
          <w:p w14:paraId="6AB4192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4.最低照度彩色不大于0.0005 lx，黑白不大于0.0001 lx。</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5.焦距不低于2.8~12 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6.默认红外补光，可切换至暖白光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7.补光距离不低于50m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8.不低于IP67防尘防水</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17BB31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0C7CE6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3A2F4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4D7B6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893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61DB3A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001/32</w:t>
            </w:r>
          </w:p>
          <w:p w14:paraId="654BEF6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网络摄像机支架</w:t>
            </w:r>
          </w:p>
          <w:p w14:paraId="037D15A3">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25个</w:t>
            </w:r>
          </w:p>
          <w:p w14:paraId="6900C4D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D13E6A8">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114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544385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9E4513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9E34DC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9EDFAA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902284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88F2E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738EF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7EE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DA3AD8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D1BD1D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52BCBE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7A0A1B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3C1692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6D4851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74FD38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1.筒型摄像机配套壁装支架，须支持调整角度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2.最大承受重量不低于2KG</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15DFFB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952C7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250DB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4772898">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9C3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B30A58F">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001/33</w:t>
            </w:r>
          </w:p>
          <w:p w14:paraId="5B184B2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智能球型摄像机支架</w:t>
            </w:r>
          </w:p>
          <w:p w14:paraId="1088A61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29个</w:t>
            </w:r>
          </w:p>
          <w:p w14:paraId="5BB1B12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C52F89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028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276A45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5C1F807">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3044C7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DD69A5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DD8CBA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403D3A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B648CC">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A7E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A0A859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BE6E88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24A081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701D5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E3F335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DF3554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E5787D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1.球机摄像机配套壁装支架</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52EA646">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666A21B">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CF051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09576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B45E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4A19E7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001/34</w:t>
            </w:r>
          </w:p>
          <w:p w14:paraId="0AE1FB6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热成像球型摄像机支架</w:t>
            </w:r>
          </w:p>
          <w:p w14:paraId="048D0CCA">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3个</w:t>
            </w:r>
          </w:p>
          <w:p w14:paraId="21361A5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8624A1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2E99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F6AED0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F530070">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895342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47A0B1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769C9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81FD5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04375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D58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B4A788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B3A06D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6074F3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030BBB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D71670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0A15A6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8F7CEE0">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1.热成像球型摄像机配套壁装支架</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4B375E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B95DC4D">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CF2513">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C3D42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AE4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F0C343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001/35</w:t>
            </w:r>
          </w:p>
          <w:p w14:paraId="792D1041">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客流统计摄像机支架</w:t>
            </w:r>
          </w:p>
          <w:p w14:paraId="4D02601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3个</w:t>
            </w:r>
          </w:p>
          <w:p w14:paraId="21AB3025">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25972D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A90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0EC3D5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04295E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EA84BE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25588E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321B63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1D36F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458B1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995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E1ECD9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C6AC0E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3A41A3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EB40B4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B0BE82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A7511D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E069405">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1.须根据现场实际安装环境，提供配套吊装/壁装支架</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6DEA72A">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8569E6E">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81AA2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A10273">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1D4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7A34D9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001/36</w:t>
            </w:r>
          </w:p>
          <w:p w14:paraId="37DA97A8">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室外防水监控箱</w:t>
            </w:r>
          </w:p>
          <w:p w14:paraId="20C2BFC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60个</w:t>
            </w:r>
          </w:p>
          <w:p w14:paraId="166093D9">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3D0B597">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71B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167D5A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E1F074A">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E3641E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E9225D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51341D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8F65A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02AAAC">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D35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805041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2B50DD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26D0A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6EC418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CA3A03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EF3C2D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DD250E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1.≥400*300*180，白钢室外防水监控箱</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290876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F0E29DD">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E1956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9463B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09B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BB90E8F">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001/37</w:t>
            </w:r>
          </w:p>
          <w:p w14:paraId="40EE5C8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摄像机电源</w:t>
            </w:r>
          </w:p>
          <w:p w14:paraId="4FC5EDD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28个</w:t>
            </w:r>
          </w:p>
          <w:p w14:paraId="2357B24D">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95FFEE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E976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3AA8AA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25559D4">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A73999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599FE1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250706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321B8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90CC0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F18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D8E7EE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405150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791FB8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B3AEBF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9FC975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5CFFA0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E9B298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1.筒型网络摄像机电源</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37F77B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5BF36CD">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092BA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C212E1">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B03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F65D23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001/38</w:t>
            </w:r>
          </w:p>
          <w:p w14:paraId="10FE8590">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空气开关</w:t>
            </w:r>
          </w:p>
          <w:p w14:paraId="3D648D36">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60个</w:t>
            </w:r>
          </w:p>
          <w:p w14:paraId="774A33E2">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14EF6AC">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2421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D324E6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9FD496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27238E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A3CAD2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97C1BC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CB2C8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D0A8D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D75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2A1A6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E68026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835008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A8142A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49F3B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16B8E5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D50907F">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1.≥C10空开，带漏电保护功能</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7CE258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FD7872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E66AF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2E212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26A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E43C7A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001/39</w:t>
            </w:r>
          </w:p>
          <w:p w14:paraId="5C1A6270">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五孔插座</w:t>
            </w:r>
          </w:p>
          <w:p w14:paraId="01B10AF2">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60个</w:t>
            </w:r>
          </w:p>
          <w:p w14:paraId="47247FD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3B8953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C53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1F303E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2B59F07">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C2DB1F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20E94E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21AF93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6C7CE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DBA52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306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77BF59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769733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725A7C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D88B9C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51BE09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F648C4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CCBB6D5">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1.≥三插位五孔</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09E1BC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1D2062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ABA43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A87F2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A0C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74CD00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001/40</w:t>
            </w:r>
          </w:p>
          <w:p w14:paraId="3A465A8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光纤收发器</w:t>
            </w:r>
          </w:p>
          <w:p w14:paraId="3EAE7C8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60对</w:t>
            </w:r>
          </w:p>
          <w:p w14:paraId="5D4FB145">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1D8F7E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E18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95CD55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0DBCB1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B27B44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8B5C40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D37C65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C5E3C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BAED18">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130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657F67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E73093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D1BB80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C9C052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10F1FC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1A57A0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7A43F20">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1.≥一光一电3km，SC接口</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C13648D">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284E9D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3BE33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674DCE8">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052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F12B05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001/41</w:t>
            </w:r>
          </w:p>
          <w:p w14:paraId="17FC50A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尾纤盒</w:t>
            </w:r>
          </w:p>
          <w:p w14:paraId="51C3E96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60个</w:t>
            </w:r>
          </w:p>
          <w:p w14:paraId="46DA1D6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02E418C">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8B5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9F31B9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26FC0AD">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19BD9D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513F6A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A27EB8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C5703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953118">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E13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F2611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6F8215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B1007F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CC0DDF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C8F5D3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01C1C6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1DEAED8">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1.≥4口终端盒，SC满配</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2EBC2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764315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AB4F2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6D21A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13AF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CAB972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001/42</w:t>
            </w:r>
          </w:p>
          <w:p w14:paraId="3D7D31D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光缆接头盒</w:t>
            </w:r>
          </w:p>
          <w:p w14:paraId="7F592343">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60个</w:t>
            </w:r>
          </w:p>
          <w:p w14:paraId="0F99A67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67AB7B5">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00E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12025F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5BAF4A1">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73D265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84D55B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F53401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A4B3B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2DA480">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C88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76C819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80AA5A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C70D83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AFDBBB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E2C1C7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22883B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53F79B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1.≥二进二出</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BE4A611">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B13416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26CFE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D2B8E8">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BE5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2890845">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001/43</w:t>
            </w:r>
          </w:p>
          <w:p w14:paraId="17266DBA">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油木杆</w:t>
            </w:r>
          </w:p>
          <w:p w14:paraId="243F2E66">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55根</w:t>
            </w:r>
          </w:p>
          <w:p w14:paraId="4BC86863">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805DC38">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1B5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01165B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9536BA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F21357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B097CF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1EDF43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F58C4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0B66D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5A1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2FB08F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4DCC3B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A17FBC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FE828D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E747C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874EEC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9924660">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1.≥7米高，≥12cm粗</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290BA3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65941BC">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DC3B2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2B8EF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063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B7D354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001/44</w:t>
            </w:r>
          </w:p>
          <w:p w14:paraId="280F46D4">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监控杆</w:t>
            </w:r>
          </w:p>
          <w:p w14:paraId="27D3406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2"/>
                <w:szCs w:val="22"/>
                <w:highlight w:val="none"/>
                <w:lang w:val="en-US" w:eastAsia="zh-CN"/>
              </w:rPr>
            </w:pPr>
            <w:r>
              <w:rPr>
                <w:rFonts w:hint="eastAsia" w:ascii="仿宋_GB2312" w:hAnsi="仿宋_GB2312" w:eastAsia="仿宋_GB2312" w:cs="仿宋_GB2312"/>
                <w:color w:val="auto"/>
                <w:kern w:val="2"/>
                <w:sz w:val="22"/>
                <w:szCs w:val="22"/>
                <w:highlight w:val="none"/>
              </w:rPr>
              <w:t>数量：</w:t>
            </w:r>
            <w:r>
              <w:rPr>
                <w:rFonts w:hint="eastAsia" w:ascii="仿宋_GB2312" w:hAnsi="仿宋_GB2312" w:eastAsia="仿宋_GB2312" w:cs="仿宋_GB2312"/>
                <w:color w:val="auto"/>
                <w:kern w:val="2"/>
                <w:sz w:val="22"/>
                <w:szCs w:val="22"/>
                <w:highlight w:val="none"/>
                <w:lang w:val="en-US" w:eastAsia="zh-CN"/>
              </w:rPr>
              <w:t>30根</w:t>
            </w:r>
          </w:p>
          <w:p w14:paraId="375BA251">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3794227">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423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E73794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242257C">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D25A70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8AFFB0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6EC790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B279B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C80E59">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FD7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A4C30E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D03328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B2ADFB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844616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5574F8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323330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FFA551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1.≥4米，含水泥基础</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526DB0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525948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FA2C1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D9F69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7F8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593227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001/45</w:t>
            </w:r>
          </w:p>
          <w:p w14:paraId="641320A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监控杆基础</w:t>
            </w:r>
          </w:p>
          <w:p w14:paraId="148134AA">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85项</w:t>
            </w:r>
          </w:p>
          <w:p w14:paraId="6A1E512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4C3A8C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429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C90B4A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080371F">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A91699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6D89DA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B9724A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CE349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CC08A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EDA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CD737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5AAA7F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1B67DB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3CA56C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3EA435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12D586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48CA60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1.须根据现场实际情况定制，须包含基础框架，基坑开挖、底层铺垫、预埋件安装、基础浇筑、立杆安装、封浆处理、横臂安装等。</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692E77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625710C">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EED0F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92841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4E3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26CDC9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001/46</w:t>
            </w:r>
          </w:p>
          <w:p w14:paraId="1434E44C">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光纤收发器机架</w:t>
            </w:r>
          </w:p>
          <w:p w14:paraId="527FACDA">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5个</w:t>
            </w:r>
          </w:p>
          <w:p w14:paraId="2CBD4AF2">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A96B5C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298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26F1008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4BE1CE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5BC1DF3">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63942E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F28709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305B8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EC71B8">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0A8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8B9F02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85ADC3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BBE31B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589216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59A780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32D391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B3E42BF">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1.≥14槽机框</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12B4896">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77BE57C">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D43949">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4E94A1">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733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F75A4D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001/47</w:t>
            </w:r>
          </w:p>
          <w:p w14:paraId="2D4FF1E9">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配电箱</w:t>
            </w:r>
          </w:p>
          <w:p w14:paraId="4973CB5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1个</w:t>
            </w:r>
          </w:p>
          <w:p w14:paraId="606F9882">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A960CB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A5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8B15C3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1579F2A">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CBC702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0F0F67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CD1102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0DE0C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1C8A9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AD2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983639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AB42C5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EC2EF7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9F38F8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4812E8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062940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69D1BA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1.含≥C60空气开关，须带漏电保护功能</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DEE1164">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857E48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BBB0AE">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FB3A4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B3F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5FF4F85">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001/48</w:t>
            </w:r>
          </w:p>
          <w:p w14:paraId="6253E3C8">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光交箱</w:t>
            </w:r>
          </w:p>
          <w:p w14:paraId="21A757E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1个</w:t>
            </w:r>
          </w:p>
          <w:p w14:paraId="1B70AD14">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631E31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8F92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DA1248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22FC21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3735F9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6A1562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5BEBE7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4B9DB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F758FC">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F0F5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9329C0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1F5050E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F625EE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60EAF9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AF5650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9570B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A673C28">
            <w:pPr>
              <w:ind w:hanging="1"/>
              <w:jc w:val="left"/>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1.含≥48芯光纤配线架</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7308B04">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6F31F88">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EDF7A2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235A4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816C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306BE0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001/49</w:t>
            </w:r>
          </w:p>
          <w:p w14:paraId="648A7B4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网络存储</w:t>
            </w:r>
          </w:p>
          <w:p w14:paraId="5CAD5917">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2D125C2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4B0575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2FF4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8E99F34">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0E9D621">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185C2F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718D22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B1EB60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3DDD17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323782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EE9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277675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FBCF8E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71A0AD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282C75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4CDBDB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7CB417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B83E0DF">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1.机架式，网络存储设备</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2.须具备冗余风扇，实现不低于7×24小时稳定运行</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3.不少于24盘位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4.处理器不少于：1颗64位多核处理器；系统内存：不低于8GB（可扩展至不低于64GB）；系统盘：不低于1×240GB SSD</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5.支持硬盘热插拔；网络接口不少于：4个千兆数据网口，1个千兆管理口；其他接口不少于：1×COM，2×USB2.0，2×USB3.0，1×VGA，1×HDMI；整机电源不低于：550W，1+1冗余电源</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6.视频性能：支持接入不少于768路（接入带宽不低于1536Mbps）；图片性能：支持不少于100张/S（单张图片不低于500KB）；回放性能：支持不少于76路2Mbps；事件录像：支持不少于200路2Mbps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7.须支持ONVIF、GB/T 28181等标准协议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8.须支持定时录像、事件录像、手动录像等多种录像方式；支持视频检索功能，按照监控点编号、录像类型、时间组合等条件查询；支持视频回放功能，正序回放、定位回放、倍速回放等功能</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F1D99E4">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C45DCAF">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A120C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6289C9">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B96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36D223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001/50</w:t>
            </w:r>
          </w:p>
          <w:p w14:paraId="13D740A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网络存储硬盘</w:t>
            </w:r>
          </w:p>
          <w:p w14:paraId="772134B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24块</w:t>
            </w:r>
          </w:p>
          <w:p w14:paraId="6ABA72F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022201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DCC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F40BE7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96129F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6F8AA0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7EE230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7A4A97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3BD57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1892F6">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6B0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11E3E1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820E0A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82D86E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8E77BD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4FE37C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9207B5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6944B5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1.标称容量：≥12TB</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2.接口类型：SATA</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3.尺寸：≥3.5寸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4.转速：≥7200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5.缓存：≥512MB</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6.MTBF：≥2000000 h</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FEDF468">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B1A879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DF4B9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74E58D">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03BD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CF7EAEF">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001/51</w:t>
            </w:r>
          </w:p>
          <w:p w14:paraId="595115D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网络硬盘录像机</w:t>
            </w:r>
          </w:p>
          <w:p w14:paraId="153981C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628FF42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63ED1EA">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7FE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C3F840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578486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0928AE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C0E5FC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3DB9C9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798A0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2761E02">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E3E5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BA70EE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09D346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C43A7A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68426B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F9D45E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A2062F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DB176B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1.机架式，嵌入式网络硬盘录像机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2.大于2盘位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3.单盘最大支持不低于20TB硬盘；视频接口不少于：1×HDMI，1×VGA；网络接口不少于：2×RJ45 10/100/1000Mbps自适应以太网口；报警接口不少于：4路报警输入，1路报警输出；USB接口不少于：1×USB 2.0，1×USB 3.0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4.输入带宽不低于：256Mbps；输出带宽不低于：256Mbps；接入能力不低于：16路H.264、H.265格式高清码流接入；解码能力不低于：16×1080P；显示能力不低于：8K+1080P异源输出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5.整机须搭载高性能AI处理器，搭配智能相机，支持全路数以文搜图应用</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6.须内置图文搜索引擎，支持开放式语义检索，输入文字描述即可查找人、车、非机动车及附属物等目标；支持搜索结果按相似度排序展示，根据搜索结果，可一键关联录像片段及以图搜图；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7.目标识别：支持目标抓拍、比对报警；支持以图搜图、按姓名检索、按属性检索；目标名单库：支持不少于16个名单库，总库容不少于5万张</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8FE581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EFA0644">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48F975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86FD4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4F2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75957AE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001/52</w:t>
            </w:r>
          </w:p>
          <w:p w14:paraId="2D2B596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录像机专用硬盘</w:t>
            </w:r>
          </w:p>
          <w:p w14:paraId="6646C14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1块</w:t>
            </w:r>
          </w:p>
          <w:p w14:paraId="7583C749">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8AA58D4">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ED88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1013B6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CEF7E6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8339A6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BB242E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D7EFC7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DBCF3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E25D7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411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B230DA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B57452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4FEE7F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161FA3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07FBD9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025D1E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C4767B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1.容量≥8TB</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1599398">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43619C4">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4BAF4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DE046C">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457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5DB2AA4">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001/53</w:t>
            </w:r>
          </w:p>
          <w:p w14:paraId="66CFA2F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双路通用服务器</w:t>
            </w:r>
          </w:p>
          <w:p w14:paraId="3247BB3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25B9F12B">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2C32E5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CE8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58CBE7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4DD6715">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145A08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721EDC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3C926F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241A7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0FF7E2">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05E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99D7C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FB2C0B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ECABA2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DC018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9E8CB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32A834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2EFAE4C">
            <w:pPr>
              <w:ind w:hanging="1"/>
              <w:rPr>
                <w:rFonts w:hint="eastAsia"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1.标准机架式服务器</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2.CPU：配置≥1颗国产化处理器，单处理器物理核心数≥8核，主频≥2.5GHz；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3.内存：配置≥64G DDR4，≥8根内存插槽，可支持扩展至≥1TB；</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4.硬盘：≥2块600G 10K SAS硬盘（Raid1），最大可选支持≥12块3.5寸(兼容2.5寸)热插拔SATA/SAS硬盘，可选支持≥2块2.5寸热插拔SATA/SAS硬盘，内置最大可选支持≥2块2.5寸非热插拔SATA SSD硬盘，板载最大可选支持≥1个SATA M.2硬盘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5.阵列卡：配置SAS_HBA卡（支持RAID 0/1/10）</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6.PCIE扩展：支持≥4个标准PCIE插槽；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7.网口：≥2个千兆电口和≥2个PCIE千兆电口，可选配置≥2个万兆网口，支持选配10GbE SFP+等多种网络接口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8.其他接口不少于：1个IPMI RJ-45管理接口，4个USB 3.0接口 ，2个VGA接口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9.电源：配置≥550W（1+1）冗余电源</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B8FED74">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A2152F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BECD2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1C35E2">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7FF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6CEA3E5">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001/54</w:t>
            </w:r>
          </w:p>
          <w:p w14:paraId="35267E8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核心交换机</w:t>
            </w:r>
          </w:p>
          <w:p w14:paraId="3DD90B4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7CB07DA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D8DB1D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072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09DAD1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ACFEC63">
            <w:pPr>
              <w:pStyle w:val="27"/>
              <w:ind w:hanging="1" w:firstLineChars="0"/>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FE7378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5243838">
            <w:pPr>
              <w:pStyle w:val="27"/>
              <w:tabs>
                <w:tab w:val="left" w:pos="0"/>
              </w:tabs>
              <w:spacing w:line="240" w:lineRule="exact"/>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7D234C2">
            <w:pPr>
              <w:pStyle w:val="27"/>
              <w:tabs>
                <w:tab w:val="left" w:pos="0"/>
              </w:tabs>
              <w:spacing w:line="240" w:lineRule="exact"/>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C86436">
            <w:pPr>
              <w:pStyle w:val="27"/>
              <w:tabs>
                <w:tab w:val="left" w:pos="0"/>
              </w:tabs>
              <w:spacing w:line="240" w:lineRule="exact"/>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2819C9">
            <w:pPr>
              <w:pStyle w:val="27"/>
              <w:tabs>
                <w:tab w:val="left" w:pos="0"/>
              </w:tabs>
              <w:spacing w:line="240" w:lineRule="exact"/>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szCs w:val="21"/>
                <w:highlight w:val="none"/>
              </w:rPr>
              <w:t>证明材料</w:t>
            </w:r>
          </w:p>
        </w:tc>
      </w:tr>
      <w:tr w14:paraId="5AD2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11222E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EDED97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831FDD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B328E1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EA8A05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4ADE1E5">
            <w:pPr>
              <w:pStyle w:val="27"/>
              <w:adjustRightInd w:val="0"/>
              <w:snapToGrid w:val="0"/>
              <w:ind w:hanging="1"/>
              <w:jc w:val="center"/>
              <w:rPr>
                <w:rFonts w:hint="eastAsia" w:ascii="仿宋_GB2312" w:hAnsi="仿宋_GB2312" w:eastAsia="仿宋_GB2312" w:cs="仿宋_GB2312"/>
                <w:color w:val="auto"/>
                <w:szCs w:val="21"/>
                <w:highlight w:val="none"/>
                <w:lang w:val="en-US" w:eastAsia="zh-CN"/>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568791E">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1.≥24个10/100/1000BASE-T电口,≥4个1000BASE-X SFP端口,支持AC</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38EBED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584301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C4497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43F987">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p>
        </w:tc>
      </w:tr>
      <w:tr w14:paraId="42FC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8C7FC2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001/55</w:t>
            </w:r>
          </w:p>
          <w:p w14:paraId="41B73AD6">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接入交换机</w:t>
            </w:r>
          </w:p>
          <w:p w14:paraId="463CBE4E">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3台</w:t>
            </w:r>
          </w:p>
          <w:p w14:paraId="664FF451">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9BEACE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D2C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B36C2E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7D966BE">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C26592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99C8FC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A01625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3DA07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15610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2A4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D2521A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1090A2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E7B5BB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463BBF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C1A748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53DBFB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8F8222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1.≥24个10/100/1000M自适应以太网端口</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837DD88">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42060B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51DBAF">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7A818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22B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9C395DA">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001/56</w:t>
            </w:r>
          </w:p>
          <w:p w14:paraId="0593845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机柜</w:t>
            </w:r>
          </w:p>
          <w:p w14:paraId="264395E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2个</w:t>
            </w:r>
          </w:p>
          <w:p w14:paraId="73D1CE04">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17DEE8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8E7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149001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9B96439">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4A0D36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080577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D9F44B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B244F1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B3E890">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BEFB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DD4C6E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765C91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1C9D12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F760F7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CCF522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D30AA6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77B79D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1.≥600*1000*2000，42U，黑色网门</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4D68D1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36A1D5D">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FD8C7A">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06F3B8">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AE2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46A1F1A">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001/57</w:t>
            </w:r>
          </w:p>
          <w:p w14:paraId="0011E19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网线</w:t>
            </w:r>
          </w:p>
          <w:p w14:paraId="4B80ADD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4箱</w:t>
            </w:r>
          </w:p>
          <w:p w14:paraId="1776912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8555AA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4FA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2DC7C0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3255F1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4F4B39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1CC05C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313CFD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20627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5B87ED">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D97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BF366A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5CE9A1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011874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61BB52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A8FB6D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B6F12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137093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1.不低于超五类室外防水网线</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5CEF14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D647CE9">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B0F5A8D">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D9090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01A2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914A00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001/58</w:t>
            </w:r>
          </w:p>
          <w:p w14:paraId="60F08A2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4芯室外光缆</w:t>
            </w:r>
          </w:p>
          <w:p w14:paraId="75D8C922">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400米</w:t>
            </w:r>
          </w:p>
          <w:p w14:paraId="475E42A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F62C05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2947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B58EB8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A2F6A20">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5816A8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66588A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08D525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672A3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77214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077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64A765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C9BB45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59D1F9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B9CC01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32D42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2C2D81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EB20001">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1.不低于GYTA-4B1.3</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D714AE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61F77A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D3C95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9E805A9">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442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F8366D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001/59</w:t>
            </w:r>
          </w:p>
          <w:p w14:paraId="78F484E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8芯室外光缆</w:t>
            </w:r>
          </w:p>
          <w:p w14:paraId="707F1913">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4200米</w:t>
            </w:r>
          </w:p>
          <w:p w14:paraId="74EFE76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1CF908A">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46E2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D4FADF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672E43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3E184F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65912E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BFD4F7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64391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D6B82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FBA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864803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FE6CE7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69EBC4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DB2A67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D226D5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EE15FD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79BC65A">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1.不低于.GYTA-8B1.3</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4A5C50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8D0395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8A3BD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7CAF46">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76AA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7F6DA5C">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001/60</w:t>
            </w:r>
          </w:p>
          <w:p w14:paraId="556EEE9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12芯室外光缆</w:t>
            </w:r>
          </w:p>
          <w:p w14:paraId="16D8E080">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2000米</w:t>
            </w:r>
          </w:p>
          <w:p w14:paraId="4E80103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2A1931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B13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22A668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18C58F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1FC32E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CA6346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90178F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6574D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C98123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46D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63B475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AB53F5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3F7E1E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524914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7F2126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D3C25A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6C00FB3">
            <w:pPr>
              <w:keepNext w:val="0"/>
              <w:keepLines w:val="0"/>
              <w:widowControl/>
              <w:suppressLineNumbers w:val="0"/>
              <w:jc w:val="left"/>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1.不低于GYTA-12B1.3</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FBF64A1">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D7D2DB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4692B1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914422">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2BB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120445D">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001/61</w:t>
            </w:r>
          </w:p>
          <w:p w14:paraId="658CEC7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48芯室外光缆</w:t>
            </w:r>
          </w:p>
          <w:p w14:paraId="5BF9E32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2400米</w:t>
            </w:r>
          </w:p>
          <w:p w14:paraId="501D747D">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24B9EC0">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515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C30808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FC61847">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224157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B05E2E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6B97AF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AE3FE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C32082E">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A34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921FF0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F29F13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23419E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A64D25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5DB010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91A4E1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B727260">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1.不低于GYTA-48B1.3</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30F7BB5">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8C388D9">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5235F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3E43B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86D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E3C73F8">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001/62</w:t>
            </w:r>
          </w:p>
          <w:p w14:paraId="7FF752C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光纤配线架</w:t>
            </w:r>
          </w:p>
          <w:p w14:paraId="1623135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3个</w:t>
            </w:r>
          </w:p>
          <w:p w14:paraId="38DCF4F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A4F61D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F9F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79FEBC3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7B4F03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764F08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FA70AB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9FFFB4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7E19B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C240F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D55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C9E56B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AED0E5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1D90AB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10D62B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15037D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DC137C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5DDD1E8">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1.≥48口ODF光纤配线架SC满配</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77F66EC">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67F28B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42B8B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BBF2C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082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571CDD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001/63</w:t>
            </w:r>
          </w:p>
          <w:p w14:paraId="0EDC8A3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主电缆</w:t>
            </w:r>
          </w:p>
          <w:p w14:paraId="4EFDDCF3">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4000米</w:t>
            </w:r>
          </w:p>
          <w:p w14:paraId="722020E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D9D099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9D2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6AD073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048FDB1">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00EE9B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14CCBC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756CE2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53029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E2D470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3F4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9489A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71F6DE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B1C43D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A17F46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AFF1B4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10A9F8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AF9B924">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1.不低于YJY-5×4</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445DAE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2EFA0B4">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31FE6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0418D9">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552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249AE5D">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001/64</w:t>
            </w:r>
          </w:p>
          <w:p w14:paraId="2F8AE978">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电缆</w:t>
            </w:r>
          </w:p>
          <w:p w14:paraId="6B0654D6">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600</w:t>
            </w:r>
            <w:r>
              <w:rPr>
                <w:rFonts w:hint="eastAsia" w:ascii="仿宋_GB2312" w:hAnsi="仿宋_GB2312" w:eastAsia="仿宋_GB2312" w:cs="仿宋_GB2312"/>
                <w:color w:val="auto"/>
                <w:kern w:val="2"/>
                <w:sz w:val="21"/>
                <w:szCs w:val="21"/>
                <w:highlight w:val="none"/>
                <w:lang w:val="en-US" w:eastAsia="zh-CN"/>
              </w:rPr>
              <w:t>米</w:t>
            </w:r>
          </w:p>
          <w:p w14:paraId="2F0E7C76">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38EF167">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94E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91D90D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78BD391">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6B396B3">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2C3EAB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B86C4E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EC7F7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46B21B">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DF3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2CC229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F8E262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530EAC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9479AE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7578D7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7CC94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A1D503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1.不低于ZC-RVV 2*1.0</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E45BED2">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04EFB68">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DD9B4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37E93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B821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99E86E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001/65</w:t>
            </w:r>
          </w:p>
          <w:p w14:paraId="47CDF0EC">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线缆保护管</w:t>
            </w:r>
          </w:p>
          <w:p w14:paraId="6E711850">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2200米</w:t>
            </w:r>
          </w:p>
          <w:p w14:paraId="0EF6791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848DCE1">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170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7B6151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645E887">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B4D444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B9A3C3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492B1A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347AA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51E439">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39B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00EC99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EEDECC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F7FDED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535F51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CAD75B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2377C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F49F75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1.不低于Φ25</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8E500C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08229F1">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C55B8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E8273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7EB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1DCE06B">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001/66</w:t>
            </w:r>
          </w:p>
          <w:p w14:paraId="272C060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镀锌钢绞线</w:t>
            </w:r>
          </w:p>
          <w:p w14:paraId="16F8B64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3300米</w:t>
            </w:r>
          </w:p>
          <w:p w14:paraId="469CE180">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5E81774">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86B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2359DF5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3A32D85">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928BE7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88B680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81E329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C2584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02DAF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FA3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ABE2F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617DDE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400B63C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F44D69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ED4124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1ABE730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91935B6">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1.不低于6mm</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36072C0">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A14CD3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022E4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701FC3">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2FA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A69FCDF">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001/67</w:t>
            </w:r>
          </w:p>
          <w:p w14:paraId="3BC4E227">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架空线缆敷设</w:t>
            </w:r>
          </w:p>
          <w:p w14:paraId="5AA9E1E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3300米</w:t>
            </w:r>
          </w:p>
          <w:p w14:paraId="3ABF0185">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33C19F8">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BE2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9D545D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BFCAA7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DCBCC2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68A016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DE684A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B75E3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3B3C4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88F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D57FBF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21D49A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10DEF6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551F1E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967098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07BB07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061491F5">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1.须根据现场实际情况定制，须包括拉线及撑杆架设、吊线敷设、架空光缆敷设、连接固定、光缆熔接测试、施工机械费等</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2AC2C4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8D9CF09">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40822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3737F1">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563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95ACBA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001/68</w:t>
            </w:r>
          </w:p>
          <w:p w14:paraId="361CFCF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室外管网建设</w:t>
            </w:r>
          </w:p>
          <w:p w14:paraId="0CDB9FA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 w:hAnsi="仿宋" w:eastAsia="仿宋" w:cs="仿宋"/>
                <w:i w:val="0"/>
                <w:iCs w:val="0"/>
                <w:color w:val="000000"/>
                <w:kern w:val="0"/>
                <w:sz w:val="21"/>
                <w:szCs w:val="21"/>
                <w:highlight w:val="none"/>
                <w:u w:val="none"/>
                <w:lang w:val="en-US" w:eastAsia="zh-CN" w:bidi="ar"/>
              </w:rPr>
              <w:t>2200米</w:t>
            </w:r>
          </w:p>
          <w:p w14:paraId="476CDE67">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3EB9B09">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25B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9B08BD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30F2694">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0C3504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20EE0D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70CAC0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D57043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93806C">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DB0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C11436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4CDEDA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2B460D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3717CF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A3381F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AB6841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95E3FCB">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1.须根据现场实际情况进行管道施工，包含沟槽开挖、电缆光缆敷设、线缆保护管敷设、光缆熔接测试、路面恢复等。</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944BD6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582E1D0">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5CD1C47">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0C5A1B">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0E5F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131D323">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001/69</w:t>
            </w:r>
          </w:p>
          <w:p w14:paraId="264168B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操作台</w:t>
            </w:r>
          </w:p>
          <w:p w14:paraId="01B021C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1个</w:t>
            </w:r>
          </w:p>
          <w:p w14:paraId="514CF47F">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5C142E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3DB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B4DC79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AF9F22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C359374">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3EC18F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ED7CA9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44768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54742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162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DDF0D3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90525D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85F9C7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56EB24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2F70C3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5657CC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5C0212C">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1.≥1200*900*750</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5C6C5D1">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C3245EE">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DD8E72">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9B01A2">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95B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18AA80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001/70</w:t>
            </w:r>
          </w:p>
          <w:p w14:paraId="4DA51F5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办公椅</w:t>
            </w:r>
          </w:p>
          <w:p w14:paraId="1CC9B75B">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2个</w:t>
            </w:r>
          </w:p>
          <w:p w14:paraId="4B406182">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459D73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7C3B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D383C4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4A63253">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4F2042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A9AC4D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160E573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C1317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156A0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BF6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EC1D4D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6444E75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44894C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FE0A5A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B3AC8A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8B9851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F5CA7A1">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1.办公椅，黑色</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7C7EDD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92836E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84655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16A8D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473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BB0842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001/71</w:t>
            </w:r>
          </w:p>
          <w:p w14:paraId="0C1332BD">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UPS电源</w:t>
            </w:r>
          </w:p>
          <w:p w14:paraId="3DAEB724">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13EE517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22F7B7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542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8D9B38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38DD8BC">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906B80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17FABF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C378AC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2D970D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662CEA">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E82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B5F445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111818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12492C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5D18340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F86F4E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79A52E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9311A8F">
            <w:pPr>
              <w:ind w:hanging="1"/>
              <w:rPr>
                <w:rFonts w:ascii="仿宋" w:hAnsi="仿宋" w:eastAsia="仿宋"/>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1.输入输出制式：单进单出方式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b/>
                <w:color w:val="auto"/>
                <w:sz w:val="18"/>
                <w:szCs w:val="18"/>
                <w:highlight w:val="none"/>
              </w:rPr>
              <w:t>★</w:t>
            </w:r>
            <w:r>
              <w:rPr>
                <w:rFonts w:hint="eastAsia" w:ascii="仿宋" w:hAnsi="仿宋" w:eastAsia="仿宋" w:cs="仿宋"/>
                <w:i w:val="0"/>
                <w:iCs w:val="0"/>
                <w:color w:val="000000"/>
                <w:kern w:val="0"/>
                <w:sz w:val="21"/>
                <w:szCs w:val="21"/>
                <w:highlight w:val="none"/>
                <w:u w:val="none"/>
                <w:lang w:val="en-US" w:eastAsia="zh-CN" w:bidi="ar"/>
              </w:rPr>
              <w:t>2.额定输入电压：≥220/230/240Vac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3.输入电压范围：110-300Vac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4.输入频率范围：40-70Hz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5.输入功率因数：≥0.99</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6.额定输出电压：≥220/230/240Vac±1%</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7.输出频率：市电模式跟随旁路；电池模式：50/60±0.5Hz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8.输出功率因数：≥0.8</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9.输出波形失真度：＜3%</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10.效率：≥89%</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0AC277F">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94C00D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A72CD83">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5A2A2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B41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D85C0A4">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001/72</w:t>
            </w:r>
          </w:p>
          <w:p w14:paraId="3C679264">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蓄电池</w:t>
            </w:r>
          </w:p>
          <w:p w14:paraId="3DEACB2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6只</w:t>
            </w:r>
          </w:p>
          <w:p w14:paraId="2FC8310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CF60484">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FB2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8A6CCF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796A9E36">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9FE094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17F5FC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0840D4C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6C82E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142BA8">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7CD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869BA2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05BFA7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B0619F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6515DC2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02202AF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46CCB00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3AC917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1.不低于12V 24AH铅酸免维护蓄电池</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4A4F38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2EAED2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A1F3D4">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DC542F2">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E15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C592A49">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001/73</w:t>
            </w:r>
          </w:p>
          <w:p w14:paraId="487018BF">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电池箱</w:t>
            </w:r>
          </w:p>
          <w:p w14:paraId="235666F8">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5E097226">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CAA8FBD">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174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1A8B49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F52F78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956BC27">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115B8A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C11672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FEF466">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96ACB1">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09C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D508ED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50994D6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6F03F6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3C2208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2150FE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DEF423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8189F1D">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1.可装≥6只12V 24AH电池</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F01AE19">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CAD3E6C">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AD3A1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53E32C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AB1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F00897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001/74</w:t>
            </w:r>
          </w:p>
          <w:p w14:paraId="46438879">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调度室会议桌椅</w:t>
            </w:r>
          </w:p>
          <w:p w14:paraId="0F15D80E">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1套</w:t>
            </w:r>
          </w:p>
          <w:p w14:paraId="37744A0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6BBACC4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B58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81D670D">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4B25927">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C2B5B8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E06794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0CE1E61">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9114E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0C04E7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BD4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FD4B8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D196B0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EB6097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81E87C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4F7F8AB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EF237C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F6A2EDF">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1.会议桌尺寸不低于3500*1600*760mm，不少于12把座椅</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CA1DCF9">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155C0A8">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71496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EEB6521">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29C2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0281FCFE">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001/75</w:t>
            </w:r>
          </w:p>
          <w:p w14:paraId="047C9895">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会议音柱扬声器</w:t>
            </w:r>
          </w:p>
          <w:p w14:paraId="1E6AE26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2只</w:t>
            </w:r>
          </w:p>
          <w:p w14:paraId="6CFCA7CF">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25EE4EA6">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947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22F8ECD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1F8C43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4452D04">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108C7A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123C33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134CB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34E8B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4EC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1D863B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9E6EC9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903823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435408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A94499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6C571C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6ABC7E2">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1.频率响应范围：优于或等于95Hz-18KHz；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2.额定功率：≥180W；</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3.灵敏度：≥89dB；</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4.最大声压级：≥111dB；</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5.单元组成：内置≥1个单元尺寸≥1寸，≥6个单元尺寸≥4.5寸；</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6.额定阻抗：≥5Ω</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575563">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4BA19AD4">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D2D135">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121C9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6E0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540B29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001/76</w:t>
            </w:r>
          </w:p>
          <w:p w14:paraId="66044ABE">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合并式会议数字功放</w:t>
            </w:r>
          </w:p>
          <w:p w14:paraId="768CE3EE">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316E827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7BB03F08">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03E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4A8369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20FFA09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B6FFA7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16085E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CDBF57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015168">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B80065">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82AB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EE684C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8F4C90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33C3D2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0282BD9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32EE0A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43AD46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01A9A32">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具有≥2.8寸彩色液晶屏，≥2路话筒输入6.35口，均带独立机械旋钮调节音量和48V幻象供电开关，≥2路话筒平衡输入卡侬口，均带独立机械旋钮调节音量和48V幻象供电开关，≥3路线路音频立体声输入RCA接口，≥1路线路音频立体声输出RCA接口，≥1路录音输出RCA接口，≥1路RS485通讯接口，≥2路欧姆头信号输出，≥2路接线柱信号输出，≥1路蓝牙天线接口，≥1路USB接口，≥1路TF卡。</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2.须具有≥3个线路音频音量调节按钮，≥4个MIC音频音量调节按钮，每路音源均有独立音量按键方便进行音量操作。</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3.须支持蓝牙播放和MP3播放功能，支持USB和MICRO SD卡播放，支持MP3 M4A WAV APE FLAC多格式解码。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4.须具有麦克风混音功能，支持设置≥6档混音深度，分别为100%、70%、50%、30%、10%、MUTE档，同时支持≥10段数字均衡调节，预置多种效果。</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5.额定输出功率≥2×350W/8Ω。</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EE0BB1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350BECBF">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77609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937FF1">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D53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A6F6356">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001/77</w:t>
            </w:r>
          </w:p>
          <w:p w14:paraId="6E23BEF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智能数字会议系统主机</w:t>
            </w:r>
          </w:p>
          <w:p w14:paraId="70F4388F">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668A69E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3ED2B731">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485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8E7EBCE">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5E9FFD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B5AD91B">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0F4D0F0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2634C74">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51E2A6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5595E4">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42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8F727C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EF05447">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B45568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1B74EC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EF27B6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F69859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EA73FA8">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1.须可以实现会议控制、单元设置、讨论发言、会议签到、音效控制、会议全程录音、摄像跟踪、音频输入输出、远程控制等功能。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具有≥4.3寸液晶显示触摸屏，≥1路USB接口用于外接录音U盘接入，≥2路音频XLR平衡输出口，≥2路告警音频输入RCA接口，≥2路线路音频输入RCA接口，≥2路混合音频RCA输出口，≥5路8芯DIN航空母座扩展接口，用于连接会议单元、扩展主机、翻译主机，≥6路HDMI视频输入口，≥6路BNC标清视频输入口，≥1路HDMI视频输出口，≥1路BNC标清输出口，≥1路DB九针中控串口，可连接中控系统控制，≥1路RS422控制接口，≥1路消防告警联动触发接口，≥1路RJ45通讯网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3.须具有会议单元检测功能：在会议开始之前可对每个会议单元进行检测，检测的单元指标包含：话筒、LCD 屏、操作键、LED 指示灯、扬声器，检测方式可选择自动检测和手动开始检测，也可任意选择上一单元或下一单元检测，单元检测时间可提供20-100s选择，从而保障会议单元每个部件处于正常工作状态。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4.话简输入灵敏度≥35mv,话筒总谐波失真度(1kHz 额定输出电压)≤0.26％,话筒增益限制的有效频率范围68-12kHz。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5.须支持发言定时和定时发言结束提醒倒计时：发言定时时间设置范围1-300分钟，定时发言结束提醒倒计时时间设置范围为1-60秒；</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6.需支持连接≥128台会议单元，通过会议扩展主机可接入≥4096台会议单元，支持自动摄像跟踪功能。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7.须具有≥1路RJ45接口，支持TCP/IP网络协议，可通过PC端软件远程控制系统的全部功能；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8.须具有≥1路USB接口，支持鼠标控制操作，支持全程会议录音，有自动录音和手动录音两种录音方式可选；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9.须具有≥1路全双工RS232串口接口，可实现与中控系统的无缝连接；≥1路RS422串口，连接摄像头控制线，实现对6个摄像头的集中控制；</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13C1897">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62C2BB1">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4AA7EF">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B8FC8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531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3FC959C1">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001/78</w:t>
            </w:r>
          </w:p>
          <w:p w14:paraId="0153F7FA">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桌面式发言主席单元</w:t>
            </w:r>
          </w:p>
          <w:p w14:paraId="1ABD1D1E">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1只</w:t>
            </w:r>
          </w:p>
          <w:p w14:paraId="46EBFD3E">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5CF735D">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0A5E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554339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1CF9D658">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424C39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A376FF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9B2ECD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8374F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828E59">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929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0086D7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7413B0F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7A0647E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4D2F5A4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5D928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F47771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487AFC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1.须支持发言功能；支持按键签到功能；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2.须支持本地监听功能，内置高保真扬声器，可以实现打开话筒后自动静音，防止声音回传而引发的啸叫；</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3.须支持耳机监听功能，可连接耳机监听，耳机音量可根据实际需求调节；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4.须具有话筒开关键，主席单元有主席优先键；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5.须支持摄像跟踪功能，可搭配摄像头使用，与主机调试后可进行摄像跟踪；</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6.须支持自我检测功能，与会前配合主机使用，可自动检测按键、话筒、LED指示灯和内置扬声器是否有故障；</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7.须支持优先权功能，可将所有代表单元静音或关闭，支持讲台模式时，主席单元始终处于打开状态；</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6E1990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01583357">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6CB5C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ED7C9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B9C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6B06F73">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001/79</w:t>
            </w:r>
          </w:p>
          <w:p w14:paraId="2271F3F2">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桌面式发言代表单元</w:t>
            </w:r>
          </w:p>
          <w:p w14:paraId="00DECA4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13只</w:t>
            </w:r>
          </w:p>
          <w:p w14:paraId="6640EF40">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141945A">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4A3B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5CBECFD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492DDEC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B1FA5B6">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5BE1016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42971FE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6AC3B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634C18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59B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07BCFE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0BEF174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01313AB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9142D7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1532D17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63DA0BA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71FC96C9">
            <w:pPr>
              <w:ind w:hanging="1"/>
              <w:jc w:val="left"/>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1.须支持发言功能；支持按键签到功能；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2.须支持本地监听功能，内置高保真扬声器，可以实现打开话筒后自动静音，防止声音回传而引发的啸叫；</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3.须支持耳机监听功能，可连接耳机监听，耳机音量可根据实际需求调节；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4.须支持摄像跟踪功能，可搭配摄像头使用，与主机调试后可进行摄像跟踪；</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5.须支持自我检测功能，与会前配合主机使用，可自动检测按键、话筒、LED指示灯和内置扬声器是否有故障；</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37CEB48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589C7605">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6C09B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65D4E6">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998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F59D48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001/80</w:t>
            </w:r>
          </w:p>
          <w:p w14:paraId="6C5922AA">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航空安装线缆</w:t>
            </w:r>
          </w:p>
          <w:p w14:paraId="703B2165">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1条</w:t>
            </w:r>
          </w:p>
          <w:p w14:paraId="7B36B1E6">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A49C24B">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6DABE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456AB18A">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91F14F0">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914F4C0">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81C727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BF3743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E2CD20">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C2B8E3">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216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E2A8A4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954798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3EB739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762E7923">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34FDB8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2C0B27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478B418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1.≥20米8芯航空安装线缆</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BA73D2B">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2D4F7114">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576AB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5F7E14">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7F40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45592588">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001/81</w:t>
            </w:r>
          </w:p>
          <w:p w14:paraId="23648A7C">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专业自动反馈抑制器</w:t>
            </w:r>
          </w:p>
          <w:p w14:paraId="61152490">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2942B3EC">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8A907EF">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353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DCD3B5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399AF3BB">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17C47C4">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3A5AD75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8C164E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FD951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5FA7D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77C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6DD6A9C">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1109B3C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257BE94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56D504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B40ACE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40FA48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643F5D67">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1.须具有≥2路MUTE静音按钮，≥2路BYPASS旁路按钮，≥2路FILTER RESET滤波器重置按钮，≥2路卡侬(XLR)/6.35(TRS)输入接口，≥2路卡侬(XLR)输出接口，≥2路6.35(TRS)输出接口,≥1路RS232控制接口，≥1路RJ45网络接口。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2.须支持≥15个陷波滤波器设置，可设置动态和固定≥2种陷波滤波器类型，可调节宽带、正常和窄带≥3种陷波滤波器瓣宽。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3.须支持噪声门调节，可调节门限值、启动时间、释放时间和噪声衰减深度（Depth）≥4个参数。</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4.每路支持调节输入增益，静音，直通功能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5.须可显示≥2路输入，≥2路输出实时电平值。</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951BE45">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C95869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0E1778C">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FBA117">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1C81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15B4A2E7">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001/82</w:t>
            </w:r>
          </w:p>
          <w:p w14:paraId="35D6E9A3">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专业音频处理器</w:t>
            </w:r>
          </w:p>
          <w:p w14:paraId="7698BFC3">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089CB896">
            <w:pPr>
              <w:pStyle w:val="28"/>
              <w:adjustRightInd w:val="0"/>
              <w:snapToGrid w:val="0"/>
              <w:spacing w:before="0" w:beforeAutospacing="0" w:after="0" w:afterAutospacing="0"/>
              <w:rPr>
                <w:rFonts w:hint="eastAsia"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57D2890C">
            <w:pPr>
              <w:pStyle w:val="28"/>
              <w:adjustRightInd w:val="0"/>
              <w:snapToGrid w:val="0"/>
              <w:spacing w:before="0" w:beforeAutospacing="0" w:after="0" w:afterAutospacing="0"/>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383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BDD638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7ACFAB5">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07E149">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6E81529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6190B51B">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223028A">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5F088D">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D46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479BBF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55F92B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32F1171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5345C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34F122D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20C062B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25A0ABB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1.须支持≥8路模拟输入，≥8路模拟输出；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2.须支持麦克风输入和线路输入自由切换；</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3.每路输入支持48V幻象电源，支持通过网页开关控制；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4.须支持输入电平设置、信号发生器、噪声门、延时、压限器、限幅器功能；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5.每路输入支持反馈抑制功能开关功能；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6.须支持矩阵混音，混响调节功能；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7.须支持TCP/IP协议，网页端进行各种参数调节控制；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8.须支持RS-232、RS-485、GPIO接口提供完善的控制功能；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9.输入≥5段EQ可调，输出≥31段EQ可调；</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10.须支持多种模式场景快速切换；</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5BE9E36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01FC6E3">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9A1210">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FBC995">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0256C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76F8F40">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001/83</w:t>
            </w:r>
          </w:p>
          <w:p w14:paraId="7D37E931">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中控主机</w:t>
            </w:r>
          </w:p>
          <w:p w14:paraId="319A9F00">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1C410BBA">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4661C35">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01CE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FB8034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19263C2">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D79DA6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13BEEC4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378FDEA2">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1F22C9C">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5A0770">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AB1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7B6FF6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61167A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3F9A0F4">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E54F93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589B46A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06378C70">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66EC8B3">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1.须自带≥4.3寸液晶显示触摸屏，可显示时间，播放器状态，查看定时，音乐，具有≥1个USB接口，≥4路线路音频输出接口，≥1张网络模块内置≥3个RJ45网络接口，≥1张弱继电器模块卡内置≥8组接口，≥1张IR 红外控制模块卡内置≥8组接口，≥2张串行通信控制模块卡内置≥4组串口，≥2张串行通信扩展模块卡内置≥4组凤凰插口，各功能模块卡配合拓展盒子可分布式放置通过网络与主机连接工作。</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2.主频需≥1.6GHz，内置≥1GB DDR RAM，≥8GB EMMC FLASH；</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3.须内置节目播放器，支持WMA/AAC/APE/MP3/FLAC/M4A/M4R/OGG/WAV/WV等无损格式的节目；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4.须具有查看定时点功能，可查看定时点名称、时间、周期、命令类型、歌曲播放模式、歌曲数量和歌曲名称；</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具有语句式和图形化≥2种编程方式，语句式编程方式：提供功能函数进行自定义编程，用户可以通过编程界面编写控制代码；图形化编程方式：用户可通过图形化编程软件内的模块使用信号连接方式构建程序逻辑。</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6.须支持插卡式弱继电器控制功能，具有≥8路弱电继电器控制口，承受≥1A输出，功能卡既可插在主机后面板工作，也可分布式放置通过网络与主机连接工作；</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7.须支持定时控制功能，可编≥200个定时点，定时操控节目及受控设备；</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8.须支持远程网络控制，用户编程后可通过 PC 端、IOS、Andriod、Web 客户端控制受控设备</w:t>
            </w:r>
            <w:r>
              <w:rPr>
                <w:rFonts w:hint="eastAsia" w:ascii="仿宋" w:hAnsi="仿宋" w:cs="仿宋"/>
                <w:i w:val="0"/>
                <w:iCs w:val="0"/>
                <w:color w:val="000000"/>
                <w:kern w:val="0"/>
                <w:sz w:val="21"/>
                <w:szCs w:val="21"/>
                <w:highlight w:val="none"/>
                <w:u w:val="none"/>
                <w:lang w:val="en-US" w:eastAsia="zh-CN" w:bidi="ar"/>
              </w:rPr>
              <w:t>。</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090AF3BD">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907885F">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82A5B1">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FDBEAC">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3524B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5768BE22">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001/84</w:t>
            </w:r>
          </w:p>
          <w:p w14:paraId="3980408C">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8路电源控制器</w:t>
            </w:r>
          </w:p>
          <w:p w14:paraId="0A0EB73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1台</w:t>
            </w:r>
          </w:p>
          <w:p w14:paraId="0662B608">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00197963">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A84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00DADA81">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0170D6CC">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8B7F88C">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49EE05B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5610BC2F">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8F70F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DB7607">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610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7A4737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2BE9B12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1E1C0A7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8AE515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2DDD876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7741215B">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1275FE20">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1.须具有≥8个通道，每个通道最大功率≥20A，独立开关控制；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2.须支持ID设置功能，每台设备可设置唯一的ID；</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3.须支持RS485协议控制功能；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4.须支持常开与常闭的功能，每路继电器都有三连接点的接线端子</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5.须支持IO控制功能，每一路对地短接≥3S以上通道闭合，再次对地短接≥3S以上通道断开；</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6.须支持按键控制功能，长按面板按键≥3S以上通道闭合，再次长按≥3S以上通道断开。</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20DC277C">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7F55EA8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9CAEF8">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F80A03">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4508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2FA8323C">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001/85</w:t>
            </w:r>
          </w:p>
          <w:p w14:paraId="3FCEAA5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音箱线</w:t>
            </w:r>
          </w:p>
          <w:p w14:paraId="6D9EDF1C">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1卷</w:t>
            </w:r>
          </w:p>
          <w:p w14:paraId="7E8A8BAF">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195E503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19D7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1709BFFF">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6988388B">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466697B2">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755D45AE">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8CBA687">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FD7EED">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958436D">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074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016BDF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4BF4C272">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5029D759">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16E4387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6565C9FF">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6BD287E">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57E56BF4">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1.不低于YXB 2*100</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1816A9AE">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6C916062">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77CC6A">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7EE8B5E">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6931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97" w:type="dxa"/>
            <w:gridSpan w:val="6"/>
            <w:tcBorders>
              <w:top w:val="single" w:color="auto" w:sz="4" w:space="0"/>
              <w:left w:val="single" w:color="auto" w:sz="4" w:space="0"/>
              <w:bottom w:val="single" w:color="auto" w:sz="4" w:space="0"/>
              <w:right w:val="single" w:color="auto" w:sz="4" w:space="0"/>
            </w:tcBorders>
            <w:noWrap w:val="0"/>
            <w:vAlign w:val="center"/>
          </w:tcPr>
          <w:p w14:paraId="64EB8B33">
            <w:pPr>
              <w:pStyle w:val="27"/>
              <w:adjustRightInd w:val="0"/>
              <w:snapToGrid w:val="0"/>
              <w:ind w:right="105" w:rightChars="50"/>
              <w:jc w:val="left"/>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包号/序号：</w:t>
            </w:r>
            <w:r>
              <w:rPr>
                <w:rFonts w:hint="eastAsia" w:ascii="仿宋_GB2312" w:hAnsi="仿宋_GB2312" w:eastAsia="仿宋_GB2312" w:cs="仿宋_GB2312"/>
                <w:color w:val="auto"/>
                <w:szCs w:val="21"/>
                <w:highlight w:val="none"/>
                <w:lang w:val="en-US" w:eastAsia="zh-CN"/>
              </w:rPr>
              <w:t>001/86</w:t>
            </w:r>
          </w:p>
          <w:p w14:paraId="59F31FFB">
            <w:pPr>
              <w:pStyle w:val="28"/>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产品名称：</w:t>
            </w:r>
            <w:r>
              <w:rPr>
                <w:rFonts w:hint="eastAsia" w:ascii="仿宋" w:hAnsi="仿宋" w:eastAsia="仿宋" w:cs="仿宋"/>
                <w:i w:val="0"/>
                <w:iCs w:val="0"/>
                <w:color w:val="000000"/>
                <w:kern w:val="0"/>
                <w:sz w:val="21"/>
                <w:szCs w:val="21"/>
                <w:highlight w:val="none"/>
                <w:u w:val="none"/>
                <w:lang w:val="en-US" w:eastAsia="zh-CN" w:bidi="ar"/>
              </w:rPr>
              <w:t>话筒线</w:t>
            </w:r>
          </w:p>
          <w:p w14:paraId="5F20733D">
            <w:pPr>
              <w:pStyle w:val="28"/>
              <w:widowControl w:val="0"/>
              <w:adjustRightInd w:val="0"/>
              <w:snapToGrid w:val="0"/>
              <w:spacing w:before="0" w:beforeAutospacing="0" w:after="0" w:afterAutospacing="0"/>
              <w:jc w:val="both"/>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数量：</w:t>
            </w:r>
            <w:r>
              <w:rPr>
                <w:rFonts w:hint="eastAsia" w:ascii="仿宋_GB2312" w:hAnsi="仿宋_GB2312" w:eastAsia="仿宋_GB2312" w:cs="仿宋_GB2312"/>
                <w:color w:val="auto"/>
                <w:kern w:val="2"/>
                <w:sz w:val="21"/>
                <w:szCs w:val="21"/>
                <w:highlight w:val="none"/>
                <w:lang w:val="en-US" w:eastAsia="zh-CN"/>
              </w:rPr>
              <w:t>1卷</w:t>
            </w:r>
          </w:p>
          <w:p w14:paraId="24AF5459">
            <w:pPr>
              <w:pStyle w:val="28"/>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是否为经过审批采购的进口产品：否</w:t>
            </w:r>
          </w:p>
          <w:p w14:paraId="4A58F1A2">
            <w:pPr>
              <w:pStyle w:val="28"/>
              <w:widowControl w:val="0"/>
              <w:adjustRightInd w:val="0"/>
              <w:snapToGrid w:val="0"/>
              <w:spacing w:before="0" w:beforeAutospacing="0" w:after="0" w:afterAutospacing="0"/>
              <w:jc w:val="both"/>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rPr>
              <w:t>是否为核心产品（非单一产品采购项目时适用）：</w:t>
            </w:r>
            <w:r>
              <w:rPr>
                <w:rFonts w:hint="eastAsia" w:ascii="仿宋_GB2312" w:hAnsi="仿宋_GB2312" w:eastAsia="仿宋_GB2312" w:cs="仿宋_GB2312"/>
                <w:color w:val="auto"/>
                <w:kern w:val="2"/>
                <w:sz w:val="21"/>
                <w:szCs w:val="21"/>
                <w:highlight w:val="none"/>
                <w:lang w:val="en-US" w:eastAsia="zh-CN"/>
              </w:rPr>
              <w:t>否</w:t>
            </w:r>
          </w:p>
        </w:tc>
      </w:tr>
      <w:tr w14:paraId="5F80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3554D375">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采购文件要求</w:t>
            </w:r>
          </w:p>
          <w:p w14:paraId="5AE2CA1A">
            <w:pPr>
              <w:pStyle w:val="27"/>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重要提示：实质性要求及重要指标用★标注（“★”必须标注在序号前），★标注项不得负偏离，如果负偏离，则报价文件无效。</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6C354E98">
            <w:pPr>
              <w:pStyle w:val="27"/>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报价文件</w:t>
            </w:r>
          </w:p>
          <w:p w14:paraId="21E968E3">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23191AD5">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64A209">
            <w:pPr>
              <w:pStyle w:val="27"/>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D7519F">
            <w:pPr>
              <w:pStyle w:val="27"/>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E00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0BEAA4A">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采</w:t>
            </w:r>
          </w:p>
          <w:p w14:paraId="3A26A115">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购</w:t>
            </w:r>
          </w:p>
          <w:p w14:paraId="67667AB6">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产</w:t>
            </w:r>
          </w:p>
          <w:p w14:paraId="2D31890D">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品</w:t>
            </w:r>
          </w:p>
          <w:p w14:paraId="70FE6801">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要</w:t>
            </w:r>
          </w:p>
          <w:p w14:paraId="386413F8">
            <w:pPr>
              <w:pStyle w:val="27"/>
              <w:adjustRightInd w:val="0"/>
              <w:snapToGrid w:val="0"/>
              <w:ind w:hanging="1"/>
              <w:jc w:val="cente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求</w:t>
            </w:r>
          </w:p>
        </w:tc>
        <w:tc>
          <w:tcPr>
            <w:tcW w:w="4281" w:type="dxa"/>
            <w:tcBorders>
              <w:top w:val="single" w:color="auto" w:sz="4" w:space="0"/>
              <w:left w:val="single" w:color="auto" w:sz="4" w:space="0"/>
              <w:bottom w:val="single" w:color="auto" w:sz="4" w:space="0"/>
              <w:right w:val="single" w:color="auto" w:sz="4" w:space="0"/>
            </w:tcBorders>
            <w:noWrap w:val="0"/>
            <w:vAlign w:val="center"/>
          </w:tcPr>
          <w:p w14:paraId="310D0ADE">
            <w:pPr>
              <w:ind w:hanging="1"/>
              <w:rPr>
                <w:rFonts w:ascii="仿宋" w:hAnsi="仿宋" w:eastAsia="仿宋"/>
                <w:color w:val="auto"/>
                <w:highlight w:val="none"/>
              </w:rPr>
            </w:pPr>
            <w:r>
              <w:rPr>
                <w:rFonts w:hint="eastAsia" w:ascii="仿宋" w:hAnsi="仿宋" w:eastAsia="仿宋" w:cs="仿宋"/>
                <w:i w:val="0"/>
                <w:iCs w:val="0"/>
                <w:color w:val="000000"/>
                <w:kern w:val="0"/>
                <w:sz w:val="21"/>
                <w:szCs w:val="21"/>
                <w:highlight w:val="none"/>
                <w:u w:val="none"/>
                <w:lang w:val="en-US" w:eastAsia="zh-CN" w:bidi="ar"/>
              </w:rPr>
              <w:t>1.不低于128P</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68F36E5">
            <w:pPr>
              <w:pStyle w:val="27"/>
              <w:tabs>
                <w:tab w:val="left" w:pos="0"/>
              </w:tabs>
              <w:adjustRightInd w:val="0"/>
              <w:snapToGrid w:val="0"/>
              <w:ind w:hanging="1"/>
              <w:rPr>
                <w:rFonts w:ascii="仿宋" w:hAnsi="仿宋" w:cs="Times New Roman"/>
                <w:color w:val="auto"/>
                <w:szCs w:val="22"/>
                <w:highlight w:val="none"/>
              </w:rPr>
            </w:pPr>
          </w:p>
        </w:tc>
        <w:tc>
          <w:tcPr>
            <w:tcW w:w="764" w:type="dxa"/>
            <w:tcBorders>
              <w:top w:val="single" w:color="auto" w:sz="4" w:space="0"/>
              <w:left w:val="single" w:color="auto" w:sz="4" w:space="0"/>
              <w:bottom w:val="single" w:color="auto" w:sz="4" w:space="0"/>
              <w:right w:val="single" w:color="auto" w:sz="4" w:space="0"/>
            </w:tcBorders>
            <w:noWrap w:val="0"/>
            <w:vAlign w:val="center"/>
          </w:tcPr>
          <w:p w14:paraId="118BD53A">
            <w:pPr>
              <w:pStyle w:val="27"/>
              <w:rPr>
                <w:rFonts w:ascii="仿宋" w:hAnsi="仿宋"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97B50B">
            <w:pPr>
              <w:pStyle w:val="27"/>
              <w:tabs>
                <w:tab w:val="left" w:pos="0"/>
              </w:tabs>
              <w:spacing w:line="240" w:lineRule="exact"/>
              <w:jc w:val="center"/>
              <w:rPr>
                <w:rFonts w:ascii="仿宋_GB2312" w:hAnsi="仿宋_GB2312" w:eastAsia="仿宋_GB2312" w:cs="仿宋_GB2312"/>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AD833A">
            <w:pPr>
              <w:pStyle w:val="27"/>
              <w:tabs>
                <w:tab w:val="left" w:pos="0"/>
              </w:tabs>
              <w:spacing w:line="240" w:lineRule="exact"/>
              <w:jc w:val="center"/>
              <w:rPr>
                <w:rFonts w:ascii="仿宋_GB2312" w:hAnsi="仿宋_GB2312" w:eastAsia="仿宋_GB2312" w:cs="仿宋_GB2312"/>
                <w:color w:val="auto"/>
                <w:kern w:val="0"/>
                <w:szCs w:val="21"/>
                <w:highlight w:val="none"/>
              </w:rPr>
            </w:pPr>
          </w:p>
        </w:tc>
      </w:tr>
      <w:tr w14:paraId="5015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240" w:type="dxa"/>
            <w:gridSpan w:val="2"/>
            <w:tcBorders>
              <w:top w:val="single" w:color="auto" w:sz="4" w:space="0"/>
              <w:left w:val="single" w:color="auto" w:sz="4" w:space="0"/>
              <w:bottom w:val="single" w:color="auto" w:sz="4" w:space="0"/>
              <w:right w:val="single" w:color="auto" w:sz="4" w:space="0"/>
            </w:tcBorders>
            <w:noWrap w:val="0"/>
            <w:vAlign w:val="center"/>
          </w:tcPr>
          <w:p w14:paraId="6F377303">
            <w:pPr>
              <w:adjustRightInd w:val="0"/>
              <w:snapToGrid w:val="0"/>
              <w:ind w:hanging="1"/>
              <w:jc w:val="center"/>
              <w:rPr>
                <w:rFonts w:ascii="宋体" w:hAnsi="宋体" w:cs="仿宋_GB2312"/>
                <w:szCs w:val="21"/>
                <w:highlight w:val="none"/>
              </w:rPr>
            </w:pPr>
            <w:r>
              <w:rPr>
                <w:rFonts w:hint="eastAsia" w:ascii="仿宋" w:hAnsi="仿宋" w:eastAsia="仿宋"/>
                <w:color w:val="auto"/>
                <w:highlight w:val="none"/>
              </w:rPr>
              <w:t>其它</w:t>
            </w:r>
          </w:p>
        </w:tc>
        <w:tc>
          <w:tcPr>
            <w:tcW w:w="1375" w:type="dxa"/>
            <w:tcBorders>
              <w:top w:val="single" w:color="auto" w:sz="4" w:space="0"/>
              <w:left w:val="single" w:color="auto" w:sz="4" w:space="0"/>
              <w:bottom w:val="single" w:color="auto" w:sz="4" w:space="0"/>
              <w:right w:val="single" w:color="auto" w:sz="4" w:space="0"/>
            </w:tcBorders>
            <w:noWrap w:val="0"/>
            <w:vAlign w:val="center"/>
          </w:tcPr>
          <w:p w14:paraId="762A5074">
            <w:pPr>
              <w:tabs>
                <w:tab w:val="left" w:pos="-61"/>
              </w:tabs>
              <w:adjustRightInd w:val="0"/>
              <w:snapToGrid w:val="0"/>
              <w:ind w:right="-54" w:rightChars="-26"/>
              <w:jc w:val="center"/>
              <w:rPr>
                <w:rFonts w:ascii="宋体" w:hAnsi="宋体" w:cs="仿宋_GB2312"/>
                <w:kern w:val="0"/>
                <w:szCs w:val="21"/>
                <w:highlight w:val="none"/>
              </w:rPr>
            </w:pPr>
            <w:r>
              <w:rPr>
                <w:rFonts w:hint="eastAsia" w:ascii="仿宋" w:hAnsi="仿宋" w:eastAsia="仿宋"/>
                <w:color w:val="auto"/>
                <w:highlight w:val="none"/>
              </w:rPr>
              <w:t>采购单位未提供需求而投标人认为需说明及补充的内容在此填列</w:t>
            </w:r>
          </w:p>
        </w:tc>
        <w:tc>
          <w:tcPr>
            <w:tcW w:w="764" w:type="dxa"/>
            <w:tcBorders>
              <w:top w:val="single" w:color="auto" w:sz="4" w:space="0"/>
              <w:left w:val="single" w:color="auto" w:sz="4" w:space="0"/>
              <w:bottom w:val="single" w:color="auto" w:sz="4" w:space="0"/>
              <w:right w:val="single" w:color="auto" w:sz="4" w:space="0"/>
            </w:tcBorders>
            <w:noWrap w:val="0"/>
            <w:vAlign w:val="center"/>
          </w:tcPr>
          <w:p w14:paraId="7CE44E0A">
            <w:pPr>
              <w:tabs>
                <w:tab w:val="left" w:pos="0"/>
              </w:tabs>
              <w:spacing w:line="240" w:lineRule="exact"/>
              <w:jc w:val="center"/>
              <w:rPr>
                <w:rFonts w:ascii="宋体" w:hAnsi="宋体" w:cs="仿宋_GB2312"/>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6F8ECD">
            <w:pPr>
              <w:tabs>
                <w:tab w:val="left" w:pos="0"/>
              </w:tabs>
              <w:spacing w:line="240" w:lineRule="exact"/>
              <w:jc w:val="center"/>
              <w:rPr>
                <w:rFonts w:ascii="宋体" w:hAnsi="宋体" w:cs="仿宋_GB2312"/>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351A03">
            <w:pPr>
              <w:tabs>
                <w:tab w:val="left" w:pos="0"/>
              </w:tabs>
              <w:spacing w:line="240" w:lineRule="exact"/>
              <w:jc w:val="center"/>
              <w:rPr>
                <w:rFonts w:ascii="宋体" w:hAnsi="宋体" w:cs="仿宋_GB2312"/>
                <w:kern w:val="0"/>
                <w:szCs w:val="21"/>
                <w:highlight w:val="none"/>
              </w:rPr>
            </w:pPr>
          </w:p>
        </w:tc>
      </w:tr>
    </w:tbl>
    <w:p w14:paraId="46269320">
      <w:pPr>
        <w:pStyle w:val="21"/>
        <w:keepNext w:val="0"/>
        <w:keepLines w:val="0"/>
        <w:pageBreakBefore w:val="0"/>
        <w:widowControl w:val="0"/>
        <w:kinsoku/>
        <w:wordWrap/>
        <w:overflowPunct/>
        <w:topLinePunct w:val="0"/>
        <w:autoSpaceDE/>
        <w:autoSpaceDN/>
        <w:bidi w:val="0"/>
        <w:adjustRightInd/>
        <w:snapToGrid w:val="0"/>
        <w:spacing w:line="360" w:lineRule="auto"/>
        <w:ind w:firstLine="560"/>
        <w:textAlignment w:val="auto"/>
        <w:rPr>
          <w:rFonts w:hint="eastAsia" w:ascii="仿宋" w:hAnsi="仿宋" w:eastAsia="仿宋" w:cs="仿宋"/>
          <w:bCs/>
          <w:color w:val="auto"/>
          <w:sz w:val="21"/>
          <w:szCs w:val="21"/>
          <w:highlight w:val="none"/>
        </w:rPr>
      </w:pPr>
    </w:p>
    <w:p w14:paraId="37531400">
      <w:pPr>
        <w:pStyle w:val="21"/>
        <w:keepNext w:val="0"/>
        <w:keepLines w:val="0"/>
        <w:pageBreakBefore w:val="0"/>
        <w:widowControl w:val="0"/>
        <w:kinsoku/>
        <w:wordWrap/>
        <w:overflowPunct/>
        <w:topLinePunct w:val="0"/>
        <w:autoSpaceDE/>
        <w:autoSpaceDN/>
        <w:bidi w:val="0"/>
        <w:adjustRightInd/>
        <w:snapToGrid w:val="0"/>
        <w:spacing w:line="360" w:lineRule="auto"/>
        <w:ind w:firstLine="560"/>
        <w:textAlignment w:val="auto"/>
        <w:rPr>
          <w:rFonts w:hint="eastAsia" w:ascii="仿宋" w:hAnsi="仿宋" w:eastAsia="仿宋" w:cs="仿宋"/>
          <w:bCs/>
          <w:color w:val="auto"/>
          <w:sz w:val="21"/>
          <w:szCs w:val="21"/>
          <w:highlight w:val="none"/>
        </w:rPr>
      </w:pPr>
    </w:p>
    <w:p w14:paraId="0C186850">
      <w:pPr>
        <w:pStyle w:val="21"/>
        <w:keepNext w:val="0"/>
        <w:keepLines w:val="0"/>
        <w:pageBreakBefore w:val="0"/>
        <w:widowControl w:val="0"/>
        <w:kinsoku/>
        <w:wordWrap/>
        <w:overflowPunct/>
        <w:topLinePunct w:val="0"/>
        <w:autoSpaceDE/>
        <w:autoSpaceDN/>
        <w:bidi w:val="0"/>
        <w:adjustRightInd/>
        <w:snapToGrid w:val="0"/>
        <w:spacing w:line="360" w:lineRule="auto"/>
        <w:ind w:firstLine="560"/>
        <w:textAlignment w:val="auto"/>
        <w:rPr>
          <w:rFonts w:hint="eastAsia" w:ascii="仿宋" w:hAnsi="仿宋" w:eastAsia="仿宋" w:cs="仿宋"/>
          <w:bCs/>
          <w:color w:val="auto"/>
          <w:sz w:val="21"/>
          <w:szCs w:val="21"/>
          <w:highlight w:val="none"/>
        </w:rPr>
      </w:pPr>
    </w:p>
    <w:p w14:paraId="30A6922C">
      <w:pPr>
        <w:pStyle w:val="21"/>
        <w:keepNext w:val="0"/>
        <w:keepLines w:val="0"/>
        <w:pageBreakBefore w:val="0"/>
        <w:widowControl w:val="0"/>
        <w:kinsoku/>
        <w:wordWrap/>
        <w:overflowPunct/>
        <w:topLinePunct w:val="0"/>
        <w:autoSpaceDE/>
        <w:autoSpaceDN/>
        <w:bidi w:val="0"/>
        <w:adjustRightInd/>
        <w:snapToGrid w:val="0"/>
        <w:spacing w:line="360" w:lineRule="auto"/>
        <w:ind w:firstLine="560"/>
        <w:textAlignment w:val="auto"/>
        <w:rPr>
          <w:rFonts w:hint="eastAsia" w:ascii="仿宋" w:hAnsi="仿宋" w:eastAsia="仿宋" w:cs="仿宋"/>
          <w:bCs/>
          <w:color w:val="auto"/>
          <w:sz w:val="21"/>
          <w:szCs w:val="21"/>
          <w:highlight w:val="none"/>
        </w:rPr>
      </w:pPr>
    </w:p>
    <w:p w14:paraId="33139B12">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仿宋" w:hAnsi="仿宋" w:eastAsia="仿宋" w:cs="仿宋"/>
          <w:bCs/>
          <w:color w:val="auto"/>
          <w:sz w:val="21"/>
          <w:szCs w:val="21"/>
          <w:highlight w:val="none"/>
        </w:rPr>
      </w:pPr>
    </w:p>
    <w:p w14:paraId="2AFE3394">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仿宋" w:hAnsi="仿宋" w:eastAsia="仿宋" w:cs="仿宋"/>
          <w:bCs/>
          <w:color w:val="auto"/>
          <w:sz w:val="21"/>
          <w:szCs w:val="21"/>
          <w:highlight w:val="none"/>
        </w:rPr>
      </w:pPr>
    </w:p>
    <w:p w14:paraId="615E5F25">
      <w:pPr>
        <w:pStyle w:val="21"/>
        <w:keepNext w:val="0"/>
        <w:keepLines w:val="0"/>
        <w:pageBreakBefore w:val="0"/>
        <w:widowControl w:val="0"/>
        <w:kinsoku/>
        <w:wordWrap/>
        <w:overflowPunct/>
        <w:topLinePunct w:val="0"/>
        <w:autoSpaceDE/>
        <w:autoSpaceDN/>
        <w:bidi w:val="0"/>
        <w:adjustRightInd/>
        <w:snapToGrid w:val="0"/>
        <w:spacing w:line="360" w:lineRule="auto"/>
        <w:ind w:firstLine="562"/>
        <w:jc w:val="left"/>
        <w:textAlignment w:val="auto"/>
        <w:rPr>
          <w:rFonts w:hint="default" w:ascii="仿宋" w:hAnsi="仿宋" w:eastAsia="仿宋" w:cs="仿宋"/>
          <w:b/>
          <w:color w:val="auto"/>
          <w:sz w:val="21"/>
          <w:szCs w:val="21"/>
          <w:highlight w:val="none"/>
          <w:lang w:val="en-US" w:eastAsia="zh-CN"/>
        </w:rPr>
      </w:pPr>
      <w:r>
        <w:rPr>
          <w:rFonts w:hint="eastAsia" w:ascii="仿宋_GB2312" w:hAnsi="仿宋_GB2312" w:eastAsia="仿宋_GB2312" w:cs="仿宋_GB2312"/>
          <w:b/>
          <w:color w:val="auto"/>
          <w:sz w:val="18"/>
          <w:szCs w:val="18"/>
        </w:rPr>
        <w:t>★</w:t>
      </w:r>
      <w:r>
        <w:rPr>
          <w:rFonts w:hint="eastAsia" w:ascii="仿宋" w:hAnsi="仿宋" w:cs="仿宋"/>
          <w:b/>
          <w:color w:val="auto"/>
          <w:sz w:val="21"/>
          <w:szCs w:val="21"/>
          <w:highlight w:val="none"/>
          <w:lang w:val="en-US" w:eastAsia="zh-CN"/>
        </w:rPr>
        <w:t>三、其他要求</w:t>
      </w:r>
    </w:p>
    <w:p w14:paraId="5ABB3481">
      <w:pPr>
        <w:pStyle w:val="21"/>
        <w:keepNext w:val="0"/>
        <w:keepLines w:val="0"/>
        <w:pageBreakBefore w:val="0"/>
        <w:widowControl w:val="0"/>
        <w:kinsoku/>
        <w:wordWrap/>
        <w:overflowPunct/>
        <w:topLinePunct w:val="0"/>
        <w:autoSpaceDE/>
        <w:autoSpaceDN/>
        <w:bidi w:val="0"/>
        <w:adjustRightInd/>
        <w:snapToGrid w:val="0"/>
        <w:spacing w:line="360" w:lineRule="auto"/>
        <w:ind w:firstLine="562"/>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w:t>
      </w:r>
      <w:r>
        <w:rPr>
          <w:rFonts w:hint="eastAsia" w:ascii="仿宋" w:hAnsi="仿宋" w:cs="仿宋"/>
          <w:b/>
          <w:color w:val="auto"/>
          <w:sz w:val="21"/>
          <w:szCs w:val="21"/>
          <w:highlight w:val="none"/>
          <w:lang w:val="en-US" w:eastAsia="zh-CN"/>
        </w:rPr>
        <w:t>一</w:t>
      </w:r>
      <w:r>
        <w:rPr>
          <w:rFonts w:hint="eastAsia" w:ascii="仿宋" w:hAnsi="仿宋" w:eastAsia="仿宋" w:cs="仿宋"/>
          <w:b/>
          <w:color w:val="auto"/>
          <w:sz w:val="21"/>
          <w:szCs w:val="21"/>
          <w:highlight w:val="none"/>
        </w:rPr>
        <w:t>）采购标的需执行的标准：</w:t>
      </w:r>
    </w:p>
    <w:p w14:paraId="4B277819">
      <w:pPr>
        <w:pStyle w:val="21"/>
        <w:keepNext w:val="0"/>
        <w:keepLines w:val="0"/>
        <w:pageBreakBefore w:val="0"/>
        <w:widowControl w:val="0"/>
        <w:kinsoku/>
        <w:wordWrap/>
        <w:overflowPunct/>
        <w:topLinePunct w:val="0"/>
        <w:autoSpaceDE/>
        <w:autoSpaceDN/>
        <w:bidi w:val="0"/>
        <w:adjustRightInd/>
        <w:snapToGrid w:val="0"/>
        <w:spacing w:line="360" w:lineRule="auto"/>
        <w:ind w:firstLine="56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本项目所采购的视频监控设备及安装需符合国家标准GB/T28181—2022《公共安全视频监控联网系统信息传输交换控制技术要求》、国家标准GB 50348—2018《安全防范工程技术标准》的规定。</w:t>
      </w:r>
    </w:p>
    <w:p w14:paraId="6DC7A5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w:t>
      </w:r>
      <w:r>
        <w:rPr>
          <w:rFonts w:hint="eastAsia" w:ascii="仿宋" w:hAnsi="仿宋" w:cs="仿宋"/>
          <w:b/>
          <w:color w:val="auto"/>
          <w:sz w:val="21"/>
          <w:szCs w:val="21"/>
          <w:highlight w:val="none"/>
          <w:lang w:val="en-US" w:eastAsia="zh-CN"/>
        </w:rPr>
        <w:t>二</w:t>
      </w:r>
      <w:r>
        <w:rPr>
          <w:rFonts w:hint="eastAsia" w:ascii="仿宋" w:hAnsi="仿宋" w:eastAsia="仿宋" w:cs="仿宋"/>
          <w:b/>
          <w:color w:val="auto"/>
          <w:sz w:val="21"/>
          <w:szCs w:val="21"/>
          <w:highlight w:val="none"/>
        </w:rPr>
        <w:t>）采购标的需满足的服务标准、期限效率等要求：</w:t>
      </w:r>
    </w:p>
    <w:p w14:paraId="665226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1.以上技术规格及技术参数为本项目需求的最低标准，★项为必须满足项，不满足按无效投标处理，非★项不响应将影响得分情况。</w:t>
      </w:r>
    </w:p>
    <w:p w14:paraId="3B4F1E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技术规格和技术规范提出的各项功能要求和技术指标是对本项目的最基本要求并未对一切细节做出全部详细规定，也未充分引述有关标准和规范的条文，供应商所有与本项目有关的技术标准均应不低于报价时已颁布的国家和行业标准，或相应的国际标准的有关条文，使用最新的专利和保密专利需特别说明。</w:t>
      </w:r>
    </w:p>
    <w:p w14:paraId="3148BB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w:t>
      </w:r>
      <w:r>
        <w:rPr>
          <w:rFonts w:hint="eastAsia" w:ascii="仿宋" w:hAnsi="仿宋" w:cs="仿宋"/>
          <w:b/>
          <w:color w:val="auto"/>
          <w:sz w:val="21"/>
          <w:szCs w:val="21"/>
          <w:highlight w:val="none"/>
          <w:lang w:val="en-US" w:eastAsia="zh-CN"/>
        </w:rPr>
        <w:t>三</w:t>
      </w:r>
      <w:r>
        <w:rPr>
          <w:rFonts w:hint="eastAsia" w:ascii="仿宋" w:hAnsi="仿宋" w:eastAsia="仿宋" w:cs="仿宋"/>
          <w:b/>
          <w:color w:val="auto"/>
          <w:sz w:val="21"/>
          <w:szCs w:val="21"/>
          <w:highlight w:val="none"/>
        </w:rPr>
        <w:t>）采购标的的其他技术、服务等要求：</w:t>
      </w:r>
    </w:p>
    <w:p w14:paraId="077FFBA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1.中标人提供的所有设备和产品需经采购人现场负责人检查及核对无误后方可安装。</w:t>
      </w:r>
    </w:p>
    <w:p w14:paraId="608FD2E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2.此项目为设备采购项目，投标人须考虑为实现设备功能所涉及的配件、材料费、安装费、调试费、运保费及车辆入校费等一切费用，除合同价款外采购人不再支付任何费用。</w:t>
      </w:r>
    </w:p>
    <w:p w14:paraId="14816F5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b/>
          <w:bCs/>
          <w:color w:val="auto"/>
          <w:kern w:val="0"/>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kern w:val="0"/>
          <w:sz w:val="21"/>
          <w:szCs w:val="21"/>
          <w:highlight w:val="none"/>
        </w:rPr>
        <w:t>供货及安装实施要求：</w:t>
      </w:r>
    </w:p>
    <w:p w14:paraId="632E433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（1）投标人负责运送所有材料及设备到采购人现场，并进行设备安装、调试等与项目有关的一切工作。</w:t>
      </w:r>
    </w:p>
    <w:p w14:paraId="4E831C5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（2）整个项目所需要的材料、工具、设备设施、工器具、车辆等均由投标人自行准备，并做好自行管理，如有损坏和丢失，采购人不负责赔偿。</w:t>
      </w:r>
    </w:p>
    <w:p w14:paraId="6E636BC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（3）投标人在供货时的具体摆放位置、排列方式及安装方式应按采购人的要求执行。安装工作完成后，应小心清除杂物，做好清洁维护工作。</w:t>
      </w:r>
    </w:p>
    <w:p w14:paraId="79FFD61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4.使用人员培训要求：</w:t>
      </w:r>
    </w:p>
    <w:p w14:paraId="5991C78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（1）投标人应按采购文件规定的货物技术、功能指标要求、使用方法等向采购人提供培训服务。</w:t>
      </w:r>
    </w:p>
    <w:p w14:paraId="3FAF715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（2）培训时长：验收合格后，投标人需根据采购人使用情况提供至少1次线下培训，时长不少于1天。</w:t>
      </w:r>
    </w:p>
    <w:p w14:paraId="6CC5722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（3）培训内容：培训内容应包括：实际操作、设备维护、安全要点、设备简易故障排除以及其他相关内容。</w:t>
      </w:r>
    </w:p>
    <w:p w14:paraId="3B155FA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（4）培训形式：线下培训。</w:t>
      </w:r>
    </w:p>
    <w:p w14:paraId="21701FCE">
      <w:pPr>
        <w:pStyle w:val="4"/>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仿宋" w:hAnsi="仿宋" w:eastAsia="仿宋" w:cs="仿宋"/>
          <w:b/>
          <w:color w:val="auto"/>
          <w:kern w:val="44"/>
          <w:sz w:val="44"/>
          <w:highlight w:val="none"/>
        </w:rPr>
      </w:pPr>
      <w:r>
        <w:rPr>
          <w:rFonts w:hint="eastAsia" w:ascii="仿宋" w:hAnsi="仿宋" w:eastAsia="仿宋" w:cs="仿宋"/>
          <w:color w:val="auto"/>
          <w:kern w:val="0"/>
          <w:sz w:val="21"/>
          <w:szCs w:val="21"/>
          <w:highlight w:val="none"/>
        </w:rPr>
        <w:t>（5）其他能够保证产品使用培训服务的综合措施及方案。</w:t>
      </w:r>
      <w:r>
        <w:rPr>
          <w:rFonts w:hint="eastAsia" w:ascii="仿宋" w:hAnsi="仿宋" w:eastAsia="仿宋" w:cs="仿宋"/>
          <w:color w:val="auto"/>
          <w:highlight w:val="none"/>
        </w:rPr>
        <w:br w:type="page"/>
      </w:r>
    </w:p>
    <w:p w14:paraId="3B3C0638">
      <w:pPr>
        <w:pStyle w:val="2"/>
        <w:snapToGrid w:val="0"/>
        <w:spacing w:before="319" w:beforeLines="100" w:after="319" w:afterLines="100" w:line="360" w:lineRule="auto"/>
        <w:rPr>
          <w:rFonts w:hint="eastAsia" w:ascii="仿宋" w:hAnsi="仿宋" w:eastAsia="仿宋" w:cs="仿宋"/>
          <w:color w:val="auto"/>
          <w:highlight w:val="none"/>
        </w:rPr>
      </w:pPr>
      <w:bookmarkStart w:id="124" w:name="_Toc25237"/>
      <w:r>
        <w:rPr>
          <w:rFonts w:hint="eastAsia" w:ascii="仿宋" w:hAnsi="仿宋" w:eastAsia="仿宋" w:cs="仿宋"/>
          <w:color w:val="auto"/>
          <w:highlight w:val="none"/>
        </w:rPr>
        <w:t>第四章 评标方法</w:t>
      </w:r>
      <w:bookmarkEnd w:id="123"/>
      <w:bookmarkEnd w:id="124"/>
    </w:p>
    <w:p w14:paraId="0D0C21CB">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本项目将按照招标文件第一章投标人须知中“六 开标及评标”、“七 确定中标”及本章的规定评标。</w:t>
      </w:r>
    </w:p>
    <w:p w14:paraId="714085C4">
      <w:pPr>
        <w:adjustRightInd w:val="0"/>
        <w:snapToGrid w:val="0"/>
        <w:spacing w:line="360" w:lineRule="auto"/>
        <w:ind w:firstLine="420" w:firstLineChars="200"/>
        <w:rPr>
          <w:rFonts w:hint="eastAsia" w:ascii="仿宋" w:hAnsi="仿宋" w:eastAsia="仿宋" w:cs="仿宋"/>
          <w:b/>
          <w:color w:val="auto"/>
          <w:kern w:val="0"/>
          <w:szCs w:val="21"/>
          <w:highlight w:val="none"/>
        </w:rPr>
      </w:pPr>
      <w:bookmarkStart w:id="125" w:name="_Toc22313_WPSOffice_Level2"/>
      <w:r>
        <w:rPr>
          <w:rFonts w:hint="eastAsia" w:ascii="仿宋" w:hAnsi="仿宋" w:eastAsia="仿宋" w:cs="仿宋"/>
          <w:b/>
          <w:color w:val="auto"/>
          <w:kern w:val="0"/>
          <w:szCs w:val="21"/>
          <w:highlight w:val="none"/>
        </w:rPr>
        <w:t>一、评标方法</w:t>
      </w:r>
      <w:bookmarkEnd w:id="125"/>
    </w:p>
    <w:p w14:paraId="191FD098">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本项目采用</w:t>
      </w:r>
      <w:r>
        <w:rPr>
          <w:rFonts w:hint="eastAsia" w:ascii="仿宋" w:hAnsi="仿宋" w:eastAsia="仿宋" w:cs="仿宋"/>
          <w:color w:val="auto"/>
          <w:kern w:val="0"/>
          <w:szCs w:val="21"/>
          <w:highlight w:val="none"/>
          <w:u w:val="single"/>
        </w:rPr>
        <w:t>综合评分法</w:t>
      </w:r>
      <w:r>
        <w:rPr>
          <w:rFonts w:hint="eastAsia" w:ascii="仿宋" w:hAnsi="仿宋" w:eastAsia="仿宋" w:cs="仿宋"/>
          <w:color w:val="auto"/>
          <w:kern w:val="0"/>
          <w:szCs w:val="21"/>
          <w:highlight w:val="none"/>
        </w:rPr>
        <w:t>进行评标。</w:t>
      </w:r>
    </w:p>
    <w:p w14:paraId="5E94F070">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bookmarkStart w:id="126" w:name="_Toc21368_WPSOffice_Level2"/>
      <w:r>
        <w:rPr>
          <w:rFonts w:hint="eastAsia" w:ascii="仿宋" w:hAnsi="仿宋" w:eastAsia="仿宋" w:cs="仿宋"/>
          <w:b/>
          <w:color w:val="auto"/>
          <w:kern w:val="0"/>
          <w:szCs w:val="21"/>
          <w:highlight w:val="none"/>
        </w:rPr>
        <w:t>二、评标原则及程序</w:t>
      </w:r>
      <w:bookmarkEnd w:id="126"/>
    </w:p>
    <w:p w14:paraId="5436A004">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（一）评标原则</w:t>
      </w:r>
    </w:p>
    <w:p w14:paraId="770C7759">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color w:val="auto"/>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614074D6">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（二）评标程序</w:t>
      </w:r>
    </w:p>
    <w:p w14:paraId="618E0918">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★1、资格审查</w:t>
      </w:r>
    </w:p>
    <w:p w14:paraId="2C2A2415">
      <w:pPr>
        <w:adjustRightInd w:val="0"/>
        <w:snapToGrid w:val="0"/>
        <w:spacing w:line="360" w:lineRule="auto"/>
        <w:ind w:firstLine="420" w:firstLineChars="200"/>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1.1详见投标人须知22条。资格审查表详见本章附件1。</w:t>
      </w:r>
    </w:p>
    <w:p w14:paraId="74C1F912">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w:t>
      </w:r>
      <w:r>
        <w:rPr>
          <w:rFonts w:hint="eastAsia" w:ascii="仿宋" w:hAnsi="仿宋" w:eastAsia="仿宋" w:cs="仿宋"/>
          <w:b/>
          <w:bCs/>
          <w:color w:val="auto"/>
          <w:kern w:val="0"/>
          <w:szCs w:val="21"/>
          <w:highlight w:val="none"/>
        </w:rPr>
        <w:t>2、符合性审查</w:t>
      </w:r>
    </w:p>
    <w:p w14:paraId="689BDFD9">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2.1详见投标人须知23条。符合性审查表详见本章附件2。</w:t>
      </w:r>
    </w:p>
    <w:p w14:paraId="7A54653D">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3、样品及演示</w:t>
      </w:r>
    </w:p>
    <w:p w14:paraId="02F2A9D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r>
        <w:rPr>
          <w:rFonts w:hint="eastAsia" w:ascii="仿宋" w:hAnsi="仿宋" w:eastAsia="仿宋" w:cs="仿宋"/>
          <w:color w:val="auto"/>
          <w:kern w:val="0"/>
          <w:szCs w:val="21"/>
          <w:highlight w:val="none"/>
        </w:rPr>
        <w:t>投标人须知表11.3条</w:t>
      </w:r>
      <w:r>
        <w:rPr>
          <w:rFonts w:hint="eastAsia" w:ascii="仿宋" w:hAnsi="仿宋" w:eastAsia="仿宋" w:cs="仿宋"/>
          <w:color w:val="auto"/>
          <w:szCs w:val="21"/>
          <w:highlight w:val="none"/>
        </w:rPr>
        <w:t>中要求投标人提供样品或演示的，按照</w:t>
      </w:r>
      <w:r>
        <w:rPr>
          <w:rFonts w:hint="eastAsia" w:ascii="仿宋" w:hAnsi="仿宋" w:eastAsia="仿宋" w:cs="仿宋"/>
          <w:color w:val="auto"/>
          <w:kern w:val="0"/>
          <w:szCs w:val="21"/>
          <w:highlight w:val="none"/>
        </w:rPr>
        <w:t>投标人须知表25.1条</w:t>
      </w:r>
      <w:r>
        <w:rPr>
          <w:rFonts w:hint="eastAsia" w:ascii="仿宋" w:hAnsi="仿宋" w:eastAsia="仿宋" w:cs="仿宋"/>
          <w:color w:val="auto"/>
          <w:szCs w:val="21"/>
          <w:highlight w:val="none"/>
        </w:rPr>
        <w:t>中确定的评审方法以及评审标准进行评审。(样品或演示属于符合性审查的，按照</w:t>
      </w:r>
      <w:r>
        <w:rPr>
          <w:rFonts w:hint="eastAsia" w:ascii="仿宋" w:hAnsi="仿宋" w:eastAsia="仿宋" w:cs="仿宋"/>
          <w:color w:val="auto"/>
          <w:kern w:val="0"/>
          <w:szCs w:val="21"/>
          <w:highlight w:val="none"/>
        </w:rPr>
        <w:t>投标人须知23条</w:t>
      </w:r>
      <w:r>
        <w:rPr>
          <w:rFonts w:hint="eastAsia" w:ascii="仿宋" w:hAnsi="仿宋" w:eastAsia="仿宋" w:cs="仿宋"/>
          <w:color w:val="auto"/>
          <w:szCs w:val="21"/>
          <w:highlight w:val="none"/>
        </w:rPr>
        <w:t>规定执行）</w:t>
      </w:r>
    </w:p>
    <w:p w14:paraId="424617D2">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★4</w:t>
      </w:r>
      <w:r>
        <w:rPr>
          <w:rFonts w:hint="eastAsia" w:ascii="仿宋" w:hAnsi="仿宋" w:eastAsia="仿宋" w:cs="仿宋"/>
          <w:b/>
          <w:bCs/>
          <w:color w:val="auto"/>
          <w:kern w:val="0"/>
          <w:szCs w:val="21"/>
          <w:highlight w:val="none"/>
        </w:rPr>
        <w:t>、同一品牌产品</w:t>
      </w:r>
    </w:p>
    <w:p w14:paraId="64189561">
      <w:pPr>
        <w:adjustRightInd w:val="0"/>
        <w:snapToGrid w:val="0"/>
        <w:spacing w:line="360" w:lineRule="auto"/>
        <w:ind w:firstLine="420" w:firstLineChars="200"/>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4.1通过资格审查、符合性审查的不同品牌投标人不足3家的，按照</w:t>
      </w:r>
      <w:r>
        <w:rPr>
          <w:rFonts w:hint="eastAsia" w:ascii="仿宋" w:hAnsi="仿宋" w:eastAsia="仿宋" w:cs="仿宋"/>
          <w:color w:val="auto"/>
          <w:kern w:val="0"/>
          <w:szCs w:val="21"/>
          <w:highlight w:val="none"/>
        </w:rPr>
        <w:t>投标人须知28条第（1）款</w:t>
      </w:r>
      <w:r>
        <w:rPr>
          <w:rFonts w:hint="eastAsia" w:ascii="仿宋" w:hAnsi="仿宋" w:eastAsia="仿宋" w:cs="仿宋"/>
          <w:color w:val="auto"/>
          <w:szCs w:val="21"/>
          <w:highlight w:val="none"/>
        </w:rPr>
        <w:t>执行</w:t>
      </w:r>
      <w:r>
        <w:rPr>
          <w:rFonts w:hint="eastAsia" w:ascii="仿宋" w:hAnsi="仿宋" w:eastAsia="仿宋" w:cs="仿宋"/>
          <w:color w:val="auto"/>
          <w:kern w:val="0"/>
          <w:szCs w:val="21"/>
          <w:highlight w:val="none"/>
        </w:rPr>
        <w:t>。</w:t>
      </w:r>
    </w:p>
    <w:p w14:paraId="0653C2C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4.2提供相同品牌产品且通过资格审查、符合性审查的不同投标人，按一家投标人计算。</w:t>
      </w:r>
    </w:p>
    <w:p w14:paraId="14FA483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4.3如一个分包内只有一种产品，不同投标人所投产品为同一品牌的，按如下方式处理：</w:t>
      </w:r>
    </w:p>
    <w:p w14:paraId="70D0FA42">
      <w:pPr>
        <w:numPr>
          <w:ilvl w:val="0"/>
          <w:numId w:val="5"/>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 w:hAnsi="仿宋" w:eastAsia="仿宋" w:cs="仿宋"/>
          <w:color w:val="auto"/>
          <w:kern w:val="0"/>
          <w:szCs w:val="21"/>
          <w:highlight w:val="none"/>
        </w:rPr>
        <w:t>本章第8条</w:t>
      </w:r>
      <w:r>
        <w:rPr>
          <w:rFonts w:hint="eastAsia" w:ascii="仿宋" w:hAnsi="仿宋" w:eastAsia="仿宋" w:cs="仿宋"/>
          <w:color w:val="auto"/>
          <w:szCs w:val="21"/>
          <w:highlight w:val="none"/>
        </w:rPr>
        <w:t>“推荐中标候选人的原则”规定执行；未规定的采取随机抽取方式确定，其他</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7CA3249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6449C981">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4.4如一个分包内包含多种产品的，采购人或采购代理机构将在招标文件中载明核心产品，多家投标人提供的核心产品品牌相同的，</w:t>
      </w:r>
      <w:r>
        <w:rPr>
          <w:rFonts w:hint="eastAsia" w:ascii="仿宋" w:hAnsi="仿宋" w:eastAsia="仿宋" w:cs="仿宋"/>
          <w:color w:val="auto"/>
          <w:kern w:val="0"/>
          <w:szCs w:val="21"/>
          <w:highlight w:val="none"/>
        </w:rPr>
        <w:t>按本章第4.3条规定处理。</w:t>
      </w:r>
    </w:p>
    <w:p w14:paraId="18A9FB1A">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★5</w:t>
      </w:r>
      <w:r>
        <w:rPr>
          <w:rFonts w:hint="eastAsia" w:ascii="仿宋" w:hAnsi="仿宋" w:eastAsia="仿宋" w:cs="仿宋"/>
          <w:b/>
          <w:bCs/>
          <w:color w:val="auto"/>
          <w:kern w:val="0"/>
          <w:szCs w:val="21"/>
          <w:highlight w:val="none"/>
        </w:rPr>
        <w:t>、比较及评价</w:t>
      </w:r>
    </w:p>
    <w:p w14:paraId="5E6FA124">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5.1评标委员会对通过符合性审查的投标文件进行比较和评价。</w:t>
      </w:r>
    </w:p>
    <w:p w14:paraId="4ABC28F2">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5.2在评标期间，对投标文件的澄清按投标人须知24条内容执行。</w:t>
      </w:r>
    </w:p>
    <w:p w14:paraId="000404F8">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color w:val="auto"/>
          <w:kern w:val="0"/>
          <w:szCs w:val="21"/>
          <w:highlight w:val="none"/>
        </w:rPr>
        <w:t>接到通知后</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0.5</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小时</w:t>
      </w:r>
      <w:r>
        <w:rPr>
          <w:rFonts w:hint="eastAsia" w:ascii="仿宋" w:hAnsi="仿宋" w:eastAsia="仿宋" w:cs="仿宋"/>
          <w:color w:val="auto"/>
          <w:szCs w:val="21"/>
          <w:highlight w:val="none"/>
        </w:rPr>
        <w:t>）内提供书面说明，</w:t>
      </w:r>
      <w:r>
        <w:rPr>
          <w:rFonts w:hint="eastAsia" w:ascii="仿宋" w:hAnsi="仿宋" w:eastAsia="仿宋" w:cs="仿宋"/>
          <w:color w:val="auto"/>
          <w:szCs w:val="21"/>
          <w:highlight w:val="none"/>
          <w:lang w:val="en-US" w:eastAsia="zh-CN"/>
        </w:rPr>
        <w:t>必要时</w:t>
      </w:r>
      <w:r>
        <w:rPr>
          <w:rFonts w:hint="eastAsia" w:ascii="仿宋" w:hAnsi="仿宋" w:eastAsia="仿宋" w:cs="仿宋"/>
          <w:color w:val="auto"/>
          <w:szCs w:val="21"/>
          <w:highlight w:val="none"/>
        </w:rPr>
        <w:t>提交相关证明材料，</w:t>
      </w:r>
      <w:r>
        <w:rPr>
          <w:rFonts w:hint="eastAsia" w:ascii="仿宋" w:hAnsi="仿宋" w:eastAsia="仿宋" w:cs="仿宋"/>
          <w:color w:val="auto"/>
          <w:kern w:val="0"/>
          <w:szCs w:val="21"/>
          <w:highlight w:val="none"/>
        </w:rPr>
        <w:t>投标人不能证明其报价合理性的，评标委员会应当将</w:t>
      </w:r>
      <w:r>
        <w:rPr>
          <w:rFonts w:hint="eastAsia" w:ascii="仿宋" w:hAnsi="仿宋" w:eastAsia="仿宋" w:cs="仿宋"/>
          <w:color w:val="auto"/>
          <w:szCs w:val="21"/>
          <w:highlight w:val="none"/>
        </w:rPr>
        <w:t>其投标作为</w:t>
      </w:r>
      <w:r>
        <w:rPr>
          <w:rFonts w:hint="eastAsia" w:ascii="仿宋" w:hAnsi="仿宋" w:eastAsia="仿宋" w:cs="仿宋"/>
          <w:b/>
          <w:bCs/>
          <w:color w:val="auto"/>
          <w:szCs w:val="21"/>
          <w:highlight w:val="none"/>
        </w:rPr>
        <w:t>无效投标处理</w:t>
      </w:r>
      <w:r>
        <w:rPr>
          <w:rFonts w:hint="eastAsia" w:ascii="仿宋" w:hAnsi="仿宋" w:eastAsia="仿宋" w:cs="仿宋"/>
          <w:color w:val="auto"/>
          <w:szCs w:val="21"/>
          <w:highlight w:val="none"/>
        </w:rPr>
        <w:t>。</w:t>
      </w:r>
    </w:p>
    <w:p w14:paraId="285BA20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投标人的书面说明材料包含货物本身成本、人工费用、运输、税收等，以及报价不会影响产品质量或诚信履约能力的说明等。</w:t>
      </w:r>
    </w:p>
    <w:p w14:paraId="0AB1456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投标人的书面说明应当签字确认或者加盖公章，否则无效。书面说明的签字确认，由其法定代表人（非法人单位负责人或自然人本人）或者其授权代表签字确认。</w:t>
      </w:r>
    </w:p>
    <w:p w14:paraId="6F1DA78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43C7B1E0">
      <w:pPr>
        <w:numPr>
          <w:ilvl w:val="0"/>
          <w:numId w:val="6"/>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拒绝或者变相拒绝提供有效书面说明；</w:t>
      </w:r>
    </w:p>
    <w:p w14:paraId="73FC11E0">
      <w:pPr>
        <w:numPr>
          <w:ilvl w:val="0"/>
          <w:numId w:val="6"/>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书面说明不能证明其报价合理性的；</w:t>
      </w:r>
    </w:p>
    <w:p w14:paraId="2759031E">
      <w:pPr>
        <w:numPr>
          <w:ilvl w:val="0"/>
          <w:numId w:val="6"/>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未在规定时间内递交有效书面说明书的。</w:t>
      </w:r>
    </w:p>
    <w:p w14:paraId="6B1D2413">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★6</w:t>
      </w:r>
      <w:r>
        <w:rPr>
          <w:rFonts w:hint="eastAsia" w:ascii="仿宋" w:hAnsi="仿宋" w:eastAsia="仿宋" w:cs="仿宋"/>
          <w:b/>
          <w:bCs/>
          <w:color w:val="auto"/>
          <w:kern w:val="0"/>
          <w:szCs w:val="21"/>
          <w:highlight w:val="none"/>
        </w:rPr>
        <w:t>、需落实的政府采购政策性规定：</w:t>
      </w:r>
    </w:p>
    <w:p w14:paraId="7300145D">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6.1对于中小微企业的相关规定</w:t>
      </w:r>
    </w:p>
    <w:p w14:paraId="5E73FF8C">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6.1.1对于非专门面向中小企业的项目，在满足价格扣除条件且在投标文件中按要求提交了《中小企业声明函》</w:t>
      </w:r>
      <w:r>
        <w:rPr>
          <w:rFonts w:hint="eastAsia" w:ascii="仿宋" w:hAnsi="仿宋" w:eastAsia="仿宋" w:cs="仿宋"/>
          <w:color w:val="auto"/>
          <w:kern w:val="0"/>
          <w:szCs w:val="21"/>
          <w:highlight w:val="none"/>
        </w:rPr>
        <w:t>的，</w:t>
      </w:r>
      <w:r>
        <w:rPr>
          <w:rFonts w:hint="eastAsia" w:ascii="仿宋" w:hAnsi="仿宋" w:eastAsia="仿宋" w:cs="仿宋"/>
          <w:color w:val="auto"/>
          <w:szCs w:val="21"/>
          <w:highlight w:val="none"/>
        </w:rPr>
        <w:t>对投标报价给予价格扣除，用扣除后的价格参与评审。投标报价扣除比例如下：</w:t>
      </w:r>
    </w:p>
    <w:p w14:paraId="4AD78D37">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（1）非联合体投标</w:t>
      </w:r>
    </w:p>
    <w:p w14:paraId="640735CD">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小型和微型企业相应产品、服务投标报价的</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10%</w:t>
      </w:r>
      <w:r>
        <w:rPr>
          <w:rFonts w:hint="eastAsia" w:ascii="仿宋" w:hAnsi="仿宋" w:eastAsia="仿宋" w:cs="仿宋"/>
          <w:color w:val="auto"/>
          <w:kern w:val="0"/>
          <w:szCs w:val="21"/>
          <w:highlight w:val="none"/>
          <w:u w:val="single"/>
        </w:rPr>
        <w:t xml:space="preserve">  </w:t>
      </w:r>
    </w:p>
    <w:p w14:paraId="2D42EDB7">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（2）联合体投标</w:t>
      </w:r>
    </w:p>
    <w:p w14:paraId="2B6CA1E0">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eastAsia="仿宋" w:cs="仿宋"/>
          <w:color w:val="auto"/>
          <w:kern w:val="0"/>
          <w:szCs w:val="21"/>
          <w:highlight w:val="none"/>
          <w:u w:val="single"/>
        </w:rPr>
        <w:t xml:space="preserve">  </w:t>
      </w:r>
      <w:r>
        <w:rPr>
          <w:rFonts w:hint="eastAsia" w:ascii="仿宋" w:hAnsi="仿宋" w:cs="仿宋"/>
          <w:color w:val="auto"/>
          <w:kern w:val="0"/>
          <w:szCs w:val="21"/>
          <w:highlight w:val="none"/>
          <w:u w:val="single"/>
          <w:lang w:val="en-US" w:eastAsia="zh-CN"/>
        </w:rPr>
        <w:t>/</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w:t>
      </w:r>
    </w:p>
    <w:p w14:paraId="57A8FE64">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3CE45A35">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 w:hAnsi="仿宋" w:eastAsia="仿宋" w:cs="仿宋"/>
          <w:color w:val="auto"/>
          <w:kern w:val="0"/>
          <w:szCs w:val="21"/>
          <w:highlight w:val="none"/>
        </w:rPr>
        <w:t>用扣除后的价格参与评审</w:t>
      </w:r>
      <w:r>
        <w:rPr>
          <w:rFonts w:hint="eastAsia" w:ascii="仿宋" w:hAnsi="仿宋" w:eastAsia="仿宋" w:cs="仿宋"/>
          <w:color w:val="auto"/>
          <w:szCs w:val="21"/>
          <w:highlight w:val="none"/>
        </w:rPr>
        <w:t>。</w:t>
      </w:r>
    </w:p>
    <w:p w14:paraId="20D53F96">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b/>
          <w:color w:val="auto"/>
          <w:kern w:val="0"/>
          <w:szCs w:val="21"/>
          <w:highlight w:val="none"/>
        </w:rPr>
        <w:t>6.1.3</w:t>
      </w:r>
      <w:r>
        <w:rPr>
          <w:rFonts w:hint="eastAsia" w:ascii="仿宋" w:hAnsi="仿宋" w:eastAsia="仿宋" w:cs="仿宋"/>
          <w:color w:val="auto"/>
          <w:szCs w:val="21"/>
          <w:highlight w:val="none"/>
        </w:rPr>
        <w:t>残疾人福利性单位视同小型、微型企业，在满足价格扣除条件且在</w:t>
      </w:r>
      <w:r>
        <w:rPr>
          <w:rFonts w:hint="eastAsia" w:ascii="仿宋" w:hAnsi="仿宋" w:eastAsia="仿宋" w:cs="仿宋"/>
          <w:color w:val="auto"/>
          <w:kern w:val="0"/>
          <w:szCs w:val="21"/>
          <w:highlight w:val="none"/>
        </w:rPr>
        <w:t>投标文件中提供了《残疾人福利性单位声明函》的，</w:t>
      </w:r>
      <w:r>
        <w:rPr>
          <w:rFonts w:hint="eastAsia" w:ascii="仿宋" w:hAnsi="仿宋" w:eastAsia="仿宋" w:cs="仿宋"/>
          <w:color w:val="auto"/>
          <w:szCs w:val="21"/>
          <w:highlight w:val="none"/>
        </w:rPr>
        <w:t>对其投标报价按本章5.1.1条款的比例予以扣除</w:t>
      </w:r>
      <w:r>
        <w:rPr>
          <w:rFonts w:hint="eastAsia" w:ascii="仿宋" w:hAnsi="仿宋" w:eastAsia="仿宋" w:cs="仿宋"/>
          <w:color w:val="auto"/>
          <w:kern w:val="0"/>
          <w:szCs w:val="21"/>
          <w:highlight w:val="none"/>
        </w:rPr>
        <w:t>，用扣除后的价格参与评审。</w:t>
      </w:r>
    </w:p>
    <w:p w14:paraId="6D0ED43D">
      <w:pPr>
        <w:adjustRightInd w:val="0"/>
        <w:snapToGrid w:val="0"/>
        <w:spacing w:line="360" w:lineRule="auto"/>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6.1.4残疾人福利性单位属于小型、微型企业的，不重复享受政策。</w:t>
      </w:r>
    </w:p>
    <w:p w14:paraId="61D92097">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6.2对于节能产品、环境标志产品的相关规定</w:t>
      </w:r>
    </w:p>
    <w:p w14:paraId="0A8DFB44">
      <w:pPr>
        <w:numPr>
          <w:ilvl w:val="0"/>
          <w:numId w:val="7"/>
        </w:num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节能产品或环境标志产品，依据品目清单和认证证书实施政府优先采购。</w:t>
      </w:r>
      <w:r>
        <w:rPr>
          <w:rFonts w:hint="eastAsia" w:ascii="仿宋" w:hAnsi="仿宋" w:eastAsia="仿宋" w:cs="仿宋"/>
          <w:color w:val="auto"/>
          <w:highlight w:val="none"/>
        </w:rPr>
        <w:t>供应商</w:t>
      </w:r>
      <w:r>
        <w:rPr>
          <w:rFonts w:hint="eastAsia" w:ascii="仿宋" w:hAnsi="仿宋" w:eastAsia="仿宋" w:cs="仿宋"/>
          <w:color w:val="auto"/>
          <w:szCs w:val="21"/>
          <w:highlight w:val="none"/>
        </w:rPr>
        <w:t>应能够提供国家确定的认证机构出具的、处于有效期之内的节能产品、环境标志产品认证证书，方可对获得证书的产品优先推荐。</w:t>
      </w:r>
    </w:p>
    <w:p w14:paraId="0DB42818">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采用最低评标价法的，</w:t>
      </w:r>
      <w:r>
        <w:rPr>
          <w:rFonts w:hint="eastAsia" w:ascii="仿宋" w:hAnsi="仿宋" w:eastAsia="仿宋" w:cs="仿宋"/>
          <w:color w:val="auto"/>
          <w:szCs w:val="21"/>
          <w:highlight w:val="none"/>
        </w:rPr>
        <w:t>对</w:t>
      </w:r>
      <w:r>
        <w:rPr>
          <w:rFonts w:hint="eastAsia" w:ascii="仿宋" w:hAnsi="仿宋" w:eastAsia="仿宋" w:cs="仿宋"/>
          <w:color w:val="auto"/>
          <w:kern w:val="0"/>
          <w:szCs w:val="21"/>
          <w:highlight w:val="none"/>
        </w:rPr>
        <w:t>清单中投标产品的报价</w:t>
      </w:r>
      <w:r>
        <w:rPr>
          <w:rFonts w:hint="eastAsia" w:ascii="仿宋" w:hAnsi="仿宋" w:eastAsia="仿宋" w:cs="仿宋"/>
          <w:color w:val="auto"/>
          <w:szCs w:val="21"/>
          <w:highlight w:val="none"/>
        </w:rPr>
        <w:t>给予价格扣除，用扣除后的价格参与评审。报价扣除比例为</w:t>
      </w:r>
      <w:r>
        <w:rPr>
          <w:rFonts w:hint="eastAsia" w:ascii="仿宋" w:hAnsi="仿宋" w:eastAsia="仿宋" w:cs="仿宋"/>
          <w:color w:val="auto"/>
          <w:kern w:val="0"/>
          <w:szCs w:val="21"/>
          <w:highlight w:val="none"/>
        </w:rPr>
        <w:t>清单中产品报价的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7406C516">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采用综合评分法评标的项目，对清单中产品给予相应的加分。（详见评分细则）</w:t>
      </w:r>
    </w:p>
    <w:p w14:paraId="5A56D46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（2）供应商应同时提供品目清单网络截图，并以明确标注所报产品信息和位置的方式，用以方便评审。</w:t>
      </w:r>
    </w:p>
    <w:p w14:paraId="567D1BEF">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（3）认证机构和获证产品信息发布媒体：详见中国政府采购网（www.ccgp.gov.cn）建立的与认证结果信息发布平台的链接。</w:t>
      </w:r>
    </w:p>
    <w:p w14:paraId="0BCCC3F6">
      <w:pPr>
        <w:adjustRightInd w:val="0"/>
        <w:spacing w:line="360" w:lineRule="auto"/>
        <w:ind w:firstLine="420"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6.3对于列入《</w:t>
      </w:r>
      <w:r>
        <w:rPr>
          <w:rFonts w:hint="eastAsia" w:ascii="仿宋" w:hAnsi="仿宋" w:eastAsia="仿宋" w:cs="仿宋"/>
          <w:b/>
          <w:bCs/>
          <w:color w:val="auto"/>
          <w:szCs w:val="21"/>
          <w:highlight w:val="none"/>
          <w:lang w:eastAsia="zh-CN"/>
        </w:rPr>
        <w:t>创新产品和服务目录</w:t>
      </w:r>
      <w:r>
        <w:rPr>
          <w:rFonts w:hint="eastAsia" w:ascii="仿宋" w:hAnsi="仿宋" w:eastAsia="仿宋" w:cs="仿宋"/>
          <w:b/>
          <w:bCs/>
          <w:color w:val="auto"/>
          <w:szCs w:val="21"/>
          <w:highlight w:val="none"/>
        </w:rPr>
        <w:t>》内的产品、服务的相关规定</w:t>
      </w:r>
    </w:p>
    <w:p w14:paraId="0214C22E">
      <w:pPr>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采用最低评标价法的：对列入《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》内的投标产品、服务给予其投标报价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6% </w:t>
      </w:r>
      <w:r>
        <w:rPr>
          <w:rFonts w:hint="eastAsia" w:ascii="仿宋" w:hAnsi="仿宋" w:eastAsia="仿宋" w:cs="仿宋"/>
          <w:color w:val="auto"/>
          <w:szCs w:val="21"/>
          <w:highlight w:val="none"/>
        </w:rPr>
        <w:t>的价格扣除，用扣除后的价格参与评审。</w:t>
      </w:r>
    </w:p>
    <w:p w14:paraId="7E29A9CE">
      <w:pPr>
        <w:adjustRightInd w:val="0"/>
        <w:spacing w:line="360"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采用综合评分法评标的：对列入《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》内的投标产品、服务给予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的加分（详见评分细则）。</w:t>
      </w:r>
    </w:p>
    <w:p w14:paraId="14DD8D10">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★7</w:t>
      </w:r>
      <w:r>
        <w:rPr>
          <w:rFonts w:hint="eastAsia" w:ascii="仿宋" w:hAnsi="仿宋" w:eastAsia="仿宋" w:cs="仿宋"/>
          <w:b/>
          <w:bCs/>
          <w:color w:val="auto"/>
          <w:kern w:val="0"/>
          <w:szCs w:val="21"/>
          <w:highlight w:val="none"/>
        </w:rPr>
        <w:t>、投标无效情况详见投标人须知。</w:t>
      </w:r>
    </w:p>
    <w:p w14:paraId="76B115A2">
      <w:pPr>
        <w:adjustRightInd w:val="0"/>
        <w:snapToGrid w:val="0"/>
        <w:spacing w:line="360" w:lineRule="auto"/>
        <w:ind w:firstLine="420"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★8</w:t>
      </w:r>
      <w:r>
        <w:rPr>
          <w:rFonts w:hint="eastAsia" w:ascii="仿宋" w:hAnsi="仿宋" w:eastAsia="仿宋" w:cs="仿宋"/>
          <w:b/>
          <w:bCs/>
          <w:color w:val="auto"/>
          <w:kern w:val="0"/>
          <w:szCs w:val="21"/>
          <w:highlight w:val="none"/>
        </w:rPr>
        <w:t>、推荐中标候选人的原则</w:t>
      </w:r>
    </w:p>
    <w:p w14:paraId="5F1EF1E3">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详见第一章投标人须知第29条，具体处理办法如下：</w:t>
      </w:r>
    </w:p>
    <w:p w14:paraId="396AA93F">
      <w:pPr>
        <w:numPr>
          <w:ilvl w:val="0"/>
          <w:numId w:val="8"/>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采用最低评标价法的：</w:t>
      </w:r>
    </w:p>
    <w:p w14:paraId="2DE917A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扣除后的投标报价相同时，按投标报价由低至高排序；</w:t>
      </w:r>
    </w:p>
    <w:p w14:paraId="5D468C4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按前款不能区分的，优先采购节能产品、环境标志产品；</w:t>
      </w:r>
    </w:p>
    <w:p w14:paraId="61A2938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14:paraId="474EDAD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14:paraId="11426EAD">
      <w:pPr>
        <w:numPr>
          <w:ilvl w:val="0"/>
          <w:numId w:val="8"/>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采用综合评分法的：</w:t>
      </w:r>
    </w:p>
    <w:p w14:paraId="3C3F54B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得分相同的，按扣除后的投标报价由低到高顺序排序；</w:t>
      </w:r>
    </w:p>
    <w:p w14:paraId="21845A9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按前款不能区分的，按投标报价由低至高顺序排序；</w:t>
      </w:r>
    </w:p>
    <w:p w14:paraId="56D6836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按前款不能区分的，优先采购节能产品、环保产品；</w:t>
      </w:r>
    </w:p>
    <w:p w14:paraId="445D107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14:paraId="043A94C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14:paraId="30E9C857">
      <w:pPr>
        <w:adjustRightInd w:val="0"/>
        <w:snapToGrid w:val="0"/>
        <w:spacing w:line="360" w:lineRule="auto"/>
        <w:ind w:firstLine="420" w:firstLineChars="200"/>
        <w:rPr>
          <w:rFonts w:hint="eastAsia" w:ascii="仿宋" w:hAnsi="仿宋" w:eastAsia="仿宋" w:cs="仿宋"/>
          <w:b/>
          <w:color w:val="auto"/>
          <w:kern w:val="0"/>
          <w:szCs w:val="21"/>
          <w:highlight w:val="none"/>
        </w:rPr>
      </w:pPr>
      <w:bookmarkStart w:id="127" w:name="_Toc30297_WPSOffice_Level2"/>
      <w:r>
        <w:rPr>
          <w:rFonts w:hint="eastAsia" w:ascii="仿宋" w:hAnsi="仿宋" w:eastAsia="仿宋" w:cs="仿宋"/>
          <w:b/>
          <w:color w:val="auto"/>
          <w:szCs w:val="21"/>
          <w:highlight w:val="none"/>
        </w:rPr>
        <w:t>三、</w:t>
      </w:r>
      <w:r>
        <w:rPr>
          <w:rFonts w:hint="eastAsia" w:ascii="仿宋" w:hAnsi="仿宋" w:eastAsia="仿宋" w:cs="仿宋"/>
          <w:b/>
          <w:color w:val="auto"/>
          <w:kern w:val="0"/>
          <w:szCs w:val="21"/>
          <w:highlight w:val="none"/>
        </w:rPr>
        <w:t>确定中标人</w:t>
      </w:r>
      <w:bookmarkEnd w:id="127"/>
    </w:p>
    <w:p w14:paraId="59207AC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评标委员会根据全体评标委员会成员签字的原始评标记录和评标结果编写评标报告，并向采购人提交书面评标报告。</w:t>
      </w:r>
    </w:p>
    <w:p w14:paraId="77A483F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采购人按照评标报告确定的中标候选人名单按顺序确定中标人，或由采购人委托评标委员会按照第一章投标人须知第31条规定的方式确定中标人。</w:t>
      </w:r>
    </w:p>
    <w:p w14:paraId="5E07B530">
      <w:pPr>
        <w:widowControl/>
        <w:adjustRightInd w:val="0"/>
        <w:snapToGrid w:val="0"/>
        <w:spacing w:line="360" w:lineRule="auto"/>
        <w:ind w:firstLine="480"/>
        <w:jc w:val="left"/>
        <w:rPr>
          <w:rFonts w:hint="default" w:ascii="仿宋" w:hAnsi="仿宋" w:eastAsia="仿宋" w:cs="仿宋"/>
          <w:color w:val="auto"/>
          <w:szCs w:val="21"/>
          <w:highlight w:val="none"/>
          <w:lang w:val="en-US" w:eastAsia="zh-CN"/>
        </w:rPr>
      </w:pPr>
    </w:p>
    <w:p w14:paraId="28AEC35E">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bookmarkStart w:id="128" w:name="_Toc32318_WPSOffice_Level2"/>
      <w:r>
        <w:rPr>
          <w:rFonts w:hint="eastAsia" w:ascii="仿宋" w:hAnsi="仿宋" w:eastAsia="仿宋" w:cs="仿宋"/>
          <w:color w:val="auto"/>
          <w:szCs w:val="28"/>
          <w:highlight w:val="none"/>
        </w:rPr>
        <w:t xml:space="preserve">附件1 </w:t>
      </w:r>
    </w:p>
    <w:p w14:paraId="325A0A12">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资格审查表</w:t>
      </w:r>
      <w:bookmarkEnd w:id="128"/>
    </w:p>
    <w:tbl>
      <w:tblPr>
        <w:tblStyle w:val="14"/>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0795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14:paraId="142B32D5">
            <w:pPr>
              <w:ind w:left="-96" w:leftChars="-46" w:right="-86" w:rightChars="-41"/>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3837" w:type="dxa"/>
            <w:vMerge w:val="restart"/>
            <w:noWrap w:val="0"/>
            <w:vAlign w:val="center"/>
          </w:tcPr>
          <w:p w14:paraId="40006752">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审查项目</w:t>
            </w:r>
          </w:p>
        </w:tc>
        <w:tc>
          <w:tcPr>
            <w:tcW w:w="1982" w:type="dxa"/>
            <w:vMerge w:val="restart"/>
            <w:noWrap w:val="0"/>
            <w:vAlign w:val="center"/>
          </w:tcPr>
          <w:p w14:paraId="3AED1F43">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审查标准</w:t>
            </w:r>
          </w:p>
        </w:tc>
        <w:tc>
          <w:tcPr>
            <w:tcW w:w="2836" w:type="dxa"/>
            <w:gridSpan w:val="3"/>
            <w:noWrap w:val="0"/>
            <w:vAlign w:val="center"/>
          </w:tcPr>
          <w:p w14:paraId="3253BF43">
            <w:pPr>
              <w:pStyle w:val="3"/>
              <w:adjustRightInd w:val="0"/>
              <w:snapToGrid w:val="0"/>
              <w:spacing w:before="0" w:after="0" w:line="240" w:lineRule="auto"/>
              <w:ind w:left="-96"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投标人名称</w:t>
            </w:r>
          </w:p>
        </w:tc>
      </w:tr>
      <w:tr w14:paraId="5384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14:paraId="6FA0CFEA">
            <w:pPr>
              <w:pStyle w:val="3"/>
              <w:adjustRightInd w:val="0"/>
              <w:snapToGrid w:val="0"/>
              <w:spacing w:before="0" w:after="0" w:line="240" w:lineRule="auto"/>
              <w:rPr>
                <w:rFonts w:hint="eastAsia" w:ascii="仿宋" w:hAnsi="仿宋" w:eastAsia="仿宋" w:cs="仿宋"/>
                <w:color w:val="auto"/>
                <w:highlight w:val="none"/>
              </w:rPr>
            </w:pPr>
          </w:p>
        </w:tc>
        <w:tc>
          <w:tcPr>
            <w:tcW w:w="3837" w:type="dxa"/>
            <w:vMerge w:val="continue"/>
            <w:noWrap w:val="0"/>
            <w:vAlign w:val="center"/>
          </w:tcPr>
          <w:p w14:paraId="3C548C7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1982" w:type="dxa"/>
            <w:vMerge w:val="continue"/>
            <w:noWrap w:val="0"/>
            <w:vAlign w:val="center"/>
          </w:tcPr>
          <w:p w14:paraId="7E2F58A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6" w:type="dxa"/>
            <w:noWrap w:val="0"/>
            <w:vAlign w:val="center"/>
          </w:tcPr>
          <w:p w14:paraId="7D1E966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center"/>
          </w:tcPr>
          <w:p w14:paraId="46FE664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center"/>
          </w:tcPr>
          <w:p w14:paraId="593A0502">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5C56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1F06462A">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3837" w:type="dxa"/>
            <w:noWrap w:val="0"/>
            <w:vAlign w:val="center"/>
          </w:tcPr>
          <w:p w14:paraId="141DF656">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营业执照或事业单位法人证书或执业许可证等证明文件或自然人的身份证明</w:t>
            </w:r>
          </w:p>
        </w:tc>
        <w:tc>
          <w:tcPr>
            <w:tcW w:w="1982" w:type="dxa"/>
            <w:noWrap w:val="0"/>
            <w:vAlign w:val="center"/>
          </w:tcPr>
          <w:p w14:paraId="4421F032">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6F779FB1">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986" w:type="dxa"/>
            <w:noWrap w:val="0"/>
            <w:vAlign w:val="center"/>
          </w:tcPr>
          <w:p w14:paraId="797D650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center"/>
          </w:tcPr>
          <w:p w14:paraId="63C10E8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center"/>
          </w:tcPr>
          <w:p w14:paraId="7D985232">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146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729BA7A2">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3837" w:type="dxa"/>
            <w:noWrap w:val="0"/>
            <w:vAlign w:val="center"/>
          </w:tcPr>
          <w:p w14:paraId="1B4C83AF">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组织机构代码证</w:t>
            </w:r>
          </w:p>
        </w:tc>
        <w:tc>
          <w:tcPr>
            <w:tcW w:w="1982" w:type="dxa"/>
            <w:noWrap w:val="0"/>
            <w:vAlign w:val="center"/>
          </w:tcPr>
          <w:p w14:paraId="36B86441">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759F214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986" w:type="dxa"/>
            <w:noWrap w:val="0"/>
            <w:vAlign w:val="top"/>
          </w:tcPr>
          <w:p w14:paraId="66DFB5F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475E137F">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4F3005EF">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6937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0EF27A88">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3837" w:type="dxa"/>
            <w:noWrap w:val="0"/>
            <w:vAlign w:val="center"/>
          </w:tcPr>
          <w:p w14:paraId="21DC96D5">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税务登记证</w:t>
            </w:r>
          </w:p>
        </w:tc>
        <w:tc>
          <w:tcPr>
            <w:tcW w:w="1982" w:type="dxa"/>
            <w:noWrap w:val="0"/>
            <w:vAlign w:val="center"/>
          </w:tcPr>
          <w:p w14:paraId="3F99DE3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3871DBC6">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986" w:type="dxa"/>
            <w:noWrap w:val="0"/>
            <w:vAlign w:val="top"/>
          </w:tcPr>
          <w:p w14:paraId="73B5A98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056DD56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0A6934C3">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1D4F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597FE4A3">
            <w:pPr>
              <w:widowControl/>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4</w:t>
            </w:r>
          </w:p>
        </w:tc>
        <w:tc>
          <w:tcPr>
            <w:tcW w:w="3837" w:type="dxa"/>
            <w:noWrap w:val="0"/>
            <w:vAlign w:val="center"/>
          </w:tcPr>
          <w:p w14:paraId="059EAA70">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法定代表人（或非法人组织负责人）身份证明书</w:t>
            </w:r>
          </w:p>
        </w:tc>
        <w:tc>
          <w:tcPr>
            <w:tcW w:w="1982" w:type="dxa"/>
            <w:noWrap w:val="0"/>
            <w:vAlign w:val="center"/>
          </w:tcPr>
          <w:p w14:paraId="5108E2A0">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36655635">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986" w:type="dxa"/>
            <w:noWrap w:val="0"/>
            <w:vAlign w:val="top"/>
          </w:tcPr>
          <w:p w14:paraId="2E13A2E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76392E4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537C393F">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CE3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0194E3A0">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3837" w:type="dxa"/>
            <w:noWrap w:val="0"/>
            <w:vAlign w:val="center"/>
          </w:tcPr>
          <w:p w14:paraId="65017497">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法定代表人（或非法人组织</w:t>
            </w:r>
            <w:r>
              <w:rPr>
                <w:rFonts w:hint="eastAsia" w:ascii="仿宋" w:hAnsi="仿宋" w:eastAsia="仿宋" w:cs="仿宋"/>
                <w:color w:val="auto"/>
                <w:szCs w:val="21"/>
                <w:highlight w:val="none"/>
              </w:rPr>
              <w:t>负责人）</w:t>
            </w:r>
            <w:r>
              <w:rPr>
                <w:rFonts w:hint="eastAsia" w:ascii="仿宋" w:hAnsi="仿宋" w:eastAsia="仿宋" w:cs="仿宋"/>
                <w:color w:val="auto"/>
                <w:highlight w:val="none"/>
              </w:rPr>
              <w:t>授权委托书</w:t>
            </w:r>
            <w:r>
              <w:rPr>
                <w:rFonts w:hint="eastAsia" w:ascii="仿宋" w:hAnsi="仿宋" w:eastAsia="仿宋" w:cs="仿宋"/>
                <w:color w:val="auto"/>
                <w:szCs w:val="21"/>
                <w:highlight w:val="none"/>
              </w:rPr>
              <w:t>（授权委托人参加投标的须提供）</w:t>
            </w:r>
          </w:p>
        </w:tc>
        <w:tc>
          <w:tcPr>
            <w:tcW w:w="1982" w:type="dxa"/>
            <w:noWrap w:val="0"/>
            <w:vAlign w:val="center"/>
          </w:tcPr>
          <w:p w14:paraId="3B35ECC4">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6FDFFEB8">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986" w:type="dxa"/>
            <w:noWrap w:val="0"/>
            <w:vAlign w:val="top"/>
          </w:tcPr>
          <w:p w14:paraId="41904DD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1A2AF2C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279E734F">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D36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40F24E63">
            <w:pPr>
              <w:widowControl/>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3837" w:type="dxa"/>
            <w:noWrap w:val="0"/>
            <w:vAlign w:val="center"/>
          </w:tcPr>
          <w:p w14:paraId="24E46F64">
            <w:pPr>
              <w:widowControl/>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具有良好的商业信誉和健全的财务会计制度的承诺函</w:t>
            </w:r>
          </w:p>
        </w:tc>
        <w:tc>
          <w:tcPr>
            <w:tcW w:w="1982" w:type="dxa"/>
            <w:noWrap w:val="0"/>
            <w:vAlign w:val="center"/>
          </w:tcPr>
          <w:p w14:paraId="7C5517B1">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14:paraId="43BFB3BD">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986" w:type="dxa"/>
            <w:noWrap w:val="0"/>
            <w:vAlign w:val="top"/>
          </w:tcPr>
          <w:p w14:paraId="1BD81B8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64B95C4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38357D84">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2DE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69E50516">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3837" w:type="dxa"/>
            <w:noWrap w:val="0"/>
            <w:vAlign w:val="center"/>
          </w:tcPr>
          <w:p w14:paraId="23567C44">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开标时间前六个月内任一个月的依法缴纳税收的缴款凭据</w:t>
            </w:r>
          </w:p>
        </w:tc>
        <w:tc>
          <w:tcPr>
            <w:tcW w:w="1982" w:type="dxa"/>
            <w:noWrap w:val="0"/>
            <w:vAlign w:val="center"/>
          </w:tcPr>
          <w:p w14:paraId="4B39BF7F">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4F5B0C05">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986" w:type="dxa"/>
            <w:noWrap w:val="0"/>
            <w:vAlign w:val="top"/>
          </w:tcPr>
          <w:p w14:paraId="29862EE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4D624D0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241C1A7A">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486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3EEE0E4C">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8</w:t>
            </w:r>
          </w:p>
        </w:tc>
        <w:tc>
          <w:tcPr>
            <w:tcW w:w="3837" w:type="dxa"/>
            <w:noWrap w:val="0"/>
            <w:vAlign w:val="center"/>
          </w:tcPr>
          <w:p w14:paraId="539296A5">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开标时间前六个月内任一个月的依法缴纳社会保障资金的缴款凭据</w:t>
            </w:r>
          </w:p>
        </w:tc>
        <w:tc>
          <w:tcPr>
            <w:tcW w:w="1982" w:type="dxa"/>
            <w:noWrap w:val="0"/>
            <w:vAlign w:val="center"/>
          </w:tcPr>
          <w:p w14:paraId="0A7AB06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75A23B13">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986" w:type="dxa"/>
            <w:noWrap w:val="0"/>
            <w:vAlign w:val="top"/>
          </w:tcPr>
          <w:p w14:paraId="7FE1217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260C006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617E1F0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85A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4B6A1684">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9</w:t>
            </w:r>
          </w:p>
        </w:tc>
        <w:tc>
          <w:tcPr>
            <w:tcW w:w="3837" w:type="dxa"/>
            <w:noWrap w:val="0"/>
            <w:vAlign w:val="center"/>
          </w:tcPr>
          <w:p w14:paraId="6B40E256">
            <w:pPr>
              <w:snapToGrid w:val="0"/>
              <w:jc w:val="left"/>
              <w:rPr>
                <w:rFonts w:hint="eastAsia" w:ascii="仿宋" w:hAnsi="仿宋" w:eastAsia="仿宋" w:cs="仿宋"/>
                <w:b/>
                <w:color w:val="auto"/>
                <w:szCs w:val="21"/>
                <w:highlight w:val="none"/>
              </w:rPr>
            </w:pPr>
            <w:r>
              <w:rPr>
                <w:rFonts w:hint="eastAsia" w:ascii="仿宋" w:hAnsi="仿宋" w:eastAsia="仿宋" w:cs="仿宋"/>
                <w:color w:val="auto"/>
                <w:highlight w:val="none"/>
              </w:rPr>
              <w:t>具备履行合同所必需的设备和专业技术能力声明函</w:t>
            </w:r>
          </w:p>
        </w:tc>
        <w:tc>
          <w:tcPr>
            <w:tcW w:w="1982" w:type="dxa"/>
            <w:noWrap w:val="0"/>
            <w:vAlign w:val="center"/>
          </w:tcPr>
          <w:p w14:paraId="24AD78A9">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14:paraId="35B69D82">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986" w:type="dxa"/>
            <w:noWrap w:val="0"/>
            <w:vAlign w:val="top"/>
          </w:tcPr>
          <w:p w14:paraId="41CACBD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0DF6CAE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5263468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AA6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0C8AA8AF">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10</w:t>
            </w:r>
          </w:p>
        </w:tc>
        <w:tc>
          <w:tcPr>
            <w:tcW w:w="3837" w:type="dxa"/>
            <w:noWrap w:val="0"/>
            <w:vAlign w:val="center"/>
          </w:tcPr>
          <w:p w14:paraId="327B34CF">
            <w:pPr>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参加政府采购活动前3年内在经营活动中没有重大违法记录的书面声明</w:t>
            </w:r>
          </w:p>
        </w:tc>
        <w:tc>
          <w:tcPr>
            <w:tcW w:w="1982" w:type="dxa"/>
            <w:noWrap w:val="0"/>
            <w:vAlign w:val="center"/>
          </w:tcPr>
          <w:p w14:paraId="69A484B6">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5FEB8BDC">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986" w:type="dxa"/>
            <w:noWrap w:val="0"/>
            <w:vAlign w:val="top"/>
          </w:tcPr>
          <w:p w14:paraId="7A90596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73A0F53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7088DE1A">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41A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noWrap w:val="0"/>
            <w:vAlign w:val="center"/>
          </w:tcPr>
          <w:p w14:paraId="54878DDE">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11</w:t>
            </w:r>
          </w:p>
        </w:tc>
        <w:tc>
          <w:tcPr>
            <w:tcW w:w="3837" w:type="dxa"/>
            <w:noWrap w:val="0"/>
            <w:vAlign w:val="center"/>
          </w:tcPr>
          <w:p w14:paraId="2CF3B01E">
            <w:pPr>
              <w:snapToGrid w:val="0"/>
              <w:jc w:val="left"/>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szCs w:val="21"/>
                <w:highlight w:val="none"/>
              </w:rPr>
              <w:t>其它资格证明文件（如适用，按投标人须知表1.3.4要求描述）</w:t>
            </w:r>
          </w:p>
        </w:tc>
        <w:tc>
          <w:tcPr>
            <w:tcW w:w="1982" w:type="dxa"/>
            <w:noWrap w:val="0"/>
            <w:vAlign w:val="center"/>
          </w:tcPr>
          <w:p w14:paraId="558ADF0B">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4C46E6DD">
            <w:pPr>
              <w:pStyle w:val="3"/>
              <w:adjustRightInd w:val="0"/>
              <w:snapToGrid w:val="0"/>
              <w:spacing w:before="0" w:after="0" w:line="240" w:lineRule="auto"/>
              <w:jc w:val="both"/>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2.合法有效</w:t>
            </w:r>
          </w:p>
        </w:tc>
        <w:tc>
          <w:tcPr>
            <w:tcW w:w="986" w:type="dxa"/>
            <w:noWrap w:val="0"/>
            <w:vAlign w:val="top"/>
          </w:tcPr>
          <w:p w14:paraId="1D1818F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370D8E8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6C01199B">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5D56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3C80D3DA">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12</w:t>
            </w:r>
          </w:p>
        </w:tc>
        <w:tc>
          <w:tcPr>
            <w:tcW w:w="3837" w:type="dxa"/>
            <w:noWrap w:val="0"/>
            <w:vAlign w:val="center"/>
          </w:tcPr>
          <w:p w14:paraId="62446348">
            <w:pPr>
              <w:snapToGrid w:val="0"/>
              <w:jc w:val="left"/>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highlight w:val="none"/>
              </w:rPr>
              <w:t>信用记录（</w:t>
            </w:r>
            <w:r>
              <w:rPr>
                <w:rFonts w:hint="eastAsia" w:ascii="仿宋" w:hAnsi="仿宋" w:eastAsia="仿宋" w:cs="仿宋"/>
                <w:color w:val="auto"/>
                <w:szCs w:val="21"/>
                <w:highlight w:val="none"/>
              </w:rPr>
              <w:t>采购人或采购代理机构将按照招标文件规定的审查期间内进行查询</w:t>
            </w:r>
            <w:r>
              <w:rPr>
                <w:rFonts w:hint="eastAsia" w:ascii="仿宋" w:hAnsi="仿宋" w:eastAsia="仿宋" w:cs="仿宋"/>
                <w:color w:val="auto"/>
                <w:highlight w:val="none"/>
              </w:rPr>
              <w:t>）</w:t>
            </w:r>
          </w:p>
        </w:tc>
        <w:tc>
          <w:tcPr>
            <w:tcW w:w="1982" w:type="dxa"/>
            <w:noWrap w:val="0"/>
            <w:vAlign w:val="center"/>
          </w:tcPr>
          <w:p w14:paraId="540179EF">
            <w:pPr>
              <w:pStyle w:val="3"/>
              <w:adjustRightInd w:val="0"/>
              <w:snapToGrid w:val="0"/>
              <w:spacing w:before="0" w:after="0" w:line="240" w:lineRule="auto"/>
              <w:jc w:val="both"/>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无投标须知22.2.1所述的不良记录</w:t>
            </w:r>
          </w:p>
        </w:tc>
        <w:tc>
          <w:tcPr>
            <w:tcW w:w="986" w:type="dxa"/>
            <w:noWrap w:val="0"/>
            <w:vAlign w:val="top"/>
          </w:tcPr>
          <w:p w14:paraId="1635588C">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1DD9204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0E2D776A">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4D3F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5FC5F710">
            <w:pPr>
              <w:snapToGrid w:val="0"/>
              <w:jc w:val="center"/>
              <w:rPr>
                <w:rFonts w:hint="eastAsia" w:ascii="仿宋" w:hAnsi="仿宋" w:eastAsia="仿宋" w:cs="仿宋"/>
                <w:color w:val="auto"/>
                <w:highlight w:val="none"/>
              </w:rPr>
            </w:pPr>
          </w:p>
        </w:tc>
        <w:tc>
          <w:tcPr>
            <w:tcW w:w="3837" w:type="dxa"/>
            <w:noWrap w:val="0"/>
            <w:vAlign w:val="center"/>
          </w:tcPr>
          <w:p w14:paraId="22CAC543">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结论</w:t>
            </w:r>
          </w:p>
        </w:tc>
        <w:tc>
          <w:tcPr>
            <w:tcW w:w="1982" w:type="dxa"/>
            <w:noWrap w:val="0"/>
            <w:vAlign w:val="top"/>
          </w:tcPr>
          <w:p w14:paraId="100DB40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6" w:type="dxa"/>
            <w:noWrap w:val="0"/>
            <w:vAlign w:val="top"/>
          </w:tcPr>
          <w:p w14:paraId="1D37CE76">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62" w:type="dxa"/>
            <w:noWrap w:val="0"/>
            <w:vAlign w:val="top"/>
          </w:tcPr>
          <w:p w14:paraId="4791FABB">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88" w:type="dxa"/>
            <w:noWrap w:val="0"/>
            <w:vAlign w:val="top"/>
          </w:tcPr>
          <w:p w14:paraId="6A48DFF9">
            <w:pPr>
              <w:pStyle w:val="3"/>
              <w:adjustRightInd w:val="0"/>
              <w:snapToGrid w:val="0"/>
              <w:spacing w:before="0" w:after="0" w:line="240" w:lineRule="auto"/>
              <w:rPr>
                <w:rFonts w:hint="eastAsia" w:ascii="仿宋" w:hAnsi="仿宋" w:eastAsia="仿宋" w:cs="仿宋"/>
                <w:color w:val="auto"/>
                <w:sz w:val="21"/>
                <w:szCs w:val="21"/>
                <w:highlight w:val="none"/>
              </w:rPr>
            </w:pPr>
          </w:p>
        </w:tc>
      </w:tr>
    </w:tbl>
    <w:p w14:paraId="66E3DBF5">
      <w:pPr>
        <w:snapToGrid w:val="0"/>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14:paraId="7D571FCB">
      <w:pPr>
        <w:snapToGrid w:val="0"/>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14:paraId="2DE48D9F">
      <w:pPr>
        <w:rPr>
          <w:rFonts w:hint="eastAsia" w:ascii="仿宋" w:hAnsi="仿宋" w:eastAsia="仿宋" w:cs="仿宋"/>
          <w:color w:val="auto"/>
          <w:highlight w:val="none"/>
        </w:rPr>
      </w:pPr>
    </w:p>
    <w:p w14:paraId="7BC356DB">
      <w:pPr>
        <w:rPr>
          <w:rFonts w:hint="eastAsia" w:ascii="仿宋" w:hAnsi="仿宋" w:eastAsia="仿宋" w:cs="仿宋"/>
          <w:color w:val="auto"/>
          <w:highlight w:val="none"/>
        </w:rPr>
      </w:pPr>
    </w:p>
    <w:p w14:paraId="71F3A92D">
      <w:pPr>
        <w:pStyle w:val="12"/>
        <w:widowControl w:val="0"/>
        <w:snapToGrid w:val="0"/>
        <w:spacing w:before="0" w:beforeAutospacing="0" w:after="0" w:afterAutospacing="0" w:line="48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审查人签字：</w:t>
      </w:r>
    </w:p>
    <w:p w14:paraId="33CFBE66">
      <w:pPr>
        <w:pStyle w:val="12"/>
        <w:widowControl w:val="0"/>
        <w:snapToGrid w:val="0"/>
        <w:spacing w:before="0" w:beforeAutospacing="0" w:after="0" w:afterAutospacing="0" w:line="480" w:lineRule="auto"/>
        <w:jc w:val="both"/>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p>
    <w:p w14:paraId="445DE644">
      <w:pPr>
        <w:pStyle w:val="3"/>
        <w:adjustRightInd w:val="0"/>
        <w:snapToGrid w:val="0"/>
        <w:spacing w:before="0" w:after="0" w:line="240" w:lineRule="auto"/>
        <w:jc w:val="left"/>
        <w:rPr>
          <w:rFonts w:hint="eastAsia" w:ascii="仿宋" w:hAnsi="仿宋" w:eastAsia="仿宋" w:cs="仿宋"/>
          <w:color w:val="auto"/>
          <w:szCs w:val="28"/>
          <w:highlight w:val="none"/>
        </w:rPr>
      </w:pPr>
      <w:bookmarkStart w:id="129" w:name="_Toc11558_WPSOffice_Level2"/>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 xml:space="preserve">附件2                  </w:t>
      </w:r>
    </w:p>
    <w:p w14:paraId="211FCD25">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符合性审查表</w:t>
      </w:r>
      <w:bookmarkEnd w:id="129"/>
    </w:p>
    <w:tbl>
      <w:tblPr>
        <w:tblStyle w:val="14"/>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487F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0"/>
            <w:vAlign w:val="center"/>
          </w:tcPr>
          <w:p w14:paraId="7B650A13">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606" w:type="dxa"/>
            <w:vMerge w:val="restart"/>
            <w:noWrap w:val="0"/>
            <w:vAlign w:val="center"/>
          </w:tcPr>
          <w:p w14:paraId="20C98409">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审查项目</w:t>
            </w:r>
          </w:p>
        </w:tc>
        <w:tc>
          <w:tcPr>
            <w:tcW w:w="3004" w:type="dxa"/>
            <w:vMerge w:val="restart"/>
            <w:noWrap w:val="0"/>
            <w:vAlign w:val="center"/>
          </w:tcPr>
          <w:p w14:paraId="34CABBFC">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审查标准</w:t>
            </w:r>
          </w:p>
        </w:tc>
        <w:tc>
          <w:tcPr>
            <w:tcW w:w="2992" w:type="dxa"/>
            <w:gridSpan w:val="3"/>
            <w:noWrap w:val="0"/>
            <w:vAlign w:val="center"/>
          </w:tcPr>
          <w:p w14:paraId="248DC164">
            <w:pPr>
              <w:ind w:left="-84" w:leftChars="-40" w:right="-75"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投标人名称</w:t>
            </w:r>
          </w:p>
        </w:tc>
      </w:tr>
      <w:tr w14:paraId="2D64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0"/>
            <w:vAlign w:val="center"/>
          </w:tcPr>
          <w:p w14:paraId="43028AC0">
            <w:pPr>
              <w:pStyle w:val="3"/>
              <w:adjustRightInd w:val="0"/>
              <w:snapToGrid w:val="0"/>
              <w:spacing w:before="0" w:after="0" w:line="240" w:lineRule="auto"/>
              <w:rPr>
                <w:rFonts w:hint="eastAsia" w:ascii="仿宋" w:hAnsi="仿宋" w:eastAsia="仿宋" w:cs="仿宋"/>
                <w:color w:val="auto"/>
                <w:highlight w:val="none"/>
              </w:rPr>
            </w:pPr>
          </w:p>
        </w:tc>
        <w:tc>
          <w:tcPr>
            <w:tcW w:w="2606" w:type="dxa"/>
            <w:vMerge w:val="continue"/>
            <w:noWrap w:val="0"/>
            <w:vAlign w:val="center"/>
          </w:tcPr>
          <w:p w14:paraId="377E211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3004" w:type="dxa"/>
            <w:vMerge w:val="continue"/>
            <w:noWrap w:val="0"/>
            <w:vAlign w:val="center"/>
          </w:tcPr>
          <w:p w14:paraId="5FCCCF7B">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1095" w:type="dxa"/>
            <w:noWrap w:val="0"/>
            <w:vAlign w:val="center"/>
          </w:tcPr>
          <w:p w14:paraId="299D6C7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center"/>
          </w:tcPr>
          <w:p w14:paraId="2E205AC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center"/>
          </w:tcPr>
          <w:p w14:paraId="17669717">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638F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1C7CC312">
            <w:pPr>
              <w:jc w:val="center"/>
              <w:rPr>
                <w:rFonts w:hint="eastAsia" w:ascii="仿宋" w:hAnsi="仿宋" w:eastAsia="仿宋" w:cs="仿宋"/>
                <w:color w:val="auto"/>
                <w:highlight w:val="none"/>
              </w:rPr>
            </w:pPr>
            <w:r>
              <w:rPr>
                <w:rFonts w:hint="eastAsia" w:ascii="仿宋" w:hAnsi="仿宋" w:eastAsia="仿宋" w:cs="仿宋"/>
                <w:color w:val="auto"/>
                <w:kern w:val="0"/>
                <w:sz w:val="20"/>
                <w:szCs w:val="21"/>
                <w:highlight w:val="none"/>
              </w:rPr>
              <w:t>1</w:t>
            </w:r>
          </w:p>
        </w:tc>
        <w:tc>
          <w:tcPr>
            <w:tcW w:w="2606" w:type="dxa"/>
            <w:noWrap w:val="0"/>
            <w:vAlign w:val="center"/>
          </w:tcPr>
          <w:p w14:paraId="531DD545">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投标函</w:t>
            </w:r>
          </w:p>
        </w:tc>
        <w:tc>
          <w:tcPr>
            <w:tcW w:w="3004" w:type="dxa"/>
            <w:noWrap w:val="0"/>
            <w:vAlign w:val="top"/>
          </w:tcPr>
          <w:p w14:paraId="794ED180">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1ED1B131">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7A69B3EF">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1095" w:type="dxa"/>
            <w:noWrap w:val="0"/>
            <w:vAlign w:val="center"/>
          </w:tcPr>
          <w:p w14:paraId="334329FC">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center"/>
          </w:tcPr>
          <w:p w14:paraId="0B709B5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center"/>
          </w:tcPr>
          <w:p w14:paraId="184A3D14">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A4F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noWrap w:val="0"/>
            <w:vAlign w:val="center"/>
          </w:tcPr>
          <w:p w14:paraId="7CDA5FA3">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2606" w:type="dxa"/>
            <w:noWrap w:val="0"/>
            <w:vAlign w:val="center"/>
          </w:tcPr>
          <w:p w14:paraId="15FE729E">
            <w:pPr>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kern w:val="0"/>
                <w:szCs w:val="21"/>
                <w:highlight w:val="none"/>
              </w:rPr>
              <w:t>开标一览表</w:t>
            </w:r>
          </w:p>
        </w:tc>
        <w:tc>
          <w:tcPr>
            <w:tcW w:w="3004" w:type="dxa"/>
            <w:noWrap w:val="0"/>
            <w:vAlign w:val="top"/>
          </w:tcPr>
          <w:p w14:paraId="7E4D03EF">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2C95AF3C">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558CE9DC">
            <w:pPr>
              <w:pStyle w:val="3"/>
              <w:adjustRightInd w:val="0"/>
              <w:snapToGrid w:val="0"/>
              <w:spacing w:before="0" w:after="0" w:line="240" w:lineRule="auto"/>
              <w:jc w:val="left"/>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3.按规定签章</w:t>
            </w:r>
          </w:p>
        </w:tc>
        <w:tc>
          <w:tcPr>
            <w:tcW w:w="1095" w:type="dxa"/>
            <w:noWrap w:val="0"/>
            <w:vAlign w:val="top"/>
          </w:tcPr>
          <w:p w14:paraId="4EF9644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56595E6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73F06ED8">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393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0"/>
            <w:vAlign w:val="center"/>
          </w:tcPr>
          <w:p w14:paraId="4D824B34">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3</w:t>
            </w:r>
          </w:p>
        </w:tc>
        <w:tc>
          <w:tcPr>
            <w:tcW w:w="2606" w:type="dxa"/>
            <w:noWrap w:val="0"/>
            <w:vAlign w:val="center"/>
          </w:tcPr>
          <w:p w14:paraId="676FC92E">
            <w:pPr>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kern w:val="0"/>
                <w:szCs w:val="21"/>
                <w:highlight w:val="none"/>
              </w:rPr>
              <w:t>分项报价表</w:t>
            </w:r>
          </w:p>
        </w:tc>
        <w:tc>
          <w:tcPr>
            <w:tcW w:w="3004" w:type="dxa"/>
            <w:noWrap w:val="0"/>
            <w:vAlign w:val="top"/>
          </w:tcPr>
          <w:p w14:paraId="21733A52">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1.按给定格式填写，信息完整</w:t>
            </w:r>
          </w:p>
          <w:p w14:paraId="1AA02779">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4292D2B4">
            <w:pPr>
              <w:pStyle w:val="3"/>
              <w:adjustRightInd w:val="0"/>
              <w:snapToGrid w:val="0"/>
              <w:spacing w:before="0" w:after="0" w:line="240" w:lineRule="auto"/>
              <w:jc w:val="left"/>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3.按规定签章</w:t>
            </w:r>
          </w:p>
        </w:tc>
        <w:tc>
          <w:tcPr>
            <w:tcW w:w="1095" w:type="dxa"/>
            <w:noWrap w:val="0"/>
            <w:vAlign w:val="top"/>
          </w:tcPr>
          <w:p w14:paraId="097BFFC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42BD3CE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62FA8327">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03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5FB0B04A">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4</w:t>
            </w:r>
          </w:p>
        </w:tc>
        <w:tc>
          <w:tcPr>
            <w:tcW w:w="2606" w:type="dxa"/>
            <w:noWrap w:val="0"/>
            <w:vAlign w:val="center"/>
          </w:tcPr>
          <w:p w14:paraId="65AA3897">
            <w:pPr>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kern w:val="0"/>
                <w:szCs w:val="21"/>
                <w:highlight w:val="none"/>
              </w:rPr>
              <w:t>技术规格偏离表</w:t>
            </w:r>
          </w:p>
        </w:tc>
        <w:tc>
          <w:tcPr>
            <w:tcW w:w="3004" w:type="dxa"/>
            <w:noWrap w:val="0"/>
            <w:vAlign w:val="top"/>
          </w:tcPr>
          <w:p w14:paraId="451C0A19">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14:paraId="6A50525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32C1E4CD">
            <w:pPr>
              <w:pStyle w:val="3"/>
              <w:adjustRightInd w:val="0"/>
              <w:snapToGrid w:val="0"/>
              <w:spacing w:before="0" w:after="0" w:line="240" w:lineRule="auto"/>
              <w:jc w:val="left"/>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3.按规定签章</w:t>
            </w:r>
          </w:p>
        </w:tc>
        <w:tc>
          <w:tcPr>
            <w:tcW w:w="1095" w:type="dxa"/>
            <w:noWrap w:val="0"/>
            <w:vAlign w:val="top"/>
          </w:tcPr>
          <w:p w14:paraId="3A1BE16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5531399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0E769B07">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FAC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5A3DEF43">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5</w:t>
            </w:r>
          </w:p>
        </w:tc>
        <w:tc>
          <w:tcPr>
            <w:tcW w:w="2606" w:type="dxa"/>
            <w:noWrap w:val="0"/>
            <w:vAlign w:val="center"/>
          </w:tcPr>
          <w:p w14:paraId="4986D6E4">
            <w:pPr>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kern w:val="0"/>
                <w:szCs w:val="21"/>
                <w:highlight w:val="none"/>
              </w:rPr>
              <w:t>商务条款偏离表</w:t>
            </w:r>
          </w:p>
        </w:tc>
        <w:tc>
          <w:tcPr>
            <w:tcW w:w="3004" w:type="dxa"/>
            <w:noWrap w:val="0"/>
            <w:vAlign w:val="top"/>
          </w:tcPr>
          <w:p w14:paraId="569010E5">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14:paraId="5CD20DE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0CE454C8">
            <w:pPr>
              <w:pStyle w:val="3"/>
              <w:adjustRightInd w:val="0"/>
              <w:snapToGrid w:val="0"/>
              <w:spacing w:before="0" w:after="0" w:line="240" w:lineRule="auto"/>
              <w:jc w:val="left"/>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3.按规定签章</w:t>
            </w:r>
          </w:p>
        </w:tc>
        <w:tc>
          <w:tcPr>
            <w:tcW w:w="1095" w:type="dxa"/>
            <w:noWrap w:val="0"/>
            <w:vAlign w:val="top"/>
          </w:tcPr>
          <w:p w14:paraId="0561003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3C56783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1D4C5F67">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B9A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3E29A9B0">
            <w:pPr>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6</w:t>
            </w:r>
          </w:p>
        </w:tc>
        <w:tc>
          <w:tcPr>
            <w:tcW w:w="2606" w:type="dxa"/>
            <w:noWrap w:val="0"/>
            <w:vAlign w:val="center"/>
          </w:tcPr>
          <w:p w14:paraId="70FDC0C5">
            <w:pPr>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kern w:val="0"/>
                <w:szCs w:val="21"/>
                <w:highlight w:val="none"/>
              </w:rPr>
              <w:t>投标人关联单位说明</w:t>
            </w:r>
          </w:p>
        </w:tc>
        <w:tc>
          <w:tcPr>
            <w:tcW w:w="3004" w:type="dxa"/>
            <w:noWrap w:val="0"/>
            <w:vAlign w:val="center"/>
          </w:tcPr>
          <w:p w14:paraId="210CBC50">
            <w:pPr>
              <w:pStyle w:val="3"/>
              <w:adjustRightInd w:val="0"/>
              <w:snapToGrid w:val="0"/>
              <w:spacing w:before="0" w:after="0" w:line="240" w:lineRule="auto"/>
              <w:jc w:val="both"/>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无投标须知1.5所述情形</w:t>
            </w:r>
          </w:p>
        </w:tc>
        <w:tc>
          <w:tcPr>
            <w:tcW w:w="1095" w:type="dxa"/>
            <w:noWrap w:val="0"/>
            <w:vAlign w:val="top"/>
          </w:tcPr>
          <w:p w14:paraId="3621CABB">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144F9FD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665AB226">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41F2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2BCA0C6B">
            <w:pPr>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7</w:t>
            </w:r>
          </w:p>
        </w:tc>
        <w:tc>
          <w:tcPr>
            <w:tcW w:w="2606" w:type="dxa"/>
            <w:shd w:val="clear" w:color="auto" w:fill="auto"/>
            <w:noWrap w:val="0"/>
            <w:vAlign w:val="center"/>
          </w:tcPr>
          <w:p w14:paraId="64572D4E">
            <w:pP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投标报价</w:t>
            </w:r>
          </w:p>
        </w:tc>
        <w:tc>
          <w:tcPr>
            <w:tcW w:w="3004" w:type="dxa"/>
            <w:shd w:val="clear" w:color="auto" w:fill="auto"/>
            <w:noWrap w:val="0"/>
            <w:vAlign w:val="center"/>
          </w:tcPr>
          <w:p w14:paraId="1E3DF5C1">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1.响应招标文件实质性要求</w:t>
            </w:r>
          </w:p>
          <w:p w14:paraId="345D78F6">
            <w:pPr>
              <w:pStyle w:val="3"/>
              <w:adjustRightInd w:val="0"/>
              <w:snapToGrid w:val="0"/>
              <w:spacing w:before="0" w:after="0" w:line="240" w:lineRule="auto"/>
              <w:jc w:val="both"/>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2.无投标须知26.2所述情形</w:t>
            </w:r>
          </w:p>
        </w:tc>
        <w:tc>
          <w:tcPr>
            <w:tcW w:w="1095" w:type="dxa"/>
            <w:noWrap w:val="0"/>
            <w:vAlign w:val="top"/>
          </w:tcPr>
          <w:p w14:paraId="74DED91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7F6A3D5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0B42B019">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FF0A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6419E1DC">
            <w:pPr>
              <w:jc w:val="center"/>
              <w:rPr>
                <w:rFonts w:hint="default" w:ascii="仿宋" w:hAnsi="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8</w:t>
            </w:r>
          </w:p>
        </w:tc>
        <w:tc>
          <w:tcPr>
            <w:tcW w:w="2606" w:type="dxa"/>
            <w:shd w:val="clear" w:color="auto" w:fill="auto"/>
            <w:noWrap w:val="0"/>
            <w:vAlign w:val="center"/>
          </w:tcPr>
          <w:p w14:paraId="1F02AC78">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《品目清单》、国家确定的认证机构出具的、处于有效期之内的《节能产品认证证书》（政府强制采购的节能产品须提供）</w:t>
            </w:r>
          </w:p>
        </w:tc>
        <w:tc>
          <w:tcPr>
            <w:tcW w:w="3004" w:type="dxa"/>
            <w:shd w:val="clear" w:color="auto" w:fill="auto"/>
            <w:noWrap w:val="0"/>
            <w:vAlign w:val="center"/>
          </w:tcPr>
          <w:p w14:paraId="1C247F6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35622EFE">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1095" w:type="dxa"/>
            <w:noWrap w:val="0"/>
            <w:vAlign w:val="top"/>
          </w:tcPr>
          <w:p w14:paraId="7FA656F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69DE433F">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0669F809">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45C9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8" w:type="dxa"/>
            <w:noWrap w:val="0"/>
            <w:vAlign w:val="center"/>
          </w:tcPr>
          <w:p w14:paraId="3A159FF5">
            <w:pPr>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9</w:t>
            </w:r>
          </w:p>
        </w:tc>
        <w:tc>
          <w:tcPr>
            <w:tcW w:w="2606" w:type="dxa"/>
            <w:noWrap w:val="0"/>
            <w:vAlign w:val="center"/>
          </w:tcPr>
          <w:p w14:paraId="5FEB1DD5">
            <w:pP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其他符合性证明材料</w:t>
            </w:r>
          </w:p>
        </w:tc>
        <w:tc>
          <w:tcPr>
            <w:tcW w:w="3004" w:type="dxa"/>
            <w:noWrap w:val="0"/>
            <w:vAlign w:val="center"/>
          </w:tcPr>
          <w:p w14:paraId="55486582">
            <w:pPr>
              <w:pStyle w:val="3"/>
              <w:adjustRightInd w:val="0"/>
              <w:snapToGrid w:val="0"/>
              <w:spacing w:before="0" w:after="0" w:line="240" w:lineRule="auto"/>
              <w:jc w:val="both"/>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rPr>
              <w:t>响应招标文件实质性要求</w:t>
            </w:r>
          </w:p>
        </w:tc>
        <w:tc>
          <w:tcPr>
            <w:tcW w:w="1095" w:type="dxa"/>
            <w:noWrap w:val="0"/>
            <w:vAlign w:val="top"/>
          </w:tcPr>
          <w:p w14:paraId="2B725D0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503CE58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054A98EF">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1E9A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noWrap w:val="0"/>
            <w:vAlign w:val="center"/>
          </w:tcPr>
          <w:p w14:paraId="775F95FC">
            <w:pPr>
              <w:jc w:val="center"/>
              <w:rPr>
                <w:rFonts w:hint="default" w:ascii="仿宋" w:hAnsi="仿宋" w:eastAsia="仿宋" w:cs="仿宋"/>
                <w:color w:val="auto"/>
                <w:highlight w:val="none"/>
                <w:lang w:val="en-US" w:eastAsia="zh-CN"/>
              </w:rPr>
            </w:pPr>
            <w:r>
              <w:rPr>
                <w:rFonts w:hint="eastAsia" w:ascii="仿宋" w:hAnsi="仿宋" w:cs="仿宋"/>
                <w:color w:val="auto"/>
                <w:highlight w:val="none"/>
                <w:lang w:val="en-US" w:eastAsia="zh-CN"/>
              </w:rPr>
              <w:t>10</w:t>
            </w:r>
          </w:p>
        </w:tc>
        <w:tc>
          <w:tcPr>
            <w:tcW w:w="2606" w:type="dxa"/>
            <w:noWrap w:val="0"/>
            <w:vAlign w:val="center"/>
          </w:tcPr>
          <w:p w14:paraId="7267B01F">
            <w:pP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电子投标文件与备份投标文件内容格式一致性承诺函</w:t>
            </w:r>
          </w:p>
        </w:tc>
        <w:tc>
          <w:tcPr>
            <w:tcW w:w="3004" w:type="dxa"/>
            <w:noWrap w:val="0"/>
            <w:vAlign w:val="center"/>
          </w:tcPr>
          <w:p w14:paraId="5996BE9D">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14:paraId="2DE1657B">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2.响应招标文件实质性要求</w:t>
            </w:r>
          </w:p>
          <w:p w14:paraId="456C5154">
            <w:pPr>
              <w:pStyle w:val="3"/>
              <w:adjustRightInd w:val="0"/>
              <w:snapToGrid w:val="0"/>
              <w:spacing w:before="0" w:after="0" w:line="240" w:lineRule="auto"/>
              <w:jc w:val="both"/>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rPr>
              <w:t>3.按规定签章</w:t>
            </w:r>
          </w:p>
        </w:tc>
        <w:tc>
          <w:tcPr>
            <w:tcW w:w="1095" w:type="dxa"/>
            <w:noWrap w:val="0"/>
            <w:vAlign w:val="top"/>
          </w:tcPr>
          <w:p w14:paraId="3DC0452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25AF6414">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75A04909">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509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0"/>
            <w:vAlign w:val="center"/>
          </w:tcPr>
          <w:p w14:paraId="7C241C22">
            <w:pPr>
              <w:snapToGrid w:val="0"/>
              <w:jc w:val="center"/>
              <w:rPr>
                <w:rFonts w:hint="eastAsia" w:ascii="仿宋" w:hAnsi="仿宋" w:eastAsia="仿宋" w:cs="仿宋"/>
                <w:color w:val="auto"/>
                <w:highlight w:val="none"/>
              </w:rPr>
            </w:pPr>
          </w:p>
        </w:tc>
        <w:tc>
          <w:tcPr>
            <w:tcW w:w="2606" w:type="dxa"/>
            <w:noWrap w:val="0"/>
            <w:vAlign w:val="center"/>
          </w:tcPr>
          <w:p w14:paraId="3BEA3A99">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结论</w:t>
            </w:r>
          </w:p>
        </w:tc>
        <w:tc>
          <w:tcPr>
            <w:tcW w:w="3004" w:type="dxa"/>
            <w:noWrap w:val="0"/>
            <w:vAlign w:val="top"/>
          </w:tcPr>
          <w:p w14:paraId="4F3F8D9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1095" w:type="dxa"/>
            <w:noWrap w:val="0"/>
            <w:vAlign w:val="top"/>
          </w:tcPr>
          <w:p w14:paraId="2BBA038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noWrap w:val="0"/>
            <w:vAlign w:val="top"/>
          </w:tcPr>
          <w:p w14:paraId="1D06858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noWrap w:val="0"/>
            <w:vAlign w:val="top"/>
          </w:tcPr>
          <w:p w14:paraId="57505E72">
            <w:pPr>
              <w:pStyle w:val="3"/>
              <w:adjustRightInd w:val="0"/>
              <w:snapToGrid w:val="0"/>
              <w:spacing w:before="0" w:after="0" w:line="240" w:lineRule="auto"/>
              <w:rPr>
                <w:rFonts w:hint="eastAsia" w:ascii="仿宋" w:hAnsi="仿宋" w:eastAsia="仿宋" w:cs="仿宋"/>
                <w:color w:val="auto"/>
                <w:sz w:val="21"/>
                <w:szCs w:val="21"/>
                <w:highlight w:val="none"/>
              </w:rPr>
            </w:pPr>
          </w:p>
        </w:tc>
      </w:tr>
    </w:tbl>
    <w:p w14:paraId="7AA240C2">
      <w:pPr>
        <w:ind w:right="-630" w:rightChars="-300"/>
        <w:rPr>
          <w:rFonts w:hint="eastAsia" w:ascii="仿宋" w:hAnsi="仿宋" w:eastAsia="仿宋" w:cs="仿宋"/>
          <w:color w:val="auto"/>
          <w:highlight w:val="none"/>
        </w:rPr>
      </w:pPr>
      <w:r>
        <w:rPr>
          <w:rFonts w:hint="eastAsia" w:ascii="仿宋" w:hAnsi="仿宋" w:eastAsia="仿宋" w:cs="仿宋"/>
          <w:color w:val="auto"/>
          <w:highlight w:val="none"/>
        </w:rPr>
        <w:t>注：1、进口产品的制造厂家的授权书（可视具体情况调整至符合性证明材料及符合性审查表中）</w:t>
      </w:r>
    </w:p>
    <w:p w14:paraId="3FFEA1EA">
      <w:pPr>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创新产品和服务目录</w:t>
      </w:r>
      <w:r>
        <w:rPr>
          <w:rFonts w:hint="eastAsia" w:ascii="仿宋" w:hAnsi="仿宋" w:eastAsia="仿宋" w:cs="仿宋"/>
          <w:color w:val="auto"/>
          <w:highlight w:val="none"/>
        </w:rPr>
        <w:t>》内产品、服务证明材料（可视具体情况调整至符合性证明材料及符合性审查表中）</w:t>
      </w:r>
    </w:p>
    <w:p w14:paraId="32141731">
      <w:pPr>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14:paraId="06D7909C">
      <w:pPr>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14:paraId="2B7C5DB8">
      <w:pPr>
        <w:rPr>
          <w:rFonts w:hint="eastAsia" w:ascii="仿宋" w:hAnsi="仿宋" w:eastAsia="仿宋" w:cs="仿宋"/>
          <w:color w:val="auto"/>
          <w:highlight w:val="none"/>
        </w:rPr>
      </w:pPr>
    </w:p>
    <w:p w14:paraId="37BDBBCD">
      <w:pPr>
        <w:rPr>
          <w:rFonts w:hint="eastAsia" w:ascii="仿宋" w:hAnsi="仿宋" w:eastAsia="仿宋" w:cs="仿宋"/>
          <w:color w:val="auto"/>
          <w:highlight w:val="none"/>
        </w:rPr>
      </w:pPr>
    </w:p>
    <w:p w14:paraId="1F985BB4">
      <w:pPr>
        <w:pStyle w:val="12"/>
        <w:widowControl w:val="0"/>
        <w:snapToGrid w:val="0"/>
        <w:spacing w:before="0" w:beforeAutospacing="0" w:after="0" w:afterAutospacing="0" w:line="480" w:lineRule="auto"/>
        <w:ind w:left="5880" w:hanging="5880" w:hangingChars="28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审查人签字： </w:t>
      </w:r>
    </w:p>
    <w:p w14:paraId="2805ED3D">
      <w:pPr>
        <w:pStyle w:val="12"/>
        <w:widowControl w:val="0"/>
        <w:snapToGrid w:val="0"/>
        <w:spacing w:before="0" w:beforeAutospacing="0" w:after="0" w:afterAutospacing="0" w:line="480" w:lineRule="auto"/>
        <w:ind w:left="5880" w:hanging="5880" w:hangingChars="2800"/>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r>
        <w:rPr>
          <w:rFonts w:hint="eastAsia" w:ascii="仿宋" w:hAnsi="仿宋" w:eastAsia="仿宋" w:cs="仿宋"/>
          <w:b/>
          <w:color w:val="auto"/>
          <w:sz w:val="21"/>
          <w:szCs w:val="21"/>
          <w:highlight w:val="none"/>
        </w:rPr>
        <w:t xml:space="preserve"> </w:t>
      </w:r>
    </w:p>
    <w:p w14:paraId="18B608D7">
      <w:pPr>
        <w:pStyle w:val="3"/>
        <w:adjustRightInd w:val="0"/>
        <w:snapToGrid w:val="0"/>
        <w:spacing w:before="0" w:after="0" w:line="240" w:lineRule="auto"/>
        <w:jc w:val="left"/>
        <w:rPr>
          <w:rFonts w:hint="eastAsia" w:ascii="仿宋" w:hAnsi="仿宋" w:eastAsia="仿宋" w:cs="仿宋"/>
          <w:color w:val="auto"/>
          <w:sz w:val="32"/>
          <w:szCs w:val="32"/>
          <w:highlight w:val="none"/>
        </w:rPr>
      </w:pPr>
      <w:bookmarkStart w:id="130" w:name="_Toc17433_WPSOffice_Level2"/>
      <w:r>
        <w:rPr>
          <w:rFonts w:hint="eastAsia" w:ascii="仿宋" w:hAnsi="仿宋" w:eastAsia="仿宋" w:cs="仿宋"/>
          <w:color w:val="auto"/>
          <w:szCs w:val="28"/>
          <w:highlight w:val="none"/>
        </w:rPr>
        <w:br w:type="page"/>
      </w:r>
      <w:r>
        <w:rPr>
          <w:rFonts w:hint="eastAsia" w:ascii="仿宋" w:hAnsi="仿宋" w:eastAsia="仿宋" w:cs="仿宋"/>
          <w:color w:val="auto"/>
          <w:szCs w:val="28"/>
          <w:highlight w:val="none"/>
        </w:rPr>
        <w:t xml:space="preserve">附件3                   </w:t>
      </w:r>
      <w:r>
        <w:rPr>
          <w:rFonts w:hint="eastAsia" w:ascii="仿宋" w:hAnsi="仿宋" w:eastAsia="仿宋" w:cs="仿宋"/>
          <w:color w:val="auto"/>
          <w:sz w:val="32"/>
          <w:szCs w:val="32"/>
          <w:highlight w:val="none"/>
        </w:rPr>
        <w:t xml:space="preserve"> </w:t>
      </w:r>
    </w:p>
    <w:p w14:paraId="4B8CCE02">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评分细则</w:t>
      </w:r>
      <w:bookmarkEnd w:id="130"/>
    </w:p>
    <w:p w14:paraId="7835FF8B">
      <w:pPr>
        <w:jc w:val="center"/>
        <w:rPr>
          <w:rFonts w:hint="eastAsia" w:ascii="仿宋" w:hAnsi="仿宋" w:eastAsia="仿宋" w:cs="仿宋"/>
          <w:b/>
          <w:color w:val="auto"/>
          <w:sz w:val="28"/>
          <w:szCs w:val="28"/>
          <w:highlight w:val="none"/>
        </w:rPr>
      </w:pPr>
      <w:bookmarkStart w:id="131" w:name="_Toc28142_WPSOffice_Level2"/>
      <w:r>
        <w:rPr>
          <w:rFonts w:hint="eastAsia" w:ascii="仿宋" w:hAnsi="仿宋" w:eastAsia="仿宋" w:cs="仿宋"/>
          <w:b/>
          <w:color w:val="auto"/>
          <w:sz w:val="28"/>
          <w:szCs w:val="28"/>
          <w:highlight w:val="none"/>
        </w:rPr>
        <w:t>（综合评分法适用）</w:t>
      </w:r>
      <w:bookmarkEnd w:id="131"/>
    </w:p>
    <w:p w14:paraId="38DC02B8">
      <w:pPr>
        <w:numPr>
          <w:ilvl w:val="0"/>
          <w:numId w:val="9"/>
        </w:numPr>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基本评分标准</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051"/>
        <w:gridCol w:w="5850"/>
        <w:gridCol w:w="807"/>
      </w:tblGrid>
      <w:tr w14:paraId="4CD9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73" w:type="pct"/>
            <w:tcBorders>
              <w:top w:val="single" w:color="auto" w:sz="4" w:space="0"/>
              <w:left w:val="single" w:color="auto" w:sz="4" w:space="0"/>
              <w:bottom w:val="single" w:color="auto" w:sz="4" w:space="0"/>
              <w:right w:val="single" w:color="auto" w:sz="4" w:space="0"/>
            </w:tcBorders>
            <w:noWrap w:val="0"/>
            <w:vAlign w:val="center"/>
          </w:tcPr>
          <w:p w14:paraId="79BCC1F5">
            <w:pPr>
              <w:pStyle w:val="12"/>
              <w:adjustRightInd w:val="0"/>
              <w:snapToGrid w:val="0"/>
              <w:spacing w:before="0" w:beforeAutospacing="0" w:after="0" w:afterAutospacing="0"/>
              <w:jc w:val="center"/>
              <w:rPr>
                <w:rFonts w:hint="eastAsia" w:ascii="仿宋" w:hAnsi="仿宋" w:eastAsia="仿宋" w:cs="仿宋"/>
                <w:b/>
                <w:bCs/>
                <w:color w:val="auto"/>
                <w:kern w:val="2"/>
                <w:sz w:val="21"/>
                <w:szCs w:val="21"/>
                <w:highlight w:val="none"/>
              </w:rPr>
            </w:pPr>
            <w:r>
              <w:rPr>
                <w:rFonts w:hint="eastAsia" w:ascii="仿宋" w:hAnsi="仿宋" w:eastAsia="仿宋" w:cs="仿宋"/>
                <w:b/>
                <w:bCs/>
                <w:color w:val="auto"/>
                <w:kern w:val="2"/>
                <w:sz w:val="21"/>
                <w:szCs w:val="21"/>
                <w:highlight w:val="none"/>
              </w:rPr>
              <w:t>包号</w:t>
            </w:r>
          </w:p>
        </w:tc>
        <w:tc>
          <w:tcPr>
            <w:tcW w:w="4526" w:type="pct"/>
            <w:gridSpan w:val="3"/>
            <w:tcBorders>
              <w:top w:val="single" w:color="auto" w:sz="4" w:space="0"/>
              <w:left w:val="single" w:color="auto" w:sz="4" w:space="0"/>
              <w:bottom w:val="single" w:color="auto" w:sz="4" w:space="0"/>
              <w:right w:val="single" w:color="auto" w:sz="4" w:space="0"/>
            </w:tcBorders>
            <w:noWrap w:val="0"/>
            <w:vAlign w:val="center"/>
          </w:tcPr>
          <w:p w14:paraId="06531C22">
            <w:pPr>
              <w:pStyle w:val="12"/>
              <w:adjustRightInd w:val="0"/>
              <w:snapToGrid w:val="0"/>
              <w:spacing w:before="0" w:beforeAutospacing="0" w:after="0" w:afterAutospacing="0"/>
              <w:jc w:val="center"/>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rPr>
              <w:t>0</w:t>
            </w:r>
            <w:r>
              <w:rPr>
                <w:rFonts w:hint="eastAsia" w:ascii="仿宋" w:hAnsi="仿宋" w:eastAsia="仿宋" w:cs="仿宋"/>
                <w:color w:val="auto"/>
                <w:kern w:val="2"/>
                <w:sz w:val="21"/>
                <w:szCs w:val="21"/>
                <w:highlight w:val="none"/>
                <w:lang w:val="en-US" w:eastAsia="zh-CN"/>
              </w:rPr>
              <w:t>01</w:t>
            </w:r>
          </w:p>
        </w:tc>
      </w:tr>
      <w:tr w14:paraId="2087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73" w:type="pct"/>
            <w:tcBorders>
              <w:top w:val="single" w:color="auto" w:sz="4" w:space="0"/>
              <w:left w:val="single" w:color="auto" w:sz="4" w:space="0"/>
              <w:bottom w:val="single" w:color="auto" w:sz="4" w:space="0"/>
              <w:right w:val="single" w:color="auto" w:sz="4" w:space="0"/>
            </w:tcBorders>
            <w:noWrap w:val="0"/>
            <w:vAlign w:val="center"/>
          </w:tcPr>
          <w:p w14:paraId="0E88FBAC">
            <w:pPr>
              <w:pStyle w:val="12"/>
              <w:adjustRightInd w:val="0"/>
              <w:snapToGrid w:val="0"/>
              <w:spacing w:before="0" w:beforeAutospacing="0" w:after="0" w:afterAutospacing="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w:t>
            </w:r>
          </w:p>
        </w:tc>
        <w:tc>
          <w:tcPr>
            <w:tcW w:w="617" w:type="pct"/>
            <w:tcBorders>
              <w:top w:val="single" w:color="auto" w:sz="4" w:space="0"/>
              <w:left w:val="single" w:color="auto" w:sz="4" w:space="0"/>
              <w:bottom w:val="single" w:color="auto" w:sz="4" w:space="0"/>
              <w:right w:val="single" w:color="auto" w:sz="4" w:space="0"/>
            </w:tcBorders>
            <w:noWrap w:val="0"/>
            <w:vAlign w:val="center"/>
          </w:tcPr>
          <w:p w14:paraId="58D9A923">
            <w:pPr>
              <w:pStyle w:val="12"/>
              <w:adjustRightInd w:val="0"/>
              <w:snapToGrid w:val="0"/>
              <w:spacing w:before="0" w:beforeAutospacing="0" w:after="0" w:afterAutospacing="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分项名称</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73B140BB">
            <w:pPr>
              <w:pStyle w:val="12"/>
              <w:adjustRightInd w:val="0"/>
              <w:snapToGrid w:val="0"/>
              <w:spacing w:before="0" w:beforeAutospacing="0" w:after="0" w:afterAutospacing="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评分标准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02DFF83E">
            <w:pPr>
              <w:pStyle w:val="12"/>
              <w:adjustRightInd w:val="0"/>
              <w:snapToGrid w:val="0"/>
              <w:spacing w:before="0" w:beforeAutospacing="0" w:after="0" w:afterAutospacing="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满分</w:t>
            </w:r>
          </w:p>
        </w:tc>
      </w:tr>
      <w:tr w14:paraId="0ED0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tcBorders>
              <w:top w:val="single" w:color="auto" w:sz="4" w:space="0"/>
              <w:left w:val="single" w:color="auto" w:sz="4" w:space="0"/>
              <w:bottom w:val="single" w:color="auto" w:sz="4" w:space="0"/>
              <w:right w:val="single" w:color="auto" w:sz="4" w:space="0"/>
            </w:tcBorders>
            <w:noWrap w:val="0"/>
            <w:vAlign w:val="center"/>
          </w:tcPr>
          <w:p w14:paraId="6A93C6BF">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rPr>
              <w:t>价格部分</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30分</w:t>
            </w:r>
            <w:r>
              <w:rPr>
                <w:rFonts w:hint="eastAsia" w:ascii="仿宋" w:hAnsi="仿宋" w:eastAsia="仿宋" w:cs="仿宋"/>
                <w:color w:val="auto"/>
                <w:kern w:val="2"/>
                <w:sz w:val="21"/>
                <w:szCs w:val="21"/>
                <w:highlight w:val="none"/>
                <w:lang w:eastAsia="zh-CN"/>
              </w:rPr>
              <w:t>）</w:t>
            </w:r>
          </w:p>
        </w:tc>
        <w:tc>
          <w:tcPr>
            <w:tcW w:w="617" w:type="pct"/>
            <w:tcBorders>
              <w:top w:val="single" w:color="auto" w:sz="4" w:space="0"/>
              <w:left w:val="single" w:color="auto" w:sz="4" w:space="0"/>
              <w:bottom w:val="single" w:color="auto" w:sz="4" w:space="0"/>
              <w:right w:val="single" w:color="auto" w:sz="4" w:space="0"/>
            </w:tcBorders>
            <w:noWrap w:val="0"/>
            <w:vAlign w:val="center"/>
          </w:tcPr>
          <w:p w14:paraId="56ABC77D">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投标报价</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5C39BEE4">
            <w:pPr>
              <w:keepNext w:val="0"/>
              <w:keepLines w:val="0"/>
              <w:widowControl/>
              <w:suppressLineNumbers w:val="0"/>
              <w:spacing w:line="240" w:lineRule="auto"/>
              <w:jc w:val="both"/>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1.评标基准价：系指满足招标文件要求且投标报价最低的投标报价。</w:t>
            </w:r>
          </w:p>
          <w:p w14:paraId="4FFD6969">
            <w:pPr>
              <w:keepNext w:val="0"/>
              <w:keepLines w:val="0"/>
              <w:widowControl/>
              <w:suppressLineNumbers w:val="0"/>
              <w:spacing w:line="240" w:lineRule="auto"/>
              <w:jc w:val="both"/>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2.投标报价得分＝评标基准价／投标报价×30，得分保留至小数点后两位。</w:t>
            </w:r>
          </w:p>
          <w:p w14:paraId="53E345C3">
            <w:pP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注:评标委员会认为投标人的报价明显低于其他通过符合性审查投标人的报价，有可能影响产品质量或者不能诚信履约的，应当要求其在评标现场合理的时间</w:t>
            </w:r>
            <w:r>
              <w:rPr>
                <w:rFonts w:hint="eastAsia" w:ascii="仿宋_GB2312" w:hAnsi="仿宋_GB2312" w:eastAsia="仿宋_GB2312" w:cs="仿宋_GB2312"/>
                <w:sz w:val="21"/>
                <w:szCs w:val="21"/>
                <w:highlight w:val="none"/>
              </w:rPr>
              <w:t>（接到通知后</w:t>
            </w:r>
            <w:r>
              <w:rPr>
                <w:rFonts w:hint="eastAsia" w:ascii="仿宋_GB2312" w:hAnsi="仿宋_GB2312" w:eastAsia="仿宋_GB2312" w:cs="仿宋_GB2312"/>
                <w:sz w:val="21"/>
                <w:szCs w:val="21"/>
                <w:highlight w:val="none"/>
                <w:u w:val="single"/>
              </w:rPr>
              <w:t>0.5</w:t>
            </w:r>
            <w:r>
              <w:rPr>
                <w:rFonts w:hint="eastAsia" w:ascii="仿宋_GB2312" w:hAnsi="仿宋_GB2312" w:eastAsia="仿宋_GB2312" w:cs="仿宋_GB2312"/>
                <w:sz w:val="21"/>
                <w:szCs w:val="21"/>
                <w:highlight w:val="none"/>
              </w:rPr>
              <w:t>小时）</w:t>
            </w:r>
            <w:r>
              <w:rPr>
                <w:rFonts w:hint="eastAsia" w:ascii="仿宋" w:hAnsi="仿宋" w:eastAsia="仿宋" w:cs="仿宋"/>
                <w:i w:val="0"/>
                <w:iCs w:val="0"/>
                <w:color w:val="000000"/>
                <w:kern w:val="0"/>
                <w:sz w:val="21"/>
                <w:szCs w:val="21"/>
                <w:u w:val="none"/>
                <w:lang w:val="en-US" w:eastAsia="zh-CN" w:bidi="ar"/>
              </w:rPr>
              <w:t>内提供书面说明，必要时提交相关证明材料；投标人不能证明其报价合理性的，评标委员会应当将其作为无效投标处理。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2F57EF3">
            <w:pPr>
              <w:adjustRightInd w:val="0"/>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30</w:t>
            </w:r>
          </w:p>
        </w:tc>
      </w:tr>
      <w:tr w14:paraId="6DB3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restart"/>
            <w:tcBorders>
              <w:left w:val="single" w:color="auto" w:sz="4" w:space="0"/>
              <w:right w:val="single" w:color="auto" w:sz="4" w:space="0"/>
            </w:tcBorders>
            <w:noWrap w:val="0"/>
            <w:vAlign w:val="center"/>
          </w:tcPr>
          <w:p w14:paraId="5599EEAF">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技术部分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62分</w:t>
            </w:r>
            <w:r>
              <w:rPr>
                <w:rFonts w:hint="eastAsia" w:ascii="仿宋" w:hAnsi="仿宋" w:eastAsia="仿宋" w:cs="仿宋"/>
                <w:color w:val="auto"/>
                <w:sz w:val="21"/>
                <w:szCs w:val="21"/>
                <w:highlight w:val="none"/>
                <w:lang w:eastAsia="zh-CN"/>
              </w:rPr>
              <w:t>）</w:t>
            </w:r>
          </w:p>
        </w:tc>
        <w:tc>
          <w:tcPr>
            <w:tcW w:w="617" w:type="pct"/>
            <w:tcBorders>
              <w:top w:val="single" w:color="auto" w:sz="4" w:space="0"/>
              <w:left w:val="single" w:color="auto" w:sz="4" w:space="0"/>
              <w:bottom w:val="single" w:color="auto" w:sz="4" w:space="0"/>
              <w:right w:val="single" w:color="auto" w:sz="4" w:space="0"/>
            </w:tcBorders>
            <w:noWrap w:val="0"/>
            <w:vAlign w:val="center"/>
          </w:tcPr>
          <w:p w14:paraId="0A936E4F">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D88D59C">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投标人所投智慧景区管理系统软件具有软件著作权证书的，提供证书复印件并加盖厂商公章的得2分，不提供不得分。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2871C9C4">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2F41A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7135B268">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3DCEC6E6">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技术指标2</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F0063C2">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投标人所投运维管理平台软件具有软件著作权证书的，提供证书复印件并加盖厂商公章的得2分，不提供不得分。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7AA54469">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0125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73EBB69D">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7CD7F204">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技术指标3</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159F260">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投标人所投审核过滤服务器及控制软件产品提供AI检测和数字水印检测，不同告警下可设定不同自定义预置图，实现违规内容的快速定位；(提供软件功能截图佐证的得2分，不提供不得分）。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7D01A22A">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1BD8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187E348A">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2495C3BC">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技术指标4</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755E0A9">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审核过滤服务器及控制软件产品具备播放参数自定义功能，包括但不限于AI检测与数字水印检测的开启/关闭、视频输出宽高、音频输入输出、告警间隔、延时时间、同异步播放模式等设定，适配不同业务场景的内容安全需求；（提供软件功能截图佐证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752A8614">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2013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35782F41">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56ECB308">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技术指标5</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9893AA3">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投标人所投审核过滤服务器及控制软件产品具备数字水印加密软件</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（提供国家版权局颁发的软件著作权证书的得2分，不提供不得分）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03731A8B">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418D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0102F4EA">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2B4CF8EA">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技术指标6</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FC030B7">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投标人所投智慧景区管理系统软件支持在视频预览、录像回放、即时回放、录像剪辑、手动录像和录像下载时叠加水印</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（提供具有国家认可资质的第三方机构出具的检验检测报告复印件并加盖厂商公章的得2分，不提供不得分）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24B0EF6D">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095B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59CAC5AC">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570DFDE1">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技术指标7</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0CF21C7">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投标人所投视频控制器2设备有HDMI环出接口，实时监看 LED 大屏显示画面。（提供功能截图佐证并加盖生产厂家公章的得2分，不提供不得分）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5F4E538">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3CC8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48BFFF0B">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739D3BB9">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技术指标8</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39AB84E">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投标人所投视频控制器2支持NBIT抖动技术；支持22bit的数据处理，可以有效提升显示屏灰阶效果。（提供具有国家认可资质的第三方机构出具的检验检测报告复印件并加盖生产厂家公章的得2分，不提供不得分）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5DBC303D">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4E79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0955D0F7">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0F353D04">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技术指标9</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B5C5049">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投标人所投视频控制器2视频控制器支持屏幕除湿功能，通过自定义设置预热屏幕减少屏幕水汽。（提供具有国家认可资质的第三方机构出具的检验检测报告复印件并加盖生产厂家公章的得2分，不提供不得分）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193DF7D">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79B9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2FD4DEB1">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70DCA18B">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技术指标10</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4D99A20">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投标人所投热成像球型摄像机可在立体防控系统平台上添加、修改和删除AR标签，包括普通标签和可视域标签，最多可添加不少于680个标签</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29C6AF6F">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7803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5ED60E97">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284B51FC">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技术指标11</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A0F17B0">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热成像球型摄像机按GB/T17626.2-2018中规定的方法进行静电放电抗扰度试验，试验等级不低于4级，样机处于工作状态，空气放电±15kV，接触放电±8kV，试验中允许功能暂时丧失或降低，但在试验停止后应能自行恢复，不需要操作者干预</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（提供具有国家认可资质的第三方机构出具的检验检测报告复印件并加盖厂商公章的得2分，不提供不得分）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626E9433">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3E7F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7810638F">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5497EBE7">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技术指标12</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D0EC7FD">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投标人所投网络存储设备每个控制单元支持双系统应用，外置系统盘支持RAID1模式，系统盘支持热插拔，当主系统出现故障时，备用系统可接管工作；支持系统盘为独立的不少于2块HDD（SATA、SAS）或SSD盘，组成RAID1</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07286ADB">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0667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273BB2FC">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29AAA883">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技术指标13</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89B6853">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投标人所投网络硬盘录像机支持对切片回放片段进行目标检索、备份导出、开启/关闭智能POS信息等操作</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45C64C9">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6FE6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10522BCB">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66E037CB">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技术指标14</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739F96E">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投标人所投网络硬盘录像机支持将搜索内容添加到历史记录，历史检索词条保持最近不少于10条，通过直接点击该高频热词或历史记录可直接进行重复检索</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717D122">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1A8C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6D9DB209">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215C273D">
            <w:pPr>
              <w:pStyle w:val="12"/>
              <w:adjustRightInd w:val="0"/>
              <w:snapToGrid w:val="0"/>
              <w:spacing w:before="0" w:beforeAutospacing="0" w:after="0" w:afterAutospacing="0"/>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技术指标15</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96D5526">
            <w:pPr>
              <w:keepNext w:val="0"/>
              <w:keepLines w:val="0"/>
              <w:widowControl/>
              <w:suppressLineNumbers w:val="0"/>
              <w:spacing w:line="240" w:lineRule="auto"/>
              <w:jc w:val="both"/>
              <w:textAlignment w:val="center"/>
              <w:rPr>
                <w:rFonts w:hint="eastAsia" w:ascii="仿宋" w:hAnsi="仿宋" w:eastAsia="仿宋" w:cs="仿宋"/>
                <w:b/>
                <w:color w:val="auto"/>
                <w:sz w:val="21"/>
                <w:szCs w:val="21"/>
                <w:highlight w:val="none"/>
                <w:lang w:val="en-US" w:eastAsia="zh-CN"/>
              </w:rPr>
            </w:pPr>
            <w:r>
              <w:rPr>
                <w:rFonts w:hint="eastAsia" w:ascii="仿宋" w:hAnsi="仿宋" w:eastAsia="仿宋" w:cs="仿宋"/>
                <w:i w:val="0"/>
                <w:iCs w:val="0"/>
                <w:color w:val="000000"/>
                <w:kern w:val="0"/>
                <w:sz w:val="21"/>
                <w:szCs w:val="21"/>
                <w:u w:val="none"/>
                <w:lang w:val="en-US" w:eastAsia="zh-CN" w:bidi="ar"/>
              </w:rPr>
              <w:t>投标人所投网络硬盘录像机设备支持对登入IP安全性检测，检测到上一次登录与本次登录的IP地址不在同一个网段时，会提示上一次登录信息（IP和时间）并有日志记录</w:t>
            </w:r>
            <w:r>
              <w:rPr>
                <w:rFonts w:hint="eastAsia" w:ascii="仿宋" w:hAnsi="仿宋" w:cs="仿宋"/>
                <w:i w:val="0"/>
                <w:iCs w:val="0"/>
                <w:color w:val="000000"/>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（提供具有国家认可资质的第三方机构出具的检验检测报告复印件并加盖生产厂家公章的得2分，不提供不得分）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52F2931">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2</w:t>
            </w:r>
          </w:p>
        </w:tc>
      </w:tr>
      <w:tr w14:paraId="05DA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01148A36">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47301053">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项目整体方案</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185F3DC1">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根据投标人提供的项目整体方案,（包括但不限于：目标与规模分析、项目进度计划、部署方案等）进行评价。</w:t>
            </w:r>
          </w:p>
          <w:p w14:paraId="3830165A">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（1）内容完整合理，内容详实，条理清晰，得8分。</w:t>
            </w:r>
          </w:p>
          <w:p w14:paraId="1D0B6BF3">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（2）内容存在缺陷的，得6分；</w:t>
            </w:r>
          </w:p>
          <w:p w14:paraId="47C67FAD">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（3）内容存在不符合项目需求的，得4分；</w:t>
            </w:r>
          </w:p>
          <w:p w14:paraId="57B7DF02">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（4）内容存在履约风险的得2分；</w:t>
            </w:r>
          </w:p>
          <w:p w14:paraId="7D552739">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（5）未提供，得0分。</w:t>
            </w:r>
          </w:p>
          <w:p w14:paraId="4C3482A0">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注：1、缺陷指对项目需求理解存在偏差、存在相互矛盾内容、未针对本项目编写等任意一种情形。</w:t>
            </w:r>
          </w:p>
          <w:p w14:paraId="500EA0B9">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2、不符合项目需求是指存在与本项目执行无关的内容、存在相关内容在实际操作中不能运用、使用的工作方法、标准、依据、流程等有错误影响方案有效性等任意一种情形。</w:t>
            </w:r>
          </w:p>
          <w:p w14:paraId="4D4FC6DD">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3、履约风险是指由于各种因素导致供应商无法或不愿意履行本项目的服务需求所带来的风险。</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6976A21">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8</w:t>
            </w:r>
          </w:p>
        </w:tc>
      </w:tr>
      <w:tr w14:paraId="093D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34C41D96">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61DF746B">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质量保证措施</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4DBEDD4F">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根据投标人提供的质量保证措施,（包括但不限于：质量管理体系、过程控制、人员管理等）进行评价。</w:t>
            </w:r>
          </w:p>
          <w:p w14:paraId="64C94CC1">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（1）内容完整合理，内容详实，条理清晰，得6分。</w:t>
            </w:r>
          </w:p>
          <w:p w14:paraId="21D13197">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（2）内容存在缺陷的，得4分；</w:t>
            </w:r>
          </w:p>
          <w:p w14:paraId="07C8BED6">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（3）内容存在不符合项目需求的，得2分；</w:t>
            </w:r>
          </w:p>
          <w:p w14:paraId="5B2EE76A">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（4）内容存在履约风险的得1分；</w:t>
            </w:r>
          </w:p>
          <w:p w14:paraId="02D95FDE">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（5）未提供，得0分。</w:t>
            </w:r>
          </w:p>
          <w:p w14:paraId="75F4579B">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注：1、缺陷指对项目需求理解存在偏差、存在相互矛盾内容、未针对本项目编写等任意一种情形。</w:t>
            </w:r>
          </w:p>
          <w:p w14:paraId="0AC55D2F">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2、不符合项目需求是指存在与本项目执行无关的内容、存在相关内容在实际操作中不能运用、使用的工作方法、标准、依据、流程等有错误影响方案有效性等任意一种情形。</w:t>
            </w:r>
          </w:p>
          <w:p w14:paraId="1E8CB9F1">
            <w:pPr>
              <w:pStyle w:val="30"/>
              <w:numPr>
                <w:ilvl w:val="0"/>
                <w:numId w:val="0"/>
              </w:numPr>
              <w:spacing w:before="65" w:line="240" w:lineRule="auto"/>
              <w:jc w:val="both"/>
              <w:rPr>
                <w:rFonts w:hint="eastAsia" w:ascii="仿宋" w:hAnsi="仿宋" w:eastAsia="仿宋" w:cs="仿宋"/>
                <w:b/>
                <w:color w:val="auto"/>
                <w:sz w:val="21"/>
                <w:szCs w:val="21"/>
                <w:highlight w:val="none"/>
                <w:lang w:val="en-US" w:eastAsia="zh-CN"/>
              </w:rPr>
            </w:pPr>
            <w:r>
              <w:rPr>
                <w:rFonts w:hint="eastAsia" w:ascii="仿宋" w:hAnsi="仿宋" w:eastAsia="仿宋" w:cs="仿宋"/>
                <w:color w:val="auto"/>
                <w:spacing w:val="4"/>
                <w:kern w:val="2"/>
                <w:sz w:val="21"/>
                <w:szCs w:val="21"/>
                <w:highlight w:val="none"/>
                <w:lang w:val="en-US" w:eastAsia="zh-CN" w:bidi="ar-SA"/>
              </w:rPr>
              <w:t>3、履约风险是指由于各种因素导致供应商无法或不愿意履行本项目的服务需求所带来的风险。</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0886EFEF">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6</w:t>
            </w:r>
          </w:p>
        </w:tc>
      </w:tr>
      <w:tr w14:paraId="69F1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4451748E">
            <w:pPr>
              <w:adjustRightInd w:val="0"/>
              <w:snapToGrid w:val="0"/>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right w:val="single" w:color="auto" w:sz="4" w:space="0"/>
            </w:tcBorders>
            <w:noWrap w:val="0"/>
            <w:vAlign w:val="center"/>
          </w:tcPr>
          <w:p w14:paraId="0601EBFB">
            <w:pPr>
              <w:adjustRightInd w:val="0"/>
              <w:snapToGrid w:val="0"/>
              <w:jc w:val="center"/>
              <w:rPr>
                <w:rFonts w:hint="eastAsia" w:ascii="仿宋" w:hAnsi="仿宋" w:eastAsia="仿宋" w:cs="仿宋_GB2312"/>
                <w:color w:val="auto"/>
                <w:kern w:val="0"/>
                <w:sz w:val="21"/>
                <w:szCs w:val="21"/>
                <w:highlight w:val="none"/>
                <w:lang w:val="en-US" w:eastAsia="zh-CN" w:bidi="ar-SA"/>
              </w:rPr>
            </w:pPr>
            <w:r>
              <w:rPr>
                <w:rFonts w:hint="eastAsia" w:ascii="仿宋" w:hAnsi="仿宋" w:eastAsia="仿宋" w:cs="仿宋"/>
                <w:i w:val="0"/>
                <w:iCs w:val="0"/>
                <w:color w:val="000000"/>
                <w:kern w:val="0"/>
                <w:sz w:val="21"/>
                <w:szCs w:val="21"/>
                <w:u w:val="none"/>
                <w:lang w:val="en-US" w:eastAsia="zh-CN" w:bidi="ar"/>
              </w:rPr>
              <w:t>安全保障方案</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53957557">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根据投标人提供的</w:t>
            </w:r>
            <w:r>
              <w:rPr>
                <w:rFonts w:hint="eastAsia" w:ascii="仿宋" w:hAnsi="仿宋" w:eastAsia="仿宋" w:cs="仿宋"/>
                <w:i w:val="0"/>
                <w:iCs w:val="0"/>
                <w:color w:val="000000"/>
                <w:kern w:val="0"/>
                <w:sz w:val="21"/>
                <w:szCs w:val="21"/>
                <w:u w:val="none"/>
                <w:lang w:val="en-US" w:eastAsia="zh-CN" w:bidi="ar"/>
              </w:rPr>
              <w:t>安全保障方案</w:t>
            </w:r>
            <w:r>
              <w:rPr>
                <w:rFonts w:hint="eastAsia" w:ascii="仿宋" w:hAnsi="仿宋" w:eastAsia="仿宋" w:cs="仿宋"/>
                <w:color w:val="auto"/>
                <w:spacing w:val="4"/>
                <w:kern w:val="2"/>
                <w:sz w:val="21"/>
                <w:szCs w:val="21"/>
                <w:highlight w:val="none"/>
                <w:lang w:val="en-US" w:eastAsia="zh-CN" w:bidi="ar-SA"/>
              </w:rPr>
              <w:t>,（包括但不限于：安全保障制度、安全保障措施、安全应急措施等）进行评价。</w:t>
            </w:r>
          </w:p>
          <w:p w14:paraId="11BDA25A">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（1）内容</w:t>
            </w:r>
            <w:r>
              <w:rPr>
                <w:rFonts w:hint="eastAsia" w:ascii="仿宋" w:hAnsi="仿宋" w:eastAsia="仿宋" w:cs="仿宋"/>
                <w:i w:val="0"/>
                <w:iCs w:val="0"/>
                <w:color w:val="000000"/>
                <w:kern w:val="0"/>
                <w:sz w:val="21"/>
                <w:szCs w:val="21"/>
                <w:u w:val="none"/>
                <w:lang w:val="en-US" w:eastAsia="zh-CN" w:bidi="ar"/>
              </w:rPr>
              <w:t>完整合理</w:t>
            </w:r>
            <w:r>
              <w:rPr>
                <w:rFonts w:hint="eastAsia" w:ascii="仿宋" w:hAnsi="仿宋" w:eastAsia="仿宋" w:cs="仿宋"/>
                <w:color w:val="auto"/>
                <w:spacing w:val="4"/>
                <w:kern w:val="2"/>
                <w:sz w:val="21"/>
                <w:szCs w:val="21"/>
                <w:highlight w:val="none"/>
                <w:lang w:val="en-US" w:eastAsia="zh-CN" w:bidi="ar-SA"/>
              </w:rPr>
              <w:t>，</w:t>
            </w:r>
            <w:r>
              <w:rPr>
                <w:rFonts w:hint="eastAsia" w:ascii="仿宋" w:hAnsi="仿宋" w:eastAsia="仿宋" w:cs="仿宋"/>
                <w:i w:val="0"/>
                <w:iCs w:val="0"/>
                <w:color w:val="000000"/>
                <w:kern w:val="0"/>
                <w:sz w:val="21"/>
                <w:szCs w:val="21"/>
                <w:u w:val="none"/>
                <w:lang w:val="en-US" w:eastAsia="zh-CN" w:bidi="ar"/>
              </w:rPr>
              <w:t>内容详实，条理清晰，</w:t>
            </w:r>
            <w:r>
              <w:rPr>
                <w:rFonts w:hint="eastAsia" w:ascii="仿宋" w:hAnsi="仿宋" w:eastAsia="仿宋" w:cs="仿宋"/>
                <w:color w:val="auto"/>
                <w:spacing w:val="4"/>
                <w:kern w:val="2"/>
                <w:sz w:val="21"/>
                <w:szCs w:val="21"/>
                <w:highlight w:val="none"/>
                <w:lang w:val="en-US" w:eastAsia="zh-CN" w:bidi="ar-SA"/>
              </w:rPr>
              <w:t>得6分。</w:t>
            </w:r>
          </w:p>
          <w:p w14:paraId="71F97CB8">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（2）内容存在缺陷的，得4分；</w:t>
            </w:r>
          </w:p>
          <w:p w14:paraId="18B69D9E">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（3）内容存在不符合项目需求的，得2分；</w:t>
            </w:r>
          </w:p>
          <w:p w14:paraId="594DC2BD">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（4）内容存在履约风险的得1分；</w:t>
            </w:r>
          </w:p>
          <w:p w14:paraId="4BE1D3AE">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（5）未提供，得0分。</w:t>
            </w:r>
          </w:p>
          <w:p w14:paraId="1F7E63AF">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注：1、缺陷指对项目需求理解存在偏差、存在相互矛盾内容、未针对本项目编写等任意一种情形。</w:t>
            </w:r>
          </w:p>
          <w:p w14:paraId="26ADE593">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2、不符合项目需求是指存在与本项目执行无关的内容、存在相关内容在实际操作中不能运用、使用的工作方法、标准、依据、流程等有错误影响方案有效性等任意一种情形。</w:t>
            </w:r>
          </w:p>
          <w:p w14:paraId="2B84B97B">
            <w:pPr>
              <w:adjustRightInd w:val="0"/>
              <w:snapToGrid w:val="0"/>
              <w:jc w:val="lef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pacing w:val="4"/>
                <w:kern w:val="2"/>
                <w:sz w:val="21"/>
                <w:szCs w:val="21"/>
                <w:highlight w:val="none"/>
                <w:lang w:val="en-US" w:eastAsia="zh-CN" w:bidi="ar-SA"/>
              </w:rPr>
              <w:t>3、履约风险是指由于各种因素导致供应商无法或不愿意履行本项目的服务需求所带来的风险。</w:t>
            </w:r>
          </w:p>
        </w:tc>
        <w:tc>
          <w:tcPr>
            <w:tcW w:w="473" w:type="pct"/>
            <w:tcBorders>
              <w:top w:val="single" w:color="auto" w:sz="4" w:space="0"/>
              <w:left w:val="single" w:color="auto" w:sz="4" w:space="0"/>
              <w:right w:val="single" w:color="auto" w:sz="4" w:space="0"/>
            </w:tcBorders>
            <w:noWrap w:val="0"/>
            <w:vAlign w:val="center"/>
          </w:tcPr>
          <w:p w14:paraId="5032F57B">
            <w:pPr>
              <w:adjustRightInd w:val="0"/>
              <w:snapToGrid w:val="0"/>
              <w:jc w:val="center"/>
              <w:rPr>
                <w:rFonts w:hint="eastAsia"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6</w:t>
            </w:r>
          </w:p>
        </w:tc>
      </w:tr>
      <w:tr w14:paraId="3A65C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44B7C33C">
            <w:pPr>
              <w:adjustRightInd w:val="0"/>
              <w:snapToGrid w:val="0"/>
              <w:rPr>
                <w:rFonts w:hint="eastAsia" w:ascii="仿宋" w:hAnsi="仿宋" w:eastAsia="仿宋" w:cs="仿宋"/>
                <w:color w:val="auto"/>
                <w:sz w:val="21"/>
                <w:szCs w:val="21"/>
                <w:highlight w:val="none"/>
              </w:rPr>
            </w:pPr>
          </w:p>
        </w:tc>
        <w:tc>
          <w:tcPr>
            <w:tcW w:w="617" w:type="pct"/>
            <w:tcBorders>
              <w:left w:val="single" w:color="auto" w:sz="4" w:space="0"/>
              <w:right w:val="single" w:color="auto" w:sz="4" w:space="0"/>
            </w:tcBorders>
            <w:noWrap w:val="0"/>
            <w:vAlign w:val="center"/>
          </w:tcPr>
          <w:p w14:paraId="0096AF54">
            <w:pPr>
              <w:pStyle w:val="12"/>
              <w:adjustRightInd w:val="0"/>
              <w:snapToGrid w:val="0"/>
              <w:spacing w:before="0" w:beforeAutospacing="0" w:after="0" w:afterAutospacing="0"/>
              <w:jc w:val="center"/>
              <w:rPr>
                <w:rFonts w:hint="eastAsia" w:ascii="仿宋" w:hAnsi="仿宋" w:eastAsia="仿宋" w:cs="仿宋_GB2312"/>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售后服务方案</w:t>
            </w:r>
          </w:p>
        </w:tc>
        <w:tc>
          <w:tcPr>
            <w:tcW w:w="3435" w:type="pct"/>
            <w:tcBorders>
              <w:top w:val="single" w:color="auto" w:sz="4" w:space="0"/>
              <w:left w:val="single" w:color="auto" w:sz="4" w:space="0"/>
              <w:right w:val="single" w:color="auto" w:sz="4" w:space="0"/>
            </w:tcBorders>
            <w:noWrap w:val="0"/>
            <w:vAlign w:val="center"/>
          </w:tcPr>
          <w:p w14:paraId="16E920B2">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根据投标人提供的售后服务方案,（包括但不限于：售后服务流程、售后服务措施、售后服务团队等）进行评价。</w:t>
            </w:r>
          </w:p>
          <w:p w14:paraId="401A5824">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（1）内容</w:t>
            </w:r>
            <w:r>
              <w:rPr>
                <w:rFonts w:hint="eastAsia" w:ascii="仿宋" w:hAnsi="仿宋" w:eastAsia="仿宋" w:cs="仿宋"/>
                <w:i w:val="0"/>
                <w:iCs w:val="0"/>
                <w:color w:val="000000"/>
                <w:kern w:val="0"/>
                <w:sz w:val="21"/>
                <w:szCs w:val="21"/>
                <w:u w:val="none"/>
                <w:lang w:val="en-US" w:eastAsia="zh-CN" w:bidi="ar"/>
              </w:rPr>
              <w:t>完整合理</w:t>
            </w:r>
            <w:r>
              <w:rPr>
                <w:rFonts w:hint="eastAsia" w:ascii="仿宋" w:hAnsi="仿宋" w:eastAsia="仿宋" w:cs="仿宋"/>
                <w:color w:val="auto"/>
                <w:spacing w:val="4"/>
                <w:kern w:val="2"/>
                <w:sz w:val="21"/>
                <w:szCs w:val="21"/>
                <w:highlight w:val="none"/>
                <w:lang w:val="en-US" w:eastAsia="zh-CN" w:bidi="ar-SA"/>
              </w:rPr>
              <w:t>，</w:t>
            </w:r>
            <w:r>
              <w:rPr>
                <w:rFonts w:hint="eastAsia" w:ascii="仿宋" w:hAnsi="仿宋" w:eastAsia="仿宋" w:cs="仿宋"/>
                <w:i w:val="0"/>
                <w:iCs w:val="0"/>
                <w:color w:val="000000"/>
                <w:kern w:val="0"/>
                <w:sz w:val="21"/>
                <w:szCs w:val="21"/>
                <w:u w:val="none"/>
                <w:lang w:val="en-US" w:eastAsia="zh-CN" w:bidi="ar"/>
              </w:rPr>
              <w:t>内容详实，条理清晰，</w:t>
            </w:r>
            <w:r>
              <w:rPr>
                <w:rFonts w:hint="eastAsia" w:ascii="仿宋" w:hAnsi="仿宋" w:eastAsia="仿宋" w:cs="仿宋"/>
                <w:color w:val="auto"/>
                <w:spacing w:val="4"/>
                <w:kern w:val="2"/>
                <w:sz w:val="21"/>
                <w:szCs w:val="21"/>
                <w:highlight w:val="none"/>
                <w:lang w:val="en-US" w:eastAsia="zh-CN" w:bidi="ar-SA"/>
              </w:rPr>
              <w:t>得6分。</w:t>
            </w:r>
          </w:p>
          <w:p w14:paraId="3F50B07F">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（2）内容存在缺陷的，得4分；</w:t>
            </w:r>
          </w:p>
          <w:p w14:paraId="37469DE8">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（3）内容存在不符合项目需求的，得2分；</w:t>
            </w:r>
          </w:p>
          <w:p w14:paraId="520986B3">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（4）内容存在履约风险的得1分；</w:t>
            </w:r>
          </w:p>
          <w:p w14:paraId="1DF0BEB3">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（5）未提供，得0分。</w:t>
            </w:r>
          </w:p>
          <w:p w14:paraId="5C7B10B4">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注：1、缺陷指对项目需求理解存在偏差、存在相互矛盾内容、未针对本项目编写等任意一种情形。</w:t>
            </w:r>
          </w:p>
          <w:p w14:paraId="54B88E20">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2、不符合项目需求是指存在与本项目执行无关的内容、存在相关内容在实际操作中不能运用、使用的工作方法、标准、依据、流程等有错误影响方案有效性等任意一种情形。</w:t>
            </w:r>
          </w:p>
          <w:p w14:paraId="276ECE0B">
            <w:pPr>
              <w:adjustRightInd w:val="0"/>
              <w:snapToGrid w:val="0"/>
              <w:jc w:val="lef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pacing w:val="4"/>
                <w:kern w:val="2"/>
                <w:sz w:val="21"/>
                <w:szCs w:val="21"/>
                <w:highlight w:val="none"/>
                <w:lang w:val="en-US" w:eastAsia="zh-CN" w:bidi="ar-SA"/>
              </w:rPr>
              <w:t>3、履约风险是指由于各种因素导致供应商无法或不愿意履行本项目的服务需求所带来的风险。</w:t>
            </w:r>
          </w:p>
        </w:tc>
        <w:tc>
          <w:tcPr>
            <w:tcW w:w="473" w:type="pct"/>
            <w:tcBorders>
              <w:left w:val="single" w:color="auto" w:sz="4" w:space="0"/>
              <w:bottom w:val="single" w:color="auto" w:sz="4" w:space="0"/>
              <w:right w:val="single" w:color="auto" w:sz="4" w:space="0"/>
            </w:tcBorders>
            <w:noWrap w:val="0"/>
            <w:vAlign w:val="center"/>
          </w:tcPr>
          <w:p w14:paraId="311FC413">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r>
      <w:tr w14:paraId="5F90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Merge w:val="continue"/>
            <w:tcBorders>
              <w:left w:val="single" w:color="auto" w:sz="4" w:space="0"/>
              <w:right w:val="single" w:color="auto" w:sz="4" w:space="0"/>
            </w:tcBorders>
            <w:noWrap w:val="0"/>
            <w:vAlign w:val="center"/>
          </w:tcPr>
          <w:p w14:paraId="10C7FCCA">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617" w:type="pct"/>
            <w:tcBorders>
              <w:top w:val="single" w:color="auto" w:sz="4" w:space="0"/>
              <w:left w:val="single" w:color="auto" w:sz="4" w:space="0"/>
              <w:bottom w:val="single" w:color="auto" w:sz="4" w:space="0"/>
              <w:right w:val="single" w:color="auto" w:sz="4" w:space="0"/>
            </w:tcBorders>
            <w:noWrap w:val="0"/>
            <w:vAlign w:val="center"/>
          </w:tcPr>
          <w:p w14:paraId="3E4F59FE">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培训方案</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68F59AA2">
            <w:pPr>
              <w:pStyle w:val="30"/>
              <w:numPr>
                <w:ilvl w:val="0"/>
                <w:numId w:val="0"/>
              </w:numPr>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根据投标人提供的培训方案,（包括但不限于：培训人员、培训时间、培训内容、培训方式等）进行评价。</w:t>
            </w:r>
          </w:p>
          <w:p w14:paraId="796DD48A">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（1）内容</w:t>
            </w:r>
            <w:r>
              <w:rPr>
                <w:rFonts w:hint="eastAsia" w:ascii="仿宋" w:hAnsi="仿宋" w:eastAsia="仿宋" w:cs="仿宋"/>
                <w:i w:val="0"/>
                <w:iCs w:val="0"/>
                <w:color w:val="000000"/>
                <w:kern w:val="0"/>
                <w:sz w:val="21"/>
                <w:szCs w:val="21"/>
                <w:u w:val="none"/>
                <w:lang w:val="en-US" w:eastAsia="zh-CN" w:bidi="ar"/>
              </w:rPr>
              <w:t>完整合理</w:t>
            </w:r>
            <w:r>
              <w:rPr>
                <w:rFonts w:hint="eastAsia" w:ascii="仿宋" w:hAnsi="仿宋" w:eastAsia="仿宋" w:cs="仿宋"/>
                <w:color w:val="auto"/>
                <w:spacing w:val="4"/>
                <w:kern w:val="2"/>
                <w:sz w:val="21"/>
                <w:szCs w:val="21"/>
                <w:highlight w:val="none"/>
                <w:lang w:val="en-US" w:eastAsia="zh-CN" w:bidi="ar-SA"/>
              </w:rPr>
              <w:t>，</w:t>
            </w:r>
            <w:r>
              <w:rPr>
                <w:rFonts w:hint="eastAsia" w:ascii="仿宋" w:hAnsi="仿宋" w:eastAsia="仿宋" w:cs="仿宋"/>
                <w:i w:val="0"/>
                <w:iCs w:val="0"/>
                <w:color w:val="000000"/>
                <w:kern w:val="0"/>
                <w:sz w:val="21"/>
                <w:szCs w:val="21"/>
                <w:u w:val="none"/>
                <w:lang w:val="en-US" w:eastAsia="zh-CN" w:bidi="ar"/>
              </w:rPr>
              <w:t>内容详实，条理清晰，</w:t>
            </w:r>
            <w:r>
              <w:rPr>
                <w:rFonts w:hint="eastAsia" w:ascii="仿宋" w:hAnsi="仿宋" w:eastAsia="仿宋" w:cs="仿宋"/>
                <w:color w:val="auto"/>
                <w:spacing w:val="4"/>
                <w:kern w:val="2"/>
                <w:sz w:val="21"/>
                <w:szCs w:val="21"/>
                <w:highlight w:val="none"/>
                <w:lang w:val="en-US" w:eastAsia="zh-CN" w:bidi="ar-SA"/>
              </w:rPr>
              <w:t>得6分。</w:t>
            </w:r>
          </w:p>
          <w:p w14:paraId="11347135">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（2）内容存在缺陷的，得4分；</w:t>
            </w:r>
          </w:p>
          <w:p w14:paraId="5C6A72BF">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（3）内容存在不符合项目需求的，得2分；</w:t>
            </w:r>
          </w:p>
          <w:p w14:paraId="4D7E712A">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（4）内容存在履约风险的得1分；</w:t>
            </w:r>
          </w:p>
          <w:p w14:paraId="0AFF8BED">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（5）未提供，得0分。</w:t>
            </w:r>
          </w:p>
          <w:p w14:paraId="7B918181">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注：1、缺陷指对项目需求理解存在偏差、存在相互矛盾内容、未针对本项目编写等任意一种情形。</w:t>
            </w:r>
          </w:p>
          <w:p w14:paraId="1A97C21E">
            <w:pPr>
              <w:pStyle w:val="30"/>
              <w:spacing w:before="65" w:line="240" w:lineRule="auto"/>
              <w:jc w:val="both"/>
              <w:rPr>
                <w:rFonts w:hint="eastAsia" w:ascii="仿宋" w:hAnsi="仿宋" w:eastAsia="仿宋" w:cs="仿宋"/>
                <w:color w:val="auto"/>
                <w:spacing w:val="4"/>
                <w:kern w:val="2"/>
                <w:sz w:val="21"/>
                <w:szCs w:val="21"/>
                <w:highlight w:val="none"/>
                <w:lang w:val="en-US" w:eastAsia="zh-CN" w:bidi="ar-SA"/>
              </w:rPr>
            </w:pPr>
            <w:r>
              <w:rPr>
                <w:rFonts w:hint="eastAsia" w:ascii="仿宋" w:hAnsi="仿宋" w:eastAsia="仿宋" w:cs="仿宋"/>
                <w:color w:val="auto"/>
                <w:spacing w:val="4"/>
                <w:kern w:val="2"/>
                <w:sz w:val="21"/>
                <w:szCs w:val="21"/>
                <w:highlight w:val="none"/>
                <w:lang w:val="en-US" w:eastAsia="zh-CN" w:bidi="ar-SA"/>
              </w:rPr>
              <w:t>2、不符合项目需求是指存在与本项目执行无关的内容、存在相关内容在实际操作中不能运用、使用的工作方法、标准、依据、流程等有错误影响方案有效性等任意一种情形。</w:t>
            </w:r>
          </w:p>
          <w:p w14:paraId="5F2DC3AA">
            <w:pPr>
              <w:adjustRightInd w:val="0"/>
              <w:snapToGrid w:val="0"/>
              <w:jc w:val="left"/>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pacing w:val="4"/>
                <w:kern w:val="2"/>
                <w:sz w:val="21"/>
                <w:szCs w:val="21"/>
                <w:highlight w:val="none"/>
                <w:lang w:val="en-US" w:eastAsia="zh-CN" w:bidi="ar-SA"/>
              </w:rPr>
              <w:t>3、履约风险是指由于各种因素导致供应商无法或不愿意履行本项目的服务需求所带来的风险。</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71CB353E">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r>
      <w:tr w14:paraId="6ABA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473" w:type="pct"/>
            <w:vMerge w:val="restart"/>
            <w:tcBorders>
              <w:left w:val="single" w:color="auto" w:sz="4" w:space="0"/>
              <w:right w:val="single" w:color="auto" w:sz="4" w:space="0"/>
            </w:tcBorders>
            <w:noWrap w:val="0"/>
            <w:vAlign w:val="center"/>
          </w:tcPr>
          <w:p w14:paraId="7FBC3890">
            <w:pPr>
              <w:adjustRightInd w:val="0"/>
              <w:snapToGrid w:val="0"/>
              <w:jc w:val="center"/>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商务部分</w:t>
            </w:r>
            <w:r>
              <w:rPr>
                <w:rFonts w:hint="eastAsia" w:ascii="仿宋" w:hAnsi="仿宋" w:cs="仿宋"/>
                <w:color w:val="auto"/>
                <w:kern w:val="0"/>
                <w:sz w:val="21"/>
                <w:szCs w:val="21"/>
                <w:highlight w:val="none"/>
                <w:lang w:eastAsia="zh-CN"/>
              </w:rPr>
              <w:t>（</w:t>
            </w:r>
            <w:r>
              <w:rPr>
                <w:rFonts w:hint="eastAsia" w:ascii="仿宋" w:hAnsi="仿宋" w:cs="仿宋"/>
                <w:color w:val="auto"/>
                <w:kern w:val="0"/>
                <w:sz w:val="21"/>
                <w:szCs w:val="21"/>
                <w:highlight w:val="none"/>
                <w:lang w:val="en-US" w:eastAsia="zh-CN"/>
              </w:rPr>
              <w:t>8分</w:t>
            </w:r>
            <w:r>
              <w:rPr>
                <w:rFonts w:hint="eastAsia" w:ascii="仿宋" w:hAnsi="仿宋" w:cs="仿宋"/>
                <w:color w:val="auto"/>
                <w:kern w:val="0"/>
                <w:sz w:val="21"/>
                <w:szCs w:val="21"/>
                <w:highlight w:val="none"/>
                <w:lang w:eastAsia="zh-CN"/>
              </w:rPr>
              <w:t>）</w:t>
            </w:r>
          </w:p>
        </w:tc>
        <w:tc>
          <w:tcPr>
            <w:tcW w:w="617" w:type="pct"/>
            <w:tcBorders>
              <w:top w:val="single" w:color="auto" w:sz="4" w:space="0"/>
              <w:left w:val="single" w:color="auto" w:sz="4" w:space="0"/>
              <w:right w:val="single" w:color="auto" w:sz="4" w:space="0"/>
            </w:tcBorders>
            <w:shd w:val="clear" w:color="auto" w:fill="auto"/>
            <w:noWrap w:val="0"/>
            <w:vAlign w:val="center"/>
          </w:tcPr>
          <w:p w14:paraId="4B9C4D26">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kern w:val="0"/>
                <w:sz w:val="21"/>
                <w:szCs w:val="21"/>
                <w:u w:val="none"/>
                <w:lang w:val="en-US" w:eastAsia="zh-CN" w:bidi="ar"/>
              </w:rPr>
              <w:t>项目经理</w:t>
            </w:r>
          </w:p>
        </w:tc>
        <w:tc>
          <w:tcPr>
            <w:tcW w:w="3435" w:type="pct"/>
            <w:tcBorders>
              <w:top w:val="single" w:color="auto" w:sz="4" w:space="0"/>
              <w:left w:val="single" w:color="auto" w:sz="4" w:space="0"/>
              <w:right w:val="single" w:color="auto" w:sz="4" w:space="0"/>
            </w:tcBorders>
            <w:shd w:val="clear" w:color="auto" w:fill="auto"/>
            <w:noWrap w:val="0"/>
            <w:vAlign w:val="center"/>
          </w:tcPr>
          <w:p w14:paraId="127FF348">
            <w:pPr>
              <w:keepNext w:val="0"/>
              <w:keepLines w:val="0"/>
              <w:widowControl/>
              <w:suppressLineNumbers w:val="0"/>
              <w:spacing w:line="240" w:lineRule="auto"/>
              <w:jc w:val="both"/>
              <w:textAlignment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kern w:val="0"/>
                <w:sz w:val="21"/>
                <w:szCs w:val="21"/>
                <w:u w:val="none"/>
                <w:lang w:val="en-US" w:eastAsia="zh-CN" w:bidi="ar"/>
              </w:rPr>
              <w:t>项目经理同时具备机电专业一级建造师证书</w:t>
            </w:r>
            <w:r>
              <w:rPr>
                <w:rFonts w:hint="eastAsia" w:ascii="仿宋" w:hAnsi="仿宋" w:cs="仿宋"/>
                <w:i w:val="0"/>
                <w:iCs w:val="0"/>
                <w:color w:val="000000"/>
                <w:kern w:val="0"/>
                <w:sz w:val="21"/>
                <w:szCs w:val="21"/>
                <w:u w:val="none"/>
                <w:lang w:val="en-US" w:eastAsia="zh-CN" w:bidi="ar"/>
              </w:rPr>
              <w:t>和</w:t>
            </w:r>
            <w:r>
              <w:rPr>
                <w:rFonts w:hint="eastAsia" w:ascii="仿宋" w:hAnsi="仿宋" w:eastAsia="仿宋" w:cs="仿宋"/>
                <w:i w:val="0"/>
                <w:iCs w:val="0"/>
                <w:color w:val="000000"/>
                <w:kern w:val="0"/>
                <w:sz w:val="21"/>
                <w:szCs w:val="21"/>
                <w:u w:val="none"/>
                <w:lang w:val="en-US" w:eastAsia="zh-CN" w:bidi="ar"/>
              </w:rPr>
              <w:t>系统集成项目管理工程师证书的得3分，不提供或不按要求提供不得分。(提供证书复印件</w:t>
            </w:r>
            <w:r>
              <w:rPr>
                <w:rFonts w:hint="eastAsia" w:ascii="仿宋" w:hAnsi="仿宋" w:cs="仿宋"/>
                <w:i w:val="0"/>
                <w:iCs w:val="0"/>
                <w:color w:val="000000"/>
                <w:kern w:val="0"/>
                <w:sz w:val="21"/>
                <w:szCs w:val="21"/>
                <w:u w:val="none"/>
                <w:lang w:val="en-US" w:eastAsia="zh-CN" w:bidi="ar"/>
              </w:rPr>
              <w:t>以及项目经理</w:t>
            </w:r>
            <w:r>
              <w:rPr>
                <w:rFonts w:hint="eastAsia" w:ascii="仿宋" w:hAnsi="仿宋" w:eastAsia="仿宋" w:cs="仿宋"/>
                <w:i w:val="0"/>
                <w:iCs w:val="0"/>
                <w:color w:val="000000"/>
                <w:kern w:val="0"/>
                <w:sz w:val="21"/>
                <w:szCs w:val="21"/>
                <w:u w:val="none"/>
                <w:lang w:val="en-US" w:eastAsia="zh-CN" w:bidi="ar"/>
              </w:rPr>
              <w:t>近6个月</w:t>
            </w:r>
            <w:r>
              <w:rPr>
                <w:rFonts w:hint="eastAsia" w:ascii="仿宋" w:hAnsi="仿宋" w:cs="仿宋"/>
                <w:i w:val="0"/>
                <w:iCs w:val="0"/>
                <w:color w:val="000000"/>
                <w:kern w:val="0"/>
                <w:sz w:val="21"/>
                <w:szCs w:val="21"/>
                <w:u w:val="none"/>
                <w:lang w:val="en-US" w:eastAsia="zh-CN" w:bidi="ar"/>
              </w:rPr>
              <w:t>（2025年4-9月）</w:t>
            </w:r>
            <w:r>
              <w:rPr>
                <w:rFonts w:hint="eastAsia" w:ascii="仿宋" w:hAnsi="仿宋" w:eastAsia="仿宋" w:cs="仿宋"/>
                <w:i w:val="0"/>
                <w:iCs w:val="0"/>
                <w:color w:val="000000"/>
                <w:kern w:val="0"/>
                <w:sz w:val="21"/>
                <w:szCs w:val="21"/>
                <w:u w:val="none"/>
                <w:lang w:val="en-US" w:eastAsia="zh-CN" w:bidi="ar"/>
              </w:rPr>
              <w:t>内任意一个月的社保缴费证明复印件并加盖投标人公章）</w:t>
            </w:r>
          </w:p>
        </w:tc>
        <w:tc>
          <w:tcPr>
            <w:tcW w:w="47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0CB5B7">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2"/>
                <w:sz w:val="21"/>
                <w:szCs w:val="21"/>
                <w:u w:val="none"/>
                <w:lang w:val="en-US" w:eastAsia="zh-CN" w:bidi="ar-SA"/>
              </w:rPr>
            </w:pPr>
            <w:r>
              <w:rPr>
                <w:rFonts w:hint="eastAsia" w:ascii="仿宋" w:hAnsi="仿宋" w:eastAsia="仿宋" w:cs="仿宋"/>
                <w:i w:val="0"/>
                <w:iCs w:val="0"/>
                <w:color w:val="000000"/>
                <w:kern w:val="0"/>
                <w:sz w:val="21"/>
                <w:szCs w:val="21"/>
                <w:u w:val="none"/>
                <w:lang w:val="en-US" w:eastAsia="zh-CN" w:bidi="ar"/>
              </w:rPr>
              <w:t>3</w:t>
            </w:r>
          </w:p>
        </w:tc>
      </w:tr>
      <w:tr w14:paraId="1392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473" w:type="pct"/>
            <w:vMerge w:val="continue"/>
            <w:tcBorders>
              <w:left w:val="single" w:color="auto" w:sz="4" w:space="0"/>
              <w:right w:val="single" w:color="auto" w:sz="4" w:space="0"/>
            </w:tcBorders>
            <w:noWrap w:val="0"/>
            <w:vAlign w:val="center"/>
          </w:tcPr>
          <w:p w14:paraId="019C30B1">
            <w:pPr>
              <w:adjustRightInd w:val="0"/>
              <w:snapToGrid w:val="0"/>
              <w:jc w:val="center"/>
              <w:rPr>
                <w:rFonts w:hint="eastAsia" w:ascii="仿宋" w:hAnsi="仿宋" w:eastAsia="仿宋" w:cs="仿宋"/>
                <w:color w:val="auto"/>
                <w:kern w:val="0"/>
                <w:sz w:val="21"/>
                <w:szCs w:val="21"/>
                <w:highlight w:val="none"/>
              </w:rPr>
            </w:pPr>
          </w:p>
        </w:tc>
        <w:tc>
          <w:tcPr>
            <w:tcW w:w="1051" w:type="dxa"/>
            <w:tcBorders>
              <w:top w:val="single" w:color="auto" w:sz="4" w:space="0"/>
              <w:left w:val="single" w:color="auto" w:sz="4" w:space="0"/>
              <w:right w:val="single" w:color="auto" w:sz="4" w:space="0"/>
            </w:tcBorders>
            <w:noWrap w:val="0"/>
            <w:vAlign w:val="center"/>
          </w:tcPr>
          <w:p w14:paraId="2A4BDCDD">
            <w:pPr>
              <w:keepNext w:val="0"/>
              <w:keepLines w:val="0"/>
              <w:widowControl/>
              <w:suppressLineNumbers w:val="0"/>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技术负责人</w:t>
            </w:r>
          </w:p>
        </w:tc>
        <w:tc>
          <w:tcPr>
            <w:tcW w:w="5850" w:type="dxa"/>
            <w:tcBorders>
              <w:top w:val="single" w:color="auto" w:sz="4" w:space="0"/>
              <w:left w:val="single" w:color="auto" w:sz="4" w:space="0"/>
              <w:right w:val="single" w:color="auto" w:sz="4" w:space="0"/>
            </w:tcBorders>
            <w:noWrap w:val="0"/>
            <w:vAlign w:val="center"/>
          </w:tcPr>
          <w:p w14:paraId="775E3A94">
            <w:pPr>
              <w:keepNext w:val="0"/>
              <w:keepLines w:val="0"/>
              <w:widowControl/>
              <w:suppressLineNumbers w:val="0"/>
              <w:spacing w:line="240" w:lineRule="auto"/>
              <w:jc w:val="both"/>
              <w:textAlignment w:val="center"/>
              <w:rPr>
                <w:rFonts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技术负责人具备PMP证书的得2分，不提供或不按要求提供不得分。(提供证书复印件</w:t>
            </w:r>
            <w:r>
              <w:rPr>
                <w:rFonts w:hint="eastAsia" w:ascii="仿宋" w:hAnsi="仿宋" w:cs="仿宋"/>
                <w:i w:val="0"/>
                <w:iCs w:val="0"/>
                <w:color w:val="000000"/>
                <w:kern w:val="0"/>
                <w:sz w:val="21"/>
                <w:szCs w:val="21"/>
                <w:u w:val="none"/>
                <w:lang w:val="en-US" w:eastAsia="zh-CN" w:bidi="ar"/>
              </w:rPr>
              <w:t>以及技术负责人</w:t>
            </w:r>
            <w:r>
              <w:rPr>
                <w:rFonts w:hint="eastAsia" w:ascii="仿宋" w:hAnsi="仿宋" w:eastAsia="仿宋" w:cs="仿宋"/>
                <w:i w:val="0"/>
                <w:iCs w:val="0"/>
                <w:color w:val="000000"/>
                <w:kern w:val="0"/>
                <w:sz w:val="21"/>
                <w:szCs w:val="21"/>
                <w:u w:val="none"/>
                <w:lang w:val="en-US" w:eastAsia="zh-CN" w:bidi="ar"/>
              </w:rPr>
              <w:t>近6个月</w:t>
            </w:r>
            <w:r>
              <w:rPr>
                <w:rFonts w:hint="eastAsia" w:ascii="仿宋" w:hAnsi="仿宋" w:cs="仿宋"/>
                <w:i w:val="0"/>
                <w:iCs w:val="0"/>
                <w:color w:val="000000"/>
                <w:kern w:val="0"/>
                <w:sz w:val="21"/>
                <w:szCs w:val="21"/>
                <w:u w:val="none"/>
                <w:lang w:val="en-US" w:eastAsia="zh-CN" w:bidi="ar"/>
              </w:rPr>
              <w:t>（2025年4-9月）</w:t>
            </w:r>
            <w:r>
              <w:rPr>
                <w:rFonts w:hint="eastAsia" w:ascii="仿宋" w:hAnsi="仿宋" w:eastAsia="仿宋" w:cs="仿宋"/>
                <w:i w:val="0"/>
                <w:iCs w:val="0"/>
                <w:color w:val="000000"/>
                <w:kern w:val="0"/>
                <w:sz w:val="21"/>
                <w:szCs w:val="21"/>
                <w:u w:val="none"/>
                <w:lang w:val="en-US" w:eastAsia="zh-CN" w:bidi="ar"/>
              </w:rPr>
              <w:t>内任意一个月的社保缴费证明复印件并加盖投标人公章）</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772B736E">
            <w:pPr>
              <w:keepNext w:val="0"/>
              <w:keepLines w:val="0"/>
              <w:widowControl/>
              <w:suppressLineNumbers w:val="0"/>
              <w:spacing w:line="240" w:lineRule="auto"/>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000000"/>
                <w:kern w:val="0"/>
                <w:sz w:val="21"/>
                <w:szCs w:val="21"/>
                <w:u w:val="none"/>
                <w:lang w:val="en-US" w:eastAsia="zh-CN" w:bidi="ar"/>
              </w:rPr>
              <w:t>2</w:t>
            </w:r>
          </w:p>
        </w:tc>
      </w:tr>
      <w:tr w14:paraId="43E9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473" w:type="pct"/>
            <w:vMerge w:val="continue"/>
            <w:tcBorders>
              <w:left w:val="single" w:color="auto" w:sz="4" w:space="0"/>
              <w:right w:val="single" w:color="auto" w:sz="4" w:space="0"/>
            </w:tcBorders>
            <w:noWrap w:val="0"/>
            <w:vAlign w:val="center"/>
          </w:tcPr>
          <w:p w14:paraId="166CCA72">
            <w:pPr>
              <w:adjustRightInd w:val="0"/>
              <w:snapToGrid w:val="0"/>
              <w:jc w:val="center"/>
              <w:rPr>
                <w:rFonts w:hint="eastAsia" w:ascii="仿宋" w:hAnsi="仿宋" w:eastAsia="仿宋" w:cs="仿宋"/>
                <w:color w:val="auto"/>
                <w:kern w:val="0"/>
                <w:sz w:val="21"/>
                <w:szCs w:val="21"/>
                <w:highlight w:val="none"/>
              </w:rPr>
            </w:pPr>
          </w:p>
        </w:tc>
        <w:tc>
          <w:tcPr>
            <w:tcW w:w="1051" w:type="dxa"/>
            <w:tcBorders>
              <w:top w:val="single" w:color="auto" w:sz="4" w:space="0"/>
              <w:left w:val="single" w:color="auto" w:sz="4" w:space="0"/>
              <w:right w:val="single" w:color="auto" w:sz="4" w:space="0"/>
            </w:tcBorders>
            <w:noWrap w:val="0"/>
            <w:vAlign w:val="center"/>
          </w:tcPr>
          <w:p w14:paraId="0E182EF4">
            <w:pPr>
              <w:pStyle w:val="29"/>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体系认证</w:t>
            </w:r>
          </w:p>
        </w:tc>
        <w:tc>
          <w:tcPr>
            <w:tcW w:w="5850" w:type="dxa"/>
            <w:tcBorders>
              <w:top w:val="single" w:color="auto" w:sz="4" w:space="0"/>
              <w:left w:val="single" w:color="auto" w:sz="4" w:space="0"/>
              <w:right w:val="single" w:color="auto" w:sz="4" w:space="0"/>
            </w:tcBorders>
            <w:noWrap w:val="0"/>
            <w:vAlign w:val="center"/>
          </w:tcPr>
          <w:p w14:paraId="299AE87D">
            <w:pPr>
              <w:adjustRightInd w:val="0"/>
              <w:snapToGrid w:val="0"/>
              <w:rPr>
                <w:rFonts w:hint="eastAsia" w:ascii="仿宋" w:hAnsi="仿宋" w:eastAsia="仿宋" w:cs="仿宋"/>
                <w:color w:val="auto"/>
                <w:sz w:val="21"/>
                <w:szCs w:val="21"/>
                <w:highlight w:val="none"/>
              </w:rPr>
            </w:pPr>
            <w:r>
              <w:rPr>
                <w:rFonts w:hint="eastAsia" w:ascii="仿宋" w:hAnsi="仿宋" w:eastAsia="仿宋" w:cs="仿宋"/>
                <w:spacing w:val="4"/>
                <w:kern w:val="2"/>
                <w:sz w:val="21"/>
                <w:highlight w:val="none"/>
                <w:lang w:val="en-US" w:eastAsia="zh-CN"/>
              </w:rPr>
              <w:t>供应商</w:t>
            </w:r>
            <w:r>
              <w:rPr>
                <w:rFonts w:hint="eastAsia" w:ascii="仿宋" w:hAnsi="仿宋" w:eastAsia="仿宋" w:cs="仿宋"/>
                <w:color w:val="auto"/>
                <w:sz w:val="21"/>
                <w:szCs w:val="21"/>
                <w:highlight w:val="none"/>
              </w:rPr>
              <w:t>通过ISO9001质量管理体系认证、ISO14001环境管理体系认证、ISO45001职业健康安全管理体系认证并在有效期内。</w:t>
            </w:r>
          </w:p>
          <w:p w14:paraId="149F8809">
            <w:pPr>
              <w:adjustRightInd w:val="0"/>
              <w:snapToGrid w:val="0"/>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文件中提供认证证书</w:t>
            </w:r>
            <w:r>
              <w:rPr>
                <w:rFonts w:hint="eastAsia" w:ascii="仿宋" w:hAnsi="仿宋" w:eastAsia="仿宋" w:cs="仿宋"/>
                <w:color w:val="auto"/>
                <w:sz w:val="21"/>
                <w:szCs w:val="21"/>
                <w:highlight w:val="none"/>
                <w:lang w:val="en-US" w:eastAsia="zh-CN"/>
              </w:rPr>
              <w:t>复印件</w:t>
            </w:r>
            <w:r>
              <w:rPr>
                <w:rFonts w:hint="eastAsia" w:ascii="仿宋" w:hAnsi="仿宋" w:eastAsia="仿宋" w:cs="仿宋"/>
                <w:color w:val="auto"/>
                <w:sz w:val="21"/>
                <w:szCs w:val="21"/>
                <w:highlight w:val="none"/>
              </w:rPr>
              <w:t>及全国认证认可信息公共服务平台（网址：</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"http://cx.cnca.cn/）查询截图（证书状态有效）。满足得2分，否则不得分。"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http://cx.cnca.cn/）查询截图（证书状态有效）。</w:t>
            </w:r>
            <w:r>
              <w:rPr>
                <w:rFonts w:hint="eastAsia" w:ascii="仿宋" w:hAnsi="仿宋" w:eastAsia="仿宋" w:cs="仿宋"/>
                <w:color w:val="auto"/>
                <w:sz w:val="21"/>
                <w:szCs w:val="21"/>
                <w:highlight w:val="none"/>
                <w:lang w:val="en-US" w:eastAsia="zh-CN"/>
              </w:rPr>
              <w:t>每提供一个得1分，最多得3分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rPr>
              <w:fldChar w:fldCharType="end"/>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511529C5">
            <w:pPr>
              <w:pStyle w:val="3"/>
              <w:adjustRightInd w:val="0"/>
              <w:snapToGrid w:val="0"/>
              <w:rPr>
                <w:rFonts w:hint="eastAsia" w:ascii="仿宋" w:hAnsi="仿宋" w:eastAsia="仿宋" w:cs="仿宋"/>
                <w:color w:val="auto"/>
                <w:sz w:val="21"/>
                <w:szCs w:val="21"/>
                <w:highlight w:val="none"/>
              </w:rPr>
            </w:pPr>
            <w:r>
              <w:rPr>
                <w:rFonts w:hint="eastAsia" w:ascii="仿宋_GB2312" w:hAnsi="仿宋_GB2312" w:eastAsia="仿宋_GB2312" w:cs="仿宋_GB2312"/>
                <w:b w:val="0"/>
                <w:color w:val="auto"/>
                <w:sz w:val="21"/>
                <w:szCs w:val="21"/>
                <w:lang w:val="en-US" w:eastAsia="zh-CN"/>
              </w:rPr>
              <w:t>3</w:t>
            </w:r>
          </w:p>
        </w:tc>
      </w:tr>
      <w:tr w14:paraId="5C7C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tcBorders>
              <w:top w:val="single" w:color="auto" w:sz="4" w:space="0"/>
              <w:left w:val="single" w:color="auto" w:sz="4" w:space="0"/>
              <w:bottom w:val="single" w:color="auto" w:sz="4" w:space="0"/>
              <w:right w:val="single" w:color="auto" w:sz="4" w:space="0"/>
            </w:tcBorders>
            <w:noWrap w:val="0"/>
            <w:vAlign w:val="center"/>
          </w:tcPr>
          <w:p w14:paraId="49AA8C4E">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  计</w:t>
            </w:r>
          </w:p>
        </w:tc>
        <w:tc>
          <w:tcPr>
            <w:tcW w:w="617" w:type="pct"/>
            <w:tcBorders>
              <w:top w:val="single" w:color="auto" w:sz="4" w:space="0"/>
              <w:left w:val="single" w:color="auto" w:sz="4" w:space="0"/>
              <w:bottom w:val="single" w:color="auto" w:sz="4" w:space="0"/>
              <w:right w:val="single" w:color="auto" w:sz="4" w:space="0"/>
            </w:tcBorders>
            <w:noWrap w:val="0"/>
            <w:vAlign w:val="center"/>
          </w:tcPr>
          <w:p w14:paraId="4947A106">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3435" w:type="pct"/>
            <w:tcBorders>
              <w:top w:val="single" w:color="auto" w:sz="4" w:space="0"/>
              <w:left w:val="single" w:color="auto" w:sz="4" w:space="0"/>
              <w:bottom w:val="single" w:color="auto" w:sz="4" w:space="0"/>
              <w:right w:val="single" w:color="auto" w:sz="4" w:space="0"/>
            </w:tcBorders>
            <w:noWrap w:val="0"/>
            <w:vAlign w:val="center"/>
          </w:tcPr>
          <w:p w14:paraId="30F242C6">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p>
        </w:tc>
        <w:tc>
          <w:tcPr>
            <w:tcW w:w="473" w:type="pct"/>
            <w:tcBorders>
              <w:top w:val="single" w:color="auto" w:sz="4" w:space="0"/>
              <w:left w:val="single" w:color="auto" w:sz="4" w:space="0"/>
              <w:bottom w:val="single" w:color="auto" w:sz="4" w:space="0"/>
              <w:right w:val="single" w:color="auto" w:sz="4" w:space="0"/>
            </w:tcBorders>
            <w:noWrap w:val="0"/>
            <w:vAlign w:val="center"/>
          </w:tcPr>
          <w:p w14:paraId="52A7AC77">
            <w:pPr>
              <w:pStyle w:val="12"/>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100分</w:t>
            </w:r>
          </w:p>
        </w:tc>
      </w:tr>
    </w:tbl>
    <w:p w14:paraId="5CE2DC09">
      <w:pPr>
        <w:numPr>
          <w:ilvl w:val="0"/>
          <w:numId w:val="0"/>
        </w:numPr>
        <w:jc w:val="left"/>
        <w:rPr>
          <w:rFonts w:hint="eastAsia" w:ascii="仿宋" w:hAnsi="仿宋" w:eastAsia="仿宋" w:cs="仿宋"/>
          <w:b/>
          <w:color w:val="auto"/>
          <w:szCs w:val="21"/>
          <w:highlight w:val="none"/>
        </w:rPr>
      </w:pPr>
    </w:p>
    <w:p w14:paraId="275CA4FC">
      <w:pPr>
        <w:numPr>
          <w:ilvl w:val="0"/>
          <w:numId w:val="10"/>
        </w:num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加分项评分标准</w:t>
      </w:r>
    </w:p>
    <w:tbl>
      <w:tblPr>
        <w:tblStyle w:val="14"/>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7329"/>
      </w:tblGrid>
      <w:tr w14:paraId="2089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50E86CB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加分因素</w:t>
            </w:r>
          </w:p>
        </w:tc>
        <w:tc>
          <w:tcPr>
            <w:tcW w:w="7329" w:type="dxa"/>
            <w:tcBorders>
              <w:top w:val="single" w:color="auto" w:sz="4" w:space="0"/>
              <w:left w:val="single" w:color="auto" w:sz="4" w:space="0"/>
              <w:bottom w:val="single" w:color="auto" w:sz="4" w:space="0"/>
              <w:right w:val="single" w:color="auto" w:sz="4" w:space="0"/>
            </w:tcBorders>
            <w:noWrap w:val="0"/>
            <w:vAlign w:val="center"/>
          </w:tcPr>
          <w:p w14:paraId="1DAC9F9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加分说明</w:t>
            </w:r>
          </w:p>
        </w:tc>
      </w:tr>
      <w:tr w14:paraId="6A35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2CF1955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w:t>
            </w:r>
          </w:p>
          <w:p w14:paraId="3BBF258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329" w:type="dxa"/>
            <w:tcBorders>
              <w:top w:val="single" w:color="auto" w:sz="4" w:space="0"/>
              <w:left w:val="single" w:color="auto" w:sz="4" w:space="0"/>
              <w:bottom w:val="single" w:color="auto" w:sz="4" w:space="0"/>
              <w:right w:val="single" w:color="auto" w:sz="4" w:space="0"/>
            </w:tcBorders>
            <w:noWrap w:val="0"/>
            <w:vAlign w:val="center"/>
          </w:tcPr>
          <w:p w14:paraId="4BB11437">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3</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的加分，计算公式如下：</w:t>
            </w:r>
          </w:p>
          <w:p w14:paraId="17F12405">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节能产品加分＝（节能产品投标报价之和/投标总价）×价格部分总分值</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30</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3</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p>
        </w:tc>
      </w:tr>
      <w:tr w14:paraId="4E93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072" w:type="dxa"/>
            <w:tcBorders>
              <w:top w:val="single" w:color="auto" w:sz="4" w:space="0"/>
              <w:left w:val="single" w:color="auto" w:sz="4" w:space="0"/>
              <w:bottom w:val="single" w:color="auto" w:sz="4" w:space="0"/>
              <w:right w:val="single" w:color="auto" w:sz="4" w:space="0"/>
            </w:tcBorders>
            <w:noWrap w:val="0"/>
            <w:vAlign w:val="center"/>
          </w:tcPr>
          <w:p w14:paraId="7924B2B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w:t>
            </w:r>
          </w:p>
          <w:p w14:paraId="39A94CD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329" w:type="dxa"/>
            <w:tcBorders>
              <w:top w:val="single" w:color="auto" w:sz="4" w:space="0"/>
              <w:left w:val="single" w:color="auto" w:sz="4" w:space="0"/>
              <w:bottom w:val="single" w:color="auto" w:sz="4" w:space="0"/>
              <w:right w:val="single" w:color="auto" w:sz="4" w:space="0"/>
            </w:tcBorders>
            <w:noWrap w:val="0"/>
            <w:vAlign w:val="center"/>
          </w:tcPr>
          <w:p w14:paraId="6DC7C7D8">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3</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%的加分，计算公式如下：</w:t>
            </w:r>
          </w:p>
          <w:p w14:paraId="5A5F8C46">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环保产品加分＝（环保产品投标报价之和/投标总价）×价格部分总分值</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30</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3</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p>
        </w:tc>
      </w:tr>
    </w:tbl>
    <w:p w14:paraId="65488DFF">
      <w:pPr>
        <w:wordWrap w:val="0"/>
        <w:adjustRightInd w:val="0"/>
        <w:snapToGrid w:val="0"/>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552870E2">
      <w:pPr>
        <w:rPr>
          <w:rFonts w:hint="eastAsia" w:ascii="仿宋" w:hAnsi="仿宋" w:eastAsia="仿宋" w:cs="仿宋"/>
          <w:color w:val="auto"/>
          <w:highlight w:val="none"/>
        </w:rPr>
      </w:pPr>
      <w:bookmarkStart w:id="132" w:name="_Toc25922_WPSOffice_Level1"/>
    </w:p>
    <w:p w14:paraId="7B6EBE36">
      <w:pPr>
        <w:rPr>
          <w:rFonts w:hint="eastAsia" w:ascii="仿宋" w:hAnsi="仿宋" w:eastAsia="仿宋" w:cs="仿宋"/>
          <w:color w:val="auto"/>
          <w:highlight w:val="none"/>
        </w:rPr>
      </w:pPr>
    </w:p>
    <w:p w14:paraId="24DF47CE">
      <w:pPr>
        <w:rPr>
          <w:rFonts w:hint="eastAsia" w:ascii="仿宋" w:hAnsi="仿宋" w:eastAsia="仿宋" w:cs="仿宋"/>
          <w:color w:val="auto"/>
          <w:highlight w:val="none"/>
        </w:rPr>
      </w:pPr>
    </w:p>
    <w:p w14:paraId="088C004C">
      <w:pPr>
        <w:rPr>
          <w:rFonts w:hint="eastAsia" w:ascii="仿宋" w:hAnsi="仿宋" w:eastAsia="仿宋" w:cs="仿宋"/>
          <w:color w:val="auto"/>
          <w:highlight w:val="none"/>
        </w:rPr>
      </w:pPr>
    </w:p>
    <w:p w14:paraId="6F06D4A2">
      <w:pPr>
        <w:rPr>
          <w:rFonts w:hint="eastAsia" w:ascii="仿宋" w:hAnsi="仿宋" w:eastAsia="仿宋" w:cs="仿宋"/>
          <w:color w:val="auto"/>
          <w:highlight w:val="none"/>
        </w:rPr>
      </w:pPr>
    </w:p>
    <w:p w14:paraId="6C07F5DC">
      <w:pPr>
        <w:rPr>
          <w:rFonts w:hint="eastAsia" w:ascii="仿宋" w:hAnsi="仿宋" w:eastAsia="仿宋" w:cs="仿宋"/>
          <w:color w:val="auto"/>
          <w:highlight w:val="none"/>
        </w:rPr>
      </w:pPr>
    </w:p>
    <w:p w14:paraId="29ECDCF2">
      <w:pPr>
        <w:rPr>
          <w:rFonts w:hint="eastAsia" w:ascii="仿宋" w:hAnsi="仿宋" w:eastAsia="仿宋" w:cs="仿宋"/>
          <w:color w:val="auto"/>
          <w:highlight w:val="none"/>
        </w:rPr>
      </w:pPr>
    </w:p>
    <w:p w14:paraId="74BED005">
      <w:pPr>
        <w:rPr>
          <w:rFonts w:hint="eastAsia" w:ascii="仿宋" w:hAnsi="仿宋" w:eastAsia="仿宋" w:cs="仿宋"/>
          <w:color w:val="auto"/>
          <w:highlight w:val="none"/>
        </w:rPr>
      </w:pPr>
    </w:p>
    <w:p w14:paraId="1D0E3D4E">
      <w:pPr>
        <w:rPr>
          <w:rFonts w:hint="eastAsia" w:ascii="仿宋" w:hAnsi="仿宋" w:eastAsia="仿宋" w:cs="仿宋"/>
          <w:color w:val="auto"/>
          <w:highlight w:val="none"/>
        </w:rPr>
      </w:pPr>
    </w:p>
    <w:p w14:paraId="7EE15041">
      <w:pPr>
        <w:rPr>
          <w:rFonts w:hint="eastAsia" w:ascii="仿宋" w:hAnsi="仿宋" w:eastAsia="仿宋" w:cs="仿宋"/>
          <w:color w:val="auto"/>
          <w:highlight w:val="none"/>
        </w:rPr>
      </w:pPr>
    </w:p>
    <w:p w14:paraId="3DF808C2">
      <w:pPr>
        <w:pStyle w:val="2"/>
        <w:adjustRightInd w:val="0"/>
        <w:snapToGrid w:val="0"/>
        <w:spacing w:before="319" w:beforeLines="100" w:after="319" w:afterLines="100"/>
        <w:rPr>
          <w:rFonts w:hint="eastAsia" w:ascii="仿宋" w:hAnsi="仿宋" w:eastAsia="仿宋" w:cs="仿宋"/>
          <w:color w:val="auto"/>
          <w:highlight w:val="none"/>
        </w:rPr>
      </w:pPr>
      <w:bookmarkStart w:id="133" w:name="_Toc19588"/>
      <w:r>
        <w:rPr>
          <w:rFonts w:hint="eastAsia" w:ascii="仿宋" w:hAnsi="仿宋" w:eastAsia="仿宋" w:cs="仿宋"/>
          <w:color w:val="auto"/>
          <w:highlight w:val="none"/>
        </w:rPr>
        <w:t>第五章 政府采购合同条款</w:t>
      </w:r>
      <w:bookmarkEnd w:id="132"/>
      <w:r>
        <w:rPr>
          <w:rFonts w:hint="eastAsia" w:ascii="仿宋" w:hAnsi="仿宋" w:eastAsia="仿宋" w:cs="仿宋"/>
          <w:color w:val="auto"/>
          <w:highlight w:val="none"/>
        </w:rPr>
        <w:t>及格式</w:t>
      </w:r>
      <w:bookmarkEnd w:id="133"/>
    </w:p>
    <w:p w14:paraId="7BF53C64">
      <w:pPr>
        <w:rPr>
          <w:rFonts w:hint="eastAsia" w:ascii="仿宋" w:hAnsi="仿宋" w:eastAsia="仿宋" w:cs="仿宋"/>
          <w:color w:val="auto"/>
          <w:highlight w:val="none"/>
        </w:rPr>
      </w:pPr>
    </w:p>
    <w:p w14:paraId="2CE99BC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注：本合同仅作为双方拟订合同时的参考样本，合同签订时，双方可按实际情况进行调整，但合同不得有与招标文件实质性背离的条款。</w:t>
      </w:r>
    </w:p>
    <w:p w14:paraId="2F9E22BF">
      <w:pPr>
        <w:rPr>
          <w:rFonts w:hint="eastAsia" w:ascii="仿宋" w:hAnsi="仿宋" w:eastAsia="仿宋" w:cs="仿宋"/>
          <w:highlight w:val="none"/>
        </w:rPr>
      </w:pPr>
    </w:p>
    <w:p w14:paraId="4E78AA2A">
      <w:pPr>
        <w:rPr>
          <w:rFonts w:hint="eastAsia" w:ascii="仿宋" w:hAnsi="仿宋" w:eastAsia="仿宋" w:cs="仿宋"/>
        </w:rPr>
      </w:pPr>
    </w:p>
    <w:p w14:paraId="172DAA6A">
      <w:pPr>
        <w:rPr>
          <w:rFonts w:hint="eastAsia" w:ascii="仿宋" w:hAnsi="仿宋" w:eastAsia="仿宋" w:cs="仿宋"/>
        </w:rPr>
      </w:pPr>
    </w:p>
    <w:p w14:paraId="3E17A14D">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br w:type="page"/>
      </w:r>
      <w:r>
        <w:rPr>
          <w:rFonts w:hint="eastAsia" w:ascii="仿宋" w:hAnsi="仿宋" w:eastAsia="仿宋" w:cs="仿宋"/>
          <w:szCs w:val="28"/>
        </w:rPr>
        <w:t>合同条款</w:t>
      </w:r>
    </w:p>
    <w:p w14:paraId="75B0966F">
      <w:pPr>
        <w:spacing w:before="319" w:beforeLines="100" w:after="319" w:afterLines="100" w:line="480" w:lineRule="exact"/>
        <w:jc w:val="center"/>
        <w:rPr>
          <w:rFonts w:hint="eastAsia" w:ascii="仿宋" w:hAnsi="仿宋" w:eastAsia="仿宋" w:cs="仿宋"/>
          <w:b/>
          <w:sz w:val="44"/>
          <w:szCs w:val="44"/>
        </w:rPr>
      </w:pPr>
      <w:bookmarkStart w:id="134" w:name="_Toc30224_WPSOffice_Level1"/>
      <w:r>
        <w:rPr>
          <w:rFonts w:hint="eastAsia" w:ascii="仿宋" w:hAnsi="仿宋" w:eastAsia="仿宋" w:cs="仿宋"/>
          <w:b/>
          <w:sz w:val="44"/>
          <w:szCs w:val="44"/>
        </w:rPr>
        <w:t>政府采购合同条款</w:t>
      </w:r>
      <w:bookmarkEnd w:id="134"/>
    </w:p>
    <w:p w14:paraId="50711605">
      <w:pPr>
        <w:wordWrap w:val="0"/>
        <w:adjustRightInd w:val="0"/>
        <w:snapToGrid w:val="0"/>
        <w:spacing w:line="360" w:lineRule="auto"/>
        <w:jc w:val="right"/>
        <w:rPr>
          <w:rFonts w:hint="eastAsia" w:ascii="仿宋" w:hAnsi="仿宋" w:eastAsia="仿宋" w:cs="仿宋"/>
          <w:szCs w:val="21"/>
        </w:rPr>
      </w:pPr>
    </w:p>
    <w:p w14:paraId="09E6731E">
      <w:pPr>
        <w:adjustRightInd w:val="0"/>
        <w:snapToGrid w:val="0"/>
        <w:spacing w:line="360" w:lineRule="auto"/>
        <w:ind w:firstLine="411" w:firstLineChars="196"/>
        <w:rPr>
          <w:rFonts w:hint="eastAsia" w:ascii="仿宋" w:hAnsi="仿宋" w:eastAsia="仿宋" w:cs="仿宋"/>
          <w:b/>
          <w:bCs/>
          <w:szCs w:val="21"/>
        </w:rPr>
      </w:pPr>
      <w:bookmarkStart w:id="135" w:name="_Toc10117_WPSOffice_Level1"/>
      <w:bookmarkStart w:id="136" w:name="_Toc398_WPSOffice_Level1"/>
      <w:bookmarkStart w:id="137" w:name="_Toc25596_WPSOffice_Level1"/>
      <w:r>
        <w:rPr>
          <w:rFonts w:hint="eastAsia" w:ascii="仿宋" w:hAnsi="仿宋" w:eastAsia="仿宋" w:cs="仿宋"/>
          <w:b/>
          <w:bCs/>
          <w:szCs w:val="21"/>
        </w:rPr>
        <w:t>1.术语定义</w:t>
      </w:r>
      <w:bookmarkEnd w:id="135"/>
      <w:bookmarkEnd w:id="136"/>
      <w:bookmarkEnd w:id="137"/>
    </w:p>
    <w:p w14:paraId="7E365C5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本政府采购合同下列术语应解释为：</w:t>
      </w:r>
    </w:p>
    <w:p w14:paraId="3783EB0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1.1“政府采购合同”指供需双方依照政府采购程序、按照招标文件、投标文件确定的事项所达成的协议，包括附件、附录和上述文件所提到的构成政府采购合同的所有文件。</w:t>
      </w:r>
    </w:p>
    <w:p w14:paraId="03B87AE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1.2“政府采购合同价”指根据合同约定供方在正确地完全履行政府采购合同义务后，需方应支付给供方的价格。</w:t>
      </w:r>
    </w:p>
    <w:p w14:paraId="60C462B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7199821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30EE8B8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1.5“需方”指项目基本内容及要求中所述取得货物和服务的采购人。</w:t>
      </w:r>
    </w:p>
    <w:p w14:paraId="344DB89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1.6“供方”指项目基本内容及要求中所述提供产品和服务的中标人。</w:t>
      </w:r>
    </w:p>
    <w:p w14:paraId="25693C5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1.7“检验”指需方或者需方的最终用户收货后，按照本政府采购合同约定的标准对政府采购合同货物进行的检测与查验。</w:t>
      </w:r>
    </w:p>
    <w:p w14:paraId="21DD821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1.8“验收书”指需方对供方履行政府采购合同情况及结果进行现场检验和评估意见的文件。</w:t>
      </w:r>
    </w:p>
    <w:p w14:paraId="4D3572C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1.9“技术资料”指安装、调试、使用、维修政府采购合同货物所应具备的产品使用说明书和、或使用指南、操作手册、维修指南、服务手册、电路图、产品演示等文件及音像资料。</w:t>
      </w:r>
    </w:p>
    <w:p w14:paraId="5CB6092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1.10“保修期”指自验收书签署之日起，供方以自担费用方式保证政府采购合同货物正常运行的时期。</w:t>
      </w:r>
    </w:p>
    <w:p w14:paraId="03D7EFD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1.11“第三人”是指本政府采购合同双方以外的任何中国境内外的自然人、法人或其它经济组织。</w:t>
      </w:r>
    </w:p>
    <w:p w14:paraId="32E087C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1.12“法律、法规”是指由中国各级政府及有关部门制定的法律、行政法规、地方性法规、规章及其它规范性文件的有关规定。</w:t>
      </w:r>
    </w:p>
    <w:p w14:paraId="6D2EF71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1.13“招标文件”指采购人或者采购代理机构发布的招标文件。</w:t>
      </w:r>
    </w:p>
    <w:p w14:paraId="704809A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1.14“投标文件”指供方按照采购代理机构招标文件的要求编制和递交，并最终被评标委员会接受的投标文件。</w:t>
      </w:r>
    </w:p>
    <w:p w14:paraId="0E583416">
      <w:pPr>
        <w:rPr>
          <w:rFonts w:hint="eastAsia" w:ascii="仿宋" w:hAnsi="仿宋" w:eastAsia="仿宋" w:cs="仿宋"/>
        </w:rPr>
      </w:pPr>
      <w:bookmarkStart w:id="138" w:name="_Toc22454_WPSOffice_Level1"/>
      <w:bookmarkStart w:id="139" w:name="_Toc750_WPSOffice_Level1"/>
      <w:bookmarkStart w:id="140" w:name="_Toc29737_WPSOffice_Level1"/>
      <w:r>
        <w:rPr>
          <w:rFonts w:hint="eastAsia" w:ascii="仿宋" w:hAnsi="仿宋" w:eastAsia="仿宋" w:cs="仿宋"/>
        </w:rPr>
        <w:t>2.技术指标</w:t>
      </w:r>
      <w:bookmarkEnd w:id="138"/>
      <w:bookmarkEnd w:id="139"/>
      <w:bookmarkEnd w:id="140"/>
    </w:p>
    <w:p w14:paraId="26D3453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2.1交付产品的技术指标应与招标文件规定的技术指标要求及投标文件中的“技术规格偏离表及商务条款偏离表”的承诺内容相一致。</w:t>
      </w:r>
    </w:p>
    <w:p w14:paraId="688E95F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2.2 除技术指标另有规定外，计量单位应该使用公制。</w:t>
      </w:r>
    </w:p>
    <w:p w14:paraId="27C9E836">
      <w:pPr>
        <w:adjustRightInd w:val="0"/>
        <w:snapToGrid w:val="0"/>
        <w:spacing w:line="360" w:lineRule="auto"/>
        <w:ind w:firstLine="411" w:firstLineChars="196"/>
        <w:rPr>
          <w:rFonts w:hint="eastAsia" w:ascii="仿宋" w:hAnsi="仿宋" w:eastAsia="仿宋" w:cs="仿宋"/>
          <w:b/>
          <w:szCs w:val="21"/>
        </w:rPr>
      </w:pPr>
      <w:bookmarkStart w:id="141" w:name="_Toc19640_WPSOffice_Level1"/>
      <w:bookmarkStart w:id="142" w:name="_Toc17648_WPSOffice_Level1"/>
      <w:bookmarkStart w:id="143" w:name="_Toc1538_WPSOffice_Level1"/>
      <w:r>
        <w:rPr>
          <w:rFonts w:hint="eastAsia" w:ascii="仿宋" w:hAnsi="仿宋" w:eastAsia="仿宋" w:cs="仿宋"/>
          <w:b/>
          <w:szCs w:val="21"/>
        </w:rPr>
        <w:t>3.交货</w:t>
      </w:r>
      <w:bookmarkEnd w:id="141"/>
      <w:bookmarkEnd w:id="142"/>
      <w:bookmarkEnd w:id="143"/>
    </w:p>
    <w:p w14:paraId="49E71D7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3.1供方按照合同约定的时间、地点交货</w:t>
      </w:r>
    </w:p>
    <w:p w14:paraId="32D746C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3.2供方交货的同时应提交下列文件：销售发票，制造厂商出具的质量检验证书、产品合格证以及招标文件、投标文件确定供方应随货物同时提供的其他资料。</w:t>
      </w:r>
    </w:p>
    <w:p w14:paraId="3C96D990">
      <w:pPr>
        <w:adjustRightInd w:val="0"/>
        <w:snapToGrid w:val="0"/>
        <w:spacing w:line="360" w:lineRule="auto"/>
        <w:ind w:firstLine="411" w:firstLineChars="196"/>
        <w:rPr>
          <w:rFonts w:hint="eastAsia" w:ascii="仿宋" w:hAnsi="仿宋" w:eastAsia="仿宋" w:cs="仿宋"/>
          <w:b/>
          <w:szCs w:val="21"/>
        </w:rPr>
      </w:pPr>
      <w:bookmarkStart w:id="144" w:name="_Toc1266_WPSOffice_Level1"/>
      <w:bookmarkStart w:id="145" w:name="_Toc15048_WPSOffice_Level1"/>
      <w:bookmarkStart w:id="146" w:name="_Toc11745_WPSOffice_Level1"/>
      <w:r>
        <w:rPr>
          <w:rFonts w:hint="eastAsia" w:ascii="仿宋" w:hAnsi="仿宋" w:eastAsia="仿宋" w:cs="仿宋"/>
          <w:b/>
          <w:szCs w:val="21"/>
        </w:rPr>
        <w:t>4.合同金额</w:t>
      </w:r>
      <w:bookmarkEnd w:id="144"/>
      <w:bookmarkEnd w:id="145"/>
      <w:bookmarkEnd w:id="146"/>
    </w:p>
    <w:p w14:paraId="0F601E98">
      <w:pPr>
        <w:adjustRightInd w:val="0"/>
        <w:snapToGrid w:val="0"/>
        <w:spacing w:line="360" w:lineRule="auto"/>
        <w:ind w:firstLine="411" w:firstLineChars="196"/>
        <w:rPr>
          <w:rFonts w:hint="eastAsia" w:ascii="仿宋" w:hAnsi="仿宋" w:eastAsia="仿宋" w:cs="仿宋"/>
          <w:b/>
          <w:szCs w:val="21"/>
        </w:rPr>
      </w:pPr>
      <w:r>
        <w:rPr>
          <w:rFonts w:hint="eastAsia" w:ascii="仿宋" w:hAnsi="仿宋" w:eastAsia="仿宋" w:cs="仿宋"/>
          <w:szCs w:val="21"/>
        </w:rPr>
        <w:t>根据政府采购合同文件要求，确定政府采购合同的总金额。</w:t>
      </w:r>
    </w:p>
    <w:p w14:paraId="1014116B">
      <w:pPr>
        <w:adjustRightInd w:val="0"/>
        <w:snapToGrid w:val="0"/>
        <w:spacing w:line="360" w:lineRule="auto"/>
        <w:ind w:firstLine="411" w:firstLineChars="196"/>
        <w:rPr>
          <w:rFonts w:hint="eastAsia" w:ascii="仿宋" w:hAnsi="仿宋" w:eastAsia="仿宋" w:cs="仿宋"/>
          <w:b/>
          <w:szCs w:val="21"/>
        </w:rPr>
      </w:pPr>
      <w:bookmarkStart w:id="147" w:name="_Toc941_WPSOffice_Level1"/>
      <w:bookmarkStart w:id="148" w:name="_Toc11969_WPSOffice_Level1"/>
      <w:bookmarkStart w:id="149" w:name="_Toc22359_WPSOffice_Level1"/>
      <w:r>
        <w:rPr>
          <w:rFonts w:hint="eastAsia" w:ascii="仿宋" w:hAnsi="仿宋" w:eastAsia="仿宋" w:cs="仿宋"/>
          <w:b/>
          <w:szCs w:val="21"/>
        </w:rPr>
        <w:t>5.付款</w:t>
      </w:r>
      <w:bookmarkEnd w:id="147"/>
      <w:bookmarkEnd w:id="148"/>
      <w:bookmarkEnd w:id="149"/>
    </w:p>
    <w:p w14:paraId="252540B2">
      <w:pPr>
        <w:adjustRightInd w:val="0"/>
        <w:snapToGrid w:val="0"/>
        <w:spacing w:line="360" w:lineRule="auto"/>
        <w:ind w:firstLine="411" w:firstLineChars="196"/>
        <w:rPr>
          <w:rFonts w:hint="eastAsia" w:ascii="仿宋" w:hAnsi="仿宋" w:eastAsia="仿宋" w:cs="仿宋"/>
          <w:szCs w:val="21"/>
          <w:u w:val="single"/>
        </w:rPr>
      </w:pPr>
      <w:bookmarkStart w:id="150" w:name="_Toc22351_WPSOffice_Level2"/>
      <w:r>
        <w:rPr>
          <w:rFonts w:hint="eastAsia" w:ascii="仿宋" w:hAnsi="仿宋" w:eastAsia="仿宋" w:cs="仿宋"/>
          <w:szCs w:val="21"/>
        </w:rPr>
        <w:t>5.1付款方式、条件：需方按照合同约定的方式和条件付款。</w:t>
      </w:r>
      <w:bookmarkEnd w:id="150"/>
    </w:p>
    <w:p w14:paraId="17ECE0A1">
      <w:pPr>
        <w:adjustRightInd w:val="0"/>
        <w:snapToGrid w:val="0"/>
        <w:spacing w:line="360" w:lineRule="auto"/>
        <w:ind w:firstLine="411" w:firstLineChars="196"/>
        <w:rPr>
          <w:rFonts w:hint="eastAsia" w:ascii="仿宋" w:hAnsi="仿宋" w:eastAsia="仿宋" w:cs="仿宋"/>
          <w:b/>
          <w:szCs w:val="21"/>
        </w:rPr>
      </w:pPr>
      <w:bookmarkStart w:id="151" w:name="_Toc30478_WPSOffice_Level1"/>
      <w:bookmarkStart w:id="152" w:name="_Toc27769_WPSOffice_Level1"/>
      <w:bookmarkStart w:id="153" w:name="_Toc10526_WPSOffice_Level1"/>
      <w:r>
        <w:rPr>
          <w:rFonts w:hint="eastAsia" w:ascii="仿宋" w:hAnsi="仿宋" w:eastAsia="仿宋" w:cs="仿宋"/>
          <w:b/>
          <w:szCs w:val="21"/>
        </w:rPr>
        <w:t>6.验收</w:t>
      </w:r>
      <w:bookmarkEnd w:id="151"/>
      <w:bookmarkEnd w:id="152"/>
      <w:bookmarkEnd w:id="153"/>
    </w:p>
    <w:p w14:paraId="660C766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6.1供方提交的货物由需方或者需方的最终用户负责验收。</w:t>
      </w:r>
    </w:p>
    <w:p w14:paraId="58030D3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6.2需方或者需方的最终用户应当按照采购合同规定的技术、服务等要求组织对供应商履约的验收，并出具验收书。验收书应当包括每一项技术、服务等要求的履约情况。</w:t>
      </w:r>
    </w:p>
    <w:p w14:paraId="1AC9A16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6.3大型或者复杂的项目，应当邀请国家认可的质量检测机构参加验收。</w:t>
      </w:r>
    </w:p>
    <w:p w14:paraId="6505FEC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6.4政府向社会公众提供的公共服务项目，验收时应当邀请服务对象参与并出具意见，验收结果应当向社会公告。</w:t>
      </w:r>
    </w:p>
    <w:p w14:paraId="483B3C5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74C392A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6.6货物保修期自验收书签署之日起计算。</w:t>
      </w:r>
    </w:p>
    <w:p w14:paraId="313C766F">
      <w:pPr>
        <w:adjustRightInd w:val="0"/>
        <w:snapToGrid w:val="0"/>
        <w:spacing w:line="360" w:lineRule="auto"/>
        <w:ind w:firstLine="411" w:firstLineChars="196"/>
        <w:rPr>
          <w:rFonts w:hint="eastAsia" w:ascii="仿宋" w:hAnsi="仿宋" w:eastAsia="仿宋" w:cs="仿宋"/>
          <w:b/>
          <w:szCs w:val="21"/>
        </w:rPr>
      </w:pPr>
      <w:bookmarkStart w:id="154" w:name="_Toc31292_WPSOffice_Level1"/>
      <w:bookmarkStart w:id="155" w:name="_Toc21868_WPSOffice_Level1"/>
      <w:bookmarkStart w:id="156" w:name="_Toc23127_WPSOffice_Level1"/>
      <w:r>
        <w:rPr>
          <w:rFonts w:hint="eastAsia" w:ascii="仿宋" w:hAnsi="仿宋" w:eastAsia="仿宋" w:cs="仿宋"/>
          <w:b/>
          <w:szCs w:val="21"/>
        </w:rPr>
        <w:t>7.知识产权及有关规定</w:t>
      </w:r>
      <w:bookmarkEnd w:id="154"/>
      <w:bookmarkEnd w:id="155"/>
      <w:bookmarkEnd w:id="156"/>
    </w:p>
    <w:p w14:paraId="3FFFFAA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9D8E7E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7.2一方对另一方提供的技术资料、样件、图纸及其他与质量、技术、经营相关信息（包括但不限于价格、数量）有保密义务。双方应确保其人员及相关协作方承担保密义务。</w:t>
      </w:r>
    </w:p>
    <w:p w14:paraId="68692FC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666EA40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7.4本合同中涉及保密和知识产权任何条款，在合同期限内及合同终止后持续有效。</w:t>
      </w:r>
    </w:p>
    <w:p w14:paraId="515182CA">
      <w:pPr>
        <w:adjustRightInd w:val="0"/>
        <w:snapToGrid w:val="0"/>
        <w:spacing w:line="360" w:lineRule="auto"/>
        <w:ind w:firstLine="411" w:firstLineChars="196"/>
        <w:rPr>
          <w:rFonts w:hint="eastAsia" w:ascii="仿宋" w:hAnsi="仿宋" w:eastAsia="仿宋" w:cs="仿宋"/>
          <w:b/>
          <w:szCs w:val="21"/>
        </w:rPr>
      </w:pPr>
      <w:bookmarkStart w:id="157" w:name="_Toc26796_WPSOffice_Level1"/>
      <w:bookmarkStart w:id="158" w:name="_Toc24765_WPSOffice_Level1"/>
      <w:bookmarkStart w:id="159" w:name="_Toc21090_WPSOffice_Level1"/>
      <w:r>
        <w:rPr>
          <w:rFonts w:hint="eastAsia" w:ascii="仿宋" w:hAnsi="仿宋" w:eastAsia="仿宋" w:cs="仿宋"/>
          <w:b/>
          <w:szCs w:val="21"/>
        </w:rPr>
        <w:t>8.包装要求</w:t>
      </w:r>
      <w:bookmarkEnd w:id="157"/>
      <w:bookmarkEnd w:id="158"/>
      <w:bookmarkEnd w:id="159"/>
    </w:p>
    <w:p w14:paraId="53604C8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798F673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8.2每一个包装箱内应附一份详细的装箱单和质量合格证书。</w:t>
      </w:r>
    </w:p>
    <w:p w14:paraId="49D409F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8.3包装费由供方承担，包装物不回收。</w:t>
      </w:r>
    </w:p>
    <w:p w14:paraId="20DED816">
      <w:pPr>
        <w:adjustRightInd w:val="0"/>
        <w:snapToGrid w:val="0"/>
        <w:spacing w:line="360" w:lineRule="auto"/>
        <w:ind w:firstLine="411" w:firstLineChars="196"/>
        <w:rPr>
          <w:rFonts w:hint="eastAsia" w:ascii="仿宋" w:hAnsi="仿宋" w:eastAsia="仿宋" w:cs="仿宋"/>
          <w:b/>
          <w:szCs w:val="21"/>
        </w:rPr>
      </w:pPr>
      <w:bookmarkStart w:id="160" w:name="_Toc1308_WPSOffice_Level1"/>
      <w:bookmarkStart w:id="161" w:name="_Toc2304_WPSOffice_Level1"/>
      <w:bookmarkStart w:id="162" w:name="_Toc26447_WPSOffice_Level1"/>
      <w:r>
        <w:rPr>
          <w:rFonts w:hint="eastAsia" w:ascii="仿宋" w:hAnsi="仿宋" w:eastAsia="仿宋" w:cs="仿宋"/>
          <w:b/>
          <w:szCs w:val="21"/>
        </w:rPr>
        <w:t>9.伴随服务</w:t>
      </w:r>
      <w:bookmarkEnd w:id="160"/>
      <w:bookmarkEnd w:id="161"/>
      <w:bookmarkEnd w:id="162"/>
    </w:p>
    <w:p w14:paraId="091563B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9.1供方应提供所交付货物的全套技术文件资料，包括产品目录、图纸、操作手册、使用说明、维护手册和服务指南等。</w:t>
      </w:r>
    </w:p>
    <w:p w14:paraId="4F0A3F7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9.2供方还应提供下列服务：</w:t>
      </w:r>
    </w:p>
    <w:p w14:paraId="25627FB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9.2.1货物的现场安装、启动和试运行；</w:t>
      </w:r>
    </w:p>
    <w:p w14:paraId="375AD0E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9.2.2提供货物组装和维修所需的工具；</w:t>
      </w:r>
    </w:p>
    <w:p w14:paraId="3A01046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386716C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9.2.4在制造厂家或在项目现场就货物的安装、启动、运行、维护等对需方人员进行培训，直至需方人员掌握全部上述技能为止。</w:t>
      </w:r>
    </w:p>
    <w:p w14:paraId="32ECAD7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9.3伴随服务的费用应含在合同价中，不单独进行支付。</w:t>
      </w:r>
    </w:p>
    <w:p w14:paraId="7633935F">
      <w:pPr>
        <w:adjustRightInd w:val="0"/>
        <w:snapToGrid w:val="0"/>
        <w:spacing w:line="360" w:lineRule="auto"/>
        <w:ind w:firstLine="411" w:firstLineChars="196"/>
        <w:rPr>
          <w:rFonts w:hint="eastAsia" w:ascii="仿宋" w:hAnsi="仿宋" w:eastAsia="仿宋" w:cs="仿宋"/>
          <w:b/>
          <w:szCs w:val="21"/>
        </w:rPr>
      </w:pPr>
      <w:bookmarkStart w:id="163" w:name="_Toc8205_WPSOffice_Level1"/>
      <w:bookmarkStart w:id="164" w:name="_Toc7636_WPSOffice_Level1"/>
      <w:bookmarkStart w:id="165" w:name="_Toc14320_WPSOffice_Level1"/>
      <w:r>
        <w:rPr>
          <w:rFonts w:hint="eastAsia" w:ascii="仿宋" w:hAnsi="仿宋" w:eastAsia="仿宋" w:cs="仿宋"/>
          <w:b/>
          <w:szCs w:val="21"/>
        </w:rPr>
        <w:t>10.质量保证期</w:t>
      </w:r>
      <w:bookmarkEnd w:id="163"/>
      <w:bookmarkEnd w:id="164"/>
      <w:bookmarkEnd w:id="165"/>
    </w:p>
    <w:p w14:paraId="3303A30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10.1以招标文件中的规定为准，如果投标文件中的承诺优于招标文件规定，则以投标文件为准。</w:t>
      </w:r>
    </w:p>
    <w:p w14:paraId="5218E47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10.2如果招标文件没有特别要求，以供方在投标文件中提交的制造厂商的有关文件为准。如果上述文件规定有不一致之处，以对需方有利的为准。</w:t>
      </w:r>
    </w:p>
    <w:p w14:paraId="6AB6C279">
      <w:pPr>
        <w:adjustRightInd w:val="0"/>
        <w:snapToGrid w:val="0"/>
        <w:spacing w:line="360" w:lineRule="auto"/>
        <w:ind w:firstLine="411" w:firstLineChars="196"/>
        <w:rPr>
          <w:rFonts w:hint="eastAsia" w:ascii="仿宋" w:hAnsi="仿宋" w:eastAsia="仿宋" w:cs="仿宋"/>
          <w:b/>
          <w:szCs w:val="21"/>
        </w:rPr>
      </w:pPr>
      <w:bookmarkStart w:id="166" w:name="_Toc18427_WPSOffice_Level1"/>
      <w:bookmarkStart w:id="167" w:name="_Toc16220_WPSOffice_Level1"/>
      <w:bookmarkStart w:id="168" w:name="_Toc13950_WPSOffice_Level1"/>
      <w:r>
        <w:rPr>
          <w:rFonts w:hint="eastAsia" w:ascii="仿宋" w:hAnsi="仿宋" w:eastAsia="仿宋" w:cs="仿宋"/>
          <w:b/>
          <w:szCs w:val="21"/>
        </w:rPr>
        <w:t>11.质量保证</w:t>
      </w:r>
      <w:bookmarkEnd w:id="166"/>
      <w:bookmarkEnd w:id="167"/>
      <w:bookmarkEnd w:id="168"/>
    </w:p>
    <w:p w14:paraId="0507A8D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360DED3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3223F81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6DCF82BB">
      <w:pPr>
        <w:adjustRightInd w:val="0"/>
        <w:snapToGrid w:val="0"/>
        <w:spacing w:line="360" w:lineRule="auto"/>
        <w:ind w:firstLine="411" w:firstLineChars="196"/>
        <w:rPr>
          <w:rFonts w:hint="eastAsia" w:ascii="仿宋" w:hAnsi="仿宋" w:eastAsia="仿宋" w:cs="仿宋"/>
          <w:b/>
          <w:szCs w:val="21"/>
        </w:rPr>
      </w:pPr>
      <w:bookmarkStart w:id="169" w:name="_Toc24667_WPSOffice_Level1"/>
      <w:bookmarkStart w:id="170" w:name="_Toc9090_WPSOffice_Level1"/>
      <w:bookmarkStart w:id="171" w:name="_Toc29469_WPSOffice_Level1"/>
      <w:r>
        <w:rPr>
          <w:rFonts w:hint="eastAsia" w:ascii="仿宋" w:hAnsi="仿宋" w:eastAsia="仿宋" w:cs="仿宋"/>
          <w:b/>
          <w:szCs w:val="21"/>
        </w:rPr>
        <w:t>12.技术服务和保修责任</w:t>
      </w:r>
      <w:bookmarkEnd w:id="169"/>
      <w:bookmarkEnd w:id="170"/>
      <w:bookmarkEnd w:id="171"/>
    </w:p>
    <w:p w14:paraId="133EE34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12.1供方对政府采购合同货物的保修期，以招标文件中的规定为准，如果投标文件中的承诺优于招标文件规定，则以投标文件为准。</w:t>
      </w:r>
    </w:p>
    <w:p w14:paraId="1151DD7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12.2供方应按如下内容提供售后服务：</w:t>
      </w:r>
    </w:p>
    <w:p w14:paraId="3CAB6A5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30481AC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773FDD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12.2.3保修期间供方要保修除消耗品以外的所有产品。如果系统、设备等发生故障，供方要调查故障原因并修复直至满足最终验收指标和性能的要求，或者修理、更换整个或部分有缺陷的材料。</w:t>
      </w:r>
    </w:p>
    <w:p w14:paraId="508D8C1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12.2.4保修期内，供方提供电话、电子邮件、Web、现场服务等方式的技术支持，对用户的现场服务要求，供方必须按投标文件做出的承诺进行响应。</w:t>
      </w:r>
    </w:p>
    <w:p w14:paraId="011E454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12.2.5保修期内，供方应对出现故障无法修复的产品或无法正常运行的系统，提供替代产品以保证系统的正常工作。</w:t>
      </w:r>
    </w:p>
    <w:p w14:paraId="3DCD763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12.2.6保修期内，供方应投标时的承诺提供相关服务。</w:t>
      </w:r>
    </w:p>
    <w:p w14:paraId="468066E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884091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66F74D5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2D83AFB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E70E0F8">
      <w:pPr>
        <w:adjustRightInd w:val="0"/>
        <w:snapToGrid w:val="0"/>
        <w:spacing w:line="360" w:lineRule="auto"/>
        <w:ind w:firstLine="411" w:firstLineChars="196"/>
        <w:rPr>
          <w:rFonts w:hint="eastAsia" w:ascii="仿宋" w:hAnsi="仿宋" w:eastAsia="仿宋" w:cs="仿宋"/>
          <w:b/>
          <w:szCs w:val="21"/>
        </w:rPr>
      </w:pPr>
      <w:bookmarkStart w:id="172" w:name="_Toc11781_WPSOffice_Level1"/>
      <w:bookmarkStart w:id="173" w:name="_Toc8548_WPSOffice_Level1"/>
      <w:bookmarkStart w:id="174" w:name="_Toc16924_WPSOffice_Level1"/>
      <w:r>
        <w:rPr>
          <w:rFonts w:hint="eastAsia" w:ascii="仿宋" w:hAnsi="仿宋" w:eastAsia="仿宋" w:cs="仿宋"/>
          <w:b/>
          <w:szCs w:val="21"/>
        </w:rPr>
        <w:t>13.违约责任</w:t>
      </w:r>
      <w:bookmarkEnd w:id="172"/>
      <w:bookmarkEnd w:id="173"/>
      <w:bookmarkEnd w:id="174"/>
    </w:p>
    <w:p w14:paraId="458332C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6EA7541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13.1.1在需方同意延长的期限内交付全部货物、提供服务并承担由此给需方造成的一切损失；</w:t>
      </w:r>
    </w:p>
    <w:p w14:paraId="5F31575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EC2494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13.1.3根据货物低劣程度、损坏程度以及使需方所遭受的损失，经双方商定降低货物的价格或赔偿需方所遭受的损失；</w:t>
      </w:r>
    </w:p>
    <w:p w14:paraId="5B6E274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6F99C9A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13.1.5需方有权部分或全部解除政府采购合同并要求供方赔偿由此造成的损失。此时需方可采取必要的补救措施，相关费用由供方承担。</w:t>
      </w:r>
    </w:p>
    <w:p w14:paraId="69D5E49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20E4083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13.3延期交货的违约责任</w:t>
      </w:r>
    </w:p>
    <w:p w14:paraId="74421F6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6F0F6A9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109B91F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13.4以上各项交付的违约金并不影响违约方履行政府采购合同的各项义务。</w:t>
      </w:r>
    </w:p>
    <w:p w14:paraId="5B64D5E3">
      <w:pPr>
        <w:adjustRightInd w:val="0"/>
        <w:snapToGrid w:val="0"/>
        <w:spacing w:line="360" w:lineRule="auto"/>
        <w:ind w:firstLine="411" w:firstLineChars="196"/>
        <w:rPr>
          <w:rFonts w:hint="eastAsia" w:ascii="仿宋" w:hAnsi="仿宋" w:eastAsia="仿宋" w:cs="仿宋"/>
          <w:b/>
          <w:szCs w:val="21"/>
        </w:rPr>
      </w:pPr>
      <w:bookmarkStart w:id="175" w:name="_Toc32310_WPSOffice_Level1"/>
      <w:bookmarkStart w:id="176" w:name="_Toc21833_WPSOffice_Level1"/>
      <w:bookmarkStart w:id="177" w:name="_Toc28610_WPSOffice_Level1"/>
      <w:r>
        <w:rPr>
          <w:rFonts w:hint="eastAsia" w:ascii="仿宋" w:hAnsi="仿宋" w:eastAsia="仿宋" w:cs="仿宋"/>
          <w:b/>
          <w:szCs w:val="21"/>
        </w:rPr>
        <w:t>14.不可抗力</w:t>
      </w:r>
      <w:bookmarkEnd w:id="175"/>
      <w:bookmarkEnd w:id="176"/>
      <w:bookmarkEnd w:id="177"/>
    </w:p>
    <w:p w14:paraId="20E80BA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607B33D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14.2本条所述的“不可抗力”系指那些双方无法控制，不可预见的事件，但不包括双方的违约或疏忽。这些事件包括但不限于：战争、严重火灾、洪水、台风、地震。</w:t>
      </w:r>
    </w:p>
    <w:p w14:paraId="468F4D4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2C2EEE76">
      <w:pPr>
        <w:adjustRightInd w:val="0"/>
        <w:snapToGrid w:val="0"/>
        <w:spacing w:line="360" w:lineRule="auto"/>
        <w:ind w:firstLine="411" w:firstLineChars="196"/>
        <w:rPr>
          <w:rFonts w:hint="eastAsia" w:ascii="仿宋" w:hAnsi="仿宋" w:eastAsia="仿宋" w:cs="仿宋"/>
          <w:b/>
          <w:szCs w:val="21"/>
        </w:rPr>
      </w:pPr>
      <w:bookmarkStart w:id="178" w:name="_Toc13390_WPSOffice_Level1"/>
      <w:bookmarkStart w:id="179" w:name="_Toc3262_WPSOffice_Level1"/>
      <w:bookmarkStart w:id="180" w:name="_Toc12037_WPSOffice_Level1"/>
      <w:r>
        <w:rPr>
          <w:rFonts w:hint="eastAsia" w:ascii="仿宋" w:hAnsi="仿宋" w:eastAsia="仿宋" w:cs="仿宋"/>
          <w:b/>
          <w:szCs w:val="21"/>
        </w:rPr>
        <w:t>15.争端的解决</w:t>
      </w:r>
      <w:bookmarkEnd w:id="178"/>
      <w:bookmarkEnd w:id="179"/>
      <w:bookmarkEnd w:id="180"/>
    </w:p>
    <w:p w14:paraId="3F9D4F2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15.1政府采购合同的履行、违约责任和解决争议的方法等适用《中华人民共和国合同法》。</w:t>
      </w:r>
    </w:p>
    <w:p w14:paraId="378B578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15.2需方和供方应通过友好协商，解决在执行本政府采购合同过程中所发生的或与本政府采购合同有关的一切争端。</w:t>
      </w:r>
    </w:p>
    <w:p w14:paraId="08C8AE2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15.3如果协商不成，双方中的任何一方可向需方所在地的人民法院提起诉讼。</w:t>
      </w:r>
    </w:p>
    <w:p w14:paraId="3406904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15.4因政府采购合同部分履行引发诉讼的，在诉讼期间，除正在进行诉讼的部分外，本政府采购合同的其它部分应继续执行。</w:t>
      </w:r>
    </w:p>
    <w:p w14:paraId="204F3F23">
      <w:pPr>
        <w:adjustRightInd w:val="0"/>
        <w:snapToGrid w:val="0"/>
        <w:spacing w:line="360" w:lineRule="auto"/>
        <w:ind w:firstLine="411" w:firstLineChars="196"/>
        <w:rPr>
          <w:rFonts w:hint="eastAsia" w:ascii="仿宋" w:hAnsi="仿宋" w:eastAsia="仿宋" w:cs="仿宋"/>
          <w:b/>
          <w:szCs w:val="21"/>
        </w:rPr>
      </w:pPr>
      <w:bookmarkStart w:id="181" w:name="_Toc7773_WPSOffice_Level1"/>
      <w:bookmarkStart w:id="182" w:name="_Toc1917_WPSOffice_Level1"/>
      <w:bookmarkStart w:id="183" w:name="_Toc27539_WPSOffice_Level1"/>
      <w:r>
        <w:rPr>
          <w:rFonts w:hint="eastAsia" w:ascii="仿宋" w:hAnsi="仿宋" w:eastAsia="仿宋" w:cs="仿宋"/>
          <w:b/>
          <w:szCs w:val="21"/>
        </w:rPr>
        <w:t>16.违约终止政府采购合同</w:t>
      </w:r>
      <w:bookmarkEnd w:id="181"/>
      <w:bookmarkEnd w:id="182"/>
      <w:bookmarkEnd w:id="183"/>
    </w:p>
    <w:p w14:paraId="5E73924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16.1在需方因供方违约而按政府采购合同约定采取的任何补救措施均无效的情况下，需方可在下列情况下向供方发出书面通知，提出终止部分或全部政府采购合同。</w:t>
      </w:r>
    </w:p>
    <w:p w14:paraId="6C2D954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16.1.1如果供方未能在政府采购合同规定的限期或需方同意延长的限期内提供部分或全部货物和服务；</w:t>
      </w:r>
    </w:p>
    <w:p w14:paraId="28CE879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16.1.2未经需方事先书面同意，供方部分转让和分包或全部转让和分包其应履行的政府采购合同义务。</w:t>
      </w:r>
    </w:p>
    <w:p w14:paraId="724FAB10">
      <w:pPr>
        <w:adjustRightInd w:val="0"/>
        <w:snapToGrid w:val="0"/>
        <w:spacing w:line="360" w:lineRule="auto"/>
        <w:ind w:firstLine="411" w:firstLineChars="196"/>
        <w:rPr>
          <w:rFonts w:hint="eastAsia" w:ascii="仿宋" w:hAnsi="仿宋" w:eastAsia="仿宋" w:cs="仿宋"/>
          <w:b/>
          <w:szCs w:val="21"/>
        </w:rPr>
      </w:pPr>
      <w:bookmarkStart w:id="184" w:name="_Toc11967_WPSOffice_Level1"/>
      <w:bookmarkStart w:id="185" w:name="_Toc4220_WPSOffice_Level1"/>
      <w:bookmarkStart w:id="186" w:name="_Toc27976_WPSOffice_Level1"/>
      <w:r>
        <w:rPr>
          <w:rFonts w:hint="eastAsia" w:ascii="仿宋" w:hAnsi="仿宋" w:eastAsia="仿宋" w:cs="仿宋"/>
          <w:b/>
          <w:szCs w:val="21"/>
        </w:rPr>
        <w:t>17.政府采购合同转让和分包</w:t>
      </w:r>
      <w:bookmarkEnd w:id="184"/>
      <w:bookmarkEnd w:id="185"/>
      <w:bookmarkEnd w:id="186"/>
    </w:p>
    <w:p w14:paraId="121CBD7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除招标文件规定,并经需方事先书面同意外，供方不得部分转让和分包或全部转让和分包其应履行的政府采购合同义务。</w:t>
      </w:r>
    </w:p>
    <w:p w14:paraId="51858699">
      <w:pPr>
        <w:adjustRightInd w:val="0"/>
        <w:snapToGrid w:val="0"/>
        <w:spacing w:line="360" w:lineRule="auto"/>
        <w:ind w:firstLine="411" w:firstLineChars="196"/>
        <w:rPr>
          <w:rFonts w:hint="eastAsia" w:ascii="仿宋" w:hAnsi="仿宋" w:eastAsia="仿宋" w:cs="仿宋"/>
          <w:b/>
          <w:szCs w:val="21"/>
        </w:rPr>
      </w:pPr>
      <w:bookmarkStart w:id="187" w:name="_Toc737_WPSOffice_Level1"/>
      <w:bookmarkStart w:id="188" w:name="_Toc16873_WPSOffice_Level1"/>
      <w:bookmarkStart w:id="189" w:name="_Toc30020_WPSOffice_Level1"/>
      <w:r>
        <w:rPr>
          <w:rFonts w:hint="eastAsia" w:ascii="仿宋" w:hAnsi="仿宋" w:eastAsia="仿宋" w:cs="仿宋"/>
          <w:b/>
          <w:szCs w:val="21"/>
        </w:rPr>
        <w:t>18.适用法律：</w:t>
      </w:r>
      <w:bookmarkEnd w:id="187"/>
      <w:bookmarkEnd w:id="188"/>
      <w:bookmarkEnd w:id="189"/>
    </w:p>
    <w:p w14:paraId="1705E41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本政府采购合同按照中华人民共和国的现行法律进行解释。</w:t>
      </w:r>
    </w:p>
    <w:p w14:paraId="4B545CD6">
      <w:pPr>
        <w:adjustRightInd w:val="0"/>
        <w:snapToGrid w:val="0"/>
        <w:spacing w:line="360" w:lineRule="auto"/>
        <w:ind w:firstLine="411" w:firstLineChars="196"/>
        <w:rPr>
          <w:rFonts w:hint="eastAsia" w:ascii="仿宋" w:hAnsi="仿宋" w:eastAsia="仿宋" w:cs="仿宋"/>
          <w:b/>
          <w:szCs w:val="21"/>
        </w:rPr>
      </w:pPr>
      <w:bookmarkStart w:id="190" w:name="_Toc23749_WPSOffice_Level1"/>
      <w:bookmarkStart w:id="191" w:name="_Toc20985_WPSOffice_Level1"/>
      <w:bookmarkStart w:id="192" w:name="_Toc29009_WPSOffice_Level1"/>
      <w:r>
        <w:rPr>
          <w:rFonts w:hint="eastAsia" w:ascii="仿宋" w:hAnsi="仿宋" w:eastAsia="仿宋" w:cs="仿宋"/>
          <w:b/>
          <w:szCs w:val="21"/>
        </w:rPr>
        <w:t>19.政府采购合同生效</w:t>
      </w:r>
      <w:bookmarkEnd w:id="190"/>
      <w:bookmarkEnd w:id="191"/>
      <w:bookmarkEnd w:id="192"/>
    </w:p>
    <w:p w14:paraId="7D5544C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19.1本政府采购合同在供需双方法定代表人或其授权代理人签字和加盖公章后生效。</w:t>
      </w:r>
    </w:p>
    <w:p w14:paraId="2CCAC8A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19.2本政府采购合同一式五份，需方执二份，供方、采购代理机构、财政部门各执一份。</w:t>
      </w:r>
    </w:p>
    <w:p w14:paraId="5B8BA2A8">
      <w:pPr>
        <w:adjustRightInd w:val="0"/>
        <w:snapToGrid w:val="0"/>
        <w:spacing w:line="360" w:lineRule="auto"/>
        <w:ind w:firstLine="411" w:firstLineChars="196"/>
        <w:rPr>
          <w:rFonts w:hint="eastAsia" w:ascii="仿宋" w:hAnsi="仿宋" w:eastAsia="仿宋" w:cs="仿宋"/>
          <w:b/>
          <w:szCs w:val="21"/>
        </w:rPr>
      </w:pPr>
      <w:bookmarkStart w:id="193" w:name="_Toc405_WPSOffice_Level1"/>
      <w:bookmarkStart w:id="194" w:name="_Toc20274_WPSOffice_Level1"/>
      <w:bookmarkStart w:id="195" w:name="_Toc12339_WPSOffice_Level1"/>
      <w:r>
        <w:rPr>
          <w:rFonts w:hint="eastAsia" w:ascii="仿宋" w:hAnsi="仿宋" w:eastAsia="仿宋" w:cs="仿宋"/>
          <w:b/>
          <w:szCs w:val="21"/>
        </w:rPr>
        <w:t>20.政府采购合同附件</w:t>
      </w:r>
      <w:bookmarkEnd w:id="193"/>
      <w:bookmarkEnd w:id="194"/>
      <w:bookmarkEnd w:id="195"/>
    </w:p>
    <w:p w14:paraId="2EF3111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下列文件构成本政府采购合同不可分割的组成部分，与本政府采购合同具有同等法律效力：</w:t>
      </w:r>
    </w:p>
    <w:p w14:paraId="3C177ED1">
      <w:pPr>
        <w:adjustRightInd w:val="0"/>
        <w:snapToGrid w:val="0"/>
        <w:spacing w:line="360" w:lineRule="auto"/>
        <w:ind w:firstLine="411" w:firstLineChars="196"/>
        <w:rPr>
          <w:rFonts w:hint="eastAsia" w:ascii="仿宋" w:hAnsi="仿宋" w:eastAsia="仿宋" w:cs="仿宋"/>
          <w:szCs w:val="21"/>
        </w:rPr>
      </w:pPr>
      <w:bookmarkStart w:id="196" w:name="_Toc3518_WPSOffice_Level2"/>
      <w:r>
        <w:rPr>
          <w:rFonts w:hint="eastAsia" w:ascii="仿宋" w:hAnsi="仿宋" w:eastAsia="仿宋" w:cs="仿宋"/>
          <w:szCs w:val="21"/>
        </w:rPr>
        <w:t>20.1招标文件；</w:t>
      </w:r>
      <w:bookmarkEnd w:id="196"/>
    </w:p>
    <w:p w14:paraId="04C8D8ED">
      <w:pPr>
        <w:adjustRightInd w:val="0"/>
        <w:snapToGrid w:val="0"/>
        <w:spacing w:line="360" w:lineRule="auto"/>
        <w:ind w:firstLine="411" w:firstLineChars="196"/>
        <w:rPr>
          <w:rFonts w:hint="eastAsia" w:ascii="仿宋" w:hAnsi="仿宋" w:eastAsia="仿宋" w:cs="仿宋"/>
          <w:szCs w:val="21"/>
        </w:rPr>
      </w:pPr>
      <w:bookmarkStart w:id="197" w:name="_Toc7342_WPSOffice_Level2"/>
      <w:r>
        <w:rPr>
          <w:rFonts w:hint="eastAsia" w:ascii="仿宋" w:hAnsi="仿宋" w:eastAsia="仿宋" w:cs="仿宋"/>
          <w:szCs w:val="21"/>
        </w:rPr>
        <w:t>20.2招标文件的更正公告、变更公告；</w:t>
      </w:r>
      <w:bookmarkEnd w:id="197"/>
    </w:p>
    <w:p w14:paraId="1C78ADB0">
      <w:pPr>
        <w:adjustRightInd w:val="0"/>
        <w:snapToGrid w:val="0"/>
        <w:spacing w:line="360" w:lineRule="auto"/>
        <w:ind w:firstLine="411" w:firstLineChars="196"/>
        <w:rPr>
          <w:rFonts w:hint="eastAsia" w:ascii="仿宋" w:hAnsi="仿宋" w:eastAsia="仿宋" w:cs="仿宋"/>
          <w:szCs w:val="21"/>
        </w:rPr>
      </w:pPr>
      <w:bookmarkStart w:id="198" w:name="_Toc576_WPSOffice_Level2"/>
      <w:r>
        <w:rPr>
          <w:rFonts w:hint="eastAsia" w:ascii="仿宋" w:hAnsi="仿宋" w:eastAsia="仿宋" w:cs="仿宋"/>
          <w:szCs w:val="21"/>
        </w:rPr>
        <w:t>20.3中标人提交的投标文件；</w:t>
      </w:r>
      <w:bookmarkEnd w:id="198"/>
    </w:p>
    <w:p w14:paraId="10A80587">
      <w:pPr>
        <w:adjustRightInd w:val="0"/>
        <w:snapToGrid w:val="0"/>
        <w:spacing w:line="360" w:lineRule="auto"/>
        <w:ind w:firstLine="411" w:firstLineChars="196"/>
        <w:rPr>
          <w:rFonts w:hint="eastAsia" w:ascii="仿宋" w:hAnsi="仿宋" w:eastAsia="仿宋" w:cs="仿宋"/>
          <w:szCs w:val="21"/>
        </w:rPr>
      </w:pPr>
      <w:bookmarkStart w:id="199" w:name="_Toc25464_WPSOffice_Level2"/>
      <w:r>
        <w:rPr>
          <w:rFonts w:hint="eastAsia" w:ascii="仿宋" w:hAnsi="仿宋" w:eastAsia="仿宋" w:cs="仿宋"/>
          <w:szCs w:val="21"/>
        </w:rPr>
        <w:t>20.4政府采购合同条款；</w:t>
      </w:r>
      <w:bookmarkEnd w:id="199"/>
    </w:p>
    <w:p w14:paraId="3627B3EF">
      <w:pPr>
        <w:adjustRightInd w:val="0"/>
        <w:snapToGrid w:val="0"/>
        <w:spacing w:line="360" w:lineRule="auto"/>
        <w:ind w:firstLine="411" w:firstLineChars="196"/>
        <w:rPr>
          <w:rFonts w:hint="eastAsia" w:ascii="仿宋" w:hAnsi="仿宋" w:eastAsia="仿宋" w:cs="仿宋"/>
          <w:szCs w:val="21"/>
        </w:rPr>
      </w:pPr>
      <w:bookmarkStart w:id="200" w:name="_Toc25590_WPSOffice_Level2"/>
      <w:r>
        <w:rPr>
          <w:rFonts w:hint="eastAsia" w:ascii="仿宋" w:hAnsi="仿宋" w:eastAsia="仿宋" w:cs="仿宋"/>
          <w:szCs w:val="21"/>
        </w:rPr>
        <w:t>20.5中标通知书；</w:t>
      </w:r>
      <w:bookmarkEnd w:id="200"/>
    </w:p>
    <w:p w14:paraId="63DE98A6">
      <w:pPr>
        <w:adjustRightInd w:val="0"/>
        <w:snapToGrid w:val="0"/>
        <w:spacing w:line="360" w:lineRule="auto"/>
        <w:ind w:firstLine="411" w:firstLineChars="196"/>
        <w:rPr>
          <w:rFonts w:hint="eastAsia" w:ascii="仿宋" w:hAnsi="仿宋" w:eastAsia="仿宋" w:cs="仿宋"/>
          <w:szCs w:val="21"/>
        </w:rPr>
      </w:pPr>
      <w:bookmarkStart w:id="201" w:name="_Toc10297_WPSOffice_Level2"/>
      <w:r>
        <w:rPr>
          <w:rFonts w:hint="eastAsia" w:ascii="仿宋" w:hAnsi="仿宋" w:eastAsia="仿宋" w:cs="仿宋"/>
          <w:szCs w:val="21"/>
        </w:rPr>
        <w:t>20.6政府采购合同的其它附件。</w:t>
      </w:r>
      <w:bookmarkEnd w:id="201"/>
    </w:p>
    <w:p w14:paraId="4D141BC7">
      <w:pPr>
        <w:ind w:firstLine="470" w:firstLineChars="196"/>
        <w:rPr>
          <w:rFonts w:hint="eastAsia" w:ascii="仿宋" w:hAnsi="仿宋" w:eastAsia="仿宋" w:cs="仿宋"/>
          <w:sz w:val="24"/>
        </w:rPr>
      </w:pPr>
    </w:p>
    <w:p w14:paraId="7CA1DB1A">
      <w:pPr>
        <w:ind w:firstLine="470" w:firstLineChars="196"/>
        <w:rPr>
          <w:rFonts w:hint="eastAsia" w:ascii="仿宋" w:hAnsi="仿宋" w:eastAsia="仿宋" w:cs="仿宋"/>
          <w:sz w:val="24"/>
        </w:rPr>
      </w:pPr>
    </w:p>
    <w:p w14:paraId="1005E4E8">
      <w:pPr>
        <w:rPr>
          <w:rFonts w:hint="eastAsia" w:ascii="仿宋" w:hAnsi="仿宋" w:eastAsia="仿宋" w:cs="仿宋"/>
          <w:sz w:val="24"/>
        </w:rPr>
      </w:pPr>
      <w:r>
        <w:rPr>
          <w:rFonts w:hint="eastAsia" w:ascii="仿宋" w:hAnsi="仿宋" w:eastAsia="仿宋" w:cs="仿宋"/>
          <w:sz w:val="24"/>
        </w:rPr>
        <w:br w:type="page"/>
      </w:r>
    </w:p>
    <w:p w14:paraId="5B6B03CD">
      <w:pPr>
        <w:pStyle w:val="3"/>
        <w:adjustRightInd w:val="0"/>
        <w:snapToGrid w:val="0"/>
        <w:spacing w:before="0" w:after="0" w:line="240" w:lineRule="auto"/>
        <w:jc w:val="left"/>
        <w:rPr>
          <w:rFonts w:hint="eastAsia" w:ascii="仿宋" w:hAnsi="仿宋" w:eastAsia="仿宋" w:cs="仿宋"/>
          <w:sz w:val="21"/>
          <w:szCs w:val="21"/>
        </w:rPr>
      </w:pPr>
      <w:bookmarkStart w:id="202" w:name="_Toc3044_WPSOffice_Level1"/>
      <w:bookmarkStart w:id="203" w:name="_Toc7342_WPSOffice_Level1"/>
      <w:bookmarkStart w:id="204" w:name="_Toc372_WPSOffice_Level1"/>
      <w:r>
        <w:rPr>
          <w:rFonts w:hint="eastAsia" w:ascii="仿宋" w:hAnsi="仿宋" w:eastAsia="仿宋" w:cs="仿宋"/>
          <w:szCs w:val="28"/>
        </w:rPr>
        <w:t>合同格式</w:t>
      </w:r>
      <w:bookmarkEnd w:id="202"/>
      <w:bookmarkEnd w:id="203"/>
      <w:bookmarkEnd w:id="204"/>
    </w:p>
    <w:p w14:paraId="0008997B">
      <w:pPr>
        <w:adjustRightInd w:val="0"/>
        <w:snapToGrid w:val="0"/>
        <w:spacing w:line="360" w:lineRule="auto"/>
        <w:jc w:val="center"/>
        <w:rPr>
          <w:rFonts w:hint="eastAsia" w:ascii="仿宋" w:hAnsi="仿宋" w:eastAsia="仿宋" w:cs="仿宋"/>
          <w:b/>
          <w:bCs/>
          <w:sz w:val="44"/>
          <w:szCs w:val="44"/>
        </w:rPr>
      </w:pPr>
      <w:bookmarkStart w:id="205" w:name="_Toc11644_WPSOffice_Level1"/>
      <w:bookmarkStart w:id="206" w:name="_Toc7832_WPSOffice_Level1"/>
      <w:r>
        <w:rPr>
          <w:rFonts w:hint="eastAsia" w:ascii="仿宋" w:hAnsi="仿宋" w:eastAsia="仿宋" w:cs="仿宋"/>
          <w:b/>
          <w:bCs/>
          <w:sz w:val="44"/>
          <w:szCs w:val="44"/>
        </w:rPr>
        <w:t>政府采购合同格式</w:t>
      </w:r>
      <w:bookmarkEnd w:id="205"/>
      <w:bookmarkEnd w:id="206"/>
    </w:p>
    <w:p w14:paraId="10C1BAB7">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政府采购合同编号：</w:t>
      </w:r>
    </w:p>
    <w:p w14:paraId="33E774A2">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签订地点：</w:t>
      </w:r>
    </w:p>
    <w:p w14:paraId="76C587EE">
      <w:pPr>
        <w:adjustRightInd w:val="0"/>
        <w:snapToGrid w:val="0"/>
        <w:spacing w:line="360" w:lineRule="auto"/>
        <w:ind w:firstLine="640"/>
        <w:jc w:val="left"/>
        <w:rPr>
          <w:rFonts w:hint="eastAsia" w:ascii="仿宋" w:hAnsi="仿宋" w:eastAsia="仿宋" w:cs="仿宋"/>
          <w:szCs w:val="21"/>
        </w:rPr>
      </w:pPr>
      <w:r>
        <w:rPr>
          <w:rFonts w:hint="eastAsia" w:ascii="仿宋" w:hAnsi="仿宋" w:eastAsia="仿宋" w:cs="仿宋"/>
          <w:szCs w:val="21"/>
          <w:u w:val="single"/>
        </w:rPr>
        <w:t xml:space="preserve">    (需方名称</w:t>
      </w:r>
      <w:r>
        <w:rPr>
          <w:rFonts w:hint="eastAsia" w:ascii="仿宋" w:hAnsi="仿宋" w:eastAsia="仿宋" w:cs="仿宋"/>
          <w:szCs w:val="21"/>
        </w:rPr>
        <w:t>) （以下简称需方）和</w:t>
      </w:r>
      <w:r>
        <w:rPr>
          <w:rFonts w:hint="eastAsia" w:ascii="仿宋" w:hAnsi="仿宋" w:eastAsia="仿宋" w:cs="仿宋"/>
          <w:szCs w:val="21"/>
          <w:u w:val="single"/>
        </w:rPr>
        <w:t xml:space="preserve">   (供方名称)    </w:t>
      </w:r>
      <w:r>
        <w:rPr>
          <w:rFonts w:hint="eastAsia" w:ascii="仿宋" w:hAnsi="仿宋" w:eastAsia="仿宋" w:cs="仿宋"/>
          <w:szCs w:val="21"/>
        </w:rPr>
        <w:t xml:space="preserve"> （以下简称供方）根据《中华人民共和国合同法》和有关法律法规，遵循平等、自愿、公平和诚实信用原则，同意按照下面的条款和条件订立本政府采购合同，共同信守。</w:t>
      </w:r>
    </w:p>
    <w:p w14:paraId="50042140">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07" w:name="_Toc13230_WPSOffice_Level2"/>
      <w:r>
        <w:rPr>
          <w:rFonts w:hint="eastAsia" w:ascii="仿宋" w:hAnsi="仿宋" w:eastAsia="仿宋" w:cs="仿宋"/>
          <w:b/>
          <w:szCs w:val="21"/>
        </w:rPr>
        <w:t>一、政府采购合同文件</w:t>
      </w:r>
      <w:bookmarkEnd w:id="207"/>
    </w:p>
    <w:p w14:paraId="09797E25">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本政府采购合同所附下列文件是构成本政府采购合同不可分割的部分：</w:t>
      </w:r>
    </w:p>
    <w:p w14:paraId="1497DE2E">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1.招标文件（招标文件编号）；</w:t>
      </w:r>
    </w:p>
    <w:p w14:paraId="29A65220">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2.招标文件的更正公告、变更公告；</w:t>
      </w:r>
    </w:p>
    <w:p w14:paraId="0A135832">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3.中标人提交的投标文件；</w:t>
      </w:r>
    </w:p>
    <w:p w14:paraId="3F8B32D4">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4.政府采购合同条款；</w:t>
      </w:r>
    </w:p>
    <w:p w14:paraId="4DEBBE79">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5.中标通知书；</w:t>
      </w:r>
    </w:p>
    <w:p w14:paraId="37BF83E3">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6.政府采购合同的其它附件。</w:t>
      </w:r>
    </w:p>
    <w:p w14:paraId="569F2510">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08" w:name="_Toc19527_WPSOffice_Level2"/>
      <w:r>
        <w:rPr>
          <w:rFonts w:hint="eastAsia" w:ascii="仿宋" w:hAnsi="仿宋" w:eastAsia="仿宋" w:cs="仿宋"/>
          <w:b/>
          <w:szCs w:val="21"/>
        </w:rPr>
        <w:t>二、政府采购合同范围和条件</w:t>
      </w:r>
      <w:bookmarkEnd w:id="208"/>
    </w:p>
    <w:p w14:paraId="71D82994">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本政府采购合同的范围和条件与上述政府采购合同文件的规定相一致。</w:t>
      </w:r>
    </w:p>
    <w:p w14:paraId="428DDCAC">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09" w:name="_Toc18050_WPSOffice_Level2"/>
      <w:r>
        <w:rPr>
          <w:rFonts w:hint="eastAsia" w:ascii="仿宋" w:hAnsi="仿宋" w:eastAsia="仿宋" w:cs="仿宋"/>
          <w:b/>
          <w:szCs w:val="21"/>
        </w:rPr>
        <w:t>三、政府采购合同标的</w:t>
      </w:r>
      <w:bookmarkEnd w:id="209"/>
    </w:p>
    <w:p w14:paraId="0631458B">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本政府采购合同的标的为招标文件中所列货物及相关服务。</w:t>
      </w:r>
    </w:p>
    <w:p w14:paraId="39F56211">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10" w:name="_Toc27886_WPSOffice_Level2"/>
      <w:r>
        <w:rPr>
          <w:rFonts w:hint="eastAsia" w:ascii="仿宋" w:hAnsi="仿宋" w:eastAsia="仿宋" w:cs="仿宋"/>
          <w:b/>
          <w:szCs w:val="21"/>
        </w:rPr>
        <w:t>四、政府采购合同金额</w:t>
      </w:r>
      <w:bookmarkEnd w:id="210"/>
    </w:p>
    <w:p w14:paraId="6F122CE4">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根据上述政府采购合同文件要求，政府采购合同的总金额为人民币</w:t>
      </w:r>
      <w:r>
        <w:rPr>
          <w:rFonts w:hint="eastAsia" w:ascii="仿宋" w:hAnsi="仿宋" w:eastAsia="仿宋" w:cs="仿宋"/>
          <w:szCs w:val="21"/>
          <w:u w:val="single"/>
        </w:rPr>
        <w:t xml:space="preserve">  （大写）                </w:t>
      </w:r>
      <w:r>
        <w:rPr>
          <w:rFonts w:hint="eastAsia" w:ascii="仿宋" w:hAnsi="仿宋" w:eastAsia="仿宋" w:cs="仿宋"/>
          <w:szCs w:val="21"/>
        </w:rPr>
        <w:t xml:space="preserve"> 元。</w:t>
      </w:r>
    </w:p>
    <w:p w14:paraId="5E0368A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注：存在分项产品的必须清晰列明分项产品明细，包括名称、数量、分项报价等，并作为合同组成部分。</w:t>
      </w:r>
    </w:p>
    <w:p w14:paraId="4A93B022">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11" w:name="_Toc22211_WPSOffice_Level2"/>
      <w:r>
        <w:rPr>
          <w:rFonts w:hint="eastAsia" w:ascii="仿宋" w:hAnsi="仿宋" w:eastAsia="仿宋" w:cs="仿宋"/>
          <w:b/>
          <w:szCs w:val="21"/>
        </w:rPr>
        <w:t>五、付款方式及条件</w:t>
      </w:r>
      <w:bookmarkEnd w:id="211"/>
    </w:p>
    <w:p w14:paraId="129CF5BF">
      <w:pPr>
        <w:adjustRightInd w:val="0"/>
        <w:snapToGrid w:val="0"/>
        <w:spacing w:line="360" w:lineRule="auto"/>
        <w:jc w:val="left"/>
        <w:rPr>
          <w:rFonts w:hint="eastAsia" w:ascii="仿宋" w:hAnsi="仿宋" w:eastAsia="仿宋" w:cs="仿宋"/>
          <w:b/>
          <w:szCs w:val="21"/>
        </w:rPr>
      </w:pPr>
    </w:p>
    <w:p w14:paraId="7EB3A5F8">
      <w:pPr>
        <w:adjustRightInd w:val="0"/>
        <w:snapToGrid w:val="0"/>
        <w:spacing w:line="360" w:lineRule="auto"/>
        <w:jc w:val="left"/>
        <w:rPr>
          <w:rFonts w:hint="eastAsia" w:ascii="仿宋" w:hAnsi="仿宋" w:eastAsia="仿宋" w:cs="仿宋"/>
          <w:szCs w:val="21"/>
        </w:rPr>
      </w:pPr>
      <w:r>
        <w:rPr>
          <w:rFonts w:hint="eastAsia" w:ascii="仿宋" w:hAnsi="仿宋" w:eastAsia="仿宋" w:cs="仿宋"/>
          <w:b/>
          <w:szCs w:val="21"/>
        </w:rPr>
        <w:t>　　</w:t>
      </w:r>
      <w:bookmarkStart w:id="212" w:name="_Toc27813_WPSOffice_Level2"/>
      <w:r>
        <w:rPr>
          <w:rFonts w:hint="eastAsia" w:ascii="仿宋" w:hAnsi="仿宋" w:eastAsia="仿宋" w:cs="仿宋"/>
          <w:b/>
          <w:szCs w:val="21"/>
        </w:rPr>
        <w:t>六、交货时间和交货地点</w:t>
      </w:r>
      <w:bookmarkEnd w:id="212"/>
    </w:p>
    <w:p w14:paraId="35F3353C">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1.交货时间：</w:t>
      </w:r>
    </w:p>
    <w:p w14:paraId="1085E7BC">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2.交货地点：</w:t>
      </w:r>
    </w:p>
    <w:p w14:paraId="5E49C95C">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13" w:name="_Toc12497_WPSOffice_Level2"/>
      <w:r>
        <w:rPr>
          <w:rFonts w:hint="eastAsia" w:ascii="仿宋" w:hAnsi="仿宋" w:eastAsia="仿宋" w:cs="仿宋"/>
          <w:b/>
          <w:szCs w:val="21"/>
        </w:rPr>
        <w:t>七、验收要求</w:t>
      </w:r>
      <w:bookmarkEnd w:id="213"/>
    </w:p>
    <w:p w14:paraId="20F40614">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供方完全履行合同义务后，需方或需方的最终用户按照上述政府采购合同文件列明的标准进行验收，验收不合格的，供方需按照第八条第2款的约定承担相应违约责任。</w:t>
      </w:r>
    </w:p>
    <w:p w14:paraId="62D4A1AC">
      <w:pPr>
        <w:adjustRightInd w:val="0"/>
        <w:snapToGrid w:val="0"/>
        <w:spacing w:line="360" w:lineRule="auto"/>
        <w:jc w:val="left"/>
        <w:rPr>
          <w:rFonts w:hint="eastAsia" w:ascii="仿宋" w:hAnsi="仿宋" w:eastAsia="仿宋" w:cs="仿宋"/>
          <w:b/>
          <w:szCs w:val="21"/>
        </w:rPr>
      </w:pPr>
      <w:bookmarkStart w:id="214" w:name="_Toc4868_WPSOffice_Level2"/>
      <w:r>
        <w:rPr>
          <w:rFonts w:hint="eastAsia" w:ascii="仿宋" w:hAnsi="仿宋" w:eastAsia="仿宋" w:cs="仿宋"/>
          <w:b/>
          <w:szCs w:val="21"/>
        </w:rPr>
        <w:t>八、违约责任</w:t>
      </w:r>
      <w:bookmarkEnd w:id="214"/>
    </w:p>
    <w:p w14:paraId="6B5DBA6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1.供方逾期供货的，每逾期一天向需方支付逾期供货金额%的违约金，逾期日的，需方有权单方面解除本协议。</w:t>
      </w:r>
    </w:p>
    <w:p w14:paraId="3EFD07F3">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0A593BA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3.需方逾期付款的，每逾期一天向供方支付逾期金额%的违约金，逾期日的，供方有权单方面解除本协议。</w:t>
      </w:r>
    </w:p>
    <w:p w14:paraId="39207978">
      <w:pPr>
        <w:adjustRightInd w:val="0"/>
        <w:snapToGrid w:val="0"/>
        <w:spacing w:line="360" w:lineRule="auto"/>
        <w:jc w:val="left"/>
        <w:rPr>
          <w:rFonts w:hint="eastAsia" w:ascii="仿宋" w:hAnsi="仿宋" w:eastAsia="仿宋" w:cs="仿宋"/>
          <w:b/>
          <w:szCs w:val="21"/>
        </w:rPr>
      </w:pPr>
      <w:bookmarkStart w:id="215" w:name="_Toc24496_WPSOffice_Level2"/>
      <w:r>
        <w:rPr>
          <w:rFonts w:hint="eastAsia" w:ascii="仿宋" w:hAnsi="仿宋" w:eastAsia="仿宋" w:cs="仿宋"/>
          <w:b/>
          <w:szCs w:val="21"/>
        </w:rPr>
        <w:t>九、争议解决</w:t>
      </w:r>
      <w:bookmarkEnd w:id="215"/>
    </w:p>
    <w:p w14:paraId="3631BB88">
      <w:pPr>
        <w:adjustRightInd w:val="0"/>
        <w:snapToGrid w:val="0"/>
        <w:spacing w:line="360" w:lineRule="auto"/>
        <w:jc w:val="left"/>
        <w:rPr>
          <w:rFonts w:hint="eastAsia" w:ascii="仿宋" w:hAnsi="仿宋" w:eastAsia="仿宋" w:cs="仿宋"/>
          <w:b/>
          <w:szCs w:val="21"/>
        </w:rPr>
      </w:pPr>
      <w:r>
        <w:rPr>
          <w:rFonts w:hint="eastAsia" w:ascii="仿宋" w:hAnsi="仿宋" w:eastAsia="仿宋" w:cs="仿宋"/>
          <w:szCs w:val="21"/>
        </w:rPr>
        <w:t xml:space="preserve">    双方因履行本协议而产生的争议，应友好协商解决，协商不成的，任何一方可向需方所在地的人民法院提起诉讼。</w:t>
      </w:r>
    </w:p>
    <w:p w14:paraId="27B38EEF">
      <w:pPr>
        <w:adjustRightInd w:val="0"/>
        <w:snapToGrid w:val="0"/>
        <w:spacing w:line="360" w:lineRule="auto"/>
        <w:jc w:val="left"/>
        <w:rPr>
          <w:rFonts w:hint="eastAsia" w:ascii="仿宋" w:hAnsi="仿宋" w:eastAsia="仿宋" w:cs="仿宋"/>
          <w:b/>
          <w:szCs w:val="21"/>
        </w:rPr>
      </w:pPr>
      <w:bookmarkStart w:id="216" w:name="_Toc24974_WPSOffice_Level2"/>
      <w:r>
        <w:rPr>
          <w:rFonts w:hint="eastAsia" w:ascii="仿宋" w:hAnsi="仿宋" w:eastAsia="仿宋" w:cs="仿宋"/>
          <w:b/>
          <w:szCs w:val="21"/>
        </w:rPr>
        <w:t>十、合同生效</w:t>
      </w:r>
      <w:bookmarkEnd w:id="216"/>
    </w:p>
    <w:p w14:paraId="222C5B2B">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本政府采购合同经双方授权代表签字盖章后生效。</w:t>
      </w:r>
    </w:p>
    <w:p w14:paraId="38E2F2D1">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需方（公章）:                       供方(公章):</w:t>
      </w:r>
    </w:p>
    <w:p w14:paraId="09EF87A1">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法定代表人或授权代表人(签字):         法定代表人或授权代表人(签字):</w:t>
      </w:r>
    </w:p>
    <w:p w14:paraId="4C9CBF2C">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地址：      地址：</w:t>
      </w:r>
    </w:p>
    <w:p w14:paraId="7836D76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联系人：      联系人：</w:t>
      </w:r>
    </w:p>
    <w:p w14:paraId="3A0834FC">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电话：      电话：</w:t>
      </w:r>
    </w:p>
    <w:p w14:paraId="2C69618B">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传真：      传真：</w:t>
      </w:r>
    </w:p>
    <w:p w14:paraId="5B078A7F">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邮编：      邮编：</w:t>
      </w:r>
    </w:p>
    <w:p w14:paraId="60C3F59C">
      <w:pPr>
        <w:ind w:firstLine="420" w:firstLineChars="200"/>
      </w:pPr>
      <w:r>
        <w:rPr>
          <w:rFonts w:hint="eastAsia" w:ascii="仿宋" w:hAnsi="仿宋" w:eastAsia="仿宋" w:cs="仿宋"/>
          <w:szCs w:val="21"/>
        </w:rPr>
        <w:t>日期：</w:t>
      </w:r>
      <w:r>
        <w:rPr>
          <w:rFonts w:hint="eastAsia" w:ascii="仿宋" w:hAnsi="仿宋" w:eastAsia="仿宋" w:cs="仿宋"/>
          <w:szCs w:val="21"/>
          <w:u w:val="single"/>
        </w:rPr>
        <w:t xml:space="preserve">      年      月      日</w:t>
      </w:r>
      <w:r>
        <w:rPr>
          <w:rFonts w:hint="eastAsia" w:ascii="仿宋" w:hAnsi="仿宋" w:eastAsia="仿宋" w:cs="仿宋"/>
          <w:szCs w:val="21"/>
        </w:rPr>
        <w:t xml:space="preserve">      日期：</w:t>
      </w:r>
      <w:r>
        <w:rPr>
          <w:rFonts w:hint="eastAsia" w:ascii="仿宋" w:hAnsi="仿宋" w:eastAsia="仿宋" w:cs="仿宋"/>
          <w:szCs w:val="21"/>
          <w:u w:val="single"/>
        </w:rPr>
        <w:t xml:space="preserve">       年      月     日</w:t>
      </w:r>
    </w:p>
    <w:sectPr>
      <w:headerReference r:id="rId5" w:type="default"/>
      <w:footerReference r:id="rId6" w:type="default"/>
      <w:pgSz w:w="11906" w:h="16838"/>
      <w:pgMar w:top="1440" w:right="1803" w:bottom="1440" w:left="1803" w:header="851" w:footer="992" w:gutter="0"/>
      <w:pgNumType w:fmt="decimal" w:start="2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4945">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698EA">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F28995">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nmGe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4d8ctTvz84/v55+/zr28E&#10;fShQH6DGvMeAmWm48QMmz35AZ+Y9qGjzFxkRjKO8p4u8ckhE5Eer5WpVYUhgbL4gPnt6HiKkO+kt&#10;yUZDI86vyMqP95DG1DklV3P+VhtTZmjcXw7EzB6Wex97zFYadsNEaOfbE/LpcfQNdbjplJiPDpXN&#10;WzIbcTZ2s3EIUe+7ska5HoQPh4RNlN5yhRF2KowzK+ym/cpL8fxesp7+q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p5hnvIAQAAmwMAAA4AAAAAAAAAAQAgAAAAHgEAAGRycy9lMm9Eb2Mu&#10;eG1sUEsFBgAAAAAGAAYAWQEAAFgFAAAAAA==&#10;">
              <v:fill on="f" focussize="0,0"/>
              <v:stroke on="f"/>
              <v:imagedata o:title=""/>
              <o:lock v:ext="edit" aspectratio="f"/>
              <v:textbox inset="0mm,0mm,0mm,0mm" style="mso-fit-shape-to-text:t;">
                <w:txbxContent>
                  <w:p w14:paraId="67F28995">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7AEF">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F8891">
                          <w:pPr>
                            <w:pStyle w:val="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26F8891">
                    <w:pPr>
                      <w:pStyle w:val="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0D7FC">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280252E"/>
    <w:multiLevelType w:val="singleLevel"/>
    <w:tmpl w:val="B280252E"/>
    <w:lvl w:ilvl="0" w:tentative="0">
      <w:start w:val="1"/>
      <w:numFmt w:val="decimal"/>
      <w:suff w:val="nothing"/>
      <w:lvlText w:val="（%1）"/>
      <w:lvlJc w:val="left"/>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9A1E8D1"/>
    <w:multiLevelType w:val="singleLevel"/>
    <w:tmpl w:val="B9A1E8D1"/>
    <w:lvl w:ilvl="0" w:tentative="0">
      <w:start w:val="1"/>
      <w:numFmt w:val="decimal"/>
      <w:suff w:val="nothing"/>
      <w:lvlText w:val="（%1）"/>
      <w:lvlJc w:val="left"/>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10D6402B"/>
    <w:multiLevelType w:val="singleLevel"/>
    <w:tmpl w:val="10D6402B"/>
    <w:lvl w:ilvl="0" w:tentative="0">
      <w:start w:val="1"/>
      <w:numFmt w:val="chineseCounting"/>
      <w:suff w:val="nothing"/>
      <w:lvlText w:val="（%1）"/>
      <w:lvlJc w:val="left"/>
      <w:rPr>
        <w:rFonts w:hint="eastAsia"/>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68ACDF8"/>
    <w:multiLevelType w:val="singleLevel"/>
    <w:tmpl w:val="468ACDF8"/>
    <w:lvl w:ilvl="0" w:tentative="0">
      <w:start w:val="2"/>
      <w:numFmt w:val="chineseCounting"/>
      <w:suff w:val="nothing"/>
      <w:lvlText w:val="（%1）"/>
      <w:lvlJc w:val="left"/>
      <w:rPr>
        <w:rFonts w:hint="eastAsia"/>
      </w:rPr>
    </w:lvl>
  </w:abstractNum>
  <w:abstractNum w:abstractNumId="8">
    <w:nsid w:val="79312C61"/>
    <w:multiLevelType w:val="multilevel"/>
    <w:tmpl w:val="79312C61"/>
    <w:lvl w:ilvl="0" w:tentative="0">
      <w:start w:val="1"/>
      <w:numFmt w:val="decimalEnclosedCircle"/>
      <w:lvlText w:val="%1"/>
      <w:lvlJc w:val="left"/>
      <w:pPr>
        <w:ind w:left="780" w:hanging="360"/>
      </w:pPr>
      <w:rPr>
        <w:rFonts w:hint="default" w:ascii="仿宋_GB2312" w:eastAsia="仿宋_GB2312"/>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7B4156D0"/>
    <w:multiLevelType w:val="singleLevel"/>
    <w:tmpl w:val="7B4156D0"/>
    <w:lvl w:ilvl="0" w:tentative="0">
      <w:start w:val="1"/>
      <w:numFmt w:val="decimal"/>
      <w:suff w:val="nothing"/>
      <w:lvlText w:val="（%1）"/>
      <w:lvlJc w:val="left"/>
    </w:lvl>
  </w:abstractNum>
  <w:num w:numId="1">
    <w:abstractNumId w:val="1"/>
  </w:num>
  <w:num w:numId="2">
    <w:abstractNumId w:val="0"/>
  </w:num>
  <w:num w:numId="3">
    <w:abstractNumId w:val="3"/>
  </w:num>
  <w:num w:numId="4">
    <w:abstractNumId w:val="8"/>
  </w:num>
  <w:num w:numId="5">
    <w:abstractNumId w:val="2"/>
  </w:num>
  <w:num w:numId="6">
    <w:abstractNumId w:val="6"/>
  </w:num>
  <w:num w:numId="7">
    <w:abstractNumId w:val="4"/>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45594"/>
    <w:rsid w:val="006E6810"/>
    <w:rsid w:val="00C14B91"/>
    <w:rsid w:val="01057174"/>
    <w:rsid w:val="010A29DC"/>
    <w:rsid w:val="01341807"/>
    <w:rsid w:val="013E4434"/>
    <w:rsid w:val="01583748"/>
    <w:rsid w:val="01791599"/>
    <w:rsid w:val="01910A08"/>
    <w:rsid w:val="01AD6133"/>
    <w:rsid w:val="01BB5A85"/>
    <w:rsid w:val="01D803E5"/>
    <w:rsid w:val="020B07BA"/>
    <w:rsid w:val="023A4BFB"/>
    <w:rsid w:val="025D6B3C"/>
    <w:rsid w:val="02624152"/>
    <w:rsid w:val="026305F6"/>
    <w:rsid w:val="02987B74"/>
    <w:rsid w:val="02CE3596"/>
    <w:rsid w:val="03123DCA"/>
    <w:rsid w:val="033124A2"/>
    <w:rsid w:val="039667A9"/>
    <w:rsid w:val="039B5B6E"/>
    <w:rsid w:val="03B46C2F"/>
    <w:rsid w:val="03BE185C"/>
    <w:rsid w:val="03D177E1"/>
    <w:rsid w:val="040E4592"/>
    <w:rsid w:val="045B70AB"/>
    <w:rsid w:val="04821220"/>
    <w:rsid w:val="04CC1D57"/>
    <w:rsid w:val="051756C8"/>
    <w:rsid w:val="056703FD"/>
    <w:rsid w:val="05B64EE1"/>
    <w:rsid w:val="05DB4947"/>
    <w:rsid w:val="05DC421B"/>
    <w:rsid w:val="05F41565"/>
    <w:rsid w:val="05FD2B10"/>
    <w:rsid w:val="06112117"/>
    <w:rsid w:val="062956B3"/>
    <w:rsid w:val="062F6A41"/>
    <w:rsid w:val="065564A8"/>
    <w:rsid w:val="069B5E85"/>
    <w:rsid w:val="06A175F3"/>
    <w:rsid w:val="06C76C7A"/>
    <w:rsid w:val="06C90C44"/>
    <w:rsid w:val="07140111"/>
    <w:rsid w:val="072D2F81"/>
    <w:rsid w:val="074402CA"/>
    <w:rsid w:val="075A7AEE"/>
    <w:rsid w:val="075C5614"/>
    <w:rsid w:val="078F59E9"/>
    <w:rsid w:val="07AA637F"/>
    <w:rsid w:val="07C17B6D"/>
    <w:rsid w:val="07D23B28"/>
    <w:rsid w:val="08406DC2"/>
    <w:rsid w:val="08472EB8"/>
    <w:rsid w:val="0865674A"/>
    <w:rsid w:val="08C75F19"/>
    <w:rsid w:val="08D13817"/>
    <w:rsid w:val="08D833C0"/>
    <w:rsid w:val="08FD4BD5"/>
    <w:rsid w:val="09147841"/>
    <w:rsid w:val="091B505B"/>
    <w:rsid w:val="09306B5A"/>
    <w:rsid w:val="093C74AB"/>
    <w:rsid w:val="096E162E"/>
    <w:rsid w:val="097F55EA"/>
    <w:rsid w:val="09842C00"/>
    <w:rsid w:val="09864BCA"/>
    <w:rsid w:val="09AD65FB"/>
    <w:rsid w:val="09AF2373"/>
    <w:rsid w:val="09E162A4"/>
    <w:rsid w:val="0A03446D"/>
    <w:rsid w:val="0A107949"/>
    <w:rsid w:val="0A3960E0"/>
    <w:rsid w:val="0A410AF1"/>
    <w:rsid w:val="0A5B7E05"/>
    <w:rsid w:val="0A5D3B7D"/>
    <w:rsid w:val="0A6E5D8A"/>
    <w:rsid w:val="0A6F565E"/>
    <w:rsid w:val="0A93759F"/>
    <w:rsid w:val="0B043FF8"/>
    <w:rsid w:val="0B183F48"/>
    <w:rsid w:val="0B3C3ACC"/>
    <w:rsid w:val="0B460AB5"/>
    <w:rsid w:val="0B4D7D2D"/>
    <w:rsid w:val="0B582596"/>
    <w:rsid w:val="0B792C38"/>
    <w:rsid w:val="0BAB4DBC"/>
    <w:rsid w:val="0BD0037E"/>
    <w:rsid w:val="0BF71DAF"/>
    <w:rsid w:val="0C0369A6"/>
    <w:rsid w:val="0C25691C"/>
    <w:rsid w:val="0C517711"/>
    <w:rsid w:val="0C917B0E"/>
    <w:rsid w:val="0CAE6912"/>
    <w:rsid w:val="0CBA3508"/>
    <w:rsid w:val="0CD67C16"/>
    <w:rsid w:val="0CDB347F"/>
    <w:rsid w:val="0CF4009D"/>
    <w:rsid w:val="0CFB58CF"/>
    <w:rsid w:val="0D2941EA"/>
    <w:rsid w:val="0D5374B9"/>
    <w:rsid w:val="0D5F7C0C"/>
    <w:rsid w:val="0D766D04"/>
    <w:rsid w:val="0D780CCE"/>
    <w:rsid w:val="0DBD4932"/>
    <w:rsid w:val="0DC161D1"/>
    <w:rsid w:val="0DC65EDD"/>
    <w:rsid w:val="0DD423A8"/>
    <w:rsid w:val="0DEE0F90"/>
    <w:rsid w:val="0DF02F5A"/>
    <w:rsid w:val="0DF50570"/>
    <w:rsid w:val="0E042561"/>
    <w:rsid w:val="0E1E5F62"/>
    <w:rsid w:val="0E342E47"/>
    <w:rsid w:val="0E625C06"/>
    <w:rsid w:val="0E707BF7"/>
    <w:rsid w:val="0E990EFC"/>
    <w:rsid w:val="0EA224A6"/>
    <w:rsid w:val="0EA578A0"/>
    <w:rsid w:val="0EAD2BF9"/>
    <w:rsid w:val="0EE77EB9"/>
    <w:rsid w:val="0F072309"/>
    <w:rsid w:val="0F1A64E0"/>
    <w:rsid w:val="0F4C5F6E"/>
    <w:rsid w:val="0F9F2542"/>
    <w:rsid w:val="0FA61B22"/>
    <w:rsid w:val="0FBA66DD"/>
    <w:rsid w:val="0FBF0E36"/>
    <w:rsid w:val="0FC63F72"/>
    <w:rsid w:val="0FE4264A"/>
    <w:rsid w:val="10090303"/>
    <w:rsid w:val="100920B1"/>
    <w:rsid w:val="10125409"/>
    <w:rsid w:val="102313C5"/>
    <w:rsid w:val="103233B6"/>
    <w:rsid w:val="10352EA6"/>
    <w:rsid w:val="10374E70"/>
    <w:rsid w:val="10563548"/>
    <w:rsid w:val="10806817"/>
    <w:rsid w:val="10817E99"/>
    <w:rsid w:val="10A342B4"/>
    <w:rsid w:val="10B95885"/>
    <w:rsid w:val="10B97633"/>
    <w:rsid w:val="10BE10ED"/>
    <w:rsid w:val="10C81F6C"/>
    <w:rsid w:val="11050ACA"/>
    <w:rsid w:val="115455AE"/>
    <w:rsid w:val="115B693C"/>
    <w:rsid w:val="115D4462"/>
    <w:rsid w:val="118916FB"/>
    <w:rsid w:val="11BF511D"/>
    <w:rsid w:val="11C6025A"/>
    <w:rsid w:val="11F50B3F"/>
    <w:rsid w:val="1226519C"/>
    <w:rsid w:val="12386C7D"/>
    <w:rsid w:val="124E5600"/>
    <w:rsid w:val="12543AB7"/>
    <w:rsid w:val="12647A72"/>
    <w:rsid w:val="1283439D"/>
    <w:rsid w:val="128819B3"/>
    <w:rsid w:val="12A32349"/>
    <w:rsid w:val="12B04A66"/>
    <w:rsid w:val="12F40DF6"/>
    <w:rsid w:val="130848A2"/>
    <w:rsid w:val="13207027"/>
    <w:rsid w:val="133B07D3"/>
    <w:rsid w:val="134E6759"/>
    <w:rsid w:val="138A3509"/>
    <w:rsid w:val="139B3968"/>
    <w:rsid w:val="13B10A95"/>
    <w:rsid w:val="13DA623E"/>
    <w:rsid w:val="1437543F"/>
    <w:rsid w:val="144431CB"/>
    <w:rsid w:val="14465682"/>
    <w:rsid w:val="144D6A10"/>
    <w:rsid w:val="144E4536"/>
    <w:rsid w:val="149F4D92"/>
    <w:rsid w:val="14B95E54"/>
    <w:rsid w:val="14D94748"/>
    <w:rsid w:val="14E32ED1"/>
    <w:rsid w:val="15007F26"/>
    <w:rsid w:val="150177FB"/>
    <w:rsid w:val="151E03AD"/>
    <w:rsid w:val="154222ED"/>
    <w:rsid w:val="154716B1"/>
    <w:rsid w:val="1571672E"/>
    <w:rsid w:val="157D1577"/>
    <w:rsid w:val="164B51D1"/>
    <w:rsid w:val="167E55A7"/>
    <w:rsid w:val="16972565"/>
    <w:rsid w:val="16BF171B"/>
    <w:rsid w:val="16E01DBD"/>
    <w:rsid w:val="16F5338F"/>
    <w:rsid w:val="16FB6BF7"/>
    <w:rsid w:val="1700420E"/>
    <w:rsid w:val="17173305"/>
    <w:rsid w:val="17244CBA"/>
    <w:rsid w:val="17263548"/>
    <w:rsid w:val="173914CE"/>
    <w:rsid w:val="17400AAE"/>
    <w:rsid w:val="175B58E8"/>
    <w:rsid w:val="177C13BA"/>
    <w:rsid w:val="178946AD"/>
    <w:rsid w:val="17C52D61"/>
    <w:rsid w:val="17D9680D"/>
    <w:rsid w:val="17F35B20"/>
    <w:rsid w:val="18131D1F"/>
    <w:rsid w:val="182C2DE0"/>
    <w:rsid w:val="182E6B59"/>
    <w:rsid w:val="183B1275"/>
    <w:rsid w:val="18754787"/>
    <w:rsid w:val="18842C1C"/>
    <w:rsid w:val="1888270D"/>
    <w:rsid w:val="189866C8"/>
    <w:rsid w:val="18B057C0"/>
    <w:rsid w:val="18D05E62"/>
    <w:rsid w:val="18FF04F5"/>
    <w:rsid w:val="190873AA"/>
    <w:rsid w:val="19566367"/>
    <w:rsid w:val="19831126"/>
    <w:rsid w:val="19AF3CC9"/>
    <w:rsid w:val="19D159ED"/>
    <w:rsid w:val="19D379B8"/>
    <w:rsid w:val="19EC6CCB"/>
    <w:rsid w:val="1A366379"/>
    <w:rsid w:val="1A4268EB"/>
    <w:rsid w:val="1A4C59BC"/>
    <w:rsid w:val="1A5328A6"/>
    <w:rsid w:val="1A9B672A"/>
    <w:rsid w:val="1AB16D1F"/>
    <w:rsid w:val="1AD80FFE"/>
    <w:rsid w:val="1AF851FC"/>
    <w:rsid w:val="1B4A3CA9"/>
    <w:rsid w:val="1B4E306E"/>
    <w:rsid w:val="1B8A054A"/>
    <w:rsid w:val="1BA15893"/>
    <w:rsid w:val="1BB47375"/>
    <w:rsid w:val="1BB90E2F"/>
    <w:rsid w:val="1BC670A8"/>
    <w:rsid w:val="1BC82E20"/>
    <w:rsid w:val="1BE55780"/>
    <w:rsid w:val="1C024584"/>
    <w:rsid w:val="1C0C5403"/>
    <w:rsid w:val="1C1A554E"/>
    <w:rsid w:val="1C316C17"/>
    <w:rsid w:val="1C4A1A87"/>
    <w:rsid w:val="1C71170A"/>
    <w:rsid w:val="1CE7377A"/>
    <w:rsid w:val="1CF2284B"/>
    <w:rsid w:val="1D063C00"/>
    <w:rsid w:val="1D085BCA"/>
    <w:rsid w:val="1D222B82"/>
    <w:rsid w:val="1D242BF9"/>
    <w:rsid w:val="1D3F7112"/>
    <w:rsid w:val="1D646B79"/>
    <w:rsid w:val="1DA63635"/>
    <w:rsid w:val="1DA82F09"/>
    <w:rsid w:val="1DAA6C81"/>
    <w:rsid w:val="1DBB0E8E"/>
    <w:rsid w:val="1DC13FCB"/>
    <w:rsid w:val="1DDC7057"/>
    <w:rsid w:val="1DF117FE"/>
    <w:rsid w:val="1E002D45"/>
    <w:rsid w:val="1E1B192D"/>
    <w:rsid w:val="1E292C50"/>
    <w:rsid w:val="1E560BB7"/>
    <w:rsid w:val="1E652BA8"/>
    <w:rsid w:val="1E723785"/>
    <w:rsid w:val="1E7554E1"/>
    <w:rsid w:val="1E7A2AF8"/>
    <w:rsid w:val="1E804589"/>
    <w:rsid w:val="1E917E41"/>
    <w:rsid w:val="1E9D2FCA"/>
    <w:rsid w:val="1EDD3086"/>
    <w:rsid w:val="1EF5217E"/>
    <w:rsid w:val="1F58270D"/>
    <w:rsid w:val="1F6317DE"/>
    <w:rsid w:val="1F647304"/>
    <w:rsid w:val="1F664E2A"/>
    <w:rsid w:val="1F784B5D"/>
    <w:rsid w:val="1F980D5B"/>
    <w:rsid w:val="1F9C084C"/>
    <w:rsid w:val="1FAD2A59"/>
    <w:rsid w:val="1FC658C9"/>
    <w:rsid w:val="1FCA360B"/>
    <w:rsid w:val="1FF266BE"/>
    <w:rsid w:val="1FF95C9E"/>
    <w:rsid w:val="20052895"/>
    <w:rsid w:val="20322F5E"/>
    <w:rsid w:val="20457135"/>
    <w:rsid w:val="209459C7"/>
    <w:rsid w:val="20C04A0E"/>
    <w:rsid w:val="20D12777"/>
    <w:rsid w:val="20FB5A46"/>
    <w:rsid w:val="21115269"/>
    <w:rsid w:val="21155C47"/>
    <w:rsid w:val="212154AC"/>
    <w:rsid w:val="215F5FD5"/>
    <w:rsid w:val="21A8797C"/>
    <w:rsid w:val="21AE2AB8"/>
    <w:rsid w:val="21D56297"/>
    <w:rsid w:val="21F4496F"/>
    <w:rsid w:val="221E19EC"/>
    <w:rsid w:val="22235254"/>
    <w:rsid w:val="22237002"/>
    <w:rsid w:val="228201CD"/>
    <w:rsid w:val="22B81E40"/>
    <w:rsid w:val="22DB168B"/>
    <w:rsid w:val="22F17100"/>
    <w:rsid w:val="232474D6"/>
    <w:rsid w:val="233A4603"/>
    <w:rsid w:val="233D0598"/>
    <w:rsid w:val="23437C81"/>
    <w:rsid w:val="237F295E"/>
    <w:rsid w:val="23A777BF"/>
    <w:rsid w:val="23B02B18"/>
    <w:rsid w:val="24030E99"/>
    <w:rsid w:val="241F37F9"/>
    <w:rsid w:val="2443573A"/>
    <w:rsid w:val="244F40DF"/>
    <w:rsid w:val="24523BCF"/>
    <w:rsid w:val="245E07C6"/>
    <w:rsid w:val="24681644"/>
    <w:rsid w:val="247E49C4"/>
    <w:rsid w:val="24816262"/>
    <w:rsid w:val="2483647E"/>
    <w:rsid w:val="24AC7783"/>
    <w:rsid w:val="24F66C50"/>
    <w:rsid w:val="24FA6CB4"/>
    <w:rsid w:val="251F7F55"/>
    <w:rsid w:val="25537BFE"/>
    <w:rsid w:val="2564139D"/>
    <w:rsid w:val="258424AE"/>
    <w:rsid w:val="25875AFA"/>
    <w:rsid w:val="25D845A8"/>
    <w:rsid w:val="265579A6"/>
    <w:rsid w:val="266320C3"/>
    <w:rsid w:val="26775B6F"/>
    <w:rsid w:val="26A30712"/>
    <w:rsid w:val="26E66850"/>
    <w:rsid w:val="26EB3E67"/>
    <w:rsid w:val="27165388"/>
    <w:rsid w:val="27231852"/>
    <w:rsid w:val="27257379"/>
    <w:rsid w:val="273852FE"/>
    <w:rsid w:val="274243CE"/>
    <w:rsid w:val="27952750"/>
    <w:rsid w:val="27A26C1B"/>
    <w:rsid w:val="27A74232"/>
    <w:rsid w:val="27B801ED"/>
    <w:rsid w:val="27BC5F2F"/>
    <w:rsid w:val="27BF77CD"/>
    <w:rsid w:val="27C44DE4"/>
    <w:rsid w:val="27D112AE"/>
    <w:rsid w:val="27F31225"/>
    <w:rsid w:val="283830DC"/>
    <w:rsid w:val="28433F5A"/>
    <w:rsid w:val="28485A15"/>
    <w:rsid w:val="28553C8E"/>
    <w:rsid w:val="288B5901"/>
    <w:rsid w:val="28A6098D"/>
    <w:rsid w:val="28B135BA"/>
    <w:rsid w:val="28CC03F4"/>
    <w:rsid w:val="28E84B02"/>
    <w:rsid w:val="292A336C"/>
    <w:rsid w:val="292D69B8"/>
    <w:rsid w:val="2940049A"/>
    <w:rsid w:val="2944442E"/>
    <w:rsid w:val="296E14AB"/>
    <w:rsid w:val="29B669AE"/>
    <w:rsid w:val="29BD7D3C"/>
    <w:rsid w:val="29D07A70"/>
    <w:rsid w:val="29FF2103"/>
    <w:rsid w:val="2A345CDE"/>
    <w:rsid w:val="2A482426"/>
    <w:rsid w:val="2A5306A1"/>
    <w:rsid w:val="2ABE3D6C"/>
    <w:rsid w:val="2AE5754B"/>
    <w:rsid w:val="2AF05EF0"/>
    <w:rsid w:val="2B057BED"/>
    <w:rsid w:val="2B301055"/>
    <w:rsid w:val="2B522706"/>
    <w:rsid w:val="2B563FA5"/>
    <w:rsid w:val="2B5E72FD"/>
    <w:rsid w:val="2B82123D"/>
    <w:rsid w:val="2B8F74B6"/>
    <w:rsid w:val="2BBA09D7"/>
    <w:rsid w:val="2BC01D66"/>
    <w:rsid w:val="2BE80A46"/>
    <w:rsid w:val="2C1874AC"/>
    <w:rsid w:val="2C1A3224"/>
    <w:rsid w:val="2C293467"/>
    <w:rsid w:val="2C666469"/>
    <w:rsid w:val="2C8B2374"/>
    <w:rsid w:val="2CB573F1"/>
    <w:rsid w:val="2CD07D87"/>
    <w:rsid w:val="2CEE58E5"/>
    <w:rsid w:val="2D200D0E"/>
    <w:rsid w:val="2D2C76B3"/>
    <w:rsid w:val="2D3E1194"/>
    <w:rsid w:val="2D572256"/>
    <w:rsid w:val="2D6230D5"/>
    <w:rsid w:val="2D8A262B"/>
    <w:rsid w:val="2D9139BA"/>
    <w:rsid w:val="2DCF003E"/>
    <w:rsid w:val="2DD438A6"/>
    <w:rsid w:val="2E232138"/>
    <w:rsid w:val="2E7C01C6"/>
    <w:rsid w:val="2E903C71"/>
    <w:rsid w:val="2EB77450"/>
    <w:rsid w:val="2ECD27D0"/>
    <w:rsid w:val="2F34284F"/>
    <w:rsid w:val="2FCF2577"/>
    <w:rsid w:val="2FED0C50"/>
    <w:rsid w:val="302E54F0"/>
    <w:rsid w:val="303D3985"/>
    <w:rsid w:val="304239EF"/>
    <w:rsid w:val="307D6477"/>
    <w:rsid w:val="30801AC4"/>
    <w:rsid w:val="30A27C8C"/>
    <w:rsid w:val="30A6777C"/>
    <w:rsid w:val="30A9101A"/>
    <w:rsid w:val="30AC28B9"/>
    <w:rsid w:val="30AE03DF"/>
    <w:rsid w:val="30B17ECF"/>
    <w:rsid w:val="30BA4FD6"/>
    <w:rsid w:val="30BF25EC"/>
    <w:rsid w:val="30BF439A"/>
    <w:rsid w:val="30DF4A3C"/>
    <w:rsid w:val="30E16A06"/>
    <w:rsid w:val="30EE4C7F"/>
    <w:rsid w:val="31322DBE"/>
    <w:rsid w:val="313308E4"/>
    <w:rsid w:val="3163566D"/>
    <w:rsid w:val="316B4522"/>
    <w:rsid w:val="3175714F"/>
    <w:rsid w:val="31B1462B"/>
    <w:rsid w:val="31D67BED"/>
    <w:rsid w:val="31F97D80"/>
    <w:rsid w:val="32087FC3"/>
    <w:rsid w:val="320A3D3B"/>
    <w:rsid w:val="32250B75"/>
    <w:rsid w:val="32317519"/>
    <w:rsid w:val="324C6101"/>
    <w:rsid w:val="32590891"/>
    <w:rsid w:val="326E6078"/>
    <w:rsid w:val="327613D0"/>
    <w:rsid w:val="329B4993"/>
    <w:rsid w:val="32B876D8"/>
    <w:rsid w:val="32E60304"/>
    <w:rsid w:val="32E75E2A"/>
    <w:rsid w:val="32EA1396"/>
    <w:rsid w:val="331131A7"/>
    <w:rsid w:val="332E1CAB"/>
    <w:rsid w:val="33354551"/>
    <w:rsid w:val="3350577D"/>
    <w:rsid w:val="33770F5C"/>
    <w:rsid w:val="33822B88"/>
    <w:rsid w:val="33865643"/>
    <w:rsid w:val="339B705C"/>
    <w:rsid w:val="33AD7074"/>
    <w:rsid w:val="33AF6CB8"/>
    <w:rsid w:val="33B91574"/>
    <w:rsid w:val="33BE4DDD"/>
    <w:rsid w:val="33C85C5B"/>
    <w:rsid w:val="33E505BB"/>
    <w:rsid w:val="33ED7470"/>
    <w:rsid w:val="34062ABF"/>
    <w:rsid w:val="340824FC"/>
    <w:rsid w:val="34126ED7"/>
    <w:rsid w:val="341D7D55"/>
    <w:rsid w:val="34733E19"/>
    <w:rsid w:val="347A52C4"/>
    <w:rsid w:val="347D07F4"/>
    <w:rsid w:val="34825E0A"/>
    <w:rsid w:val="348558FB"/>
    <w:rsid w:val="34B166F0"/>
    <w:rsid w:val="34CE1050"/>
    <w:rsid w:val="34E46AC5"/>
    <w:rsid w:val="34EE34A0"/>
    <w:rsid w:val="35066A3B"/>
    <w:rsid w:val="352D221A"/>
    <w:rsid w:val="354457B6"/>
    <w:rsid w:val="35551771"/>
    <w:rsid w:val="356814A4"/>
    <w:rsid w:val="356B4AF0"/>
    <w:rsid w:val="359009FB"/>
    <w:rsid w:val="35BF4E3C"/>
    <w:rsid w:val="35CB1A33"/>
    <w:rsid w:val="35CC4DB5"/>
    <w:rsid w:val="35E825E5"/>
    <w:rsid w:val="362F1FC2"/>
    <w:rsid w:val="364D41F6"/>
    <w:rsid w:val="364F4412"/>
    <w:rsid w:val="36587762"/>
    <w:rsid w:val="368E4F3A"/>
    <w:rsid w:val="369938DF"/>
    <w:rsid w:val="36A06A1C"/>
    <w:rsid w:val="36BC6FE6"/>
    <w:rsid w:val="36E7464B"/>
    <w:rsid w:val="372B09DB"/>
    <w:rsid w:val="37403D5B"/>
    <w:rsid w:val="37753A04"/>
    <w:rsid w:val="37936580"/>
    <w:rsid w:val="37B3277F"/>
    <w:rsid w:val="37C30C14"/>
    <w:rsid w:val="37D50947"/>
    <w:rsid w:val="37E666B0"/>
    <w:rsid w:val="38110DF3"/>
    <w:rsid w:val="38196A86"/>
    <w:rsid w:val="387D5266"/>
    <w:rsid w:val="38966328"/>
    <w:rsid w:val="389D1465"/>
    <w:rsid w:val="38A50319"/>
    <w:rsid w:val="38BD38B5"/>
    <w:rsid w:val="38F90665"/>
    <w:rsid w:val="394538AA"/>
    <w:rsid w:val="39755F3E"/>
    <w:rsid w:val="399F120C"/>
    <w:rsid w:val="39A131D7"/>
    <w:rsid w:val="39D215E2"/>
    <w:rsid w:val="39F2758E"/>
    <w:rsid w:val="3A053765"/>
    <w:rsid w:val="3A080B60"/>
    <w:rsid w:val="3A23599A"/>
    <w:rsid w:val="3A4818A4"/>
    <w:rsid w:val="3A6D30B9"/>
    <w:rsid w:val="3ABB02C8"/>
    <w:rsid w:val="3ACE7FFB"/>
    <w:rsid w:val="3AD66EB0"/>
    <w:rsid w:val="3ADB6274"/>
    <w:rsid w:val="3AFB06C4"/>
    <w:rsid w:val="3B00217F"/>
    <w:rsid w:val="3B253993"/>
    <w:rsid w:val="3B304812"/>
    <w:rsid w:val="3B3836C7"/>
    <w:rsid w:val="3B385475"/>
    <w:rsid w:val="3B4C7172"/>
    <w:rsid w:val="3B716BD9"/>
    <w:rsid w:val="3B750477"/>
    <w:rsid w:val="3B9303B2"/>
    <w:rsid w:val="3BA743A8"/>
    <w:rsid w:val="3BD17677"/>
    <w:rsid w:val="3C0D06AF"/>
    <w:rsid w:val="3C30439E"/>
    <w:rsid w:val="3C355E58"/>
    <w:rsid w:val="3C552056"/>
    <w:rsid w:val="3C5C5193"/>
    <w:rsid w:val="3C8B7826"/>
    <w:rsid w:val="3CA803D8"/>
    <w:rsid w:val="3CB054DF"/>
    <w:rsid w:val="3CB66F99"/>
    <w:rsid w:val="3CCA47F2"/>
    <w:rsid w:val="3CD72A6B"/>
    <w:rsid w:val="3CFC5061"/>
    <w:rsid w:val="3D143CBF"/>
    <w:rsid w:val="3D18555E"/>
    <w:rsid w:val="3D37175C"/>
    <w:rsid w:val="3D3B124C"/>
    <w:rsid w:val="3D43157A"/>
    <w:rsid w:val="3D5642D8"/>
    <w:rsid w:val="3D65276D"/>
    <w:rsid w:val="3D734E8A"/>
    <w:rsid w:val="3D9D1F07"/>
    <w:rsid w:val="3DD32C78"/>
    <w:rsid w:val="3DDC2A2F"/>
    <w:rsid w:val="3E5720B6"/>
    <w:rsid w:val="3E815385"/>
    <w:rsid w:val="3E8310FD"/>
    <w:rsid w:val="3EC36034"/>
    <w:rsid w:val="3F277CDA"/>
    <w:rsid w:val="3FCE63A8"/>
    <w:rsid w:val="40055B41"/>
    <w:rsid w:val="400973E0"/>
    <w:rsid w:val="40271F5C"/>
    <w:rsid w:val="403B1563"/>
    <w:rsid w:val="404448BC"/>
    <w:rsid w:val="4047615A"/>
    <w:rsid w:val="40B97058"/>
    <w:rsid w:val="40C15F0C"/>
    <w:rsid w:val="40D23C76"/>
    <w:rsid w:val="40DC2D46"/>
    <w:rsid w:val="40F41E3E"/>
    <w:rsid w:val="410B53D9"/>
    <w:rsid w:val="415442EE"/>
    <w:rsid w:val="415C122C"/>
    <w:rsid w:val="416F3BBA"/>
    <w:rsid w:val="418A4550"/>
    <w:rsid w:val="41A05B22"/>
    <w:rsid w:val="41D659E7"/>
    <w:rsid w:val="41EA3241"/>
    <w:rsid w:val="424830B5"/>
    <w:rsid w:val="425E25A2"/>
    <w:rsid w:val="427C033D"/>
    <w:rsid w:val="427F7E2D"/>
    <w:rsid w:val="428B4A24"/>
    <w:rsid w:val="42976F25"/>
    <w:rsid w:val="42A94EAA"/>
    <w:rsid w:val="42DA1507"/>
    <w:rsid w:val="42DE0FF8"/>
    <w:rsid w:val="431A1904"/>
    <w:rsid w:val="432509D4"/>
    <w:rsid w:val="435272F0"/>
    <w:rsid w:val="436F39FE"/>
    <w:rsid w:val="43AC4C52"/>
    <w:rsid w:val="43B458B4"/>
    <w:rsid w:val="43BD6E5F"/>
    <w:rsid w:val="43D9531B"/>
    <w:rsid w:val="43F403A7"/>
    <w:rsid w:val="440920A4"/>
    <w:rsid w:val="44103433"/>
    <w:rsid w:val="44380293"/>
    <w:rsid w:val="445F1CC4"/>
    <w:rsid w:val="44727C49"/>
    <w:rsid w:val="44896D41"/>
    <w:rsid w:val="449D459A"/>
    <w:rsid w:val="44A616A1"/>
    <w:rsid w:val="44C67F95"/>
    <w:rsid w:val="44CE6E4A"/>
    <w:rsid w:val="44D04970"/>
    <w:rsid w:val="451B7A4D"/>
    <w:rsid w:val="451F7C0E"/>
    <w:rsid w:val="45321187"/>
    <w:rsid w:val="453F38A4"/>
    <w:rsid w:val="4541761C"/>
    <w:rsid w:val="454669E0"/>
    <w:rsid w:val="454D7D6F"/>
    <w:rsid w:val="455410FD"/>
    <w:rsid w:val="45B002FD"/>
    <w:rsid w:val="45BE6EBE"/>
    <w:rsid w:val="45D3296A"/>
    <w:rsid w:val="45F12DF0"/>
    <w:rsid w:val="45F60406"/>
    <w:rsid w:val="45FC3543"/>
    <w:rsid w:val="461B7E6D"/>
    <w:rsid w:val="46250CEB"/>
    <w:rsid w:val="46252A99"/>
    <w:rsid w:val="462A00B0"/>
    <w:rsid w:val="462A540E"/>
    <w:rsid w:val="4642189D"/>
    <w:rsid w:val="464949DA"/>
    <w:rsid w:val="46603AD2"/>
    <w:rsid w:val="46BA1434"/>
    <w:rsid w:val="471825FE"/>
    <w:rsid w:val="471A6376"/>
    <w:rsid w:val="473016F6"/>
    <w:rsid w:val="477517FF"/>
    <w:rsid w:val="477A0BC3"/>
    <w:rsid w:val="478A34FC"/>
    <w:rsid w:val="47A65E5C"/>
    <w:rsid w:val="47A67C0A"/>
    <w:rsid w:val="47B9793D"/>
    <w:rsid w:val="47C307BC"/>
    <w:rsid w:val="47FE17F4"/>
    <w:rsid w:val="4800556C"/>
    <w:rsid w:val="48052B82"/>
    <w:rsid w:val="48254FD3"/>
    <w:rsid w:val="48342363"/>
    <w:rsid w:val="48436C01"/>
    <w:rsid w:val="484511D1"/>
    <w:rsid w:val="489F4D85"/>
    <w:rsid w:val="48AE4FC8"/>
    <w:rsid w:val="48B56357"/>
    <w:rsid w:val="48CE11C6"/>
    <w:rsid w:val="491C0184"/>
    <w:rsid w:val="49211C3E"/>
    <w:rsid w:val="49282FCC"/>
    <w:rsid w:val="49396F88"/>
    <w:rsid w:val="493C4382"/>
    <w:rsid w:val="49843F7B"/>
    <w:rsid w:val="49AF0FF8"/>
    <w:rsid w:val="49D942C7"/>
    <w:rsid w:val="4A0A0924"/>
    <w:rsid w:val="4A205A52"/>
    <w:rsid w:val="4A2C089A"/>
    <w:rsid w:val="4A317C5F"/>
    <w:rsid w:val="4A547DF1"/>
    <w:rsid w:val="4A606796"/>
    <w:rsid w:val="4A711800"/>
    <w:rsid w:val="4A9B7619"/>
    <w:rsid w:val="4ABB39CC"/>
    <w:rsid w:val="4AC9433B"/>
    <w:rsid w:val="4ACB1438"/>
    <w:rsid w:val="4AD625B4"/>
    <w:rsid w:val="4AE70966"/>
    <w:rsid w:val="4AF018C8"/>
    <w:rsid w:val="4B0215FB"/>
    <w:rsid w:val="4B094738"/>
    <w:rsid w:val="4B4E4840"/>
    <w:rsid w:val="4B6978CC"/>
    <w:rsid w:val="4B8471FA"/>
    <w:rsid w:val="4B893ACB"/>
    <w:rsid w:val="4BB02E05"/>
    <w:rsid w:val="4BBF74EC"/>
    <w:rsid w:val="4BD25472"/>
    <w:rsid w:val="4C0E30A8"/>
    <w:rsid w:val="4C177328"/>
    <w:rsid w:val="4C9D5A7F"/>
    <w:rsid w:val="4CB86415"/>
    <w:rsid w:val="4CC823D1"/>
    <w:rsid w:val="4CEC4311"/>
    <w:rsid w:val="4CFD02CC"/>
    <w:rsid w:val="4D245859"/>
    <w:rsid w:val="4D2C295F"/>
    <w:rsid w:val="4D317F76"/>
    <w:rsid w:val="4D3A1520"/>
    <w:rsid w:val="4D677E3B"/>
    <w:rsid w:val="4D706CF0"/>
    <w:rsid w:val="4D714816"/>
    <w:rsid w:val="4D7E765F"/>
    <w:rsid w:val="4DA93FB0"/>
    <w:rsid w:val="4DC40DEA"/>
    <w:rsid w:val="4DC41FE3"/>
    <w:rsid w:val="4DF23BA9"/>
    <w:rsid w:val="4E3E0B9C"/>
    <w:rsid w:val="4E630603"/>
    <w:rsid w:val="4E6A373F"/>
    <w:rsid w:val="4E8B1908"/>
    <w:rsid w:val="4E916F1E"/>
    <w:rsid w:val="4ECE0172"/>
    <w:rsid w:val="4ED60DD5"/>
    <w:rsid w:val="4EF676C9"/>
    <w:rsid w:val="4EFF657E"/>
    <w:rsid w:val="4F447FA5"/>
    <w:rsid w:val="4F512B51"/>
    <w:rsid w:val="4F583EE0"/>
    <w:rsid w:val="4F672375"/>
    <w:rsid w:val="4F675ED1"/>
    <w:rsid w:val="4F90367A"/>
    <w:rsid w:val="4FD317B8"/>
    <w:rsid w:val="4FE90FDC"/>
    <w:rsid w:val="4FE92D8A"/>
    <w:rsid w:val="50151DD1"/>
    <w:rsid w:val="503A5393"/>
    <w:rsid w:val="50461F8A"/>
    <w:rsid w:val="5080549C"/>
    <w:rsid w:val="50834F8C"/>
    <w:rsid w:val="509947B0"/>
    <w:rsid w:val="50B138A7"/>
    <w:rsid w:val="50B43398"/>
    <w:rsid w:val="50D457E8"/>
    <w:rsid w:val="50D61560"/>
    <w:rsid w:val="50D6330E"/>
    <w:rsid w:val="50F639B0"/>
    <w:rsid w:val="510065DD"/>
    <w:rsid w:val="510559A1"/>
    <w:rsid w:val="510A745C"/>
    <w:rsid w:val="51556929"/>
    <w:rsid w:val="51782617"/>
    <w:rsid w:val="51825244"/>
    <w:rsid w:val="51AC406F"/>
    <w:rsid w:val="51CB6BEB"/>
    <w:rsid w:val="521A1920"/>
    <w:rsid w:val="521C0134"/>
    <w:rsid w:val="522D1654"/>
    <w:rsid w:val="52306A4E"/>
    <w:rsid w:val="52410C5B"/>
    <w:rsid w:val="5253098E"/>
    <w:rsid w:val="52B256B5"/>
    <w:rsid w:val="52F201A7"/>
    <w:rsid w:val="53146370"/>
    <w:rsid w:val="531E2D4A"/>
    <w:rsid w:val="5322283B"/>
    <w:rsid w:val="532E7431"/>
    <w:rsid w:val="53360094"/>
    <w:rsid w:val="538232D9"/>
    <w:rsid w:val="539D0113"/>
    <w:rsid w:val="53AE0572"/>
    <w:rsid w:val="53D02297"/>
    <w:rsid w:val="53D77AC9"/>
    <w:rsid w:val="53E75832"/>
    <w:rsid w:val="53F02939"/>
    <w:rsid w:val="54091C4C"/>
    <w:rsid w:val="54413194"/>
    <w:rsid w:val="54501629"/>
    <w:rsid w:val="54A51975"/>
    <w:rsid w:val="54BC6CBF"/>
    <w:rsid w:val="54D23DEC"/>
    <w:rsid w:val="54DA0EF3"/>
    <w:rsid w:val="54E16725"/>
    <w:rsid w:val="54E3424B"/>
    <w:rsid w:val="55052414"/>
    <w:rsid w:val="55083CB2"/>
    <w:rsid w:val="550B72FE"/>
    <w:rsid w:val="551B39E5"/>
    <w:rsid w:val="552C79A0"/>
    <w:rsid w:val="558570B1"/>
    <w:rsid w:val="55886BA1"/>
    <w:rsid w:val="55C67DF5"/>
    <w:rsid w:val="55EE10FA"/>
    <w:rsid w:val="562E599A"/>
    <w:rsid w:val="563665FD"/>
    <w:rsid w:val="56666EE2"/>
    <w:rsid w:val="56725887"/>
    <w:rsid w:val="56A93273"/>
    <w:rsid w:val="56C1680E"/>
    <w:rsid w:val="56C67981"/>
    <w:rsid w:val="56D06A51"/>
    <w:rsid w:val="56E36785"/>
    <w:rsid w:val="56E9366F"/>
    <w:rsid w:val="570F757A"/>
    <w:rsid w:val="571C3A45"/>
    <w:rsid w:val="57272B15"/>
    <w:rsid w:val="57323268"/>
    <w:rsid w:val="573B036F"/>
    <w:rsid w:val="57601B83"/>
    <w:rsid w:val="57633422"/>
    <w:rsid w:val="578F06BB"/>
    <w:rsid w:val="57925AB5"/>
    <w:rsid w:val="57A04676"/>
    <w:rsid w:val="57EC1669"/>
    <w:rsid w:val="580A7D41"/>
    <w:rsid w:val="580C3AB9"/>
    <w:rsid w:val="58156E12"/>
    <w:rsid w:val="58240E03"/>
    <w:rsid w:val="58360B36"/>
    <w:rsid w:val="58366D88"/>
    <w:rsid w:val="58457066"/>
    <w:rsid w:val="585C3C05"/>
    <w:rsid w:val="585D2567"/>
    <w:rsid w:val="58953AAF"/>
    <w:rsid w:val="58AE4B70"/>
    <w:rsid w:val="58B008E9"/>
    <w:rsid w:val="58B06B3A"/>
    <w:rsid w:val="58C97E67"/>
    <w:rsid w:val="58D36385"/>
    <w:rsid w:val="58E40592"/>
    <w:rsid w:val="59030A18"/>
    <w:rsid w:val="590824D3"/>
    <w:rsid w:val="59215342"/>
    <w:rsid w:val="593A6404"/>
    <w:rsid w:val="59401C6C"/>
    <w:rsid w:val="59484FC5"/>
    <w:rsid w:val="596D0588"/>
    <w:rsid w:val="59710078"/>
    <w:rsid w:val="59835FFD"/>
    <w:rsid w:val="59B77A55"/>
    <w:rsid w:val="59C12681"/>
    <w:rsid w:val="59D86349"/>
    <w:rsid w:val="59E20F76"/>
    <w:rsid w:val="59F82547"/>
    <w:rsid w:val="5A366BCB"/>
    <w:rsid w:val="5A427C66"/>
    <w:rsid w:val="5A455061"/>
    <w:rsid w:val="5A5D23AA"/>
    <w:rsid w:val="5ABC3575"/>
    <w:rsid w:val="5ABE4F98"/>
    <w:rsid w:val="5AC73CC7"/>
    <w:rsid w:val="5AD52888"/>
    <w:rsid w:val="5AD84127"/>
    <w:rsid w:val="5AF745AD"/>
    <w:rsid w:val="5AFC1BC3"/>
    <w:rsid w:val="5AFE1DDF"/>
    <w:rsid w:val="5B0A0784"/>
    <w:rsid w:val="5B386973"/>
    <w:rsid w:val="5B461090"/>
    <w:rsid w:val="5B4B2B4A"/>
    <w:rsid w:val="5B557525"/>
    <w:rsid w:val="5B6F05E7"/>
    <w:rsid w:val="5B743E4F"/>
    <w:rsid w:val="5B975D90"/>
    <w:rsid w:val="5BB71F8E"/>
    <w:rsid w:val="5BB73D3C"/>
    <w:rsid w:val="5BD743DE"/>
    <w:rsid w:val="5BE34B31"/>
    <w:rsid w:val="5C0C052C"/>
    <w:rsid w:val="5C164F06"/>
    <w:rsid w:val="5C1D44E7"/>
    <w:rsid w:val="5C205D85"/>
    <w:rsid w:val="5C225659"/>
    <w:rsid w:val="5C292E8C"/>
    <w:rsid w:val="5C3551E0"/>
    <w:rsid w:val="5C6043D4"/>
    <w:rsid w:val="5CB07109"/>
    <w:rsid w:val="5CD5091E"/>
    <w:rsid w:val="5CD66444"/>
    <w:rsid w:val="5CE27E10"/>
    <w:rsid w:val="5CE70651"/>
    <w:rsid w:val="5CFF1E3E"/>
    <w:rsid w:val="5D177188"/>
    <w:rsid w:val="5D245401"/>
    <w:rsid w:val="5D6B4DCA"/>
    <w:rsid w:val="5D752101"/>
    <w:rsid w:val="5D964551"/>
    <w:rsid w:val="5DAA3B58"/>
    <w:rsid w:val="5DE3706A"/>
    <w:rsid w:val="5E1831B8"/>
    <w:rsid w:val="5E5D506F"/>
    <w:rsid w:val="5E84084D"/>
    <w:rsid w:val="5E856373"/>
    <w:rsid w:val="5E9071F2"/>
    <w:rsid w:val="5E9B7945"/>
    <w:rsid w:val="5EA26F25"/>
    <w:rsid w:val="5EAD47A4"/>
    <w:rsid w:val="5EB033F0"/>
    <w:rsid w:val="5EBD5B0D"/>
    <w:rsid w:val="5ECA5D7B"/>
    <w:rsid w:val="5ECD5595"/>
    <w:rsid w:val="5EF7101F"/>
    <w:rsid w:val="5F044D00"/>
    <w:rsid w:val="5F090D52"/>
    <w:rsid w:val="5F0E0117"/>
    <w:rsid w:val="5F4678B1"/>
    <w:rsid w:val="5F5C70D4"/>
    <w:rsid w:val="5F797C86"/>
    <w:rsid w:val="5F8D3732"/>
    <w:rsid w:val="5F942D12"/>
    <w:rsid w:val="5F9920D6"/>
    <w:rsid w:val="5FA6034F"/>
    <w:rsid w:val="5FCC24AC"/>
    <w:rsid w:val="5FCF3D4A"/>
    <w:rsid w:val="60002155"/>
    <w:rsid w:val="60067040"/>
    <w:rsid w:val="601654D5"/>
    <w:rsid w:val="60327E35"/>
    <w:rsid w:val="60483AFC"/>
    <w:rsid w:val="609805E0"/>
    <w:rsid w:val="609E371C"/>
    <w:rsid w:val="60A56859"/>
    <w:rsid w:val="60AC408B"/>
    <w:rsid w:val="60B54419"/>
    <w:rsid w:val="60C05441"/>
    <w:rsid w:val="611F485D"/>
    <w:rsid w:val="61291238"/>
    <w:rsid w:val="61442516"/>
    <w:rsid w:val="614442C4"/>
    <w:rsid w:val="614E5143"/>
    <w:rsid w:val="615F4C5A"/>
    <w:rsid w:val="617C1CB0"/>
    <w:rsid w:val="619863BE"/>
    <w:rsid w:val="61D05B58"/>
    <w:rsid w:val="61D5316E"/>
    <w:rsid w:val="61D76EE6"/>
    <w:rsid w:val="61D86245"/>
    <w:rsid w:val="61FC4B9F"/>
    <w:rsid w:val="62015D11"/>
    <w:rsid w:val="623926E9"/>
    <w:rsid w:val="62456545"/>
    <w:rsid w:val="625C563D"/>
    <w:rsid w:val="62606EDB"/>
    <w:rsid w:val="626D15F8"/>
    <w:rsid w:val="62742987"/>
    <w:rsid w:val="628232F6"/>
    <w:rsid w:val="629506A5"/>
    <w:rsid w:val="62A0552A"/>
    <w:rsid w:val="62BB6808"/>
    <w:rsid w:val="62D376AD"/>
    <w:rsid w:val="62E33669"/>
    <w:rsid w:val="63517324"/>
    <w:rsid w:val="63624ED5"/>
    <w:rsid w:val="63640C4D"/>
    <w:rsid w:val="636C18B0"/>
    <w:rsid w:val="638B7F88"/>
    <w:rsid w:val="63932865"/>
    <w:rsid w:val="63B70D7D"/>
    <w:rsid w:val="63C56EA9"/>
    <w:rsid w:val="63D7141F"/>
    <w:rsid w:val="64137F7D"/>
    <w:rsid w:val="6421269A"/>
    <w:rsid w:val="643140E1"/>
    <w:rsid w:val="64405216"/>
    <w:rsid w:val="647629E6"/>
    <w:rsid w:val="64882719"/>
    <w:rsid w:val="648F1CFA"/>
    <w:rsid w:val="6497295D"/>
    <w:rsid w:val="64CC6AAA"/>
    <w:rsid w:val="64F7034C"/>
    <w:rsid w:val="65085608"/>
    <w:rsid w:val="65161C5B"/>
    <w:rsid w:val="65202952"/>
    <w:rsid w:val="65426D6C"/>
    <w:rsid w:val="655D5954"/>
    <w:rsid w:val="65913850"/>
    <w:rsid w:val="659D21F5"/>
    <w:rsid w:val="659F7D1B"/>
    <w:rsid w:val="65B23EF2"/>
    <w:rsid w:val="65B46E8B"/>
    <w:rsid w:val="65C37EAD"/>
    <w:rsid w:val="65D26342"/>
    <w:rsid w:val="65E6594A"/>
    <w:rsid w:val="65F30067"/>
    <w:rsid w:val="661A1A97"/>
    <w:rsid w:val="66214BD4"/>
    <w:rsid w:val="6655487D"/>
    <w:rsid w:val="66682803"/>
    <w:rsid w:val="66B141AA"/>
    <w:rsid w:val="66BC66AA"/>
    <w:rsid w:val="66E83943"/>
    <w:rsid w:val="66EC51E2"/>
    <w:rsid w:val="66F978FF"/>
    <w:rsid w:val="6727621A"/>
    <w:rsid w:val="674C3ED2"/>
    <w:rsid w:val="676F7BC1"/>
    <w:rsid w:val="67B11F87"/>
    <w:rsid w:val="67D30150"/>
    <w:rsid w:val="67FA56DC"/>
    <w:rsid w:val="68556DB7"/>
    <w:rsid w:val="688E4077"/>
    <w:rsid w:val="68A613C0"/>
    <w:rsid w:val="68BB130F"/>
    <w:rsid w:val="68C006D4"/>
    <w:rsid w:val="68C31F72"/>
    <w:rsid w:val="69004F74"/>
    <w:rsid w:val="692A0243"/>
    <w:rsid w:val="695928D6"/>
    <w:rsid w:val="695B21AB"/>
    <w:rsid w:val="696A6892"/>
    <w:rsid w:val="69706D83"/>
    <w:rsid w:val="699A7177"/>
    <w:rsid w:val="699B4C9D"/>
    <w:rsid w:val="69BA3375"/>
    <w:rsid w:val="69CA7330"/>
    <w:rsid w:val="69CE0BCF"/>
    <w:rsid w:val="69DB153D"/>
    <w:rsid w:val="69E623BC"/>
    <w:rsid w:val="6A1707C7"/>
    <w:rsid w:val="6A1A2066"/>
    <w:rsid w:val="6A445335"/>
    <w:rsid w:val="6A570BC4"/>
    <w:rsid w:val="6A6D03E7"/>
    <w:rsid w:val="6A70612A"/>
    <w:rsid w:val="6A883473"/>
    <w:rsid w:val="6A8F4802"/>
    <w:rsid w:val="6A8F4DCC"/>
    <w:rsid w:val="6AB57FE0"/>
    <w:rsid w:val="6AD13824"/>
    <w:rsid w:val="6AF1726A"/>
    <w:rsid w:val="6AF84E75"/>
    <w:rsid w:val="6B142F59"/>
    <w:rsid w:val="6B182A49"/>
    <w:rsid w:val="6B364C7D"/>
    <w:rsid w:val="6B453112"/>
    <w:rsid w:val="6B511AB7"/>
    <w:rsid w:val="6B8754D9"/>
    <w:rsid w:val="6BB362CE"/>
    <w:rsid w:val="6BEB1F0C"/>
    <w:rsid w:val="6C2076DB"/>
    <w:rsid w:val="6C240F7A"/>
    <w:rsid w:val="6C24541E"/>
    <w:rsid w:val="6C3513D9"/>
    <w:rsid w:val="6C357BED"/>
    <w:rsid w:val="6C4D6722"/>
    <w:rsid w:val="6C523D39"/>
    <w:rsid w:val="6C6677E4"/>
    <w:rsid w:val="6C8B0FF9"/>
    <w:rsid w:val="6CA4030D"/>
    <w:rsid w:val="6CE801F9"/>
    <w:rsid w:val="6D1700BB"/>
    <w:rsid w:val="6D192AA9"/>
    <w:rsid w:val="6D4F64CA"/>
    <w:rsid w:val="6D611D5A"/>
    <w:rsid w:val="6D65461C"/>
    <w:rsid w:val="6D89482E"/>
    <w:rsid w:val="6DA46816"/>
    <w:rsid w:val="6DB91B96"/>
    <w:rsid w:val="6E096679"/>
    <w:rsid w:val="6E184B0E"/>
    <w:rsid w:val="6E290AC9"/>
    <w:rsid w:val="6E2A4841"/>
    <w:rsid w:val="6F327E52"/>
    <w:rsid w:val="6F4D6A39"/>
    <w:rsid w:val="6F6C7DDA"/>
    <w:rsid w:val="6F7E6BF3"/>
    <w:rsid w:val="6FA7614A"/>
    <w:rsid w:val="6FC34F4E"/>
    <w:rsid w:val="70134ABB"/>
    <w:rsid w:val="7040034C"/>
    <w:rsid w:val="706202C3"/>
    <w:rsid w:val="706E310B"/>
    <w:rsid w:val="70974410"/>
    <w:rsid w:val="70AC59E2"/>
    <w:rsid w:val="70B30B1E"/>
    <w:rsid w:val="70CE5958"/>
    <w:rsid w:val="70D171F6"/>
    <w:rsid w:val="70E11BD6"/>
    <w:rsid w:val="70EB475C"/>
    <w:rsid w:val="71265794"/>
    <w:rsid w:val="713734FD"/>
    <w:rsid w:val="71445C1A"/>
    <w:rsid w:val="71461992"/>
    <w:rsid w:val="71467BE4"/>
    <w:rsid w:val="71502811"/>
    <w:rsid w:val="71BB5EDC"/>
    <w:rsid w:val="71D46F9E"/>
    <w:rsid w:val="71F92EA9"/>
    <w:rsid w:val="72084E9A"/>
    <w:rsid w:val="725D6F93"/>
    <w:rsid w:val="726B5B54"/>
    <w:rsid w:val="72A9042B"/>
    <w:rsid w:val="72CB65F3"/>
    <w:rsid w:val="731A6C33"/>
    <w:rsid w:val="73221F8B"/>
    <w:rsid w:val="735A7977"/>
    <w:rsid w:val="73947C19"/>
    <w:rsid w:val="73AB1F81"/>
    <w:rsid w:val="73B928EF"/>
    <w:rsid w:val="73D74B24"/>
    <w:rsid w:val="73E447CB"/>
    <w:rsid w:val="74035919"/>
    <w:rsid w:val="7419513C"/>
    <w:rsid w:val="741B7106"/>
    <w:rsid w:val="74275AAB"/>
    <w:rsid w:val="745368A0"/>
    <w:rsid w:val="74687E72"/>
    <w:rsid w:val="746C1710"/>
    <w:rsid w:val="7491561A"/>
    <w:rsid w:val="749649DF"/>
    <w:rsid w:val="74982505"/>
    <w:rsid w:val="749869A9"/>
    <w:rsid w:val="74CA4688"/>
    <w:rsid w:val="74D3178F"/>
    <w:rsid w:val="74DA0D6F"/>
    <w:rsid w:val="753D30AC"/>
    <w:rsid w:val="754E7067"/>
    <w:rsid w:val="755C1784"/>
    <w:rsid w:val="756578D8"/>
    <w:rsid w:val="75C37A55"/>
    <w:rsid w:val="75D43A11"/>
    <w:rsid w:val="75EF084A"/>
    <w:rsid w:val="75FC2BB5"/>
    <w:rsid w:val="760A5684"/>
    <w:rsid w:val="76124539"/>
    <w:rsid w:val="76191423"/>
    <w:rsid w:val="76531A31"/>
    <w:rsid w:val="76796366"/>
    <w:rsid w:val="769E5DCD"/>
    <w:rsid w:val="76A35191"/>
    <w:rsid w:val="76D31F1A"/>
    <w:rsid w:val="76F51E90"/>
    <w:rsid w:val="76F679B7"/>
    <w:rsid w:val="76F854DD"/>
    <w:rsid w:val="76FD2AF3"/>
    <w:rsid w:val="770B16B4"/>
    <w:rsid w:val="77534E09"/>
    <w:rsid w:val="77707769"/>
    <w:rsid w:val="779A3A7E"/>
    <w:rsid w:val="77DE2925"/>
    <w:rsid w:val="77E65C7D"/>
    <w:rsid w:val="78016613"/>
    <w:rsid w:val="78104AA8"/>
    <w:rsid w:val="782F4F2E"/>
    <w:rsid w:val="7863161A"/>
    <w:rsid w:val="787D213D"/>
    <w:rsid w:val="788D7EA7"/>
    <w:rsid w:val="78A84CE1"/>
    <w:rsid w:val="78DD2BDC"/>
    <w:rsid w:val="791B1956"/>
    <w:rsid w:val="79366790"/>
    <w:rsid w:val="79621333"/>
    <w:rsid w:val="79670B05"/>
    <w:rsid w:val="796E5F2A"/>
    <w:rsid w:val="79A656C4"/>
    <w:rsid w:val="79C8388C"/>
    <w:rsid w:val="79D833A4"/>
    <w:rsid w:val="79EA1A55"/>
    <w:rsid w:val="7A04063C"/>
    <w:rsid w:val="7A083C89"/>
    <w:rsid w:val="7A204AE1"/>
    <w:rsid w:val="7A3031E0"/>
    <w:rsid w:val="7A3C3932"/>
    <w:rsid w:val="7A5E7DB1"/>
    <w:rsid w:val="7A6842AE"/>
    <w:rsid w:val="7A813A3B"/>
    <w:rsid w:val="7AA02113"/>
    <w:rsid w:val="7AA03EC1"/>
    <w:rsid w:val="7ADE2C3C"/>
    <w:rsid w:val="7B2C7E4B"/>
    <w:rsid w:val="7B5178B1"/>
    <w:rsid w:val="7B6969A9"/>
    <w:rsid w:val="7B7610C6"/>
    <w:rsid w:val="7B892774"/>
    <w:rsid w:val="7B8E4662"/>
    <w:rsid w:val="7BC736D0"/>
    <w:rsid w:val="7BFB508D"/>
    <w:rsid w:val="7C23124E"/>
    <w:rsid w:val="7C3C40BE"/>
    <w:rsid w:val="7C773348"/>
    <w:rsid w:val="7C8021FC"/>
    <w:rsid w:val="7C817D22"/>
    <w:rsid w:val="7CCF4F32"/>
    <w:rsid w:val="7CE16A13"/>
    <w:rsid w:val="7CFE1373"/>
    <w:rsid w:val="7D11554A"/>
    <w:rsid w:val="7D5A0C9F"/>
    <w:rsid w:val="7D63567A"/>
    <w:rsid w:val="7D657644"/>
    <w:rsid w:val="7D85337F"/>
    <w:rsid w:val="7D8E26F7"/>
    <w:rsid w:val="7DAB14FB"/>
    <w:rsid w:val="7DB04DA7"/>
    <w:rsid w:val="7DCE51E9"/>
    <w:rsid w:val="7DE70059"/>
    <w:rsid w:val="7DEE3196"/>
    <w:rsid w:val="7DFD787D"/>
    <w:rsid w:val="7E0C7AC0"/>
    <w:rsid w:val="7E2D1F10"/>
    <w:rsid w:val="7E417769"/>
    <w:rsid w:val="7E4454AB"/>
    <w:rsid w:val="7E6D67B0"/>
    <w:rsid w:val="7E745D91"/>
    <w:rsid w:val="7E8F4979"/>
    <w:rsid w:val="7EAD3051"/>
    <w:rsid w:val="7ECB1729"/>
    <w:rsid w:val="7EE03426"/>
    <w:rsid w:val="7F007624"/>
    <w:rsid w:val="7F037115"/>
    <w:rsid w:val="7F2A28F3"/>
    <w:rsid w:val="7F2F7F0A"/>
    <w:rsid w:val="7F363046"/>
    <w:rsid w:val="7F482D79"/>
    <w:rsid w:val="7F4F235A"/>
    <w:rsid w:val="7F5D6825"/>
    <w:rsid w:val="7F6851CA"/>
    <w:rsid w:val="7FA02BB5"/>
    <w:rsid w:val="7FA93818"/>
    <w:rsid w:val="7FB328E9"/>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ody Text"/>
    <w:basedOn w:val="1"/>
    <w:next w:val="1"/>
    <w:unhideWhenUsed/>
    <w:qFormat/>
    <w:uiPriority w:val="99"/>
    <w:pPr>
      <w:spacing w:after="120"/>
    </w:pPr>
    <w:rPr>
      <w:kern w:val="0"/>
      <w:sz w:val="20"/>
    </w:rPr>
  </w:style>
  <w:style w:type="paragraph" w:styleId="6">
    <w:name w:val="Body Text Indent"/>
    <w:basedOn w:val="1"/>
    <w:next w:val="7"/>
    <w:qFormat/>
    <w:uiPriority w:val="0"/>
    <w:pPr>
      <w:spacing w:after="120" w:afterLines="0" w:afterAutospacing="0"/>
      <w:ind w:left="420" w:leftChars="200"/>
    </w:pPr>
  </w:style>
  <w:style w:type="paragraph" w:styleId="7">
    <w:name w:val="Body Text First Indent 2"/>
    <w:basedOn w:val="6"/>
    <w:next w:val="1"/>
    <w:qFormat/>
    <w:uiPriority w:val="0"/>
    <w:pPr>
      <w:tabs>
        <w:tab w:val="left" w:pos="720"/>
      </w:tabs>
      <w:spacing w:after="120" w:afterLines="0" w:line="240" w:lineRule="auto"/>
      <w:ind w:left="420" w:leftChars="200" w:firstLine="420" w:firstLineChars="200"/>
    </w:pPr>
    <w:rPr>
      <w:rFonts w:ascii="Times New Roman"/>
      <w:sz w:val="21"/>
    </w:rPr>
  </w:style>
  <w:style w:type="paragraph" w:styleId="8">
    <w:name w:val="Plain Text"/>
    <w:basedOn w:val="1"/>
    <w:qFormat/>
    <w:uiPriority w:val="99"/>
    <w:rPr>
      <w:rFonts w:ascii="宋体" w:hAnsi="Courier New" w:cs="Courier New"/>
      <w:szCs w:val="21"/>
    </w:rPr>
  </w:style>
  <w:style w:type="paragraph" w:styleId="9">
    <w:name w:val="footer"/>
    <w:basedOn w:val="1"/>
    <w:next w:val="1"/>
    <w:qFormat/>
    <w:uiPriority w:val="99"/>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3">
    <w:name w:val="Body Text First Indent"/>
    <w:basedOn w:val="5"/>
    <w:qFormat/>
    <w:uiPriority w:val="0"/>
    <w:pPr>
      <w:ind w:firstLine="420" w:firstLineChars="100"/>
    </w:pPr>
    <w:rPr>
      <w:rFonts w:ascii="仿宋_GB2312" w:hAnsi="Calibri" w:eastAsia="仿宋_GB2312" w:cs="Times New Roman"/>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首行缩进"/>
    <w:basedOn w:val="18"/>
    <w:qFormat/>
    <w:uiPriority w:val="99"/>
    <w:pPr>
      <w:spacing w:line="360" w:lineRule="auto"/>
      <w:ind w:firstLine="480" w:firstLineChars="200"/>
    </w:pPr>
    <w:rPr>
      <w:rFonts w:cs="Times New Roman"/>
      <w:sz w:val="24"/>
      <w:lang w:val="zh-CN"/>
    </w:rPr>
  </w:style>
  <w:style w:type="paragraph" w:customStyle="1" w:styleId="18">
    <w:name w:val="正文_0_0_0"/>
    <w:next w:val="1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20">
    <w:name w:val="列出段落11"/>
    <w:basedOn w:val="1"/>
    <w:qFormat/>
    <w:uiPriority w:val="34"/>
    <w:pPr>
      <w:ind w:firstLine="420" w:firstLineChars="200"/>
    </w:pPr>
    <w:rPr>
      <w:rFonts w:ascii="Calibri" w:hAnsi="Calibri" w:eastAsia="宋体" w:cs="Times New Roman"/>
      <w:szCs w:val="22"/>
      <w:lang w:val="zh-CN"/>
    </w:rPr>
  </w:style>
  <w:style w:type="paragraph" w:styleId="21">
    <w:name w:val="List Paragraph"/>
    <w:basedOn w:val="1"/>
    <w:qFormat/>
    <w:uiPriority w:val="34"/>
    <w:pPr>
      <w:ind w:firstLine="420" w:firstLineChars="200"/>
    </w:pPr>
  </w:style>
  <w:style w:type="character" w:customStyle="1" w:styleId="22">
    <w:name w:val="font11"/>
    <w:basedOn w:val="16"/>
    <w:qFormat/>
    <w:uiPriority w:val="0"/>
    <w:rPr>
      <w:rFonts w:hint="eastAsia" w:ascii="仿宋" w:hAnsi="仿宋" w:eastAsia="仿宋" w:cs="仿宋"/>
      <w:b/>
      <w:bCs/>
      <w:color w:val="000000"/>
      <w:sz w:val="24"/>
      <w:szCs w:val="24"/>
      <w:u w:val="none"/>
    </w:rPr>
  </w:style>
  <w:style w:type="character" w:customStyle="1" w:styleId="23">
    <w:name w:val="font31"/>
    <w:basedOn w:val="16"/>
    <w:qFormat/>
    <w:uiPriority w:val="0"/>
    <w:rPr>
      <w:rFonts w:hint="eastAsia" w:ascii="仿宋" w:hAnsi="仿宋" w:eastAsia="仿宋" w:cs="仿宋"/>
      <w:color w:val="000000"/>
      <w:sz w:val="24"/>
      <w:szCs w:val="24"/>
      <w:u w:val="none"/>
    </w:rPr>
  </w:style>
  <w:style w:type="paragraph" w:customStyle="1" w:styleId="2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5">
    <w:name w:val="列出段落1"/>
    <w:basedOn w:val="1"/>
    <w:qFormat/>
    <w:uiPriority w:val="34"/>
    <w:pPr>
      <w:ind w:firstLine="420" w:firstLineChars="200"/>
    </w:pPr>
  </w:style>
  <w:style w:type="paragraph" w:customStyle="1" w:styleId="26">
    <w:name w:val="Normal_0"/>
    <w:qFormat/>
    <w:uiPriority w:val="0"/>
    <w:pPr>
      <w:widowControl w:val="0"/>
      <w:jc w:val="both"/>
    </w:pPr>
    <w:rPr>
      <w:rFonts w:ascii="Calibri" w:hAnsi="Calibri" w:eastAsia="仿宋" w:cs="Calibri"/>
      <w:kern w:val="2"/>
      <w:sz w:val="21"/>
      <w:szCs w:val="24"/>
      <w:lang w:val="en-US" w:eastAsia="zh-CN" w:bidi="ar-SA"/>
    </w:rPr>
  </w:style>
  <w:style w:type="paragraph" w:customStyle="1" w:styleId="27">
    <w:name w:val="Normal_1"/>
    <w:qFormat/>
    <w:uiPriority w:val="0"/>
    <w:pPr>
      <w:widowControl w:val="0"/>
      <w:jc w:val="both"/>
    </w:pPr>
    <w:rPr>
      <w:rFonts w:ascii="Calibri" w:hAnsi="Calibri" w:eastAsia="仿宋" w:cs="Calibri"/>
      <w:kern w:val="2"/>
      <w:sz w:val="21"/>
      <w:szCs w:val="24"/>
      <w:lang w:val="en-US" w:eastAsia="zh-CN" w:bidi="ar-SA"/>
    </w:rPr>
  </w:style>
  <w:style w:type="paragraph" w:customStyle="1" w:styleId="28">
    <w:name w:val="普通(网站)1"/>
    <w:basedOn w:val="27"/>
    <w:unhideWhenUsed/>
    <w:qFormat/>
    <w:uiPriority w:val="0"/>
    <w:pPr>
      <w:widowControl/>
      <w:spacing w:before="100" w:beforeAutospacing="1" w:after="100" w:afterAutospacing="1"/>
      <w:jc w:val="left"/>
    </w:pPr>
    <w:rPr>
      <w:rFonts w:ascii="宋体" w:hAnsi="宋体" w:eastAsia="宋体" w:cs="宋体"/>
      <w:kern w:val="0"/>
      <w:sz w:val="24"/>
    </w:rPr>
  </w:style>
  <w:style w:type="paragraph" w:customStyle="1" w:styleId="29">
    <w:name w:val="Normal_2"/>
    <w:qFormat/>
    <w:uiPriority w:val="0"/>
    <w:rPr>
      <w:rFonts w:ascii="Times New Roman" w:hAnsi="Times New Roman" w:eastAsia="Times New Roman" w:cs="Times New Roman"/>
      <w:sz w:val="24"/>
      <w:szCs w:val="24"/>
      <w:lang w:val="en-US" w:eastAsia="zh-CN" w:bidi="ar-SA"/>
    </w:rPr>
  </w:style>
  <w:style w:type="paragraph" w:customStyle="1" w:styleId="3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16515</Words>
  <Characters>17577</Characters>
  <Lines>0</Lines>
  <Paragraphs>0</Paragraphs>
  <TotalTime>2</TotalTime>
  <ScaleCrop>false</ScaleCrop>
  <LinksUpToDate>false</LinksUpToDate>
  <CharactersWithSpaces>18504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2025-09-27T02:46:00Z</dcterms:created>
  <dc:creator>Administrator.WIN-MVPJKDMJ2IN</dc:creator>
  <cp:lastModifiedBy>赵旭</cp:lastModifiedBy>
  <cp:lastPrinted>2025-09-27T04:03:00Z</cp:lastPrinted>
  <dcterms:modified xsi:type="dcterms:W3CDTF">2025-10-27T02:15:47Z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eyJoZGlkIjoiYjZlYzA0YzNmN2VhNTBkZDhlODkwYmVmN2M2ZGQxZjgiLCJ1c2VySWQiOiIzODU2MzIyMTcifQ==</vt:lpwstr>
  </property>
  <property fmtid="{D5CDD505-2E9C-101B-9397-08002B2CF9AE}" pid="4" name="ICV">
    <vt:lpwstr>41EAD3FB5BB146FAA59B83D7BB4DA864_12</vt:lpwstr>
  </property>
</Properties>
</file>