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6342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52"/>
          <w:szCs w:val="52"/>
          <w:highlight w:val="none"/>
        </w:rPr>
      </w:pPr>
    </w:p>
    <w:p w14:paraId="2569509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outlineLvl w:val="0"/>
        <w:rPr>
          <w:rFonts w:hint="eastAsia" w:asciiTheme="minorEastAsia" w:hAnsiTheme="minorEastAsia" w:eastAsiaTheme="minorEastAsia" w:cstheme="minorEastAsia"/>
          <w:b/>
          <w:color w:val="auto"/>
          <w:sz w:val="72"/>
          <w:szCs w:val="72"/>
          <w:highlight w:val="none"/>
          <w:lang w:eastAsia="zh-CN"/>
        </w:rPr>
      </w:pPr>
      <w:r>
        <w:rPr>
          <w:rFonts w:hint="eastAsia" w:asciiTheme="minorEastAsia" w:hAnsiTheme="minorEastAsia" w:eastAsiaTheme="minorEastAsia" w:cstheme="minorEastAsia"/>
          <w:b/>
          <w:color w:val="auto"/>
          <w:sz w:val="72"/>
          <w:szCs w:val="72"/>
          <w:highlight w:val="none"/>
          <w:lang w:eastAsia="zh-CN"/>
        </w:rPr>
        <w:t>临沧市临翔区医共体医保智能风控系统软件</w:t>
      </w:r>
    </w:p>
    <w:p w14:paraId="6336C228">
      <w:pPr>
        <w:pStyle w:val="11"/>
        <w:shd w:val="clear" w:color="auto" w:fill="auto"/>
        <w:rPr>
          <w:rFonts w:hint="eastAsia" w:asciiTheme="minorEastAsia" w:hAnsiTheme="minorEastAsia" w:eastAsiaTheme="minorEastAsia" w:cstheme="minorEastAsia"/>
          <w:color w:val="auto"/>
          <w:highlight w:val="none"/>
        </w:rPr>
      </w:pPr>
    </w:p>
    <w:p w14:paraId="46C9029F">
      <w:pPr>
        <w:pStyle w:val="11"/>
        <w:shd w:val="clear" w:color="auto" w:fill="auto"/>
        <w:rPr>
          <w:rFonts w:hint="eastAsia" w:asciiTheme="minorEastAsia" w:hAnsiTheme="minorEastAsia" w:eastAsiaTheme="minorEastAsia" w:cstheme="minorEastAsia"/>
          <w:color w:val="auto"/>
          <w:highlight w:val="none"/>
        </w:rPr>
      </w:pPr>
    </w:p>
    <w:p w14:paraId="4F8EA000">
      <w:pPr>
        <w:pStyle w:val="2"/>
        <w:shd w:val="clear" w:color="auto" w:fill="auto"/>
        <w:jc w:val="center"/>
        <w:rPr>
          <w:rFonts w:hint="eastAsia" w:asciiTheme="minorEastAsia" w:hAnsiTheme="minorEastAsia" w:eastAsiaTheme="minorEastAsia" w:cstheme="minorEastAsia"/>
          <w:color w:val="auto"/>
          <w:sz w:val="72"/>
          <w:highlight w:val="none"/>
        </w:rPr>
      </w:pPr>
    </w:p>
    <w:p w14:paraId="7D1405BE">
      <w:pPr>
        <w:pStyle w:val="2"/>
        <w:shd w:val="clear" w:color="auto" w:fill="auto"/>
        <w:jc w:val="both"/>
        <w:rPr>
          <w:rFonts w:hint="eastAsia" w:asciiTheme="minorEastAsia" w:hAnsiTheme="minorEastAsia" w:eastAsiaTheme="minorEastAsia" w:cstheme="minorEastAsia"/>
          <w:color w:val="auto"/>
          <w:sz w:val="72"/>
          <w:highlight w:val="none"/>
        </w:rPr>
      </w:pPr>
    </w:p>
    <w:p w14:paraId="1D8563B0">
      <w:pPr>
        <w:shd w:val="clear" w:color="auto" w:fill="auto"/>
        <w:jc w:val="center"/>
        <w:rPr>
          <w:rFonts w:hint="eastAsia" w:asciiTheme="minorEastAsia" w:hAnsiTheme="minorEastAsia" w:eastAsiaTheme="minorEastAsia" w:cstheme="minorEastAsia"/>
          <w:b/>
          <w:color w:val="auto"/>
          <w:sz w:val="52"/>
          <w:highlight w:val="none"/>
        </w:rPr>
      </w:pPr>
      <w:r>
        <w:rPr>
          <w:rFonts w:hint="eastAsia" w:asciiTheme="minorEastAsia" w:hAnsiTheme="minorEastAsia" w:eastAsiaTheme="minorEastAsia" w:cstheme="minorEastAsia"/>
          <w:b/>
          <w:color w:val="auto"/>
          <w:sz w:val="72"/>
          <w:szCs w:val="36"/>
          <w:highlight w:val="none"/>
        </w:rPr>
        <w:t>招</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件</w:t>
      </w:r>
    </w:p>
    <w:p w14:paraId="2C861F27">
      <w:pPr>
        <w:pStyle w:val="2"/>
        <w:shd w:val="clear" w:color="auto" w:fill="auto"/>
        <w:jc w:val="center"/>
        <w:rPr>
          <w:rFonts w:hint="eastAsia" w:asciiTheme="minorEastAsia" w:hAnsiTheme="minorEastAsia" w:eastAsiaTheme="minorEastAsia" w:cstheme="minorEastAsia"/>
          <w:b/>
          <w:color w:val="auto"/>
          <w:sz w:val="32"/>
          <w:szCs w:val="32"/>
          <w:highlight w:val="none"/>
        </w:rPr>
      </w:pPr>
    </w:p>
    <w:p w14:paraId="7EBB38D8">
      <w:pPr>
        <w:pStyle w:val="2"/>
        <w:shd w:val="clear" w:color="auto" w:fill="auto"/>
        <w:jc w:val="center"/>
        <w:outlineLvl w:val="0"/>
        <w:rPr>
          <w:rFonts w:hint="eastAsia" w:asciiTheme="minorEastAsia" w:hAnsiTheme="minorEastAsia" w:eastAsiaTheme="minorEastAsia" w:cstheme="minorEastAsia"/>
          <w:b/>
          <w:color w:val="auto"/>
          <w:sz w:val="36"/>
          <w:szCs w:val="36"/>
          <w:highlight w:val="none"/>
          <w:lang w:val="en-US" w:eastAsia="zh-CN"/>
        </w:rPr>
      </w:pPr>
      <w:bookmarkStart w:id="0" w:name="_Toc4054"/>
      <w:r>
        <w:rPr>
          <w:rFonts w:hint="eastAsia" w:asciiTheme="minorEastAsia" w:hAnsiTheme="minorEastAsia" w:eastAsiaTheme="minorEastAsia" w:cstheme="minorEastAsia"/>
          <w:b/>
          <w:color w:val="auto"/>
          <w:sz w:val="36"/>
          <w:szCs w:val="36"/>
          <w:highlight w:val="none"/>
        </w:rPr>
        <w:t>项目编号:</w:t>
      </w:r>
      <w:bookmarkEnd w:id="0"/>
      <w:bookmarkStart w:id="125" w:name="_GoBack"/>
      <w:bookmarkEnd w:id="125"/>
      <w:r>
        <w:rPr>
          <w:rFonts w:hint="eastAsia" w:asciiTheme="minorEastAsia" w:hAnsiTheme="minorEastAsia" w:eastAsiaTheme="minorEastAsia" w:cstheme="minorEastAsia"/>
          <w:b/>
          <w:color w:val="auto"/>
          <w:sz w:val="36"/>
          <w:szCs w:val="36"/>
          <w:highlight w:val="none"/>
          <w:lang w:val="en-US" w:eastAsia="zh-CN"/>
        </w:rPr>
        <w:t>LCZC2025-G1-00018-YNLX-0001</w:t>
      </w:r>
    </w:p>
    <w:p w14:paraId="70FA218E">
      <w:pPr>
        <w:pStyle w:val="2"/>
        <w:shd w:val="clear" w:color="auto" w:fill="auto"/>
        <w:rPr>
          <w:rFonts w:hint="eastAsia" w:asciiTheme="minorEastAsia" w:hAnsiTheme="minorEastAsia" w:eastAsiaTheme="minorEastAsia" w:cstheme="minorEastAsia"/>
          <w:color w:val="auto"/>
          <w:highlight w:val="none"/>
        </w:rPr>
      </w:pPr>
    </w:p>
    <w:p w14:paraId="0E8A9F89">
      <w:pPr>
        <w:pStyle w:val="2"/>
        <w:shd w:val="clear" w:color="auto" w:fill="auto"/>
        <w:rPr>
          <w:rFonts w:hint="eastAsia" w:asciiTheme="minorEastAsia" w:hAnsiTheme="minorEastAsia" w:eastAsiaTheme="minorEastAsia" w:cstheme="minorEastAsia"/>
          <w:color w:val="auto"/>
          <w:highlight w:val="none"/>
        </w:rPr>
      </w:pPr>
    </w:p>
    <w:p w14:paraId="40B37C57">
      <w:pPr>
        <w:pStyle w:val="2"/>
        <w:shd w:val="clear" w:color="auto" w:fill="auto"/>
        <w:rPr>
          <w:rFonts w:hint="eastAsia" w:asciiTheme="minorEastAsia" w:hAnsiTheme="minorEastAsia" w:eastAsiaTheme="minorEastAsia" w:cstheme="minorEastAsia"/>
          <w:color w:val="auto"/>
          <w:sz w:val="36"/>
          <w:highlight w:val="none"/>
        </w:rPr>
      </w:pPr>
    </w:p>
    <w:p w14:paraId="4D8AA2D4">
      <w:pPr>
        <w:shd w:val="clear" w:color="auto" w:fill="auto"/>
        <w:rPr>
          <w:rFonts w:hint="eastAsia" w:asciiTheme="minorEastAsia" w:hAnsiTheme="minorEastAsia" w:eastAsiaTheme="minorEastAsia" w:cstheme="minorEastAsia"/>
          <w:color w:val="auto"/>
          <w:highlight w:val="none"/>
        </w:rPr>
      </w:pPr>
    </w:p>
    <w:p w14:paraId="31DF2B6A">
      <w:pPr>
        <w:pStyle w:val="16"/>
        <w:shd w:val="clear" w:color="auto" w:fill="auto"/>
        <w:rPr>
          <w:rFonts w:hint="eastAsia" w:asciiTheme="minorEastAsia" w:hAnsiTheme="minorEastAsia" w:eastAsiaTheme="minorEastAsia" w:cstheme="minorEastAsia"/>
          <w:color w:val="auto"/>
          <w:highlight w:val="none"/>
        </w:rPr>
      </w:pPr>
    </w:p>
    <w:p w14:paraId="42FAF84B">
      <w:pPr>
        <w:pStyle w:val="11"/>
        <w:shd w:val="clear" w:color="auto" w:fill="auto"/>
        <w:rPr>
          <w:rFonts w:hint="eastAsia" w:asciiTheme="minorEastAsia" w:hAnsiTheme="minorEastAsia" w:eastAsiaTheme="minorEastAsia" w:cstheme="minorEastAsia"/>
          <w:color w:val="auto"/>
          <w:highlight w:val="none"/>
        </w:rPr>
      </w:pPr>
    </w:p>
    <w:p w14:paraId="77D14D31">
      <w:pPr>
        <w:shd w:val="clear" w:color="auto" w:fill="auto"/>
        <w:spacing w:line="800" w:lineRule="exact"/>
        <w:rPr>
          <w:rFonts w:hint="eastAsia" w:asciiTheme="minorEastAsia" w:hAnsiTheme="minorEastAsia" w:eastAsiaTheme="minorEastAsia" w:cstheme="minorEastAsia"/>
          <w:b/>
          <w:color w:val="auto"/>
          <w:sz w:val="36"/>
          <w:szCs w:val="36"/>
          <w:highlight w:val="none"/>
        </w:rPr>
      </w:pPr>
    </w:p>
    <w:p w14:paraId="15ECF144">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u w:val="none"/>
        </w:rPr>
      </w:pPr>
      <w:bookmarkStart w:id="1" w:name="_Toc25754"/>
      <w:r>
        <w:rPr>
          <w:rFonts w:hint="eastAsia" w:asciiTheme="minorEastAsia" w:hAnsiTheme="minorEastAsia" w:eastAsiaTheme="minorEastAsia" w:cstheme="minorEastAsia"/>
          <w:b/>
          <w:color w:val="auto"/>
          <w:sz w:val="36"/>
          <w:szCs w:val="36"/>
          <w:highlight w:val="none"/>
        </w:rPr>
        <w:t>采   购   人：</w:t>
      </w:r>
      <w:r>
        <w:rPr>
          <w:rFonts w:hint="eastAsia" w:asciiTheme="minorEastAsia" w:hAnsiTheme="minorEastAsia" w:eastAsiaTheme="minorEastAsia" w:cstheme="minorEastAsia"/>
          <w:b/>
          <w:color w:val="auto"/>
          <w:sz w:val="36"/>
          <w:szCs w:val="36"/>
          <w:highlight w:val="none"/>
          <w:lang w:eastAsia="zh-CN"/>
        </w:rPr>
        <w:t>临沧市临翔区人民医院</w:t>
      </w:r>
      <w:bookmarkEnd w:id="1"/>
      <w:r>
        <w:rPr>
          <w:rFonts w:hint="eastAsia" w:asciiTheme="minorEastAsia" w:hAnsiTheme="minorEastAsia" w:eastAsiaTheme="minorEastAsia" w:cstheme="minorEastAsia"/>
          <w:b/>
          <w:color w:val="auto"/>
          <w:sz w:val="36"/>
          <w:szCs w:val="36"/>
          <w:highlight w:val="none"/>
          <w:u w:val="none"/>
        </w:rPr>
        <w:t xml:space="preserve"> </w:t>
      </w:r>
    </w:p>
    <w:p w14:paraId="08562B65">
      <w:pPr>
        <w:shd w:val="clear" w:color="auto" w:fill="auto"/>
        <w:spacing w:line="800" w:lineRule="exact"/>
        <w:ind w:firstLine="723" w:firstLineChars="200"/>
        <w:rPr>
          <w:rFonts w:hint="eastAsia" w:asciiTheme="minorEastAsia" w:hAnsiTheme="minorEastAsia" w:eastAsiaTheme="minorEastAsia" w:cstheme="minorEastAsia"/>
          <w:b/>
          <w:color w:val="auto"/>
          <w:sz w:val="36"/>
          <w:szCs w:val="36"/>
          <w:highlight w:val="none"/>
          <w:u w:val="none"/>
          <w:lang w:eastAsia="zh-CN"/>
        </w:rPr>
      </w:pPr>
      <w:r>
        <w:rPr>
          <w:rFonts w:hint="eastAsia" w:asciiTheme="minorEastAsia" w:hAnsiTheme="minorEastAsia" w:eastAsiaTheme="minorEastAsia" w:cstheme="minorEastAsia"/>
          <w:b/>
          <w:color w:val="auto"/>
          <w:sz w:val="36"/>
          <w:szCs w:val="36"/>
          <w:highlight w:val="none"/>
          <w:u w:val="none"/>
        </w:rPr>
        <w:t>采购代理机构：</w:t>
      </w:r>
      <w:r>
        <w:rPr>
          <w:rFonts w:hint="eastAsia" w:asciiTheme="minorEastAsia" w:hAnsiTheme="minorEastAsia" w:eastAsiaTheme="minorEastAsia" w:cstheme="minorEastAsia"/>
          <w:b/>
          <w:color w:val="auto"/>
          <w:sz w:val="36"/>
          <w:szCs w:val="36"/>
          <w:highlight w:val="none"/>
          <w:u w:val="none"/>
          <w:lang w:eastAsia="zh-CN"/>
        </w:rPr>
        <w:t>云南临祥项目管理咨询有限公司</w:t>
      </w:r>
    </w:p>
    <w:p w14:paraId="1318409D">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rPr>
      </w:pPr>
      <w:bookmarkStart w:id="2" w:name="_Toc17365"/>
      <w:r>
        <w:rPr>
          <w:rFonts w:hint="eastAsia" w:asciiTheme="minorEastAsia" w:hAnsiTheme="minorEastAsia" w:eastAsiaTheme="minorEastAsia" w:cstheme="minorEastAsia"/>
          <w:b/>
          <w:color w:val="auto"/>
          <w:sz w:val="36"/>
          <w:szCs w:val="36"/>
          <w:highlight w:val="none"/>
        </w:rPr>
        <w:t>日</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期：</w:t>
      </w:r>
      <w:r>
        <w:rPr>
          <w:rFonts w:hint="eastAsia" w:asciiTheme="minorEastAsia" w:hAnsiTheme="minorEastAsia" w:eastAsiaTheme="minorEastAsia" w:cstheme="minorEastAsia"/>
          <w:b/>
          <w:color w:val="auto"/>
          <w:sz w:val="36"/>
          <w:szCs w:val="36"/>
          <w:highlight w:val="none"/>
          <w:u w:val="none"/>
        </w:rPr>
        <w:t>202</w:t>
      </w:r>
      <w:r>
        <w:rPr>
          <w:rFonts w:hint="eastAsia" w:asciiTheme="minorEastAsia" w:hAnsiTheme="minorEastAsia" w:eastAsiaTheme="minorEastAsia" w:cstheme="minorEastAsia"/>
          <w:b/>
          <w:color w:val="auto"/>
          <w:sz w:val="36"/>
          <w:szCs w:val="36"/>
          <w:highlight w:val="none"/>
          <w:u w:val="none"/>
          <w:lang w:val="en-US" w:eastAsia="zh-CN"/>
        </w:rPr>
        <w:t>5</w:t>
      </w:r>
      <w:r>
        <w:rPr>
          <w:rFonts w:hint="eastAsia" w:asciiTheme="minorEastAsia" w:hAnsiTheme="minorEastAsia" w:eastAsiaTheme="minorEastAsia" w:cstheme="minorEastAsia"/>
          <w:b/>
          <w:color w:val="auto"/>
          <w:sz w:val="36"/>
          <w:szCs w:val="36"/>
          <w:highlight w:val="none"/>
          <w:u w:val="none"/>
        </w:rPr>
        <w:t>年</w:t>
      </w:r>
      <w:r>
        <w:rPr>
          <w:rFonts w:hint="eastAsia" w:asciiTheme="minorEastAsia" w:hAnsiTheme="minorEastAsia" w:eastAsiaTheme="minorEastAsia" w:cstheme="minorEastAsia"/>
          <w:b/>
          <w:color w:val="auto"/>
          <w:sz w:val="36"/>
          <w:szCs w:val="36"/>
          <w:highlight w:val="none"/>
          <w:u w:val="none"/>
          <w:lang w:val="en-US" w:eastAsia="zh-CN"/>
        </w:rPr>
        <w:t>01</w:t>
      </w:r>
      <w:r>
        <w:rPr>
          <w:rFonts w:hint="eastAsia" w:asciiTheme="minorEastAsia" w:hAnsiTheme="minorEastAsia" w:eastAsiaTheme="minorEastAsia" w:cstheme="minorEastAsia"/>
          <w:b/>
          <w:color w:val="auto"/>
          <w:sz w:val="36"/>
          <w:szCs w:val="36"/>
          <w:highlight w:val="none"/>
        </w:rPr>
        <w:t>月</w:t>
      </w:r>
      <w:bookmarkEnd w:id="2"/>
    </w:p>
    <w:p w14:paraId="6A5F1307">
      <w:pPr>
        <w:shd w:val="clear" w:color="auto" w:fill="auto"/>
        <w:jc w:val="center"/>
        <w:rPr>
          <w:rFonts w:hint="eastAsia" w:asciiTheme="minorEastAsia" w:hAnsiTheme="minorEastAsia" w:eastAsiaTheme="minorEastAsia" w:cstheme="minorEastAsia"/>
          <w:b/>
          <w:color w:val="auto"/>
          <w:sz w:val="32"/>
          <w:szCs w:val="32"/>
          <w:highlight w:val="none"/>
        </w:rPr>
        <w:sectPr>
          <w:headerReference r:id="rId5" w:type="first"/>
          <w:headerReference r:id="rId3" w:type="default"/>
          <w:footerReference r:id="rId6" w:type="default"/>
          <w:headerReference r:id="rId4" w:type="even"/>
          <w:footerReference r:id="rId7" w:type="even"/>
          <w:pgSz w:w="11906" w:h="16838"/>
          <w:pgMar w:top="1440" w:right="1080" w:bottom="1440" w:left="1080" w:header="850" w:footer="992" w:gutter="0"/>
          <w:pgNumType w:fmt="decimal" w:start="1"/>
          <w:cols w:space="0" w:num="1"/>
          <w:rtlGutter w:val="0"/>
          <w:docGrid w:type="lines" w:linePitch="321" w:charSpace="0"/>
        </w:sectPr>
      </w:pPr>
    </w:p>
    <w:p w14:paraId="488AC22E">
      <w:pPr>
        <w:shd w:val="clear" w:color="auto" w:fill="auto"/>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r>
      <w:r>
        <w:rPr>
          <w:rFonts w:hint="eastAsia" w:asciiTheme="minorEastAsia" w:hAnsiTheme="minorEastAsia" w:eastAsiaTheme="minorEastAsia" w:cstheme="minorEastAsia"/>
          <w:b/>
          <w:color w:val="auto"/>
          <w:sz w:val="36"/>
          <w:szCs w:val="36"/>
          <w:highlight w:val="none"/>
        </w:rPr>
        <w:t>目     录</w:t>
      </w:r>
    </w:p>
    <w:p w14:paraId="15B357C9">
      <w:pPr>
        <w:shd w:val="clear" w:color="auto" w:fil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smallCaps/>
          <w:color w:val="auto"/>
          <w:sz w:val="32"/>
          <w:szCs w:val="32"/>
          <w:highlight w:val="none"/>
        </w:rPr>
        <w:t xml:space="preserve"> </w:t>
      </w:r>
    </w:p>
    <w:sdt>
      <w:sdtPr>
        <w:rPr>
          <w:rFonts w:ascii="宋体" w:hAnsi="宋体" w:eastAsia="宋体" w:cs="Times New Roman"/>
          <w:kern w:val="2"/>
          <w:sz w:val="21"/>
          <w:szCs w:val="24"/>
          <w:lang w:val="en-US" w:eastAsia="zh-CN" w:bidi="ar-SA"/>
        </w:rPr>
        <w:id w:val="147477566"/>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14:paraId="5271B185">
          <w:pPr>
            <w:spacing w:before="0" w:beforeLines="0" w:after="0" w:afterLines="0" w:line="240" w:lineRule="auto"/>
            <w:ind w:left="0" w:leftChars="0" w:right="0" w:rightChars="0" w:firstLine="0" w:firstLineChars="0"/>
            <w:jc w:val="center"/>
          </w:pPr>
        </w:p>
        <w:p w14:paraId="2A20BCF8">
          <w:pPr>
            <w:pStyle w:val="52"/>
            <w:tabs>
              <w:tab w:val="right" w:leader="dot" w:pos="9746"/>
            </w:tabs>
          </w:pPr>
          <w:r>
            <w:fldChar w:fldCharType="begin"/>
          </w:r>
          <w:r>
            <w:instrText xml:space="preserve">TOC \o "1-1" \h \u </w:instrText>
          </w:r>
          <w:r>
            <w:fldChar w:fldCharType="separate"/>
          </w:r>
        </w:p>
        <w:p w14:paraId="7E9B529E">
          <w:pPr>
            <w:pStyle w:val="52"/>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sz w:val="28"/>
              <w:szCs w:val="28"/>
            </w:rPr>
          </w:pPr>
          <w:r>
            <w:rPr>
              <w:sz w:val="28"/>
              <w:szCs w:val="28"/>
            </w:rPr>
            <w:fldChar w:fldCharType="begin"/>
          </w:r>
          <w:r>
            <w:rPr>
              <w:sz w:val="28"/>
              <w:szCs w:val="28"/>
            </w:rPr>
            <w:instrText xml:space="preserve"> HYPERLINK \l _Toc31738 </w:instrText>
          </w:r>
          <w:r>
            <w:rPr>
              <w:sz w:val="28"/>
              <w:szCs w:val="28"/>
            </w:rPr>
            <w:fldChar w:fldCharType="separate"/>
          </w:r>
          <w:r>
            <w:rPr>
              <w:rFonts w:hint="eastAsia" w:asciiTheme="minorEastAsia" w:hAnsiTheme="minorEastAsia" w:eastAsiaTheme="minorEastAsia" w:cstheme="minorEastAsia"/>
              <w:kern w:val="0"/>
              <w:sz w:val="28"/>
              <w:szCs w:val="52"/>
              <w:highlight w:val="none"/>
            </w:rPr>
            <w:t>第一章 招标公告</w:t>
          </w:r>
          <w:r>
            <w:rPr>
              <w:sz w:val="28"/>
              <w:szCs w:val="28"/>
            </w:rPr>
            <w:tab/>
          </w:r>
          <w:r>
            <w:rPr>
              <w:sz w:val="28"/>
              <w:szCs w:val="28"/>
            </w:rPr>
            <w:fldChar w:fldCharType="begin"/>
          </w:r>
          <w:r>
            <w:rPr>
              <w:sz w:val="28"/>
              <w:szCs w:val="28"/>
            </w:rPr>
            <w:instrText xml:space="preserve"> PAGEREF _Toc31738 \h </w:instrText>
          </w:r>
          <w:r>
            <w:rPr>
              <w:sz w:val="28"/>
              <w:szCs w:val="28"/>
            </w:rPr>
            <w:fldChar w:fldCharType="separate"/>
          </w:r>
          <w:r>
            <w:rPr>
              <w:sz w:val="28"/>
              <w:szCs w:val="28"/>
            </w:rPr>
            <w:t>1</w:t>
          </w:r>
          <w:r>
            <w:rPr>
              <w:sz w:val="28"/>
              <w:szCs w:val="28"/>
            </w:rPr>
            <w:fldChar w:fldCharType="end"/>
          </w:r>
          <w:r>
            <w:rPr>
              <w:sz w:val="28"/>
              <w:szCs w:val="28"/>
            </w:rPr>
            <w:fldChar w:fldCharType="end"/>
          </w:r>
        </w:p>
        <w:p w14:paraId="6C6D27ED">
          <w:pPr>
            <w:pStyle w:val="52"/>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sz w:val="28"/>
              <w:szCs w:val="28"/>
            </w:rPr>
          </w:pPr>
          <w:r>
            <w:rPr>
              <w:sz w:val="28"/>
              <w:szCs w:val="28"/>
            </w:rPr>
            <w:fldChar w:fldCharType="begin"/>
          </w:r>
          <w:r>
            <w:rPr>
              <w:sz w:val="28"/>
              <w:szCs w:val="28"/>
            </w:rPr>
            <w:instrText xml:space="preserve"> HYPERLINK \l _Toc18107 </w:instrText>
          </w:r>
          <w:r>
            <w:rPr>
              <w:sz w:val="28"/>
              <w:szCs w:val="28"/>
            </w:rPr>
            <w:fldChar w:fldCharType="separate"/>
          </w:r>
          <w:r>
            <w:rPr>
              <w:rFonts w:hint="eastAsia" w:asciiTheme="minorEastAsia" w:hAnsiTheme="minorEastAsia" w:eastAsiaTheme="minorEastAsia" w:cstheme="minorEastAsia"/>
              <w:sz w:val="28"/>
              <w:szCs w:val="52"/>
              <w:highlight w:val="none"/>
            </w:rPr>
            <w:t xml:space="preserve">第二章 </w:t>
          </w:r>
          <w:r>
            <w:rPr>
              <w:rFonts w:hint="eastAsia" w:asciiTheme="minorEastAsia" w:hAnsiTheme="minorEastAsia" w:eastAsiaTheme="minorEastAsia" w:cstheme="minorEastAsia"/>
              <w:sz w:val="28"/>
              <w:szCs w:val="52"/>
              <w:highlight w:val="none"/>
              <w:lang w:val="en-US" w:eastAsia="zh-CN"/>
            </w:rPr>
            <w:t>投标人</w:t>
          </w:r>
          <w:r>
            <w:rPr>
              <w:rFonts w:hint="eastAsia" w:asciiTheme="minorEastAsia" w:hAnsiTheme="minorEastAsia" w:eastAsiaTheme="minorEastAsia" w:cstheme="minorEastAsia"/>
              <w:sz w:val="28"/>
              <w:szCs w:val="52"/>
              <w:highlight w:val="none"/>
            </w:rPr>
            <w:t>须知</w:t>
          </w:r>
          <w:r>
            <w:rPr>
              <w:sz w:val="28"/>
              <w:szCs w:val="28"/>
            </w:rPr>
            <w:tab/>
          </w:r>
          <w:r>
            <w:rPr>
              <w:sz w:val="28"/>
              <w:szCs w:val="28"/>
            </w:rPr>
            <w:fldChar w:fldCharType="begin"/>
          </w:r>
          <w:r>
            <w:rPr>
              <w:sz w:val="28"/>
              <w:szCs w:val="28"/>
            </w:rPr>
            <w:instrText xml:space="preserve"> PAGEREF _Toc18107 \h </w:instrText>
          </w:r>
          <w:r>
            <w:rPr>
              <w:sz w:val="28"/>
              <w:szCs w:val="28"/>
            </w:rPr>
            <w:fldChar w:fldCharType="separate"/>
          </w:r>
          <w:r>
            <w:rPr>
              <w:sz w:val="28"/>
              <w:szCs w:val="28"/>
            </w:rPr>
            <w:t>7</w:t>
          </w:r>
          <w:r>
            <w:rPr>
              <w:sz w:val="28"/>
              <w:szCs w:val="28"/>
            </w:rPr>
            <w:fldChar w:fldCharType="end"/>
          </w:r>
          <w:r>
            <w:rPr>
              <w:sz w:val="28"/>
              <w:szCs w:val="28"/>
            </w:rPr>
            <w:fldChar w:fldCharType="end"/>
          </w:r>
        </w:p>
        <w:p w14:paraId="392CADEF">
          <w:pPr>
            <w:pStyle w:val="52"/>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sz w:val="28"/>
              <w:szCs w:val="28"/>
            </w:rPr>
          </w:pPr>
          <w:r>
            <w:rPr>
              <w:sz w:val="28"/>
              <w:szCs w:val="28"/>
            </w:rPr>
            <w:fldChar w:fldCharType="begin"/>
          </w:r>
          <w:r>
            <w:rPr>
              <w:sz w:val="28"/>
              <w:szCs w:val="28"/>
            </w:rPr>
            <w:instrText xml:space="preserve"> HYPERLINK \l _Toc28379 </w:instrText>
          </w:r>
          <w:r>
            <w:rPr>
              <w:sz w:val="28"/>
              <w:szCs w:val="28"/>
            </w:rPr>
            <w:fldChar w:fldCharType="separate"/>
          </w:r>
          <w:r>
            <w:rPr>
              <w:rFonts w:hint="eastAsia" w:asciiTheme="minorEastAsia" w:hAnsiTheme="minorEastAsia" w:eastAsiaTheme="minorEastAsia" w:cstheme="minorEastAsia"/>
              <w:sz w:val="28"/>
              <w:szCs w:val="48"/>
              <w:highlight w:val="none"/>
            </w:rPr>
            <w:t>第</w:t>
          </w:r>
          <w:r>
            <w:rPr>
              <w:rFonts w:hint="eastAsia" w:asciiTheme="minorEastAsia" w:hAnsiTheme="minorEastAsia" w:eastAsiaTheme="minorEastAsia" w:cstheme="minorEastAsia"/>
              <w:sz w:val="28"/>
              <w:szCs w:val="48"/>
              <w:highlight w:val="none"/>
              <w:lang w:val="en-US" w:eastAsia="zh-CN"/>
            </w:rPr>
            <w:t>三</w:t>
          </w:r>
          <w:r>
            <w:rPr>
              <w:rFonts w:hint="eastAsia" w:asciiTheme="minorEastAsia" w:hAnsiTheme="minorEastAsia" w:eastAsiaTheme="minorEastAsia" w:cstheme="minorEastAsia"/>
              <w:sz w:val="28"/>
              <w:szCs w:val="48"/>
              <w:highlight w:val="none"/>
            </w:rPr>
            <w:t>章 评标方法（综合评分法）</w:t>
          </w:r>
          <w:r>
            <w:rPr>
              <w:sz w:val="28"/>
              <w:szCs w:val="28"/>
            </w:rPr>
            <w:tab/>
          </w:r>
          <w:r>
            <w:rPr>
              <w:sz w:val="28"/>
              <w:szCs w:val="28"/>
            </w:rPr>
            <w:fldChar w:fldCharType="begin"/>
          </w:r>
          <w:r>
            <w:rPr>
              <w:sz w:val="28"/>
              <w:szCs w:val="28"/>
            </w:rPr>
            <w:instrText xml:space="preserve"> PAGEREF _Toc28379 \h </w:instrText>
          </w:r>
          <w:r>
            <w:rPr>
              <w:sz w:val="28"/>
              <w:szCs w:val="28"/>
            </w:rPr>
            <w:fldChar w:fldCharType="separate"/>
          </w:r>
          <w:r>
            <w:rPr>
              <w:sz w:val="28"/>
              <w:szCs w:val="28"/>
            </w:rPr>
            <w:t>27</w:t>
          </w:r>
          <w:r>
            <w:rPr>
              <w:sz w:val="28"/>
              <w:szCs w:val="28"/>
            </w:rPr>
            <w:fldChar w:fldCharType="end"/>
          </w:r>
          <w:r>
            <w:rPr>
              <w:sz w:val="28"/>
              <w:szCs w:val="28"/>
            </w:rPr>
            <w:fldChar w:fldCharType="end"/>
          </w:r>
        </w:p>
        <w:p w14:paraId="5816A335">
          <w:pPr>
            <w:pStyle w:val="52"/>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sz w:val="28"/>
              <w:szCs w:val="28"/>
            </w:rPr>
          </w:pPr>
          <w:r>
            <w:rPr>
              <w:sz w:val="28"/>
              <w:szCs w:val="28"/>
            </w:rPr>
            <w:fldChar w:fldCharType="begin"/>
          </w:r>
          <w:r>
            <w:rPr>
              <w:sz w:val="28"/>
              <w:szCs w:val="28"/>
            </w:rPr>
            <w:instrText xml:space="preserve"> HYPERLINK \l _Toc28640 </w:instrText>
          </w:r>
          <w:r>
            <w:rPr>
              <w:sz w:val="28"/>
              <w:szCs w:val="28"/>
            </w:rPr>
            <w:fldChar w:fldCharType="separate"/>
          </w:r>
          <w:r>
            <w:rPr>
              <w:rFonts w:hint="eastAsia" w:asciiTheme="minorEastAsia" w:hAnsiTheme="minorEastAsia" w:eastAsiaTheme="minorEastAsia" w:cstheme="minorEastAsia"/>
              <w:sz w:val="28"/>
              <w:szCs w:val="52"/>
              <w:highlight w:val="none"/>
              <w:lang w:val="en-US" w:eastAsia="zh-CN"/>
            </w:rPr>
            <w:t xml:space="preserve">第四章 </w:t>
          </w:r>
          <w:r>
            <w:rPr>
              <w:rFonts w:hint="eastAsia" w:asciiTheme="minorEastAsia" w:hAnsiTheme="minorEastAsia" w:eastAsiaTheme="minorEastAsia" w:cstheme="minorEastAsia"/>
              <w:sz w:val="28"/>
              <w:szCs w:val="52"/>
              <w:highlight w:val="none"/>
            </w:rPr>
            <w:t>合同主要条款</w:t>
          </w:r>
          <w:r>
            <w:rPr>
              <w:rFonts w:hint="eastAsia" w:asciiTheme="minorEastAsia" w:hAnsiTheme="minorEastAsia" w:eastAsiaTheme="minorEastAsia" w:cstheme="minorEastAsia"/>
              <w:sz w:val="28"/>
              <w:szCs w:val="52"/>
              <w:highlight w:val="none"/>
              <w:lang w:val="en-US" w:eastAsia="zh-CN"/>
            </w:rPr>
            <w:t>及</w:t>
          </w:r>
          <w:r>
            <w:rPr>
              <w:rFonts w:hint="eastAsia" w:asciiTheme="minorEastAsia" w:hAnsiTheme="minorEastAsia" w:eastAsiaTheme="minorEastAsia" w:cstheme="minorEastAsia"/>
              <w:sz w:val="28"/>
              <w:szCs w:val="52"/>
              <w:highlight w:val="none"/>
            </w:rPr>
            <w:t>格式</w:t>
          </w:r>
          <w:r>
            <w:rPr>
              <w:sz w:val="28"/>
              <w:szCs w:val="28"/>
            </w:rPr>
            <w:tab/>
          </w:r>
          <w:r>
            <w:rPr>
              <w:sz w:val="28"/>
              <w:szCs w:val="28"/>
            </w:rPr>
            <w:fldChar w:fldCharType="begin"/>
          </w:r>
          <w:r>
            <w:rPr>
              <w:sz w:val="28"/>
              <w:szCs w:val="28"/>
            </w:rPr>
            <w:instrText xml:space="preserve"> PAGEREF _Toc28640 \h </w:instrText>
          </w:r>
          <w:r>
            <w:rPr>
              <w:sz w:val="28"/>
              <w:szCs w:val="28"/>
            </w:rPr>
            <w:fldChar w:fldCharType="separate"/>
          </w:r>
          <w:r>
            <w:rPr>
              <w:sz w:val="28"/>
              <w:szCs w:val="28"/>
            </w:rPr>
            <w:t>35</w:t>
          </w:r>
          <w:r>
            <w:rPr>
              <w:sz w:val="28"/>
              <w:szCs w:val="28"/>
            </w:rPr>
            <w:fldChar w:fldCharType="end"/>
          </w:r>
          <w:r>
            <w:rPr>
              <w:sz w:val="28"/>
              <w:szCs w:val="28"/>
            </w:rPr>
            <w:fldChar w:fldCharType="end"/>
          </w:r>
        </w:p>
        <w:p w14:paraId="10AB62BE">
          <w:pPr>
            <w:pStyle w:val="52"/>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sz w:val="28"/>
              <w:szCs w:val="28"/>
            </w:rPr>
          </w:pPr>
          <w:r>
            <w:rPr>
              <w:sz w:val="28"/>
              <w:szCs w:val="28"/>
            </w:rPr>
            <w:fldChar w:fldCharType="begin"/>
          </w:r>
          <w:r>
            <w:rPr>
              <w:sz w:val="28"/>
              <w:szCs w:val="28"/>
            </w:rPr>
            <w:instrText xml:space="preserve"> HYPERLINK \l _Toc7675 </w:instrText>
          </w:r>
          <w:r>
            <w:rPr>
              <w:sz w:val="28"/>
              <w:szCs w:val="28"/>
            </w:rPr>
            <w:fldChar w:fldCharType="separate"/>
          </w:r>
          <w:r>
            <w:rPr>
              <w:rFonts w:hint="eastAsia" w:asciiTheme="minorEastAsia" w:hAnsiTheme="minorEastAsia" w:eastAsiaTheme="minorEastAsia" w:cstheme="minorEastAsia"/>
              <w:sz w:val="28"/>
              <w:szCs w:val="52"/>
              <w:highlight w:val="none"/>
            </w:rPr>
            <w:t>第</w:t>
          </w:r>
          <w:r>
            <w:rPr>
              <w:rFonts w:hint="eastAsia" w:asciiTheme="minorEastAsia" w:hAnsiTheme="minorEastAsia" w:eastAsiaTheme="minorEastAsia" w:cstheme="minorEastAsia"/>
              <w:sz w:val="28"/>
              <w:szCs w:val="52"/>
              <w:highlight w:val="none"/>
              <w:lang w:val="en-US" w:eastAsia="zh-CN"/>
            </w:rPr>
            <w:t>五</w:t>
          </w:r>
          <w:r>
            <w:rPr>
              <w:rFonts w:hint="eastAsia" w:asciiTheme="minorEastAsia" w:hAnsiTheme="minorEastAsia" w:eastAsiaTheme="minorEastAsia" w:cstheme="minorEastAsia"/>
              <w:sz w:val="28"/>
              <w:szCs w:val="52"/>
              <w:highlight w:val="none"/>
            </w:rPr>
            <w:t>章 投标文件格式</w:t>
          </w:r>
          <w:r>
            <w:rPr>
              <w:sz w:val="28"/>
              <w:szCs w:val="28"/>
            </w:rPr>
            <w:tab/>
          </w:r>
          <w:r>
            <w:rPr>
              <w:sz w:val="28"/>
              <w:szCs w:val="28"/>
            </w:rPr>
            <w:fldChar w:fldCharType="begin"/>
          </w:r>
          <w:r>
            <w:rPr>
              <w:sz w:val="28"/>
              <w:szCs w:val="28"/>
            </w:rPr>
            <w:instrText xml:space="preserve"> PAGEREF _Toc7675 \h </w:instrText>
          </w:r>
          <w:r>
            <w:rPr>
              <w:sz w:val="28"/>
              <w:szCs w:val="28"/>
            </w:rPr>
            <w:fldChar w:fldCharType="separate"/>
          </w:r>
          <w:r>
            <w:rPr>
              <w:sz w:val="28"/>
              <w:szCs w:val="28"/>
            </w:rPr>
            <w:t>44</w:t>
          </w:r>
          <w:r>
            <w:rPr>
              <w:sz w:val="28"/>
              <w:szCs w:val="28"/>
            </w:rPr>
            <w:fldChar w:fldCharType="end"/>
          </w:r>
          <w:r>
            <w:rPr>
              <w:sz w:val="28"/>
              <w:szCs w:val="28"/>
            </w:rPr>
            <w:fldChar w:fldCharType="end"/>
          </w:r>
        </w:p>
        <w:p w14:paraId="524F2985">
          <w:pPr>
            <w:pStyle w:val="52"/>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pPr>
          <w:r>
            <w:rPr>
              <w:sz w:val="28"/>
              <w:szCs w:val="28"/>
            </w:rPr>
            <w:fldChar w:fldCharType="begin"/>
          </w:r>
          <w:r>
            <w:rPr>
              <w:sz w:val="28"/>
              <w:szCs w:val="28"/>
            </w:rPr>
            <w:instrText xml:space="preserve"> HYPERLINK \l _Toc3512 </w:instrText>
          </w:r>
          <w:r>
            <w:rPr>
              <w:sz w:val="28"/>
              <w:szCs w:val="28"/>
            </w:rPr>
            <w:fldChar w:fldCharType="separate"/>
          </w:r>
          <w:r>
            <w:rPr>
              <w:rFonts w:hint="eastAsia" w:asciiTheme="minorEastAsia" w:hAnsiTheme="minorEastAsia" w:eastAsiaTheme="minorEastAsia" w:cstheme="minorEastAsia"/>
              <w:sz w:val="28"/>
              <w:szCs w:val="52"/>
              <w:highlight w:val="none"/>
            </w:rPr>
            <w:t>第</w:t>
          </w:r>
          <w:r>
            <w:rPr>
              <w:rFonts w:hint="eastAsia" w:asciiTheme="minorEastAsia" w:hAnsiTheme="minorEastAsia" w:eastAsiaTheme="minorEastAsia" w:cstheme="minorEastAsia"/>
              <w:sz w:val="28"/>
              <w:szCs w:val="52"/>
              <w:highlight w:val="none"/>
              <w:lang w:val="en-US" w:eastAsia="zh-CN"/>
            </w:rPr>
            <w:t>六</w:t>
          </w:r>
          <w:r>
            <w:rPr>
              <w:rFonts w:hint="eastAsia" w:asciiTheme="minorEastAsia" w:hAnsiTheme="minorEastAsia" w:eastAsiaTheme="minorEastAsia" w:cstheme="minorEastAsia"/>
              <w:sz w:val="28"/>
              <w:szCs w:val="52"/>
              <w:highlight w:val="none"/>
            </w:rPr>
            <w:t>章 采购需求</w:t>
          </w:r>
          <w:r>
            <w:rPr>
              <w:sz w:val="28"/>
              <w:szCs w:val="28"/>
            </w:rPr>
            <w:tab/>
          </w:r>
          <w:r>
            <w:rPr>
              <w:sz w:val="28"/>
              <w:szCs w:val="28"/>
            </w:rPr>
            <w:fldChar w:fldCharType="begin"/>
          </w:r>
          <w:r>
            <w:rPr>
              <w:sz w:val="28"/>
              <w:szCs w:val="28"/>
            </w:rPr>
            <w:instrText xml:space="preserve"> PAGEREF _Toc3512 \h </w:instrText>
          </w:r>
          <w:r>
            <w:rPr>
              <w:sz w:val="28"/>
              <w:szCs w:val="28"/>
            </w:rPr>
            <w:fldChar w:fldCharType="separate"/>
          </w:r>
          <w:r>
            <w:rPr>
              <w:sz w:val="28"/>
              <w:szCs w:val="28"/>
            </w:rPr>
            <w:t>58</w:t>
          </w:r>
          <w:r>
            <w:rPr>
              <w:sz w:val="28"/>
              <w:szCs w:val="28"/>
            </w:rPr>
            <w:fldChar w:fldCharType="end"/>
          </w:r>
          <w:r>
            <w:rPr>
              <w:sz w:val="28"/>
              <w:szCs w:val="28"/>
            </w:rPr>
            <w:fldChar w:fldCharType="end"/>
          </w:r>
        </w:p>
        <w:p w14:paraId="79622E62">
          <w:pPr>
            <w:sectPr>
              <w:headerReference r:id="rId8" w:type="first"/>
              <w:footerReference r:id="rId9" w:type="default"/>
              <w:type w:val="continuous"/>
              <w:pgSz w:w="11906" w:h="16838"/>
              <w:pgMar w:top="1440" w:right="1080" w:bottom="1440" w:left="1080" w:header="850" w:footer="992" w:gutter="0"/>
              <w:pgNumType w:fmt="decimal"/>
              <w:cols w:space="0" w:num="1"/>
              <w:rtlGutter w:val="0"/>
              <w:docGrid w:type="lines" w:linePitch="321" w:charSpace="0"/>
            </w:sectPr>
          </w:pPr>
          <w:r>
            <w:fldChar w:fldCharType="end"/>
          </w:r>
        </w:p>
      </w:sdtContent>
    </w:sdt>
    <w:p w14:paraId="64093DAB">
      <w:pPr>
        <w:pStyle w:val="3"/>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color w:val="auto"/>
          <w:kern w:val="0"/>
          <w:sz w:val="36"/>
          <w:szCs w:val="36"/>
          <w:highlight w:val="none"/>
        </w:rPr>
      </w:pPr>
      <w:bookmarkStart w:id="3" w:name="_Toc8470"/>
      <w:bookmarkStart w:id="4" w:name="_Toc29933"/>
      <w:bookmarkStart w:id="5" w:name="_Toc31738"/>
      <w:r>
        <w:rPr>
          <w:rFonts w:hint="eastAsia" w:asciiTheme="minorEastAsia" w:hAnsiTheme="minorEastAsia" w:eastAsiaTheme="minorEastAsia" w:cstheme="minorEastAsia"/>
          <w:color w:val="auto"/>
          <w:kern w:val="0"/>
          <w:sz w:val="36"/>
          <w:szCs w:val="36"/>
          <w:highlight w:val="none"/>
        </w:rPr>
        <w:t>第一章 招标公告</w:t>
      </w:r>
      <w:bookmarkEnd w:id="3"/>
      <w:bookmarkEnd w:id="4"/>
      <w:bookmarkEnd w:id="5"/>
    </w:p>
    <w:p w14:paraId="3359799A">
      <w:pPr>
        <w:keepNext w:val="0"/>
        <w:keepLines w:val="0"/>
        <w:pageBreakBefore w:val="0"/>
        <w:shd w:val="clear" w:color="auto" w:fill="auto"/>
        <w:kinsoku/>
        <w:overflowPunct/>
        <w:topLinePunct w:val="0"/>
        <w:autoSpaceDE/>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bookmarkStart w:id="6" w:name="_Toc223860496"/>
      <w:bookmarkStart w:id="7" w:name="_Toc403511210"/>
      <w:bookmarkStart w:id="8" w:name="_Toc353901291"/>
      <w:r>
        <w:rPr>
          <w:rFonts w:hint="eastAsia" w:asciiTheme="minorEastAsia" w:hAnsiTheme="minorEastAsia" w:eastAsiaTheme="minorEastAsia" w:cstheme="minorEastAsia"/>
          <w:b/>
          <w:bCs/>
          <w:color w:val="auto"/>
          <w:sz w:val="28"/>
          <w:szCs w:val="28"/>
          <w:highlight w:val="none"/>
          <w:lang w:val="en-US" w:eastAsia="zh-CN"/>
        </w:rPr>
        <w:t>临沧市临翔区医共体医保智能风控系统软件</w:t>
      </w:r>
      <w:r>
        <w:rPr>
          <w:rFonts w:hint="eastAsia" w:asciiTheme="minorEastAsia" w:hAnsiTheme="minorEastAsia" w:eastAsiaTheme="minorEastAsia" w:cstheme="minorEastAsia"/>
          <w:b/>
          <w:bCs/>
          <w:color w:val="auto"/>
          <w:sz w:val="28"/>
          <w:szCs w:val="28"/>
          <w:highlight w:val="none"/>
        </w:rPr>
        <w:t>招标公告</w:t>
      </w:r>
      <w:bookmarkEnd w:id="6"/>
      <w:bookmarkEnd w:id="7"/>
      <w:bookmarkEnd w:id="8"/>
    </w:p>
    <w:p w14:paraId="3EC8EA6F">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p>
    <w:p w14:paraId="2EC7428B">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r>
        <w:rPr>
          <w:rFonts w:hint="eastAsia" w:asciiTheme="minorEastAsia" w:hAnsiTheme="minorEastAsia" w:eastAsiaTheme="minorEastAsia" w:cstheme="minorEastAsia"/>
          <w:color w:val="auto"/>
          <w:sz w:val="24"/>
          <w:szCs w:val="24"/>
          <w:highlight w:val="none"/>
        </w:rPr>
        <w:t>的潜在</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u w:val="single"/>
        </w:rPr>
        <w:t>政采云平台（</w:t>
      </w: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HYPERLINK "https://www.zcygov.cn/"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https://www.zcygov.cn/</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下同</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获取招标文件，并于</w:t>
      </w:r>
      <w:r>
        <w:rPr>
          <w:rFonts w:hint="eastAsia" w:asciiTheme="minorEastAsia" w:hAnsiTheme="minorEastAsia" w:eastAsiaTheme="minorEastAsia" w:cstheme="minorEastAsia"/>
          <w:color w:val="auto"/>
          <w:sz w:val="24"/>
          <w:szCs w:val="24"/>
          <w:highlight w:val="none"/>
          <w:u w:val="none"/>
        </w:rPr>
        <w:t>202</w:t>
      </w:r>
      <w:r>
        <w:rPr>
          <w:rFonts w:hint="eastAsia" w:asciiTheme="minorEastAsia" w:hAnsiTheme="minorEastAsia" w:eastAsiaTheme="minorEastAsia" w:cstheme="minorEastAsia"/>
          <w:color w:val="auto"/>
          <w:sz w:val="24"/>
          <w:szCs w:val="24"/>
          <w:highlight w:val="none"/>
          <w:u w:val="none"/>
          <w:lang w:val="en-US" w:eastAsia="zh-CN"/>
        </w:rPr>
        <w:t>5</w:t>
      </w:r>
      <w:r>
        <w:rPr>
          <w:rFonts w:hint="eastAsia" w:asciiTheme="minorEastAsia" w:hAnsiTheme="minorEastAsia" w:eastAsiaTheme="minorEastAsia" w:cstheme="minorEastAsia"/>
          <w:bCs/>
          <w:color w:val="auto"/>
          <w:sz w:val="24"/>
          <w:szCs w:val="24"/>
          <w:highlight w:val="none"/>
          <w:u w:val="none"/>
        </w:rPr>
        <w:t>年</w:t>
      </w:r>
      <w:r>
        <w:rPr>
          <w:rFonts w:hint="eastAsia" w:asciiTheme="minorEastAsia" w:hAnsiTheme="minorEastAsia" w:eastAsiaTheme="minorEastAsia" w:cstheme="minorEastAsia"/>
          <w:bCs/>
          <w:color w:val="auto"/>
          <w:sz w:val="24"/>
          <w:szCs w:val="24"/>
          <w:highlight w:val="none"/>
          <w:u w:val="none"/>
          <w:lang w:val="en-US" w:eastAsia="zh-CN"/>
        </w:rPr>
        <w:t>02</w:t>
      </w:r>
      <w:r>
        <w:rPr>
          <w:rFonts w:hint="eastAsia" w:asciiTheme="minorEastAsia" w:hAnsiTheme="minorEastAsia" w:eastAsiaTheme="minorEastAsia" w:cstheme="minorEastAsia"/>
          <w:bCs/>
          <w:color w:val="auto"/>
          <w:sz w:val="24"/>
          <w:szCs w:val="24"/>
          <w:highlight w:val="none"/>
          <w:u w:val="none"/>
        </w:rPr>
        <w:t>月</w:t>
      </w:r>
      <w:r>
        <w:rPr>
          <w:rFonts w:hint="eastAsia" w:asciiTheme="minorEastAsia" w:hAnsiTheme="minorEastAsia" w:eastAsiaTheme="minorEastAsia" w:cstheme="minorEastAsia"/>
          <w:bCs/>
          <w:color w:val="auto"/>
          <w:sz w:val="24"/>
          <w:szCs w:val="24"/>
          <w:highlight w:val="none"/>
          <w:u w:val="none"/>
          <w:lang w:val="en-US" w:eastAsia="zh-CN"/>
        </w:rPr>
        <w:t xml:space="preserve"> 12 </w:t>
      </w:r>
      <w:r>
        <w:rPr>
          <w:rFonts w:hint="eastAsia" w:asciiTheme="minorEastAsia" w:hAnsiTheme="minorEastAsia" w:eastAsiaTheme="minorEastAsia" w:cstheme="minorEastAsia"/>
          <w:bCs/>
          <w:color w:val="auto"/>
          <w:sz w:val="24"/>
          <w:szCs w:val="24"/>
          <w:highlight w:val="none"/>
          <w:u w:val="none"/>
        </w:rPr>
        <w:t>日</w:t>
      </w:r>
      <w:r>
        <w:rPr>
          <w:rFonts w:hint="eastAsia" w:asciiTheme="minorEastAsia" w:hAnsiTheme="minorEastAsia" w:eastAsiaTheme="minorEastAsia" w:cstheme="minorEastAsia"/>
          <w:bCs/>
          <w:color w:val="auto"/>
          <w:sz w:val="24"/>
          <w:szCs w:val="24"/>
          <w:highlight w:val="none"/>
          <w:u w:val="none"/>
          <w:lang w:val="en-US" w:eastAsia="zh-CN"/>
        </w:rPr>
        <w:t>09时0</w:t>
      </w:r>
      <w:r>
        <w:rPr>
          <w:rFonts w:hint="eastAsia" w:asciiTheme="minorEastAsia" w:hAnsiTheme="minorEastAsia" w:eastAsiaTheme="minorEastAsia" w:cstheme="minorEastAsia"/>
          <w:bCs/>
          <w:color w:val="auto"/>
          <w:sz w:val="24"/>
          <w:szCs w:val="24"/>
          <w:highlight w:val="none"/>
          <w:u w:val="none"/>
        </w:rPr>
        <w:t>0分（</w:t>
      </w:r>
      <w:r>
        <w:rPr>
          <w:rFonts w:hint="eastAsia" w:asciiTheme="minorEastAsia" w:hAnsiTheme="minorEastAsia" w:eastAsiaTheme="minorEastAsia" w:cstheme="minorEastAsia"/>
          <w:bCs/>
          <w:color w:val="auto"/>
          <w:sz w:val="24"/>
          <w:szCs w:val="24"/>
          <w:highlight w:val="none"/>
        </w:rPr>
        <w:t>北京时间）前递交投标文件</w:t>
      </w:r>
      <w:r>
        <w:rPr>
          <w:rFonts w:hint="eastAsia" w:asciiTheme="minorEastAsia" w:hAnsiTheme="minorEastAsia" w:eastAsiaTheme="minorEastAsia" w:cstheme="minorEastAsia"/>
          <w:color w:val="auto"/>
          <w:sz w:val="24"/>
          <w:szCs w:val="24"/>
          <w:highlight w:val="none"/>
        </w:rPr>
        <w:t>。</w:t>
      </w:r>
    </w:p>
    <w:p w14:paraId="4B8DB874">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color w:val="auto"/>
          <w:sz w:val="24"/>
          <w:szCs w:val="24"/>
          <w:highlight w:val="none"/>
        </w:rPr>
      </w:pPr>
      <w:bookmarkStart w:id="9" w:name="_Toc28359002"/>
      <w:bookmarkStart w:id="10" w:name="_Toc35393621"/>
      <w:bookmarkStart w:id="11" w:name="_Toc35393790"/>
      <w:bookmarkStart w:id="12" w:name="_Toc28359079"/>
      <w:bookmarkStart w:id="13" w:name="_Hlk24379207"/>
      <w:r>
        <w:rPr>
          <w:rFonts w:hint="eastAsia" w:asciiTheme="minorEastAsia" w:hAnsiTheme="minorEastAsia" w:eastAsiaTheme="minorEastAsia" w:cstheme="minorEastAsia"/>
          <w:b/>
          <w:bCs/>
          <w:color w:val="auto"/>
          <w:sz w:val="24"/>
          <w:szCs w:val="24"/>
          <w:highlight w:val="none"/>
        </w:rPr>
        <w:t>一、项目基本情况</w:t>
      </w:r>
      <w:bookmarkEnd w:id="9"/>
      <w:bookmarkEnd w:id="10"/>
      <w:bookmarkEnd w:id="11"/>
      <w:bookmarkEnd w:id="12"/>
    </w:p>
    <w:p w14:paraId="7C5CE7B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1.招标</w:t>
      </w: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lang w:eastAsia="zh-CN"/>
        </w:rPr>
        <w:t>LCZC2025-G1-00018-YNLX-0001</w:t>
      </w:r>
    </w:p>
    <w:p w14:paraId="6F56481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临沧市临翔区医共体医保智能风控系统软件</w:t>
      </w:r>
    </w:p>
    <w:bookmarkEnd w:id="13"/>
    <w:p w14:paraId="2CF6AE31">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3.采购方式：公开招标</w:t>
      </w:r>
    </w:p>
    <w:p w14:paraId="358E705F">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198</w:t>
      </w:r>
    </w:p>
    <w:p w14:paraId="149DFFAD">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198</w:t>
      </w:r>
    </w:p>
    <w:p w14:paraId="3B96E81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采购需求：</w:t>
      </w:r>
    </w:p>
    <w:p w14:paraId="21C0F706">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（一）</w:t>
      </w:r>
      <w:r>
        <w:rPr>
          <w:rFonts w:hint="eastAsia" w:asciiTheme="minorEastAsia" w:hAnsiTheme="minorEastAsia" w:eastAsiaTheme="minorEastAsia" w:cstheme="minorEastAsia"/>
          <w:b/>
          <w:bCs/>
          <w:color w:val="auto"/>
          <w:kern w:val="0"/>
          <w:sz w:val="24"/>
          <w:szCs w:val="24"/>
          <w:highlight w:val="none"/>
        </w:rPr>
        <w:t>采购内容</w:t>
      </w:r>
    </w:p>
    <w:tbl>
      <w:tblPr>
        <w:tblStyle w:val="24"/>
        <w:tblW w:w="47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2834"/>
        <w:gridCol w:w="1059"/>
        <w:gridCol w:w="1627"/>
        <w:gridCol w:w="3002"/>
      </w:tblGrid>
      <w:tr w14:paraId="25E0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541" w:type="pct"/>
            <w:tcBorders>
              <w:top w:val="single" w:color="auto" w:sz="4" w:space="0"/>
              <w:left w:val="single" w:color="auto" w:sz="4" w:space="0"/>
              <w:bottom w:val="single" w:color="auto" w:sz="4" w:space="0"/>
              <w:right w:val="single" w:color="auto" w:sz="4" w:space="0"/>
            </w:tcBorders>
            <w:noWrap w:val="0"/>
            <w:vAlign w:val="center"/>
          </w:tcPr>
          <w:p w14:paraId="3439E5AB">
            <w:pPr>
              <w:pStyle w:val="50"/>
              <w:widowControl/>
              <w:rPr>
                <w:rFonts w:hint="eastAsia" w:asciiTheme="minorEastAsia" w:hAnsiTheme="minorEastAsia" w:eastAsiaTheme="minorEastAsia" w:cstheme="minorEastAsia"/>
                <w:b/>
                <w:bCs w:val="0"/>
                <w:kern w:val="2"/>
                <w:sz w:val="24"/>
                <w:szCs w:val="24"/>
              </w:rPr>
            </w:pPr>
            <w:r>
              <w:rPr>
                <w:rFonts w:hint="eastAsia" w:asciiTheme="minorEastAsia" w:hAnsiTheme="minorEastAsia" w:eastAsiaTheme="minorEastAsia" w:cstheme="minorEastAsia"/>
                <w:b/>
                <w:bCs w:val="0"/>
                <w:kern w:val="2"/>
                <w:sz w:val="24"/>
                <w:szCs w:val="24"/>
              </w:rPr>
              <w:t>序号</w:t>
            </w:r>
          </w:p>
        </w:tc>
        <w:tc>
          <w:tcPr>
            <w:tcW w:w="1482" w:type="pct"/>
            <w:tcBorders>
              <w:top w:val="single" w:color="auto" w:sz="4" w:space="0"/>
              <w:left w:val="single" w:color="auto" w:sz="4" w:space="0"/>
              <w:bottom w:val="single" w:color="auto" w:sz="4" w:space="0"/>
              <w:right w:val="single" w:color="auto" w:sz="4" w:space="0"/>
            </w:tcBorders>
            <w:noWrap w:val="0"/>
            <w:vAlign w:val="center"/>
          </w:tcPr>
          <w:p w14:paraId="243307C3">
            <w:pPr>
              <w:pStyle w:val="50"/>
              <w:widowControl/>
              <w:rPr>
                <w:rFonts w:hint="eastAsia" w:asciiTheme="minorEastAsia" w:hAnsiTheme="minorEastAsia" w:eastAsiaTheme="minorEastAsia" w:cstheme="minorEastAsia"/>
                <w:b/>
                <w:bCs w:val="0"/>
                <w:kern w:val="2"/>
                <w:sz w:val="24"/>
                <w:szCs w:val="24"/>
              </w:rPr>
            </w:pPr>
            <w:r>
              <w:rPr>
                <w:rFonts w:hint="eastAsia" w:asciiTheme="minorEastAsia" w:hAnsiTheme="minorEastAsia" w:eastAsiaTheme="minorEastAsia" w:cstheme="minorEastAsia"/>
                <w:b/>
                <w:bCs w:val="0"/>
                <w:kern w:val="2"/>
                <w:sz w:val="24"/>
                <w:szCs w:val="24"/>
                <w:lang w:val="en-US" w:eastAsia="zh-CN"/>
              </w:rPr>
              <w:t>设备名称</w:t>
            </w:r>
          </w:p>
        </w:tc>
        <w:tc>
          <w:tcPr>
            <w:tcW w:w="554" w:type="pct"/>
            <w:tcBorders>
              <w:top w:val="single" w:color="auto" w:sz="4" w:space="0"/>
              <w:left w:val="single" w:color="auto" w:sz="4" w:space="0"/>
              <w:bottom w:val="single" w:color="auto" w:sz="4" w:space="0"/>
              <w:right w:val="single" w:color="auto" w:sz="4" w:space="0"/>
            </w:tcBorders>
            <w:noWrap w:val="0"/>
            <w:vAlign w:val="center"/>
          </w:tcPr>
          <w:p w14:paraId="38F9410D">
            <w:pPr>
              <w:pStyle w:val="50"/>
              <w:widowControl/>
              <w:rPr>
                <w:rFonts w:hint="eastAsia" w:asciiTheme="minorEastAsia" w:hAnsiTheme="minorEastAsia" w:eastAsiaTheme="minorEastAsia" w:cstheme="minorEastAsia"/>
                <w:b/>
                <w:bCs w:val="0"/>
                <w:kern w:val="2"/>
                <w:sz w:val="24"/>
                <w:szCs w:val="24"/>
              </w:rPr>
            </w:pPr>
            <w:r>
              <w:rPr>
                <w:rFonts w:hint="eastAsia" w:asciiTheme="minorEastAsia" w:hAnsiTheme="minorEastAsia" w:eastAsiaTheme="minorEastAsia" w:cstheme="minorEastAsia"/>
                <w:b/>
                <w:bCs w:val="0"/>
                <w:kern w:val="2"/>
                <w:sz w:val="24"/>
                <w:szCs w:val="24"/>
              </w:rPr>
              <w:t>数量</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5191F9C5">
            <w:pPr>
              <w:pStyle w:val="50"/>
              <w:widowControl/>
              <w:rPr>
                <w:rFonts w:hint="eastAsia" w:asciiTheme="minorEastAsia" w:hAnsiTheme="minorEastAsia" w:eastAsiaTheme="minorEastAsia" w:cstheme="minorEastAsia"/>
                <w:b/>
                <w:bCs w:val="0"/>
                <w:kern w:val="2"/>
                <w:sz w:val="24"/>
                <w:szCs w:val="24"/>
              </w:rPr>
            </w:pPr>
            <w:r>
              <w:rPr>
                <w:rFonts w:hint="eastAsia" w:asciiTheme="minorEastAsia" w:hAnsiTheme="minorEastAsia" w:eastAsiaTheme="minorEastAsia" w:cstheme="minorEastAsia"/>
                <w:b/>
                <w:bCs w:val="0"/>
                <w:kern w:val="2"/>
                <w:sz w:val="24"/>
                <w:szCs w:val="24"/>
              </w:rPr>
              <w:t>单位</w:t>
            </w:r>
          </w:p>
        </w:tc>
        <w:tc>
          <w:tcPr>
            <w:tcW w:w="1570" w:type="pct"/>
            <w:tcBorders>
              <w:top w:val="single" w:color="auto" w:sz="4" w:space="0"/>
              <w:left w:val="single" w:color="auto" w:sz="4" w:space="0"/>
              <w:bottom w:val="single" w:color="auto" w:sz="4" w:space="0"/>
              <w:right w:val="single" w:color="auto" w:sz="4" w:space="0"/>
            </w:tcBorders>
            <w:noWrap w:val="0"/>
            <w:vAlign w:val="center"/>
          </w:tcPr>
          <w:p w14:paraId="1CF3221D">
            <w:pPr>
              <w:pStyle w:val="50"/>
              <w:widowControl/>
              <w:rPr>
                <w:rFonts w:hint="default" w:asciiTheme="minorEastAsia" w:hAnsiTheme="minorEastAsia" w:eastAsiaTheme="minorEastAsia" w:cstheme="minorEastAsia"/>
                <w:b/>
                <w:bCs w:val="0"/>
                <w:kern w:val="2"/>
                <w:sz w:val="24"/>
                <w:szCs w:val="24"/>
                <w:lang w:val="en-US" w:eastAsia="zh-CN"/>
              </w:rPr>
            </w:pPr>
            <w:r>
              <w:rPr>
                <w:rFonts w:hint="eastAsia" w:asciiTheme="minorEastAsia" w:hAnsiTheme="minorEastAsia" w:eastAsiaTheme="minorEastAsia" w:cstheme="minorEastAsia"/>
                <w:b/>
                <w:bCs w:val="0"/>
                <w:kern w:val="2"/>
                <w:sz w:val="24"/>
                <w:szCs w:val="24"/>
                <w:lang w:val="en-US" w:eastAsia="zh-CN"/>
              </w:rPr>
              <w:t>技术参数</w:t>
            </w:r>
          </w:p>
        </w:tc>
      </w:tr>
      <w:tr w14:paraId="72C91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541" w:type="pct"/>
            <w:tcBorders>
              <w:top w:val="single" w:color="auto" w:sz="4" w:space="0"/>
              <w:left w:val="single" w:color="auto" w:sz="4" w:space="0"/>
              <w:bottom w:val="single" w:color="auto" w:sz="4" w:space="0"/>
              <w:right w:val="single" w:color="auto" w:sz="4" w:space="0"/>
            </w:tcBorders>
            <w:noWrap w:val="0"/>
            <w:vAlign w:val="center"/>
          </w:tcPr>
          <w:p w14:paraId="58D01677">
            <w:pPr>
              <w:pStyle w:val="50"/>
              <w:widowControl/>
              <w:numPr>
                <w:ilvl w:val="0"/>
                <w:numId w:val="1"/>
              </w:numPr>
              <w:ind w:left="420" w:hanging="420"/>
              <w:rPr>
                <w:rFonts w:hint="eastAsia" w:asciiTheme="minorEastAsia" w:hAnsiTheme="minorEastAsia" w:eastAsiaTheme="minorEastAsia" w:cstheme="minorEastAsia"/>
                <w:kern w:val="2"/>
                <w:sz w:val="24"/>
                <w:szCs w:val="24"/>
              </w:rPr>
            </w:pPr>
          </w:p>
        </w:tc>
        <w:tc>
          <w:tcPr>
            <w:tcW w:w="1482" w:type="pct"/>
            <w:tcBorders>
              <w:top w:val="single" w:color="auto" w:sz="4" w:space="0"/>
              <w:left w:val="single" w:color="auto" w:sz="4" w:space="0"/>
              <w:bottom w:val="single" w:color="auto" w:sz="4" w:space="0"/>
              <w:right w:val="single" w:color="auto" w:sz="4" w:space="0"/>
            </w:tcBorders>
            <w:noWrap w:val="0"/>
            <w:vAlign w:val="center"/>
          </w:tcPr>
          <w:p w14:paraId="6D18B659">
            <w:pPr>
              <w:pStyle w:val="50"/>
              <w:widowControl/>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bidi="ar"/>
              </w:rPr>
              <w:t>医保智能风控系统</w:t>
            </w:r>
          </w:p>
        </w:tc>
        <w:tc>
          <w:tcPr>
            <w:tcW w:w="554" w:type="pct"/>
            <w:tcBorders>
              <w:top w:val="single" w:color="auto" w:sz="4" w:space="0"/>
              <w:left w:val="single" w:color="auto" w:sz="4" w:space="0"/>
              <w:bottom w:val="single" w:color="auto" w:sz="4" w:space="0"/>
              <w:right w:val="single" w:color="auto" w:sz="4" w:space="0"/>
            </w:tcBorders>
            <w:noWrap w:val="0"/>
            <w:vAlign w:val="center"/>
          </w:tcPr>
          <w:p w14:paraId="6EE9E286">
            <w:pPr>
              <w:pStyle w:val="50"/>
              <w:widowControl/>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5189642D">
            <w:pPr>
              <w:pStyle w:val="50"/>
              <w:widowControl/>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套</w:t>
            </w:r>
          </w:p>
        </w:tc>
        <w:tc>
          <w:tcPr>
            <w:tcW w:w="1570" w:type="pct"/>
            <w:vMerge w:val="restart"/>
            <w:tcBorders>
              <w:top w:val="single" w:color="auto" w:sz="4" w:space="0"/>
              <w:left w:val="single" w:color="auto" w:sz="4" w:space="0"/>
              <w:right w:val="single" w:color="auto" w:sz="4" w:space="0"/>
            </w:tcBorders>
            <w:noWrap w:val="0"/>
            <w:vAlign w:val="center"/>
          </w:tcPr>
          <w:p w14:paraId="253A602D">
            <w:pPr>
              <w:pStyle w:val="50"/>
              <w:widowControl/>
              <w:rPr>
                <w:rFonts w:hint="default"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详见第六章“采购需求”。</w:t>
            </w:r>
          </w:p>
        </w:tc>
      </w:tr>
      <w:tr w14:paraId="248A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541" w:type="pct"/>
            <w:tcBorders>
              <w:top w:val="single" w:color="auto" w:sz="4" w:space="0"/>
              <w:left w:val="single" w:color="auto" w:sz="4" w:space="0"/>
              <w:bottom w:val="single" w:color="auto" w:sz="4" w:space="0"/>
              <w:right w:val="single" w:color="auto" w:sz="4" w:space="0"/>
            </w:tcBorders>
            <w:noWrap w:val="0"/>
            <w:vAlign w:val="center"/>
          </w:tcPr>
          <w:p w14:paraId="1C5F7954">
            <w:pPr>
              <w:pStyle w:val="50"/>
              <w:widowControl/>
              <w:numPr>
                <w:ilvl w:val="0"/>
                <w:numId w:val="1"/>
              </w:numPr>
              <w:ind w:left="420" w:hanging="420"/>
              <w:rPr>
                <w:rFonts w:hint="eastAsia" w:asciiTheme="minorEastAsia" w:hAnsiTheme="minorEastAsia" w:eastAsiaTheme="minorEastAsia" w:cstheme="minorEastAsia"/>
                <w:kern w:val="2"/>
                <w:sz w:val="24"/>
                <w:szCs w:val="24"/>
              </w:rPr>
            </w:pPr>
          </w:p>
        </w:tc>
        <w:tc>
          <w:tcPr>
            <w:tcW w:w="1482" w:type="pct"/>
            <w:tcBorders>
              <w:top w:val="single" w:color="auto" w:sz="4" w:space="0"/>
              <w:left w:val="single" w:color="auto" w:sz="4" w:space="0"/>
              <w:bottom w:val="single" w:color="auto" w:sz="4" w:space="0"/>
              <w:right w:val="single" w:color="auto" w:sz="4" w:space="0"/>
            </w:tcBorders>
            <w:noWrap w:val="0"/>
            <w:vAlign w:val="center"/>
          </w:tcPr>
          <w:p w14:paraId="0A4EDAA3">
            <w:pPr>
              <w:pStyle w:val="50"/>
              <w:widowControl/>
              <w:rPr>
                <w:rFonts w:hint="eastAsia" w:asciiTheme="minorEastAsia" w:hAnsiTheme="minorEastAsia" w:eastAsiaTheme="minorEastAsia" w:cstheme="minorEastAsia"/>
                <w:kern w:val="2"/>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硬件服务器</w:t>
            </w:r>
          </w:p>
        </w:tc>
        <w:tc>
          <w:tcPr>
            <w:tcW w:w="554" w:type="pct"/>
            <w:tcBorders>
              <w:top w:val="single" w:color="auto" w:sz="4" w:space="0"/>
              <w:left w:val="single" w:color="auto" w:sz="4" w:space="0"/>
              <w:bottom w:val="single" w:color="auto" w:sz="4" w:space="0"/>
              <w:right w:val="single" w:color="auto" w:sz="4" w:space="0"/>
            </w:tcBorders>
            <w:noWrap w:val="0"/>
            <w:vAlign w:val="center"/>
          </w:tcPr>
          <w:p w14:paraId="4AED0DB9">
            <w:pPr>
              <w:pStyle w:val="50"/>
              <w:widowControl/>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2</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3AB42BC6">
            <w:pPr>
              <w:pStyle w:val="50"/>
              <w:widowControl/>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台</w:t>
            </w:r>
          </w:p>
        </w:tc>
        <w:tc>
          <w:tcPr>
            <w:tcW w:w="1570" w:type="pct"/>
            <w:vMerge w:val="continue"/>
            <w:tcBorders>
              <w:left w:val="single" w:color="auto" w:sz="4" w:space="0"/>
              <w:bottom w:val="single" w:color="auto" w:sz="4" w:space="0"/>
              <w:right w:val="single" w:color="auto" w:sz="4" w:space="0"/>
            </w:tcBorders>
            <w:noWrap w:val="0"/>
            <w:vAlign w:val="center"/>
          </w:tcPr>
          <w:p w14:paraId="026731A9">
            <w:pPr>
              <w:pStyle w:val="50"/>
              <w:widowControl/>
              <w:rPr>
                <w:rFonts w:hint="eastAsia" w:asciiTheme="minorEastAsia" w:hAnsiTheme="minorEastAsia" w:eastAsiaTheme="minorEastAsia" w:cstheme="minorEastAsia"/>
                <w:kern w:val="2"/>
                <w:sz w:val="24"/>
                <w:szCs w:val="24"/>
                <w:lang w:val="en-US" w:eastAsia="zh-CN"/>
              </w:rPr>
            </w:pPr>
          </w:p>
        </w:tc>
      </w:tr>
    </w:tbl>
    <w:p w14:paraId="4E5A4267">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default" w:asciiTheme="minorEastAsia" w:hAnsiTheme="minorEastAsia" w:eastAsiaTheme="minorEastAsia" w:cstheme="minorEastAsia"/>
          <w:b w:val="0"/>
          <w:bCs w:val="0"/>
          <w:color w:val="FF0000"/>
          <w:kern w:val="0"/>
          <w:sz w:val="24"/>
          <w:szCs w:val="24"/>
          <w:highlight w:val="none"/>
          <w:lang w:val="en-US"/>
        </w:rPr>
      </w:pPr>
      <w:r>
        <w:rPr>
          <w:rFonts w:hint="eastAsia" w:asciiTheme="minorEastAsia" w:hAnsiTheme="minorEastAsia" w:eastAsiaTheme="minorEastAsia" w:cstheme="minorEastAsia"/>
          <w:b/>
          <w:bCs/>
          <w:color w:val="auto"/>
          <w:kern w:val="0"/>
          <w:sz w:val="24"/>
          <w:szCs w:val="24"/>
          <w:highlight w:val="none"/>
          <w:lang w:val="en-US" w:eastAsia="zh-CN"/>
        </w:rPr>
        <w:t>（二）交货地点：</w:t>
      </w:r>
      <w:r>
        <w:rPr>
          <w:rFonts w:hint="eastAsia" w:asciiTheme="minorEastAsia" w:hAnsiTheme="minorEastAsia" w:eastAsiaTheme="minorEastAsia" w:cstheme="minorEastAsia"/>
          <w:b w:val="0"/>
          <w:bCs w:val="0"/>
          <w:color w:val="auto"/>
          <w:kern w:val="0"/>
          <w:sz w:val="24"/>
          <w:szCs w:val="24"/>
          <w:highlight w:val="none"/>
          <w:lang w:val="en-US" w:eastAsia="zh-CN"/>
        </w:rPr>
        <w:t>甲方指定地点</w:t>
      </w:r>
    </w:p>
    <w:p w14:paraId="261314A6">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Theme="minorEastAsia" w:hAnsiTheme="minorEastAsia" w:eastAsiaTheme="minorEastAsia" w:cstheme="minorEastAsia"/>
          <w:b w:val="0"/>
          <w:bCs w:val="0"/>
          <w:color w:val="auto"/>
          <w:kern w:val="0"/>
          <w:sz w:val="24"/>
          <w:szCs w:val="24"/>
          <w:highlight w:val="none"/>
          <w:lang w:val="en-US"/>
        </w:rPr>
      </w:pPr>
      <w:r>
        <w:rPr>
          <w:rFonts w:hint="eastAsia" w:asciiTheme="minorEastAsia" w:hAnsiTheme="minorEastAsia" w:eastAsiaTheme="minorEastAsia" w:cstheme="minorEastAsia"/>
          <w:b/>
          <w:bCs/>
          <w:color w:val="auto"/>
          <w:kern w:val="0"/>
          <w:sz w:val="24"/>
          <w:szCs w:val="24"/>
          <w:highlight w:val="none"/>
          <w:lang w:val="en-US" w:eastAsia="zh-CN"/>
        </w:rPr>
        <w:t>（三）质保期：</w:t>
      </w:r>
      <w:r>
        <w:rPr>
          <w:rFonts w:hint="eastAsia" w:asciiTheme="minorEastAsia" w:hAnsiTheme="minorEastAsia" w:eastAsiaTheme="minorEastAsia" w:cstheme="minorEastAsia"/>
          <w:b w:val="0"/>
          <w:bCs w:val="0"/>
          <w:color w:val="auto"/>
          <w:kern w:val="0"/>
          <w:sz w:val="24"/>
          <w:szCs w:val="24"/>
          <w:highlight w:val="none"/>
          <w:lang w:val="en-US" w:eastAsia="zh-CN"/>
        </w:rPr>
        <w:t>项目通过验收后3年。</w:t>
      </w:r>
    </w:p>
    <w:p w14:paraId="6D2744FE">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四</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合同履行期限：</w:t>
      </w:r>
      <w:r>
        <w:rPr>
          <w:rFonts w:hint="eastAsia" w:asciiTheme="minorEastAsia" w:hAnsiTheme="minorEastAsia" w:eastAsiaTheme="minorEastAsia" w:cstheme="minorEastAsia"/>
          <w:sz w:val="24"/>
          <w:szCs w:val="24"/>
          <w:highlight w:val="none"/>
          <w:lang w:val="en-US" w:eastAsia="zh-CN"/>
        </w:rPr>
        <w:t>签订合同后5个月内完成项目建设</w:t>
      </w:r>
      <w:r>
        <w:rPr>
          <w:rFonts w:hint="eastAsia" w:asciiTheme="minorEastAsia" w:hAnsiTheme="minorEastAsia" w:eastAsiaTheme="minorEastAsia" w:cstheme="minorEastAsia"/>
          <w:sz w:val="24"/>
          <w:szCs w:val="24"/>
          <w:highlight w:val="none"/>
        </w:rPr>
        <w:t>。</w:t>
      </w:r>
    </w:p>
    <w:p w14:paraId="246BCBFB">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（五）售后服务要求：</w:t>
      </w:r>
    </w:p>
    <w:p w14:paraId="218D3CF1">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（1）投标人应有良好的服务理念和完善的售后服务体系，包括售后服务方式、售后服务体系、售后服务人员安排等。</w:t>
      </w:r>
    </w:p>
    <w:p w14:paraId="7288A23E">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针对本项目，提出完整而切实可行的服务方案。其中，至少应提供7×24小时热线电话、远程网络等服务方式。热线电话和远程网络提供技术咨询和即时服务，2小时内给予明确的响应并解决；重大故障到现场排查处理。</w:t>
      </w:r>
    </w:p>
    <w:p w14:paraId="5046EA0F">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（3）免费系统运维（质保期：3年）：自项目验收后，提供3年免费运维，质量保证期内，服务内容包括：协助采购人完成日常系统及应用的维护</w:t>
      </w:r>
      <w:r>
        <w:rPr>
          <w:rFonts w:hint="eastAsia" w:asciiTheme="minorEastAsia" w:hAnsiTheme="minorEastAsia" w:eastAsiaTheme="minorEastAsia" w:cstheme="minorEastAsia"/>
          <w:sz w:val="24"/>
          <w:szCs w:val="24"/>
          <w:highlight w:val="none"/>
          <w:lang w:val="en-US" w:eastAsia="zh-CN"/>
        </w:rPr>
        <w:t>工作，保证系统的稳定正常运行；问题、故障的诊断与排除，系统配置和辅助应用系统部署与维护；软件版本的升级、调试。</w:t>
      </w:r>
    </w:p>
    <w:p w14:paraId="73AC169E">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运维期过后，维护费为不高于本项目合同额的10%。维护费用包含软件系统的日常运营维护、系统升级等，具体由采购人和中标方通过维保合同或协议商定。投标人在投标方案中应提供详细的售后服务内容、措施、响应时间等内容。</w:t>
      </w:r>
    </w:p>
    <w:p w14:paraId="0756E0CD">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kern w:val="0"/>
          <w:sz w:val="24"/>
          <w:szCs w:val="24"/>
          <w:highlight w:val="none"/>
        </w:rPr>
      </w:pPr>
      <w:r>
        <w:rPr>
          <w:rFonts w:hint="eastAsia" w:asciiTheme="minorEastAsia" w:hAnsiTheme="minorEastAsia" w:eastAsiaTheme="minorEastAsia" w:cstheme="minorEastAsia"/>
          <w:b w:val="0"/>
          <w:bCs w:val="0"/>
          <w:color w:val="auto"/>
          <w:kern w:val="0"/>
          <w:sz w:val="24"/>
          <w:szCs w:val="24"/>
          <w:highlight w:val="none"/>
        </w:rPr>
        <w:t>本项目（否）接受联合体投标。</w:t>
      </w:r>
    </w:p>
    <w:p w14:paraId="2DDD2670">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14" w:name="_Toc28359080"/>
      <w:bookmarkStart w:id="15" w:name="_Toc35393622"/>
      <w:bookmarkStart w:id="16" w:name="_Toc35393791"/>
      <w:bookmarkStart w:id="17" w:name="_Toc28359003"/>
      <w:r>
        <w:rPr>
          <w:rFonts w:hint="eastAsia" w:asciiTheme="minorEastAsia" w:hAnsiTheme="minorEastAsia" w:eastAsiaTheme="minorEastAsia" w:cstheme="minorEastAsia"/>
          <w:b/>
          <w:bCs/>
          <w:color w:val="auto"/>
          <w:sz w:val="24"/>
          <w:szCs w:val="24"/>
          <w:highlight w:val="none"/>
        </w:rPr>
        <w:t>二、</w:t>
      </w:r>
      <w:r>
        <w:rPr>
          <w:rFonts w:hint="eastAsia" w:asciiTheme="minorEastAsia" w:hAnsiTheme="minorEastAsia" w:eastAsiaTheme="minorEastAsia" w:cstheme="minorEastAsia"/>
          <w:b/>
          <w:bCs/>
          <w:color w:val="auto"/>
          <w:sz w:val="24"/>
          <w:szCs w:val="24"/>
          <w:highlight w:val="none"/>
          <w:lang w:val="en-US" w:eastAsia="zh-CN"/>
        </w:rPr>
        <w:t>投标人</w:t>
      </w:r>
      <w:r>
        <w:rPr>
          <w:rFonts w:hint="eastAsia" w:asciiTheme="minorEastAsia" w:hAnsiTheme="minorEastAsia" w:eastAsiaTheme="minorEastAsia" w:cstheme="minorEastAsia"/>
          <w:b/>
          <w:bCs/>
          <w:color w:val="auto"/>
          <w:sz w:val="24"/>
          <w:szCs w:val="24"/>
          <w:highlight w:val="none"/>
        </w:rPr>
        <w:t>的资格要求：</w:t>
      </w:r>
      <w:bookmarkEnd w:id="14"/>
      <w:bookmarkEnd w:id="15"/>
      <w:bookmarkEnd w:id="16"/>
      <w:bookmarkEnd w:id="17"/>
    </w:p>
    <w:p w14:paraId="70F9DE65">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bookmarkStart w:id="18" w:name="_Toc35393623"/>
      <w:bookmarkStart w:id="19" w:name="_Toc35393792"/>
      <w:r>
        <w:rPr>
          <w:rFonts w:hint="eastAsia" w:asciiTheme="minorEastAsia" w:hAnsiTheme="minorEastAsia" w:eastAsiaTheme="minorEastAsia" w:cstheme="minorEastAsia"/>
          <w:color w:val="auto"/>
          <w:sz w:val="24"/>
          <w:szCs w:val="24"/>
          <w:highlight w:val="none"/>
          <w:u w:val="none"/>
          <w:lang w:val="en-US" w:eastAsia="zh-CN"/>
        </w:rPr>
        <w:t>（一）满足《中华人民共和国政府采购法》第二十二条规定</w:t>
      </w:r>
    </w:p>
    <w:p w14:paraId="12F5782E">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1.投标人须为在中华人民共和国注册且具有独立承担民事责任能力的法人或其他组织，具有有效的营业执照。</w:t>
      </w:r>
    </w:p>
    <w:p w14:paraId="2860C8D5">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2.投标人须具有良好的商业信誉。</w:t>
      </w:r>
    </w:p>
    <w:p w14:paraId="0084A28D">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FF0000"/>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3.投标人须具有健全的财务会计制度。</w:t>
      </w:r>
    </w:p>
    <w:p w14:paraId="0B418F80">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4.投标人须具有履行合同所必需的设备和专业技术能力。</w:t>
      </w:r>
    </w:p>
    <w:p w14:paraId="4CF1E2FE">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5.投标人须具有依法缴纳税收和社保资金的良好记录，具有相关证明材料（新成立不满3个月的投标人，提供情况说明或未拖欠税收、社保资金承诺或证明材料）；依法免税或不需要缴纳社会保障资金的投标人，应具有相应证明文件。</w:t>
      </w:r>
    </w:p>
    <w:p w14:paraId="471EE1E3">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6.投标人参加政府采购活动前三年内，在经营活动中没有重大违法记录（重大违法记录是指投标人因违法经营受到刑事处罚或者责令停产停业、吊销许可证或者执照、较大数额罚款等行政处罚）。</w:t>
      </w:r>
    </w:p>
    <w:p w14:paraId="70D3CD43">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7.</w:t>
      </w:r>
      <w:r>
        <w:rPr>
          <w:rFonts w:hint="eastAsia" w:ascii="宋体" w:hAnsi="宋体" w:eastAsia="宋体" w:cs="宋体"/>
          <w:color w:val="auto"/>
          <w:sz w:val="24"/>
          <w:szCs w:val="24"/>
          <w:highlight w:val="none"/>
          <w:u w:val="none"/>
          <w:lang w:val="en-US" w:eastAsia="zh-CN"/>
        </w:rPr>
        <w:t>投标人未被列入信用中国网站（www.creditchina.gov.cn）公布的“失信被执行人”、“重大税收违法失信主体”；未被列入中国政府采购网（www.ccgp.gov.cn）公布的“政府采购严重违法失信行为信息记录”（被禁止在一定期限内参加政府采购活动但期限届满的除外），由采购人、采购代理机构在资格评审时在上述官网统一查询核实。</w:t>
      </w:r>
    </w:p>
    <w:p w14:paraId="198CA8CE">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8.根据《中华人民共和国政府采购法实施条例》第十八条第一款规定，单位负责人为同一人或者存在直接控股、管理关系的不同投标人，不得同时参加本项目投标。</w:t>
      </w:r>
    </w:p>
    <w:p w14:paraId="5E4CED7E">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9.其他要求详见招标文件。</w:t>
      </w:r>
    </w:p>
    <w:p w14:paraId="5DAB5236">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落实政府采购政策需满足的资格要求：</w:t>
      </w:r>
    </w:p>
    <w:p w14:paraId="430CAB1A">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（1）满足《中华人民共和国政府采购法》第二十二条规定；</w:t>
      </w:r>
    </w:p>
    <w:p w14:paraId="472A81B4">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（2）落实政府采购政策需满足的资格要求：</w:t>
      </w:r>
    </w:p>
    <w:p w14:paraId="3DF8D91F">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1）符合《中华人民共和国政府采购法》《中华人民共和国政府采购法实施条例》《政府采购货物和服务招标投标管理办法》等有关法律、法规规定。</w:t>
      </w:r>
    </w:p>
    <w:p w14:paraId="12B67202">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2）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p>
    <w:p w14:paraId="53D5298B">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3）本项目不属于专门面向中小企业采购的项目。</w:t>
      </w:r>
    </w:p>
    <w:p w14:paraId="358E42C3">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根据《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投标人提供的货物全部由符合政策要求的小型和微型企业制造的其价格给予10%价格扣除，用扣除后的价格参加评审；监狱企业、残疾人福利性单位视同小型、微型企业，其价格在评审时给予相同的价格扣除。监狱企业、残疾人福利性单位属于小微企业的，不重复享受价格扣除优惠政策；价格扣除比例对小型企业和微型企业同等对待，不作区分。</w:t>
      </w:r>
    </w:p>
    <w:p w14:paraId="336415A1">
      <w:pPr>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4）本项目采购标的对应的中小企业划分标准所属行业为：软件和信息技术服务业。</w:t>
      </w:r>
    </w:p>
    <w:p w14:paraId="1C63E921">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三、获取招标</w:t>
      </w:r>
      <w:bookmarkEnd w:id="18"/>
      <w:bookmarkEnd w:id="19"/>
      <w:r>
        <w:rPr>
          <w:rFonts w:hint="eastAsia" w:asciiTheme="minorEastAsia" w:hAnsiTheme="minorEastAsia" w:eastAsiaTheme="minorEastAsia" w:cstheme="minorEastAsia"/>
          <w:b/>
          <w:bCs/>
          <w:color w:val="auto"/>
          <w:sz w:val="24"/>
          <w:szCs w:val="24"/>
          <w:highlight w:val="none"/>
          <w:lang w:val="en-US" w:eastAsia="zh-CN"/>
        </w:rPr>
        <w:t>文件</w:t>
      </w:r>
    </w:p>
    <w:p w14:paraId="49007B1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bookmarkStart w:id="20" w:name="_Toc28359082"/>
      <w:bookmarkStart w:id="21" w:name="_Toc28359005"/>
      <w:bookmarkStart w:id="22" w:name="_Toc35393624"/>
      <w:bookmarkStart w:id="23" w:name="_Toc35393793"/>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none"/>
          <w:lang w:val="en-US" w:eastAsia="zh-CN"/>
        </w:rPr>
        <w:t>2025</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01</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 xml:space="preserve"> 23 </w:t>
      </w:r>
      <w:r>
        <w:rPr>
          <w:rFonts w:hint="eastAsia" w:asciiTheme="minorEastAsia" w:hAnsiTheme="minorEastAsia" w:eastAsiaTheme="minorEastAsia" w:cstheme="minorEastAsia"/>
          <w:color w:val="auto"/>
          <w:sz w:val="24"/>
          <w:szCs w:val="24"/>
          <w:highlight w:val="none"/>
          <w:u w:val="none"/>
        </w:rPr>
        <w:t>日至</w:t>
      </w:r>
      <w:r>
        <w:rPr>
          <w:rFonts w:hint="eastAsia" w:asciiTheme="minorEastAsia" w:hAnsiTheme="minorEastAsia" w:eastAsiaTheme="minorEastAsia" w:cstheme="minorEastAsia"/>
          <w:color w:val="auto"/>
          <w:sz w:val="24"/>
          <w:szCs w:val="24"/>
          <w:highlight w:val="none"/>
          <w:u w:val="none"/>
          <w:lang w:val="en-US" w:eastAsia="zh-CN"/>
        </w:rPr>
        <w:t>2025</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02</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 xml:space="preserve">06 </w:t>
      </w:r>
      <w:r>
        <w:rPr>
          <w:rFonts w:hint="eastAsia" w:asciiTheme="minorEastAsia" w:hAnsiTheme="minorEastAsia" w:eastAsiaTheme="minorEastAsia" w:cstheme="minorEastAsia"/>
          <w:color w:val="auto"/>
          <w:sz w:val="24"/>
          <w:szCs w:val="24"/>
          <w:highlight w:val="none"/>
          <w:u w:val="none"/>
        </w:rPr>
        <w:t>日</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每天上午6时00分至12时00分，下午12时00分至23时59分</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法定节假日除外</w:t>
      </w:r>
      <w:r>
        <w:rPr>
          <w:rFonts w:hint="eastAsia" w:asciiTheme="minorEastAsia" w:hAnsiTheme="minorEastAsia" w:eastAsiaTheme="minorEastAsia" w:cstheme="minorEastAsia"/>
          <w:color w:val="auto"/>
          <w:sz w:val="24"/>
          <w:szCs w:val="24"/>
          <w:highlight w:val="none"/>
        </w:rPr>
        <w:t>）</w:t>
      </w:r>
    </w:p>
    <w:p w14:paraId="443F77C3">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val="en-US" w:eastAsia="zh-CN"/>
        </w:rPr>
        <w:t>政采云平台（http://www.zcygov.cn）</w:t>
      </w:r>
    </w:p>
    <w:p w14:paraId="5DA954B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方式：1.凡有意参加投标者，须在政采云平台办理数字证书（CA），并在政采云绑定数字证书（CA）后线上获取</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文件及其它</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资料。CA申领链接：https://middle.zcygov.cn/ca/apply/list?_app_=zcy.sys，CA申领后需登陆政采云平台完成数字证书（CA）绑定才可以使用，数字证书（CA）详见其办理流程。</w:t>
      </w:r>
    </w:p>
    <w:p w14:paraId="139C11B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2.按上述要求获取文件的</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视为合法获取了本项目</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文件，具备本项目的投标资格。</w:t>
      </w:r>
    </w:p>
    <w:p w14:paraId="5DBA26C6">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售价：</w:t>
      </w:r>
      <w:r>
        <w:rPr>
          <w:rFonts w:hint="eastAsia" w:asciiTheme="minorEastAsia" w:hAnsiTheme="minorEastAsia" w:eastAsiaTheme="minorEastAsia" w:cstheme="minorEastAsia"/>
          <w:color w:val="auto"/>
          <w:sz w:val="24"/>
          <w:szCs w:val="24"/>
          <w:highlight w:val="none"/>
          <w:lang w:val="en-US" w:eastAsia="zh-CN"/>
        </w:rPr>
        <w:t>0</w:t>
      </w:r>
    </w:p>
    <w:p w14:paraId="7E3C2473">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四、提交投标文件</w:t>
      </w:r>
      <w:bookmarkEnd w:id="20"/>
      <w:bookmarkEnd w:id="21"/>
      <w:r>
        <w:rPr>
          <w:rFonts w:hint="eastAsia" w:asciiTheme="minorEastAsia" w:hAnsiTheme="minorEastAsia" w:eastAsiaTheme="minorEastAsia" w:cstheme="minorEastAsia"/>
          <w:b/>
          <w:bCs/>
          <w:color w:val="auto"/>
          <w:sz w:val="24"/>
          <w:szCs w:val="24"/>
          <w:highlight w:val="none"/>
        </w:rPr>
        <w:t>截止时间、开标时间和地点</w:t>
      </w:r>
      <w:bookmarkEnd w:id="22"/>
      <w:bookmarkEnd w:id="23"/>
    </w:p>
    <w:p w14:paraId="1AD4036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24" w:name="_Toc35393794"/>
      <w:bookmarkStart w:id="25" w:name="_Toc28359007"/>
      <w:bookmarkStart w:id="26" w:name="_Toc28359084"/>
      <w:bookmarkStart w:id="27" w:name="_Toc35393625"/>
      <w:r>
        <w:rPr>
          <w:rFonts w:hint="eastAsia" w:asciiTheme="minorEastAsia" w:hAnsiTheme="minorEastAsia" w:eastAsiaTheme="minorEastAsia" w:cstheme="minorEastAsia"/>
          <w:color w:val="auto"/>
          <w:sz w:val="24"/>
          <w:szCs w:val="24"/>
          <w:highlight w:val="none"/>
          <w:lang w:val="en-US" w:eastAsia="zh-CN"/>
        </w:rPr>
        <w:t>截止时间：2025</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02</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u w:val="none"/>
          <w:lang w:val="en-US" w:eastAsia="zh-CN"/>
        </w:rPr>
        <w:t>12</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u w:val="none"/>
          <w:lang w:val="en-US" w:eastAsia="zh-CN"/>
        </w:rPr>
        <w:t>09</w:t>
      </w:r>
      <w:r>
        <w:rPr>
          <w:rFonts w:hint="eastAsia" w:asciiTheme="minorEastAsia" w:hAnsiTheme="minorEastAsia" w:eastAsiaTheme="minorEastAsia" w:cstheme="minorEastAsia"/>
          <w:color w:val="auto"/>
          <w:sz w:val="24"/>
          <w:szCs w:val="24"/>
          <w:highlight w:val="none"/>
          <w:lang w:val="en-US" w:eastAsia="zh-CN"/>
        </w:rPr>
        <w:t>时</w:t>
      </w:r>
      <w:r>
        <w:rPr>
          <w:rFonts w:hint="eastAsia" w:asciiTheme="minorEastAsia" w:hAnsiTheme="minorEastAsia" w:eastAsiaTheme="minorEastAsia" w:cstheme="minorEastAsia"/>
          <w:color w:val="auto"/>
          <w:sz w:val="24"/>
          <w:szCs w:val="24"/>
          <w:highlight w:val="none"/>
          <w:u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362C9F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开标时间：2025</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02</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u w:val="none"/>
          <w:lang w:val="en-US" w:eastAsia="zh-CN"/>
        </w:rPr>
        <w:t>12</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u w:val="none"/>
          <w:lang w:val="en-US" w:eastAsia="zh-CN"/>
        </w:rPr>
        <w:t>09</w:t>
      </w:r>
      <w:r>
        <w:rPr>
          <w:rFonts w:hint="eastAsia" w:asciiTheme="minorEastAsia" w:hAnsiTheme="minorEastAsia" w:eastAsiaTheme="minorEastAsia" w:cstheme="minorEastAsia"/>
          <w:color w:val="auto"/>
          <w:sz w:val="24"/>
          <w:szCs w:val="24"/>
          <w:highlight w:val="none"/>
          <w:lang w:val="en-US" w:eastAsia="zh-CN"/>
        </w:rPr>
        <w:t>时</w:t>
      </w:r>
      <w:r>
        <w:rPr>
          <w:rFonts w:hint="eastAsia" w:asciiTheme="minorEastAsia" w:hAnsiTheme="minorEastAsia" w:eastAsiaTheme="minorEastAsia" w:cstheme="minorEastAsia"/>
          <w:color w:val="auto"/>
          <w:sz w:val="24"/>
          <w:szCs w:val="24"/>
          <w:highlight w:val="none"/>
          <w:u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2B05291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eastAsia="zh-CN"/>
        </w:rPr>
        <w:t>云南临祥项目管理咨询有限公司</w:t>
      </w:r>
      <w:r>
        <w:rPr>
          <w:rFonts w:hint="eastAsia" w:asciiTheme="minorEastAsia" w:hAnsiTheme="minorEastAsia" w:eastAsiaTheme="minorEastAsia" w:cstheme="minorEastAsia"/>
          <w:color w:val="auto"/>
          <w:sz w:val="24"/>
          <w:szCs w:val="24"/>
          <w:highlight w:val="none"/>
        </w:rPr>
        <w:t>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标室（</w:t>
      </w:r>
      <w:r>
        <w:rPr>
          <w:rFonts w:hint="eastAsia" w:asciiTheme="minorEastAsia" w:hAnsiTheme="minorEastAsia" w:eastAsiaTheme="minorEastAsia" w:cstheme="minorEastAsia"/>
          <w:color w:val="auto"/>
          <w:sz w:val="24"/>
          <w:szCs w:val="24"/>
          <w:highlight w:val="none"/>
          <w:lang w:eastAsia="zh-CN"/>
        </w:rPr>
        <w:t>临翔区迎宾路159号锦绣花园二期四单元101室</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 </w:t>
      </w:r>
    </w:p>
    <w:p w14:paraId="746FD7BF">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五、公告期限</w:t>
      </w:r>
      <w:bookmarkEnd w:id="24"/>
      <w:bookmarkEnd w:id="25"/>
      <w:bookmarkEnd w:id="26"/>
      <w:bookmarkEnd w:id="27"/>
    </w:p>
    <w:p w14:paraId="2BE7D23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p>
    <w:p w14:paraId="75165F1C">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28" w:name="_Toc35393795"/>
      <w:bookmarkStart w:id="29" w:name="_Toc35393626"/>
      <w:r>
        <w:rPr>
          <w:rFonts w:hint="eastAsia" w:asciiTheme="minorEastAsia" w:hAnsiTheme="minorEastAsia" w:eastAsiaTheme="minorEastAsia" w:cstheme="minorEastAsia"/>
          <w:b/>
          <w:bCs/>
          <w:color w:val="auto"/>
          <w:sz w:val="24"/>
          <w:szCs w:val="24"/>
          <w:highlight w:val="none"/>
        </w:rPr>
        <w:t>六、其他补充事宜</w:t>
      </w:r>
      <w:bookmarkEnd w:id="28"/>
      <w:bookmarkEnd w:id="29"/>
    </w:p>
    <w:p w14:paraId="1251500A">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30" w:name="_Toc35393627"/>
      <w:bookmarkStart w:id="31" w:name="_Toc28359085"/>
      <w:bookmarkStart w:id="32" w:name="_Toc28359008"/>
      <w:bookmarkStart w:id="33" w:name="_Toc35393796"/>
      <w:r>
        <w:rPr>
          <w:rFonts w:hint="eastAsia" w:asciiTheme="minorEastAsia" w:hAnsiTheme="minorEastAsia" w:eastAsiaTheme="minorEastAsia" w:cstheme="minorEastAsia"/>
          <w:b w:val="0"/>
          <w:bCs w:val="0"/>
          <w:color w:val="auto"/>
          <w:sz w:val="24"/>
          <w:szCs w:val="24"/>
          <w:highlight w:val="none"/>
          <w:lang w:val="en-US" w:eastAsia="zh-CN"/>
        </w:rPr>
        <w:t>（一）获取招标文件</w:t>
      </w:r>
    </w:p>
    <w:p w14:paraId="781EF84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凡有意参加本项目投标的投标人，须在本项目规定的“获取招标文件”时限内在政采云平台完成“注册”、“登录”、“办理数字证书（CA）”、“绑定数字证书（CA）”等流程后，即可线上获取招标文件及相关资料。</w:t>
      </w:r>
    </w:p>
    <w:p w14:paraId="0991B0A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w:t>
      </w:r>
      <w:bookmarkStart w:id="34" w:name="OLE_LINK7"/>
      <w:r>
        <w:rPr>
          <w:rFonts w:hint="eastAsia" w:asciiTheme="minorEastAsia" w:hAnsiTheme="minorEastAsia" w:eastAsiaTheme="minorEastAsia" w:cstheme="minorEastAsia"/>
          <w:b w:val="0"/>
          <w:bCs w:val="0"/>
          <w:color w:val="auto"/>
          <w:sz w:val="24"/>
          <w:szCs w:val="24"/>
          <w:highlight w:val="none"/>
          <w:lang w:val="en-US" w:eastAsia="zh-CN"/>
        </w:rPr>
        <w:t>投标人已在政采云平台办理过数字证书（CA）的，直接绑定即可，无需重复办理。云南省外投标人在政采云平台办理的其他CA可直接使用，无需重复办理。</w:t>
      </w:r>
      <w:bookmarkEnd w:id="34"/>
      <w:r>
        <w:rPr>
          <w:rFonts w:hint="eastAsia" w:asciiTheme="minorEastAsia" w:hAnsiTheme="minorEastAsia" w:eastAsiaTheme="minorEastAsia" w:cstheme="minorEastAsia"/>
          <w:b w:val="0"/>
          <w:bCs w:val="0"/>
          <w:color w:val="auto"/>
          <w:sz w:val="24"/>
          <w:szCs w:val="24"/>
          <w:highlight w:val="none"/>
          <w:lang w:val="en-US" w:eastAsia="zh-CN"/>
        </w:rPr>
        <w:t>若投标人未办理数字证书（CA）的，政府采购云平台支持多家CA服务商，投标人可根据自己需求，在政采云平台自主选择CA办理方式，其中：</w:t>
      </w:r>
    </w:p>
    <w:p w14:paraId="4AFCB31B">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方式一（云南壹证通CA）：CA申领链接为</w:t>
      </w:r>
      <w:r>
        <w:rPr>
          <w:rFonts w:hint="eastAsia" w:asciiTheme="minorEastAsia" w:hAnsiTheme="minorEastAsia" w:eastAsiaTheme="minorEastAsia" w:cstheme="minorEastAsia"/>
          <w:b w:val="0"/>
          <w:bCs w:val="0"/>
          <w:color w:val="auto"/>
          <w:sz w:val="24"/>
          <w:szCs w:val="24"/>
          <w:highlight w:val="none"/>
          <w:lang w:val="en-US" w:eastAsia="zh-CN"/>
        </w:rPr>
        <w:fldChar w:fldCharType="begin"/>
      </w:r>
      <w:r>
        <w:rPr>
          <w:rFonts w:hint="eastAsia" w:asciiTheme="minorEastAsia" w:hAnsiTheme="minorEastAsia" w:eastAsiaTheme="minorEastAsia" w:cstheme="minorEastAsia"/>
          <w:b w:val="0"/>
          <w:bCs w:val="0"/>
          <w:color w:val="auto"/>
          <w:sz w:val="24"/>
          <w:szCs w:val="24"/>
          <w:highlight w:val="none"/>
          <w:lang w:val="en-US" w:eastAsia="zh-CN"/>
        </w:rPr>
        <w:instrText xml:space="preserve"> HYPERLINK "http://yzt.ynsmartcert.cn/cms/yztlccb.html" </w:instrText>
      </w:r>
      <w:r>
        <w:rPr>
          <w:rFonts w:hint="eastAsia" w:asciiTheme="minorEastAsia" w:hAnsiTheme="minorEastAsia" w:eastAsiaTheme="minorEastAsia" w:cstheme="minorEastAsia"/>
          <w:b w:val="0"/>
          <w:bCs w:val="0"/>
          <w:color w:val="auto"/>
          <w:sz w:val="24"/>
          <w:szCs w:val="24"/>
          <w:highlight w:val="none"/>
          <w:lang w:val="en-US" w:eastAsia="zh-CN"/>
        </w:rPr>
        <w:fldChar w:fldCharType="separate"/>
      </w:r>
      <w:r>
        <w:rPr>
          <w:rFonts w:hint="eastAsia" w:asciiTheme="minorEastAsia" w:hAnsiTheme="minorEastAsia" w:eastAsiaTheme="minorEastAsia" w:cstheme="minorEastAsia"/>
          <w:b w:val="0"/>
          <w:bCs w:val="0"/>
          <w:color w:val="auto"/>
          <w:sz w:val="24"/>
          <w:szCs w:val="24"/>
          <w:highlight w:val="none"/>
          <w:lang w:val="en-US" w:eastAsia="zh-CN"/>
        </w:rPr>
        <w:t>http://yzt.ynsmartcert.cn/cms/yztlccb.html</w:t>
      </w:r>
      <w:r>
        <w:rPr>
          <w:rFonts w:hint="eastAsia" w:asciiTheme="minorEastAsia" w:hAnsiTheme="minorEastAsia" w:eastAsiaTheme="minorEastAsia" w:cstheme="minorEastAsia"/>
          <w:b w:val="0"/>
          <w:bCs w:val="0"/>
          <w:color w:val="auto"/>
          <w:sz w:val="24"/>
          <w:szCs w:val="24"/>
          <w:highlight w:val="none"/>
          <w:lang w:val="en-US" w:eastAsia="zh-CN"/>
        </w:rPr>
        <w:fldChar w:fldCharType="end"/>
      </w:r>
      <w:r>
        <w:rPr>
          <w:rFonts w:hint="eastAsia" w:asciiTheme="minorEastAsia" w:hAnsiTheme="minorEastAsia" w:eastAsiaTheme="minorEastAsia" w:cstheme="minorEastAsia"/>
          <w:b w:val="0"/>
          <w:bCs w:val="0"/>
          <w:color w:val="auto"/>
          <w:sz w:val="24"/>
          <w:szCs w:val="24"/>
          <w:highlight w:val="none"/>
          <w:lang w:val="en-US" w:eastAsia="zh-CN"/>
        </w:rPr>
        <w:t>，支持线上、线下办理方式，并提供7*24小时全天候客户服务支持，客服热线400-004-0628（紧急CA办理电话：19988166369）；</w:t>
      </w:r>
    </w:p>
    <w:p w14:paraId="608E0EC5">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方式二（云南CA）：CA申领链接为</w:t>
      </w:r>
      <w:bookmarkStart w:id="35" w:name="OLE_LINK3"/>
      <w:r>
        <w:rPr>
          <w:rFonts w:hint="eastAsia" w:asciiTheme="minorEastAsia" w:hAnsiTheme="minorEastAsia" w:eastAsiaTheme="minorEastAsia" w:cstheme="minorEastAsia"/>
          <w:b w:val="0"/>
          <w:bCs w:val="0"/>
          <w:color w:val="auto"/>
          <w:sz w:val="24"/>
          <w:szCs w:val="24"/>
          <w:highlight w:val="none"/>
          <w:lang w:val="en-US" w:eastAsia="zh-CN"/>
        </w:rPr>
        <w:t>https://cap.yunnanca.net/，支持线上、线下办理方式，并提供7*24小时全天候客户服务支持，客服热线400-672-7666（紧急办理CA电话：18725158190）</w:t>
      </w:r>
      <w:bookmarkEnd w:id="35"/>
      <w:r>
        <w:rPr>
          <w:rFonts w:hint="eastAsia" w:asciiTheme="minorEastAsia" w:hAnsiTheme="minorEastAsia" w:eastAsiaTheme="minorEastAsia" w:cstheme="minorEastAsia"/>
          <w:b w:val="0"/>
          <w:bCs w:val="0"/>
          <w:color w:val="auto"/>
          <w:sz w:val="24"/>
          <w:szCs w:val="24"/>
          <w:highlight w:val="none"/>
          <w:lang w:val="en-US" w:eastAsia="zh-CN"/>
        </w:rPr>
        <w:t>。</w:t>
      </w:r>
    </w:p>
    <w:p w14:paraId="158FF71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3.数字证书（CA）申领完成之后进入政采云平台，将企业账号与CA进行绑定，凭CA进行项目报名并下载招标文件。</w:t>
      </w:r>
    </w:p>
    <w:p w14:paraId="6EFF4D3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（二）提交投标文件方式</w:t>
      </w:r>
    </w:p>
    <w:p w14:paraId="7187A7F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1.本项目为云南省全流程电子化项目，通过“政采云平台”（https://w ww.zcygov.cn/）实行在线电子投标，投标人应先安装“政采云电子交易客户端”（请自行前往政采云平台进行下载），并按照本项目采购文件和政采云平台的要求编制、加密、提交投标文件。</w:t>
      </w:r>
    </w:p>
    <w:p w14:paraId="6CB9AE4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2.投标人完成投标文件的编制、加密后，须在提交投标文件截止时间前上传至政采云平台，未按规定完成投标文件上传的，视为撤回投标文件。</w:t>
      </w:r>
    </w:p>
    <w:p w14:paraId="45CE676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投标人在政采云平台提交电子版投标文件时，请填写参加远程采购活动经办人联系方式。投标人应提前调试好网络、音视频设备并于提交投标文件截止时间（开标时间）前在系统上等待通知，并进行“投标文件远程解密及签字”等开标流程。</w:t>
      </w:r>
    </w:p>
    <w:p w14:paraId="2FA4BED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（三）其他</w:t>
      </w:r>
    </w:p>
    <w:p w14:paraId="3D05038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1.与本项目有关的通知将在“云南省政府采购网”、</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b w:val="0"/>
          <w:bCs w:val="0"/>
          <w:color w:val="auto"/>
          <w:sz w:val="24"/>
          <w:szCs w:val="24"/>
          <w:highlight w:val="none"/>
          <w:lang w:val="en-US" w:eastAsia="zh-CN"/>
        </w:rPr>
        <w:t>发布，请各投标人在提交投标文件前随时查看，以获取最新信息。因投标人不留意网站公告，导致后果由其自行负责，采购人及采购代理机构不承担任何责任。采购人及代理机构对其他网站发布的同类信息不承担任何责任。</w:t>
      </w:r>
    </w:p>
    <w:p w14:paraId="1997444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投标人将政采云电子交易客户端下载、安装完成后，通过账号密码或CA登录客户端进行投标文件的制作。各投标人应确保在开标前成为政采云平台的投标人，并完成CA数字证书申领，因未注册入库、未办理CA数字证书等原因造成无法投标或投标失败等后果由投标人自行承担。</w:t>
      </w:r>
    </w:p>
    <w:p w14:paraId="7EFB53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在使用政采云电子交易客户端时，建议使用WIN7（64位）及以上操作系统。如因投标人自身原因导致在规定时间内无法正常解密的（如：浏览器故障、未安装相关驱动、网络故障、加密CA与解密CA不一致等），代理机构不予异常处理，视为投标人放弃本次投标。</w:t>
      </w:r>
    </w:p>
    <w:p w14:paraId="576FA282">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注：政采云电子交易客户端可在政采云公司网站（</w:t>
      </w:r>
      <w:r>
        <w:rPr>
          <w:rFonts w:hint="eastAsia" w:asciiTheme="minorEastAsia" w:hAnsiTheme="minorEastAsia" w:eastAsiaTheme="minorEastAsia" w:cstheme="minorEastAsia"/>
          <w:b w:val="0"/>
          <w:bCs w:val="0"/>
          <w:color w:val="auto"/>
          <w:sz w:val="24"/>
          <w:szCs w:val="24"/>
          <w:highlight w:val="none"/>
          <w:lang w:val="en-US" w:eastAsia="zh-CN"/>
        </w:rPr>
        <w:fldChar w:fldCharType="begin"/>
      </w:r>
      <w:r>
        <w:rPr>
          <w:rFonts w:hint="eastAsia" w:asciiTheme="minorEastAsia" w:hAnsiTheme="minorEastAsia" w:eastAsiaTheme="minorEastAsia" w:cstheme="minorEastAsia"/>
          <w:b w:val="0"/>
          <w:bCs w:val="0"/>
          <w:color w:val="auto"/>
          <w:sz w:val="24"/>
          <w:szCs w:val="24"/>
          <w:highlight w:val="none"/>
          <w:lang w:val="en-US" w:eastAsia="zh-CN"/>
        </w:rPr>
        <w:instrText xml:space="preserve"> HYPERLINK "https://edu.zcygov.cn/luban/yunnan-dzjy-gys" </w:instrText>
      </w:r>
      <w:r>
        <w:rPr>
          <w:rFonts w:hint="eastAsia" w:asciiTheme="minorEastAsia" w:hAnsiTheme="minorEastAsia" w:eastAsiaTheme="minorEastAsia" w:cstheme="minorEastAsia"/>
          <w:b w:val="0"/>
          <w:bCs w:val="0"/>
          <w:color w:val="auto"/>
          <w:sz w:val="24"/>
          <w:szCs w:val="24"/>
          <w:highlight w:val="none"/>
          <w:lang w:val="en-US" w:eastAsia="zh-CN"/>
        </w:rPr>
        <w:fldChar w:fldCharType="separate"/>
      </w:r>
      <w:r>
        <w:rPr>
          <w:rFonts w:hint="eastAsia" w:asciiTheme="minorEastAsia" w:hAnsiTheme="minorEastAsia" w:eastAsiaTheme="minorEastAsia" w:cstheme="minorEastAsia"/>
          <w:b w:val="0"/>
          <w:bCs w:val="0"/>
          <w:color w:val="auto"/>
          <w:sz w:val="24"/>
          <w:szCs w:val="24"/>
          <w:highlight w:val="none"/>
          <w:lang w:val="en-US" w:eastAsia="zh-CN"/>
        </w:rPr>
        <w:t>https://edu.zcygov.cn/luban/yunnan-dzjy-gys</w:t>
      </w:r>
      <w:r>
        <w:rPr>
          <w:rFonts w:hint="eastAsia" w:asciiTheme="minorEastAsia" w:hAnsiTheme="minorEastAsia" w:eastAsiaTheme="minorEastAsia" w:cstheme="minorEastAsia"/>
          <w:b w:val="0"/>
          <w:bCs w:val="0"/>
          <w:color w:val="auto"/>
          <w:sz w:val="24"/>
          <w:szCs w:val="24"/>
          <w:highlight w:val="none"/>
          <w:lang w:val="en-US" w:eastAsia="zh-CN"/>
        </w:rPr>
        <w:fldChar w:fldCharType="end"/>
      </w:r>
      <w:r>
        <w:rPr>
          <w:rFonts w:hint="eastAsia" w:asciiTheme="minorEastAsia" w:hAnsiTheme="minorEastAsia" w:eastAsiaTheme="minorEastAsia" w:cstheme="minorEastAsia"/>
          <w:b w:val="0"/>
          <w:bCs w:val="0"/>
          <w:color w:val="auto"/>
          <w:sz w:val="24"/>
          <w:szCs w:val="24"/>
          <w:highlight w:val="none"/>
          <w:lang w:val="en-US" w:eastAsia="zh-CN"/>
        </w:rPr>
        <w:t>）进行查看下载，如有问题可拨打政采云客户服务热线400-881-7190或95763进行咨询。</w:t>
      </w:r>
    </w:p>
    <w:p w14:paraId="649954E7">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未进行网上注册并办理数字证书（CA认证）的投标人将无法参与本项目采购活动，投标人应提交投标文件截止时间前完成政采云平台的CA数字证书办理及投标文件提交等。办理CA数字证书需要花费一定的时间，请各投标人合理安排办理时间。</w:t>
      </w:r>
    </w:p>
    <w:p w14:paraId="15C2D59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5.本招标公告如与招标文件不一致之处，以招标文件为准。</w:t>
      </w:r>
    </w:p>
    <w:p w14:paraId="26CACA26">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七、对本次招标提出询问，请按以下方式联系</w:t>
      </w:r>
      <w:bookmarkEnd w:id="30"/>
      <w:bookmarkEnd w:id="31"/>
      <w:bookmarkEnd w:id="32"/>
      <w:bookmarkEnd w:id="33"/>
    </w:p>
    <w:p w14:paraId="7447AE4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采购人</w:t>
      </w:r>
      <w:r>
        <w:rPr>
          <w:rFonts w:hint="eastAsia" w:asciiTheme="minorEastAsia" w:hAnsiTheme="minorEastAsia" w:eastAsiaTheme="minorEastAsia" w:cstheme="minorEastAsia"/>
          <w:b w:val="0"/>
          <w:bCs w:val="0"/>
          <w:color w:val="auto"/>
          <w:sz w:val="24"/>
          <w:szCs w:val="24"/>
          <w:highlight w:val="none"/>
        </w:rPr>
        <w:t>信息</w:t>
      </w:r>
    </w:p>
    <w:p w14:paraId="44595FA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临沧市临翔区人民医院</w:t>
      </w:r>
      <w:r>
        <w:rPr>
          <w:rFonts w:hint="eastAsia" w:asciiTheme="minorEastAsia" w:hAnsiTheme="minorEastAsia" w:eastAsiaTheme="minorEastAsia" w:cstheme="minorEastAsia"/>
          <w:b w:val="0"/>
          <w:bCs w:val="0"/>
          <w:color w:val="auto"/>
          <w:sz w:val="24"/>
          <w:szCs w:val="24"/>
          <w:highlight w:val="none"/>
          <w:lang w:val="en-US" w:eastAsia="zh-CN"/>
        </w:rPr>
        <w:t xml:space="preserve"> </w:t>
      </w:r>
    </w:p>
    <w:p w14:paraId="51316BC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地址：临沧市临翔区汀旗路261号</w:t>
      </w:r>
      <w:r>
        <w:rPr>
          <w:rFonts w:hint="eastAsia" w:asciiTheme="minorEastAsia" w:hAnsiTheme="minorEastAsia" w:eastAsiaTheme="minorEastAsia" w:cstheme="minorEastAsia"/>
          <w:b w:val="0"/>
          <w:bCs w:val="0"/>
          <w:color w:val="auto"/>
          <w:sz w:val="24"/>
          <w:szCs w:val="24"/>
          <w:highlight w:val="none"/>
          <w:lang w:val="en-US" w:eastAsia="zh-CN"/>
        </w:rPr>
        <w:t xml:space="preserve"> </w:t>
      </w:r>
    </w:p>
    <w:p w14:paraId="1192049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color w:val="auto"/>
          <w:sz w:val="24"/>
          <w:szCs w:val="24"/>
          <w:highlight w:val="none"/>
          <w:u w:val="none"/>
          <w:lang w:val="en-US" w:eastAsia="zh-CN"/>
        </w:rPr>
        <w:t>13988312581</w:t>
      </w:r>
    </w:p>
    <w:p w14:paraId="753553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eastAsia="zh-CN"/>
        </w:rPr>
        <w:t>采购代理机构</w:t>
      </w:r>
      <w:r>
        <w:rPr>
          <w:rFonts w:hint="eastAsia" w:asciiTheme="minorEastAsia" w:hAnsiTheme="minorEastAsia" w:eastAsiaTheme="minorEastAsia" w:cstheme="minorEastAsia"/>
          <w:b w:val="0"/>
          <w:bCs w:val="0"/>
          <w:color w:val="auto"/>
          <w:sz w:val="24"/>
          <w:szCs w:val="24"/>
          <w:highlight w:val="none"/>
        </w:rPr>
        <w:t>信息</w:t>
      </w:r>
    </w:p>
    <w:p w14:paraId="0CEBB05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云南临祥项目管理咨询有限公司</w:t>
      </w:r>
    </w:p>
    <w:p w14:paraId="1A34797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地址：</w:t>
      </w:r>
      <w:r>
        <w:rPr>
          <w:rFonts w:hint="eastAsia" w:asciiTheme="minorEastAsia" w:hAnsiTheme="minorEastAsia" w:eastAsiaTheme="minorEastAsia" w:cstheme="minorEastAsia"/>
          <w:b w:val="0"/>
          <w:bCs w:val="0"/>
          <w:color w:val="auto"/>
          <w:sz w:val="24"/>
          <w:szCs w:val="24"/>
          <w:highlight w:val="none"/>
          <w:lang w:eastAsia="zh-CN"/>
        </w:rPr>
        <w:t>云南省临沧市临翔区迎宾路159号锦绣花园二期4单元101室</w:t>
      </w:r>
    </w:p>
    <w:p w14:paraId="0A0ECAF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b w:val="0"/>
          <w:bCs w:val="0"/>
          <w:color w:val="auto"/>
          <w:sz w:val="24"/>
          <w:szCs w:val="24"/>
          <w:highlight w:val="none"/>
          <w:lang w:val="en-US" w:eastAsia="zh-CN"/>
        </w:rPr>
        <w:t>18988347549</w:t>
      </w:r>
      <w:r>
        <w:rPr>
          <w:rFonts w:hint="eastAsia" w:asciiTheme="minorEastAsia" w:hAnsiTheme="minorEastAsia" w:eastAsiaTheme="minorEastAsia" w:cstheme="minorEastAsia"/>
          <w:b w:val="0"/>
          <w:bCs w:val="0"/>
          <w:color w:val="auto"/>
          <w:sz w:val="24"/>
          <w:szCs w:val="24"/>
          <w:highlight w:val="none"/>
        </w:rPr>
        <w:t xml:space="preserve"> </w:t>
      </w:r>
    </w:p>
    <w:p w14:paraId="329C1CC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3.项目联系方式</w:t>
      </w:r>
    </w:p>
    <w:p w14:paraId="50185EA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项目联系人：</w:t>
      </w:r>
      <w:r>
        <w:rPr>
          <w:rFonts w:hint="eastAsia" w:asciiTheme="minorEastAsia" w:hAnsiTheme="minorEastAsia" w:eastAsiaTheme="minorEastAsia" w:cstheme="minorEastAsia"/>
          <w:b w:val="0"/>
          <w:bCs w:val="0"/>
          <w:color w:val="auto"/>
          <w:sz w:val="24"/>
          <w:szCs w:val="24"/>
          <w:highlight w:val="none"/>
          <w:lang w:val="en-US" w:eastAsia="zh-CN"/>
        </w:rPr>
        <w:t xml:space="preserve">孙权/张楌 </w:t>
      </w:r>
    </w:p>
    <w:p w14:paraId="1272554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电话：</w:t>
      </w:r>
      <w:r>
        <w:rPr>
          <w:rFonts w:hint="eastAsia" w:asciiTheme="minorEastAsia" w:hAnsiTheme="minorEastAsia" w:eastAsiaTheme="minorEastAsia" w:cstheme="minorEastAsia"/>
          <w:color w:val="auto"/>
          <w:sz w:val="24"/>
          <w:szCs w:val="24"/>
          <w:highlight w:val="none"/>
          <w:u w:val="none"/>
          <w:lang w:val="en-US" w:eastAsia="zh-CN"/>
        </w:rPr>
        <w:t>13988312581</w:t>
      </w:r>
      <w:r>
        <w:rPr>
          <w:rFonts w:hint="eastAsia" w:asciiTheme="minorEastAsia" w:hAnsiTheme="minorEastAsia" w:eastAsiaTheme="minorEastAsia" w:cstheme="minorEastAsia"/>
          <w:b w:val="0"/>
          <w:bCs w:val="0"/>
          <w:color w:val="auto"/>
          <w:sz w:val="24"/>
          <w:szCs w:val="24"/>
          <w:highlight w:val="none"/>
        </w:rPr>
        <w:t>/</w:t>
      </w:r>
      <w:bookmarkStart w:id="36" w:name="_Toc2956"/>
      <w:r>
        <w:rPr>
          <w:rFonts w:hint="eastAsia" w:asciiTheme="minorEastAsia" w:hAnsiTheme="minorEastAsia" w:eastAsiaTheme="minorEastAsia" w:cstheme="minorEastAsia"/>
          <w:b w:val="0"/>
          <w:bCs w:val="0"/>
          <w:color w:val="auto"/>
          <w:sz w:val="24"/>
          <w:szCs w:val="24"/>
          <w:highlight w:val="none"/>
          <w:lang w:val="en-US" w:eastAsia="zh-CN"/>
        </w:rPr>
        <w:t>18988347549</w:t>
      </w:r>
    </w:p>
    <w:p w14:paraId="31072543">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3DF36E17">
      <w:pPr>
        <w:pStyle w:val="3"/>
        <w:shd w:val="clear" w:color="auto" w:fill="auto"/>
        <w:tabs>
          <w:tab w:val="left" w:pos="360"/>
        </w:tabs>
        <w:spacing w:before="0" w:line="540" w:lineRule="exact"/>
        <w:ind w:left="0" w:firstLine="0"/>
        <w:jc w:val="center"/>
        <w:rPr>
          <w:rFonts w:hint="eastAsia" w:asciiTheme="minorEastAsia" w:hAnsiTheme="minorEastAsia" w:eastAsiaTheme="minorEastAsia" w:cstheme="minorEastAsia"/>
          <w:color w:val="auto"/>
          <w:sz w:val="36"/>
          <w:szCs w:val="36"/>
          <w:highlight w:val="none"/>
        </w:rPr>
      </w:pPr>
      <w:bookmarkStart w:id="37" w:name="_Toc24233"/>
      <w:bookmarkStart w:id="38" w:name="_Toc18107"/>
      <w:r>
        <w:rPr>
          <w:rFonts w:hint="eastAsia" w:asciiTheme="minorEastAsia" w:hAnsiTheme="minorEastAsia" w:eastAsiaTheme="minorEastAsia" w:cstheme="minorEastAsia"/>
          <w:color w:val="auto"/>
          <w:sz w:val="36"/>
          <w:szCs w:val="36"/>
          <w:highlight w:val="none"/>
        </w:rPr>
        <w:t xml:space="preserve">第二章 </w:t>
      </w:r>
      <w:r>
        <w:rPr>
          <w:rFonts w:hint="eastAsia" w:asciiTheme="minorEastAsia" w:hAnsiTheme="minorEastAsia" w:eastAsiaTheme="minorEastAsia" w:cstheme="minorEastAsia"/>
          <w:color w:val="auto"/>
          <w:sz w:val="36"/>
          <w:szCs w:val="36"/>
          <w:highlight w:val="none"/>
          <w:lang w:val="en-US" w:eastAsia="zh-CN"/>
        </w:rPr>
        <w:t>投标人</w:t>
      </w:r>
      <w:r>
        <w:rPr>
          <w:rFonts w:hint="eastAsia" w:asciiTheme="minorEastAsia" w:hAnsiTheme="minorEastAsia" w:eastAsiaTheme="minorEastAsia" w:cstheme="minorEastAsia"/>
          <w:color w:val="auto"/>
          <w:sz w:val="36"/>
          <w:szCs w:val="36"/>
          <w:highlight w:val="none"/>
        </w:rPr>
        <w:t>须知</w:t>
      </w:r>
      <w:bookmarkEnd w:id="36"/>
      <w:bookmarkEnd w:id="37"/>
      <w:bookmarkEnd w:id="38"/>
    </w:p>
    <w:p w14:paraId="14BE557F">
      <w:pPr>
        <w:widowControl/>
        <w:shd w:val="clear" w:color="auto" w:fill="auto"/>
        <w:spacing w:line="413" w:lineRule="auto"/>
        <w:ind w:right="960"/>
        <w:jc w:val="left"/>
        <w:rPr>
          <w:rFonts w:hint="eastAsia" w:asciiTheme="minorEastAsia" w:hAnsiTheme="minorEastAsia" w:eastAsiaTheme="minorEastAsia" w:cstheme="minorEastAsia"/>
          <w:b/>
          <w:bCs/>
          <w:color w:val="auto"/>
          <w:sz w:val="24"/>
          <w:szCs w:val="24"/>
          <w:highlight w:val="none"/>
        </w:rPr>
      </w:pPr>
      <w:bookmarkStart w:id="39" w:name="_Toc30758"/>
      <w:bookmarkStart w:id="40" w:name="_Toc213141090"/>
      <w:r>
        <w:rPr>
          <w:rFonts w:hint="eastAsia" w:asciiTheme="minorEastAsia" w:hAnsiTheme="minorEastAsia" w:eastAsiaTheme="minorEastAsia" w:cstheme="minorEastAsia"/>
          <w:b/>
          <w:bCs/>
          <w:color w:val="auto"/>
          <w:sz w:val="24"/>
          <w:szCs w:val="24"/>
          <w:highlight w:val="none"/>
          <w:lang w:eastAsia="zh-CN"/>
        </w:rPr>
        <w:t>投标人</w:t>
      </w:r>
      <w:r>
        <w:rPr>
          <w:rFonts w:hint="eastAsia" w:asciiTheme="minorEastAsia" w:hAnsiTheme="minorEastAsia" w:eastAsiaTheme="minorEastAsia" w:cstheme="minorEastAsia"/>
          <w:b/>
          <w:bCs/>
          <w:color w:val="auto"/>
          <w:sz w:val="24"/>
          <w:szCs w:val="24"/>
          <w:highlight w:val="none"/>
        </w:rPr>
        <w:t>须知前附表</w:t>
      </w:r>
    </w:p>
    <w:tbl>
      <w:tblPr>
        <w:tblStyle w:val="24"/>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12A0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5" w:type="dxa"/>
            <w:noWrap w:val="0"/>
            <w:vAlign w:val="center"/>
          </w:tcPr>
          <w:p w14:paraId="7DE9F0B2">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条款号</w:t>
            </w:r>
          </w:p>
        </w:tc>
        <w:tc>
          <w:tcPr>
            <w:tcW w:w="2340" w:type="dxa"/>
            <w:noWrap w:val="0"/>
            <w:vAlign w:val="center"/>
          </w:tcPr>
          <w:p w14:paraId="1E7C621D">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6054" w:type="dxa"/>
            <w:noWrap w:val="0"/>
            <w:vAlign w:val="center"/>
          </w:tcPr>
          <w:p w14:paraId="1FD92EC4">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编列内容</w:t>
            </w:r>
          </w:p>
        </w:tc>
      </w:tr>
      <w:tr w14:paraId="2B1F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85" w:type="dxa"/>
            <w:vMerge w:val="restart"/>
            <w:noWrap w:val="0"/>
            <w:vAlign w:val="center"/>
          </w:tcPr>
          <w:p w14:paraId="5051FF1F">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6F0DD867">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p>
        </w:tc>
        <w:tc>
          <w:tcPr>
            <w:tcW w:w="6054" w:type="dxa"/>
            <w:noWrap w:val="0"/>
            <w:vAlign w:val="center"/>
          </w:tcPr>
          <w:p w14:paraId="2555507B">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临沧市临翔区人民医院</w:t>
            </w:r>
          </w:p>
        </w:tc>
      </w:tr>
      <w:tr w14:paraId="584F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85" w:type="dxa"/>
            <w:vMerge w:val="continue"/>
            <w:noWrap w:val="0"/>
            <w:vAlign w:val="center"/>
          </w:tcPr>
          <w:p w14:paraId="67418E76">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22BEA55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6054" w:type="dxa"/>
            <w:noWrap w:val="0"/>
            <w:vAlign w:val="center"/>
          </w:tcPr>
          <w:p w14:paraId="0EC8C7E8">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云南临祥项目管理咨询有限公司</w:t>
            </w:r>
          </w:p>
        </w:tc>
      </w:tr>
      <w:tr w14:paraId="536D8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85" w:type="dxa"/>
            <w:vMerge w:val="continue"/>
            <w:noWrap w:val="0"/>
            <w:vAlign w:val="center"/>
          </w:tcPr>
          <w:p w14:paraId="001D2499">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6D39C273">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054" w:type="dxa"/>
            <w:noWrap w:val="0"/>
            <w:vAlign w:val="center"/>
          </w:tcPr>
          <w:p w14:paraId="086D3192">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临沧市临翔区医共体医保智能风控系统软件</w:t>
            </w:r>
          </w:p>
        </w:tc>
      </w:tr>
      <w:tr w14:paraId="2E8F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085" w:type="dxa"/>
            <w:noWrap w:val="0"/>
            <w:vAlign w:val="center"/>
          </w:tcPr>
          <w:p w14:paraId="0905FDA4">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340" w:type="dxa"/>
            <w:noWrap w:val="0"/>
            <w:vAlign w:val="center"/>
          </w:tcPr>
          <w:p w14:paraId="75BBFFC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w:t>
            </w:r>
          </w:p>
        </w:tc>
        <w:tc>
          <w:tcPr>
            <w:tcW w:w="6054" w:type="dxa"/>
            <w:noWrap w:val="0"/>
            <w:vAlign w:val="center"/>
          </w:tcPr>
          <w:p w14:paraId="2BE07CF6">
            <w:pPr>
              <w:shd w:val="clear" w:color="auto" w:fill="auto"/>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自筹，医共体成员单位按比例分摊</w:t>
            </w:r>
          </w:p>
        </w:tc>
      </w:tr>
      <w:tr w14:paraId="7841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85" w:type="dxa"/>
            <w:noWrap w:val="0"/>
            <w:vAlign w:val="center"/>
          </w:tcPr>
          <w:p w14:paraId="6FB5670E">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0D515291">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54" w:type="dxa"/>
            <w:noWrap w:val="0"/>
            <w:vAlign w:val="center"/>
          </w:tcPr>
          <w:p w14:paraId="5D1E31D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rPr>
              <w:t>招标公告</w:t>
            </w:r>
            <w:r>
              <w:rPr>
                <w:rFonts w:hint="eastAsia" w:asciiTheme="minorEastAsia" w:hAnsiTheme="minorEastAsia" w:eastAsiaTheme="minorEastAsia" w:cstheme="minorEastAsia"/>
                <w:color w:val="auto"/>
                <w:sz w:val="24"/>
                <w:szCs w:val="24"/>
                <w:highlight w:val="none"/>
                <w:lang w:val="en-US" w:eastAsia="zh-CN"/>
              </w:rPr>
              <w:t>及招标文件要求</w:t>
            </w:r>
          </w:p>
        </w:tc>
      </w:tr>
      <w:tr w14:paraId="436B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2E377962">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p>
        </w:tc>
        <w:tc>
          <w:tcPr>
            <w:tcW w:w="2340" w:type="dxa"/>
            <w:noWrap w:val="0"/>
            <w:vAlign w:val="center"/>
          </w:tcPr>
          <w:p w14:paraId="5B50941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资格要求</w:t>
            </w:r>
          </w:p>
        </w:tc>
        <w:tc>
          <w:tcPr>
            <w:tcW w:w="6054" w:type="dxa"/>
            <w:noWrap w:val="0"/>
            <w:vAlign w:val="center"/>
          </w:tcPr>
          <w:p w14:paraId="3043D93B">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1.投标人须为在中华人民共和国注册且具有独立承担民事责任能力的法人或其他组织，具有有效的营业执照。</w:t>
            </w:r>
          </w:p>
          <w:p w14:paraId="47E99999">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2.投标人须具有良好的商业信誉。</w:t>
            </w:r>
          </w:p>
          <w:p w14:paraId="3E650AE0">
            <w:pPr>
              <w:keepNext w:val="0"/>
              <w:keepLines w:val="0"/>
              <w:pageBreakBefore w:val="0"/>
              <w:widowControl w:val="0"/>
              <w:kinsoku/>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3.投标人须具有健全的财务会计制度</w:t>
            </w:r>
            <w:r>
              <w:rPr>
                <w:rFonts w:hint="eastAsia" w:asciiTheme="minorEastAsia" w:hAnsiTheme="minorEastAsia" w:eastAsiaTheme="minorEastAsia" w:cstheme="minorEastAsia"/>
                <w:color w:val="auto"/>
                <w:sz w:val="24"/>
                <w:szCs w:val="24"/>
                <w:highlight w:val="none"/>
                <w:u w:val="none"/>
                <w:lang w:val="en-US" w:eastAsia="zh-CN"/>
              </w:rPr>
              <w:t>。</w:t>
            </w:r>
          </w:p>
          <w:p w14:paraId="6CB187B9">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4.投标人须具有履行合同所必需的设备和专业技术能力。</w:t>
            </w:r>
          </w:p>
          <w:p w14:paraId="33492DA7">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须具有依法缴纳税收和社保资金的良好记录，具有相关证明材料（新成立不满3个月的投标人，提供情况说明或未拖欠税收、社保资金承诺或证明材料）；依法免税或不需要缴纳社会保障资金的投标人，应具有相应证明文件。</w:t>
            </w:r>
          </w:p>
          <w:p w14:paraId="10E2DC2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6.投标人参加政府采购活动前三年内，在经营活动中没有重大违法记录（重大违法记录是指</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因违法经营受到刑事处罚或者责令停产停业、吊销许可证或者执照、较大数额罚款等行政处罚）。</w:t>
            </w:r>
          </w:p>
          <w:p w14:paraId="324C3781">
            <w:pPr>
              <w:keepNext w:val="0"/>
              <w:keepLines w:val="0"/>
              <w:pageBreakBefore w:val="0"/>
              <w:widowControl w:val="0"/>
              <w:kinsoku/>
              <w:wordWrap w:val="0"/>
              <w:overflowPunct/>
              <w:topLinePunct w:val="0"/>
              <w:autoSpaceDE/>
              <w:autoSpaceDN/>
              <w:bidi w:val="0"/>
              <w:adjustRightInd/>
              <w:snapToGrid/>
              <w:spacing w:line="520" w:lineRule="exac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7.</w:t>
            </w:r>
            <w:r>
              <w:rPr>
                <w:rFonts w:hint="eastAsia" w:ascii="宋体" w:hAnsi="宋体" w:eastAsia="宋体" w:cs="宋体"/>
                <w:color w:val="auto"/>
                <w:sz w:val="24"/>
                <w:szCs w:val="24"/>
                <w:highlight w:val="none"/>
                <w:u w:val="none"/>
                <w:lang w:val="en-US" w:eastAsia="zh-CN"/>
              </w:rPr>
              <w:t>投标人未被列入信用中国网站（www.creditchina.gov.cn）公布的“失信被执行人”、“重大税收违法失信主体”；未被列入中国政府采购网（www.ccgp.gov.cn）公布的“政府采购严重违法失信行为信息记录”（被禁止在一定期限内参加政府采购活动但期限届满的除外），由采购人、采购代理机构在资格评审时在上述官网统一查询核实。</w:t>
            </w:r>
          </w:p>
          <w:p w14:paraId="0E3A6BE1">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.根据《中华人民共和国政府采购法实施条例》第十八条第一款规定，单位负责人为同一人或者存在直接控股、管理关系的不同投标人，不得同时参加本项目投标。</w:t>
            </w:r>
          </w:p>
        </w:tc>
      </w:tr>
      <w:tr w14:paraId="262B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1790A2FA">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p>
        </w:tc>
        <w:tc>
          <w:tcPr>
            <w:tcW w:w="2340" w:type="dxa"/>
            <w:noWrap w:val="0"/>
            <w:vAlign w:val="center"/>
          </w:tcPr>
          <w:p w14:paraId="54CE1327">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联合体投标</w:t>
            </w:r>
          </w:p>
        </w:tc>
        <w:tc>
          <w:tcPr>
            <w:tcW w:w="6054" w:type="dxa"/>
            <w:noWrap w:val="0"/>
            <w:vAlign w:val="center"/>
          </w:tcPr>
          <w:p w14:paraId="1818917C">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接受联合体投标</w:t>
            </w:r>
          </w:p>
        </w:tc>
      </w:tr>
      <w:tr w14:paraId="582A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51110D1E">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w:t>
            </w:r>
          </w:p>
        </w:tc>
        <w:tc>
          <w:tcPr>
            <w:tcW w:w="2340" w:type="dxa"/>
            <w:noWrap w:val="0"/>
            <w:vAlign w:val="center"/>
          </w:tcPr>
          <w:p w14:paraId="4E7F6BA2">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分包</w:t>
            </w:r>
          </w:p>
        </w:tc>
        <w:tc>
          <w:tcPr>
            <w:tcW w:w="6054" w:type="dxa"/>
            <w:noWrap w:val="0"/>
            <w:vAlign w:val="center"/>
          </w:tcPr>
          <w:p w14:paraId="583EDDE3">
            <w:pPr>
              <w:shd w:val="clear" w:color="auto" w:fill="auto"/>
              <w:spacing w:line="480" w:lineRule="exac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lang w:val="en-US" w:eastAsia="zh-CN"/>
              </w:rPr>
              <w:t>本项目不允许分包</w:t>
            </w:r>
          </w:p>
        </w:tc>
      </w:tr>
      <w:tr w14:paraId="79FC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6926AC38">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w:t>
            </w:r>
          </w:p>
        </w:tc>
        <w:tc>
          <w:tcPr>
            <w:tcW w:w="2340" w:type="dxa"/>
            <w:noWrap w:val="0"/>
            <w:vAlign w:val="center"/>
          </w:tcPr>
          <w:p w14:paraId="7202A748">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中标服务费</w:t>
            </w:r>
          </w:p>
        </w:tc>
        <w:tc>
          <w:tcPr>
            <w:tcW w:w="6054" w:type="dxa"/>
            <w:noWrap w:val="0"/>
            <w:vAlign w:val="center"/>
          </w:tcPr>
          <w:p w14:paraId="12DE66DB">
            <w:pPr>
              <w:shd w:val="clear" w:color="auto" w:fill="auto"/>
              <w:spacing w:line="48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中标服务费：本项目中标服务费以成交价为计算基数，参考《招标代理服务费收费管理暂行办法》(国家计委计价格(2002〕1980号文)、《国家发展改革委办公厅关于招标代理服务费有关问题的通知》(发改办价格(2003〕857号)及《关于进一步放开建设项目专业服务价格的通知》(发改价格[2015〕299号)规定下浮15%。由中标人在领取中标通知书前一次性支付给本项目的招标代理服务机构。</w:t>
            </w:r>
          </w:p>
        </w:tc>
      </w:tr>
      <w:tr w14:paraId="5AC4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1085" w:type="dxa"/>
            <w:noWrap w:val="0"/>
            <w:vAlign w:val="center"/>
          </w:tcPr>
          <w:p w14:paraId="33141AD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w:t>
            </w:r>
          </w:p>
        </w:tc>
        <w:tc>
          <w:tcPr>
            <w:tcW w:w="2340" w:type="dxa"/>
            <w:noWrap w:val="0"/>
            <w:vAlign w:val="center"/>
          </w:tcPr>
          <w:p w14:paraId="0971CDCB">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招标文件澄清截止时间</w:t>
            </w:r>
          </w:p>
        </w:tc>
        <w:tc>
          <w:tcPr>
            <w:tcW w:w="6054" w:type="dxa"/>
            <w:noWrap w:val="0"/>
            <w:vAlign w:val="center"/>
          </w:tcPr>
          <w:p w14:paraId="5607FD37">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提交投标文件截止时间十五日前</w:t>
            </w:r>
          </w:p>
        </w:tc>
      </w:tr>
      <w:tr w14:paraId="1818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085" w:type="dxa"/>
            <w:noWrap w:val="0"/>
            <w:vAlign w:val="center"/>
          </w:tcPr>
          <w:p w14:paraId="54B7ECA6">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2340" w:type="dxa"/>
            <w:noWrap w:val="0"/>
            <w:vAlign w:val="center"/>
          </w:tcPr>
          <w:p w14:paraId="790C9614">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投标文件的组成</w:t>
            </w:r>
          </w:p>
        </w:tc>
        <w:tc>
          <w:tcPr>
            <w:tcW w:w="6054" w:type="dxa"/>
            <w:noWrap w:val="0"/>
            <w:vAlign w:val="center"/>
          </w:tcPr>
          <w:p w14:paraId="11AF0697">
            <w:pPr>
              <w:shd w:val="clear" w:color="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详见第五章投标文件格式部分</w:t>
            </w:r>
          </w:p>
        </w:tc>
      </w:tr>
      <w:tr w14:paraId="2FCB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085" w:type="dxa"/>
            <w:noWrap w:val="0"/>
            <w:vAlign w:val="center"/>
          </w:tcPr>
          <w:p w14:paraId="6B58FF82">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12.1</w:t>
            </w:r>
          </w:p>
        </w:tc>
        <w:tc>
          <w:tcPr>
            <w:tcW w:w="2340" w:type="dxa"/>
            <w:noWrap w:val="0"/>
            <w:vAlign w:val="center"/>
          </w:tcPr>
          <w:p w14:paraId="5B12ED75">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电子</w:t>
            </w:r>
            <w:r>
              <w:rPr>
                <w:rFonts w:hint="eastAsia" w:asciiTheme="minorEastAsia" w:hAnsiTheme="minorEastAsia" w:eastAsiaTheme="minorEastAsia" w:cstheme="minorEastAsia"/>
                <w:color w:val="auto"/>
                <w:sz w:val="24"/>
                <w:szCs w:val="24"/>
                <w:highlight w:val="none"/>
              </w:rPr>
              <w:t>投标文件</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编制</w:t>
            </w:r>
          </w:p>
        </w:tc>
        <w:tc>
          <w:tcPr>
            <w:tcW w:w="6054" w:type="dxa"/>
            <w:noWrap w:val="0"/>
            <w:vAlign w:val="center"/>
          </w:tcPr>
          <w:p w14:paraId="64035718">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电子投标文件应使用政采云平台中下载的政采云电子投标客户端</w:t>
            </w:r>
            <w:r>
              <w:rPr>
                <w:rFonts w:hint="eastAsia" w:asciiTheme="minorEastAsia" w:hAnsiTheme="minorEastAsia" w:eastAsiaTheme="minorEastAsia" w:cstheme="minorEastAsia"/>
                <w:color w:val="auto"/>
                <w:sz w:val="24"/>
                <w:szCs w:val="24"/>
                <w:highlight w:val="none"/>
                <w:lang w:val="en-US" w:eastAsia="zh-CN"/>
              </w:rPr>
              <w:t>进行</w:t>
            </w:r>
            <w:r>
              <w:rPr>
                <w:rFonts w:hint="eastAsia" w:asciiTheme="minorEastAsia" w:hAnsiTheme="minorEastAsia" w:eastAsiaTheme="minorEastAsia" w:cstheme="minorEastAsia"/>
                <w:color w:val="auto"/>
                <w:sz w:val="24"/>
                <w:szCs w:val="24"/>
                <w:highlight w:val="none"/>
              </w:rPr>
              <w:t>制作，编制要求详见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投标人操作手册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tc>
      </w:tr>
      <w:tr w14:paraId="73F1C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noWrap w:val="0"/>
            <w:vAlign w:val="center"/>
          </w:tcPr>
          <w:p w14:paraId="0AC8726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12.4</w:t>
            </w:r>
          </w:p>
        </w:tc>
        <w:tc>
          <w:tcPr>
            <w:tcW w:w="2340" w:type="dxa"/>
            <w:noWrap w:val="0"/>
            <w:vAlign w:val="center"/>
          </w:tcPr>
          <w:p w14:paraId="2AE66A5F">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签字或盖章要求</w:t>
            </w:r>
          </w:p>
        </w:tc>
        <w:tc>
          <w:tcPr>
            <w:tcW w:w="6054" w:type="dxa"/>
            <w:noWrap w:val="0"/>
            <w:vAlign w:val="center"/>
          </w:tcPr>
          <w:p w14:paraId="442E6A7A">
            <w:pPr>
              <w:shd w:val="clear" w:color="auto" w:fill="auto"/>
              <w:spacing w:line="48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投标人应按照投标文件格式，在需要电子签章的地方采用单位数字证书（CA）、法定代表人（或委托代理人）的个人数字证书（CA）进行电子签章。</w:t>
            </w:r>
          </w:p>
          <w:p w14:paraId="3802D92D">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注：投标文件中法定代表人及委托代理人的签字笔迹应保持前后一致（包括授权委托书），若因签字笔迹差异过大，经评标委员会评审后认为投标文件由未经授权的人员签署，存在投标文件未按规定签字盖章的情形判定投标文件无效时，其后果由投标人自行承担</w:t>
            </w:r>
            <w:r>
              <w:rPr>
                <w:rFonts w:hint="eastAsia" w:asciiTheme="minorEastAsia" w:hAnsiTheme="minorEastAsia" w:eastAsiaTheme="minorEastAsia" w:cstheme="minorEastAsia"/>
                <w:b w:val="0"/>
                <w:bCs w:val="0"/>
                <w:color w:val="auto"/>
                <w:sz w:val="24"/>
                <w:szCs w:val="24"/>
                <w:highlight w:val="none"/>
              </w:rPr>
              <w:t>。</w:t>
            </w:r>
          </w:p>
        </w:tc>
      </w:tr>
      <w:tr w14:paraId="556B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085" w:type="dxa"/>
            <w:noWrap w:val="0"/>
            <w:vAlign w:val="center"/>
          </w:tcPr>
          <w:p w14:paraId="7F067512">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2340" w:type="dxa"/>
            <w:noWrap w:val="0"/>
            <w:vAlign w:val="center"/>
          </w:tcPr>
          <w:p w14:paraId="284155E1">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提交电子投标文件截止时间</w:t>
            </w:r>
          </w:p>
        </w:tc>
        <w:tc>
          <w:tcPr>
            <w:tcW w:w="6054" w:type="dxa"/>
            <w:noWrap w:val="0"/>
            <w:vAlign w:val="center"/>
          </w:tcPr>
          <w:p w14:paraId="30867F4D">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2025年02月12日09时00分（北京时间）</w:t>
            </w:r>
          </w:p>
        </w:tc>
      </w:tr>
      <w:tr w14:paraId="5495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85" w:type="dxa"/>
            <w:noWrap w:val="0"/>
            <w:vAlign w:val="center"/>
          </w:tcPr>
          <w:p w14:paraId="4172CE16">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14.2</w:t>
            </w:r>
          </w:p>
        </w:tc>
        <w:tc>
          <w:tcPr>
            <w:tcW w:w="2340" w:type="dxa"/>
            <w:noWrap w:val="0"/>
            <w:vAlign w:val="center"/>
          </w:tcPr>
          <w:p w14:paraId="05E84604">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提交电子投标文件的网址</w:t>
            </w:r>
          </w:p>
        </w:tc>
        <w:tc>
          <w:tcPr>
            <w:tcW w:w="6054" w:type="dxa"/>
            <w:noWrap w:val="0"/>
            <w:vAlign w:val="center"/>
          </w:tcPr>
          <w:p w14:paraId="5F7DB24B">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“政采云平台”（https://www.zcygov.cn/）</w:t>
            </w:r>
          </w:p>
        </w:tc>
      </w:tr>
      <w:tr w14:paraId="06CD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5" w:type="dxa"/>
            <w:noWrap w:val="0"/>
            <w:vAlign w:val="center"/>
          </w:tcPr>
          <w:p w14:paraId="0FE1FD77">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p>
        </w:tc>
        <w:tc>
          <w:tcPr>
            <w:tcW w:w="2340" w:type="dxa"/>
            <w:noWrap w:val="0"/>
            <w:vAlign w:val="center"/>
          </w:tcPr>
          <w:p w14:paraId="4CF23ED2">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054" w:type="dxa"/>
            <w:noWrap w:val="0"/>
            <w:vAlign w:val="center"/>
          </w:tcPr>
          <w:p w14:paraId="37077FDC">
            <w:pPr>
              <w:shd w:val="clear" w:color="auto" w:fill="auto"/>
              <w:spacing w:line="48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一、保证金提交方式</w:t>
            </w:r>
          </w:p>
          <w:p w14:paraId="157CA4E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银行转账、保函、保证保险</w:t>
            </w:r>
          </w:p>
          <w:p w14:paraId="6722910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（一）银行转账：投标保证金应以投标人自身的名义提交，并且必须从其基本账户转出。</w:t>
            </w:r>
          </w:p>
          <w:p w14:paraId="45DFC1B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保函：保函申请人必须是投标人，受益人必须是采购人，保证人必须是投标人基本账号的开户银行或其他担保机构；保函必须正确填写受益人和申请人的全称，并与招标文件规定的名称一致，以免造成投标无效。</w:t>
            </w:r>
          </w:p>
          <w:p w14:paraId="038B7C0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（三）保证保险：1.投标人在支付投标保证金保险费时，必须使用基本账户支付购买，未从基本账户转出支付保费造成的后果由投标人自行承担。2.在保证保险单中，投标人为投保人，采购人为被保险人。</w:t>
            </w:r>
          </w:p>
          <w:p w14:paraId="2634F212">
            <w:pPr>
              <w:shd w:val="clear" w:color="auto" w:fill="auto"/>
              <w:spacing w:line="48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二、投标保证金的递交时间</w:t>
            </w:r>
          </w:p>
          <w:p w14:paraId="176ED89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投标保证金递交截止时间与提交投标文件截止时间一致。投标人需在提交投标文件截止时间前按招标文件规定递交保证金，否则，一切后果由投标人自行承担。</w:t>
            </w:r>
          </w:p>
          <w:p w14:paraId="2604E1A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投标保证金有效期与投标有效期一致。</w:t>
            </w:r>
          </w:p>
          <w:p w14:paraId="584369E1">
            <w:pPr>
              <w:shd w:val="clear" w:color="auto" w:fill="auto"/>
              <w:spacing w:line="48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三、投标保证金的办理程序</w:t>
            </w:r>
          </w:p>
          <w:p w14:paraId="312D0E7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52F25EA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项目名称：临沧市临翔区医共体医保智能风控系统软件；</w:t>
            </w:r>
          </w:p>
          <w:p w14:paraId="6AB961C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户名：云南临祥项目管理咨询有限公司；</w:t>
            </w:r>
          </w:p>
          <w:p w14:paraId="00A2DBF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开户行：中国工商银行股份有限公司临沧临翔支行；</w:t>
            </w:r>
          </w:p>
          <w:p w14:paraId="5A2C510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保证金提交账号：2518041309200361920；</w:t>
            </w:r>
          </w:p>
          <w:p w14:paraId="630D563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保证金金额：10000.00元。</w:t>
            </w:r>
          </w:p>
          <w:p w14:paraId="6148E940">
            <w:pPr>
              <w:shd w:val="clear" w:color="auto" w:fill="auto"/>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联系人：张楌   18988347549</w:t>
            </w:r>
          </w:p>
          <w:p w14:paraId="25F429E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办理程序：投标人应在2025年02月12日09时00分前，将投标保证金转入上述账户，进账凭证空白处或汇款凭证汇款用途栏上应明确项目名称、联系人及电话。</w:t>
            </w:r>
          </w:p>
          <w:p w14:paraId="50AE6DB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投标保证金缴费凭证以银行回执单、网上银行电子回执单为准。</w:t>
            </w:r>
          </w:p>
          <w:p w14:paraId="6FB1734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2.采用保函方式</w:t>
            </w:r>
          </w:p>
          <w:p w14:paraId="0896D28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项目名称：临沧市临翔区医共体医保智能风控系统软件；</w:t>
            </w:r>
          </w:p>
          <w:p w14:paraId="2F3CF13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保函申请人必须是投标人，受益人必须是采购人，保证人必须是投标人基本账号的开户银行；保函必须正确填写受益人和申请人的全称，并与招标文件规定的名称相一致，以免造成投标无效。</w:t>
            </w:r>
          </w:p>
          <w:p w14:paraId="6A0FA06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保证金金额：10000.00元。</w:t>
            </w:r>
          </w:p>
          <w:p w14:paraId="02958A8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注：投标人需对其真实性负责，经查证不属实的，所有责任由投标人自行承担。</w:t>
            </w:r>
          </w:p>
          <w:p w14:paraId="161BF49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投标保证金缴费凭证以金融机构保函为准。</w:t>
            </w:r>
          </w:p>
          <w:p w14:paraId="14B1B00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3.采用保证保险方式</w:t>
            </w:r>
          </w:p>
          <w:p w14:paraId="0A1C4BD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项目名称：临沧市临翔区医共体医保智能风控系统软件。</w:t>
            </w:r>
          </w:p>
          <w:p w14:paraId="66FFF61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rPr>
              <w:t>投标人在支付投标保证金保险费时，必须使用基本账号资金支付购买，未从基本账户转出支付保费造成经济纠纷的应由企业自行承担。在投标保证保险中，投标人为投保人，</w:t>
            </w:r>
            <w:r>
              <w:rPr>
                <w:rFonts w:hint="eastAsia" w:ascii="宋体" w:hAnsi="宋体" w:cs="宋体"/>
                <w:color w:val="auto"/>
                <w:sz w:val="24"/>
                <w:lang w:val="en-US" w:eastAsia="zh-CN"/>
              </w:rPr>
              <w:t>采购人</w:t>
            </w:r>
            <w:r>
              <w:rPr>
                <w:rFonts w:hint="eastAsia" w:ascii="宋体" w:hAnsi="宋体" w:eastAsia="宋体" w:cs="宋体"/>
                <w:color w:val="auto"/>
                <w:sz w:val="24"/>
              </w:rPr>
              <w:t>为被保险人。</w:t>
            </w:r>
          </w:p>
          <w:p w14:paraId="349E92A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保证金金额：10000.00元。</w:t>
            </w:r>
          </w:p>
          <w:p w14:paraId="1F366FE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注：投标人需对其真实性负责，经查证不属实的，所有责任由投标人自行承担。</w:t>
            </w:r>
          </w:p>
          <w:p w14:paraId="017AF43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投标保证金缴费凭证以保险保单为准。</w:t>
            </w:r>
          </w:p>
          <w:p w14:paraId="41077F0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4.注意事项</w:t>
            </w:r>
          </w:p>
          <w:p w14:paraId="72E3442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0FB9EC1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①保证金转账方式包括电汇、网银方式，其他转账方式视为无效；</w:t>
            </w:r>
          </w:p>
          <w:p w14:paraId="3F511E9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②保证金提交时间以保证金账户实际到账时间为准，未在投标文件递交截止时间前到账的保证金无效；</w:t>
            </w:r>
          </w:p>
          <w:p w14:paraId="481326F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③请潜在投标人在跨行转账时考虑以下因素：①按照人民银行相关规定，跨行转账在工作日下午16时30分前办理手续，可以保证实时跨行到账；②跨行转账尽量采用电汇方式。</w:t>
            </w:r>
          </w:p>
          <w:p w14:paraId="6CFDF0D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④拒绝私人账户汇款及银行存现。</w:t>
            </w:r>
          </w:p>
          <w:p w14:paraId="2DBB9B6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（2）采用保函、保证保险方式：</w:t>
            </w:r>
          </w:p>
          <w:p w14:paraId="214DF69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投标人应充分考虑保函、保证保险办理所需时间，尽量提前办理，避免出现保证金不能顺利递交情况。</w:t>
            </w:r>
          </w:p>
        </w:tc>
      </w:tr>
      <w:tr w14:paraId="6B14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jc w:val="center"/>
        </w:trPr>
        <w:tc>
          <w:tcPr>
            <w:tcW w:w="1085" w:type="dxa"/>
            <w:noWrap w:val="0"/>
            <w:vAlign w:val="center"/>
          </w:tcPr>
          <w:p w14:paraId="1344F1D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17</w:t>
            </w:r>
          </w:p>
        </w:tc>
        <w:tc>
          <w:tcPr>
            <w:tcW w:w="2340" w:type="dxa"/>
            <w:noWrap w:val="0"/>
            <w:vAlign w:val="center"/>
          </w:tcPr>
          <w:p w14:paraId="2DEB119F">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纸质投标文件</w:t>
            </w:r>
          </w:p>
        </w:tc>
        <w:tc>
          <w:tcPr>
            <w:tcW w:w="6054" w:type="dxa"/>
            <w:noWrap w:val="0"/>
            <w:vAlign w:val="center"/>
          </w:tcPr>
          <w:p w14:paraId="0141150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参加本项目的</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无需提交纸质投标文件，签订</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合同时中标人须向采购人提交纸质投标文件正本1份，副本1份，所提交纸质投标文件应与</w:t>
            </w:r>
            <w:r>
              <w:rPr>
                <w:rFonts w:hint="eastAsia" w:asciiTheme="minorEastAsia" w:hAnsiTheme="minorEastAsia" w:eastAsiaTheme="minorEastAsia" w:cstheme="minorEastAsia"/>
                <w:color w:val="auto"/>
                <w:sz w:val="24"/>
                <w:szCs w:val="24"/>
                <w:highlight w:val="none"/>
                <w:lang w:eastAsia="zh-CN"/>
              </w:rPr>
              <w:t>投标人提交</w:t>
            </w:r>
            <w:r>
              <w:rPr>
                <w:rFonts w:hint="eastAsia" w:asciiTheme="minorEastAsia" w:hAnsiTheme="minorEastAsia" w:eastAsiaTheme="minorEastAsia" w:cstheme="minorEastAsia"/>
                <w:color w:val="auto"/>
                <w:sz w:val="24"/>
                <w:szCs w:val="24"/>
                <w:highlight w:val="none"/>
              </w:rPr>
              <w:t>的电子投标文件一致，若不一致</w:t>
            </w:r>
            <w:r>
              <w:rPr>
                <w:rFonts w:hint="eastAsia" w:asciiTheme="minorEastAsia" w:hAnsiTheme="minorEastAsia" w:eastAsiaTheme="minorEastAsia" w:cstheme="minorEastAsia"/>
                <w:color w:val="auto"/>
                <w:sz w:val="24"/>
                <w:szCs w:val="24"/>
                <w:highlight w:val="none"/>
                <w:lang w:val="en-US" w:eastAsia="zh-CN"/>
              </w:rPr>
              <w:t>的以电子版为主，且</w:t>
            </w:r>
            <w:r>
              <w:rPr>
                <w:rFonts w:hint="eastAsia" w:asciiTheme="minorEastAsia" w:hAnsiTheme="minorEastAsia" w:eastAsiaTheme="minorEastAsia" w:cstheme="minorEastAsia"/>
                <w:color w:val="auto"/>
                <w:sz w:val="24"/>
                <w:szCs w:val="24"/>
                <w:highlight w:val="none"/>
              </w:rPr>
              <w:t>采购人可以就此作出对</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最不利的处理决定。</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向采购人提供的纸质投标文件，应按照</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lang w:val="en-US" w:eastAsia="zh-CN"/>
              </w:rPr>
              <w:t>11.1</w:t>
            </w:r>
            <w:r>
              <w:rPr>
                <w:rFonts w:hint="eastAsia" w:asciiTheme="minorEastAsia" w:hAnsiTheme="minorEastAsia" w:eastAsiaTheme="minorEastAsia" w:cstheme="minorEastAsia"/>
                <w:color w:val="auto"/>
                <w:sz w:val="24"/>
                <w:szCs w:val="24"/>
                <w:highlight w:val="none"/>
              </w:rPr>
              <w:t>项规定的投标文件组成内容编制，</w:t>
            </w:r>
            <w:r>
              <w:rPr>
                <w:rFonts w:hint="eastAsia" w:asciiTheme="minorEastAsia" w:hAnsiTheme="minorEastAsia" w:eastAsiaTheme="minorEastAsia" w:cstheme="minorEastAsia"/>
                <w:color w:val="auto"/>
                <w:sz w:val="24"/>
                <w:szCs w:val="24"/>
                <w:highlight w:val="none"/>
                <w:lang w:val="en-US" w:eastAsia="zh-CN"/>
              </w:rPr>
              <w:t>纸质文件</w:t>
            </w:r>
            <w:r>
              <w:rPr>
                <w:rFonts w:hint="eastAsia" w:asciiTheme="minorEastAsia" w:hAnsiTheme="minorEastAsia" w:eastAsiaTheme="minorEastAsia" w:cstheme="minorEastAsia"/>
                <w:color w:val="auto"/>
                <w:sz w:val="24"/>
                <w:szCs w:val="24"/>
                <w:highlight w:val="none"/>
              </w:rPr>
              <w:t>正本与副本应分别装订成册，装订应牢固，不易拆散和换页，不得采用活页夹装订。</w:t>
            </w:r>
          </w:p>
        </w:tc>
      </w:tr>
      <w:tr w14:paraId="767DE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085" w:type="dxa"/>
            <w:noWrap w:val="0"/>
            <w:vAlign w:val="center"/>
          </w:tcPr>
          <w:p w14:paraId="662BA778">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18.1</w:t>
            </w:r>
          </w:p>
        </w:tc>
        <w:tc>
          <w:tcPr>
            <w:tcW w:w="2340" w:type="dxa"/>
            <w:noWrap w:val="0"/>
            <w:vAlign w:val="center"/>
          </w:tcPr>
          <w:p w14:paraId="3643E4B1">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6054" w:type="dxa"/>
            <w:noWrap w:val="0"/>
            <w:vAlign w:val="center"/>
          </w:tcPr>
          <w:p w14:paraId="51CC1A7B">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从提交投标文件截止之日起90日历天</w:t>
            </w:r>
          </w:p>
        </w:tc>
      </w:tr>
      <w:tr w14:paraId="727B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1085" w:type="dxa"/>
            <w:noWrap w:val="0"/>
            <w:vAlign w:val="center"/>
          </w:tcPr>
          <w:p w14:paraId="0A5B3B4F">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7222AAC7">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开标时间和地点</w:t>
            </w:r>
          </w:p>
        </w:tc>
        <w:tc>
          <w:tcPr>
            <w:tcW w:w="6054" w:type="dxa"/>
            <w:noWrap w:val="0"/>
            <w:vAlign w:val="center"/>
          </w:tcPr>
          <w:p w14:paraId="4C30FB1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开标时间：</w:t>
            </w:r>
            <w:r>
              <w:rPr>
                <w:rFonts w:hint="eastAsia" w:asciiTheme="minorEastAsia" w:hAnsiTheme="minorEastAsia" w:eastAsiaTheme="minorEastAsia" w:cstheme="minorEastAsia"/>
                <w:color w:val="auto"/>
                <w:sz w:val="24"/>
                <w:szCs w:val="24"/>
                <w:highlight w:val="none"/>
                <w:lang w:val="en-US" w:eastAsia="zh-CN"/>
              </w:rPr>
              <w:t>2025</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02</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4FDF3D5C">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开标地点：</w:t>
            </w:r>
            <w:r>
              <w:rPr>
                <w:rFonts w:hint="eastAsia" w:asciiTheme="minorEastAsia" w:hAnsiTheme="minorEastAsia" w:eastAsiaTheme="minorEastAsia" w:cstheme="minorEastAsia"/>
                <w:color w:val="auto"/>
                <w:sz w:val="24"/>
                <w:szCs w:val="24"/>
                <w:highlight w:val="none"/>
                <w:lang w:eastAsia="zh-CN"/>
              </w:rPr>
              <w:t>云南临祥项目管理咨询有限公司</w:t>
            </w:r>
            <w:r>
              <w:rPr>
                <w:rFonts w:hint="eastAsia" w:asciiTheme="minorEastAsia" w:hAnsiTheme="minorEastAsia" w:eastAsiaTheme="minorEastAsia" w:cstheme="minorEastAsia"/>
                <w:color w:val="auto"/>
                <w:sz w:val="24"/>
                <w:szCs w:val="24"/>
                <w:highlight w:val="none"/>
              </w:rPr>
              <w:t>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标室（</w:t>
            </w:r>
            <w:r>
              <w:rPr>
                <w:rFonts w:hint="eastAsia" w:asciiTheme="minorEastAsia" w:hAnsiTheme="minorEastAsia" w:eastAsiaTheme="minorEastAsia" w:cstheme="minorEastAsia"/>
                <w:color w:val="auto"/>
                <w:sz w:val="24"/>
                <w:szCs w:val="24"/>
                <w:highlight w:val="none"/>
                <w:lang w:eastAsia="zh-CN"/>
              </w:rPr>
              <w:t>临翔区迎宾路159号锦绣花园二期四单元101室</w:t>
            </w:r>
            <w:r>
              <w:rPr>
                <w:rFonts w:hint="eastAsia" w:asciiTheme="minorEastAsia" w:hAnsiTheme="minorEastAsia" w:eastAsiaTheme="minorEastAsia" w:cstheme="minorEastAsia"/>
                <w:color w:val="auto"/>
                <w:sz w:val="24"/>
                <w:szCs w:val="24"/>
                <w:highlight w:val="none"/>
              </w:rPr>
              <w:t>）。</w:t>
            </w:r>
          </w:p>
        </w:tc>
      </w:tr>
      <w:tr w14:paraId="4836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085" w:type="dxa"/>
            <w:noWrap w:val="0"/>
            <w:vAlign w:val="center"/>
          </w:tcPr>
          <w:p w14:paraId="2810C74B">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21FA82B3">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6054" w:type="dxa"/>
            <w:noWrap w:val="0"/>
            <w:vAlign w:val="center"/>
          </w:tcPr>
          <w:p w14:paraId="45B66468">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w:t>
            </w:r>
          </w:p>
        </w:tc>
      </w:tr>
      <w:tr w14:paraId="09ADD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85" w:type="dxa"/>
            <w:noWrap w:val="0"/>
            <w:vAlign w:val="center"/>
          </w:tcPr>
          <w:p w14:paraId="1D9A4CE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4ECC4DBA">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备选方案</w:t>
            </w:r>
          </w:p>
        </w:tc>
        <w:tc>
          <w:tcPr>
            <w:tcW w:w="6054" w:type="dxa"/>
            <w:noWrap w:val="0"/>
            <w:vAlign w:val="center"/>
          </w:tcPr>
          <w:p w14:paraId="2EE8D3D2">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不接受</w:t>
            </w:r>
          </w:p>
        </w:tc>
      </w:tr>
      <w:tr w14:paraId="1AC6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54B4E4CD">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29</w:t>
            </w:r>
          </w:p>
        </w:tc>
        <w:tc>
          <w:tcPr>
            <w:tcW w:w="2340" w:type="dxa"/>
            <w:noWrap w:val="0"/>
            <w:vAlign w:val="center"/>
          </w:tcPr>
          <w:p w14:paraId="7D4EAB83">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数量变更</w:t>
            </w:r>
          </w:p>
        </w:tc>
        <w:tc>
          <w:tcPr>
            <w:tcW w:w="6054" w:type="dxa"/>
            <w:noWrap w:val="0"/>
            <w:vAlign w:val="center"/>
          </w:tcPr>
          <w:p w14:paraId="46C4ADC0">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政府采购合同履行中，采购人需追加与合同标的相同的货物、工程或者服务的，在不改变合同其他条款的前提下，可以与</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p>
        </w:tc>
      </w:tr>
      <w:tr w14:paraId="21F0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1598BACB">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30</w:t>
            </w:r>
          </w:p>
        </w:tc>
        <w:tc>
          <w:tcPr>
            <w:tcW w:w="2340" w:type="dxa"/>
            <w:noWrap w:val="0"/>
            <w:vAlign w:val="center"/>
          </w:tcPr>
          <w:p w14:paraId="435518E8">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同品牌产品不同</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的处理方式</w:t>
            </w:r>
          </w:p>
          <w:p w14:paraId="00B8C285">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（如有）</w:t>
            </w:r>
          </w:p>
        </w:tc>
        <w:tc>
          <w:tcPr>
            <w:tcW w:w="6054" w:type="dxa"/>
            <w:noWrap w:val="0"/>
            <w:vAlign w:val="center"/>
          </w:tcPr>
          <w:p w14:paraId="22CC5D9F">
            <w:pPr>
              <w:shd w:val="clear" w:color="auto" w:fill="auto"/>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投标人提供产品品牌相同的，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tc>
      </w:tr>
      <w:tr w14:paraId="291B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F97C095">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31</w:t>
            </w:r>
          </w:p>
        </w:tc>
        <w:tc>
          <w:tcPr>
            <w:tcW w:w="2340" w:type="dxa"/>
            <w:noWrap w:val="0"/>
            <w:vAlign w:val="center"/>
          </w:tcPr>
          <w:p w14:paraId="265BE192">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Arial" w:hAnsi="宋体" w:cs="Arial"/>
                <w:color w:val="auto"/>
                <w:sz w:val="24"/>
                <w:szCs w:val="24"/>
              </w:rPr>
              <w:t>中小企业</w:t>
            </w:r>
          </w:p>
        </w:tc>
        <w:tc>
          <w:tcPr>
            <w:tcW w:w="6054" w:type="dxa"/>
            <w:noWrap w:val="0"/>
            <w:vAlign w:val="bottom"/>
          </w:tcPr>
          <w:p w14:paraId="5D2AD748">
            <w:pPr>
              <w:pStyle w:val="41"/>
              <w:tabs>
                <w:tab w:val="left" w:pos="1635"/>
              </w:tabs>
              <w:autoSpaceDE w:val="0"/>
              <w:autoSpaceDN w:val="0"/>
              <w:spacing w:line="360" w:lineRule="auto"/>
              <w:ind w:left="0" w:leftChars="0" w:firstLine="480" w:firstLineChars="200"/>
              <w:jc w:val="left"/>
              <w:rPr>
                <w:rFonts w:ascii="Arial" w:hAnsi="宋体" w:cs="Arial"/>
                <w:color w:val="auto"/>
                <w:sz w:val="24"/>
                <w:szCs w:val="24"/>
              </w:rPr>
            </w:pPr>
            <w:r>
              <w:rPr>
                <w:rFonts w:hint="eastAsia" w:ascii="Arial" w:hAnsi="宋体" w:cs="Arial"/>
                <w:color w:val="auto"/>
                <w:sz w:val="24"/>
                <w:szCs w:val="24"/>
              </w:rPr>
              <w:t>根据《政府采购促进中小企业发展管理办法》（财库﹝2020﹞46号）的规定，中小企业（含中型、小型、微型企业，下同）应当同时符合以下条件：</w:t>
            </w:r>
          </w:p>
          <w:p w14:paraId="77E2F190">
            <w:pPr>
              <w:pStyle w:val="41"/>
              <w:tabs>
                <w:tab w:val="left" w:pos="1635"/>
              </w:tabs>
              <w:autoSpaceDE w:val="0"/>
              <w:autoSpaceDN w:val="0"/>
              <w:spacing w:line="360" w:lineRule="auto"/>
              <w:ind w:left="0" w:leftChars="0" w:firstLine="0" w:firstLineChars="0"/>
              <w:jc w:val="left"/>
              <w:rPr>
                <w:rFonts w:hint="eastAsia" w:ascii="Arial" w:hAnsi="宋体" w:cs="Arial"/>
                <w:color w:val="auto"/>
                <w:sz w:val="24"/>
                <w:szCs w:val="24"/>
              </w:rPr>
            </w:pPr>
            <w:r>
              <w:rPr>
                <w:rFonts w:hint="eastAsia" w:ascii="Arial" w:hAnsi="宋体" w:cs="Arial"/>
                <w:color w:val="auto"/>
                <w:sz w:val="24"/>
                <w:szCs w:val="24"/>
              </w:rPr>
              <w:t>（1）符合中小企业划分标准；</w:t>
            </w:r>
          </w:p>
          <w:p w14:paraId="6A438994">
            <w:pPr>
              <w:pStyle w:val="41"/>
              <w:tabs>
                <w:tab w:val="left" w:pos="1635"/>
              </w:tabs>
              <w:autoSpaceDE w:val="0"/>
              <w:autoSpaceDN w:val="0"/>
              <w:spacing w:line="360" w:lineRule="auto"/>
              <w:ind w:left="0" w:leftChars="0" w:firstLine="0" w:firstLineChars="0"/>
              <w:jc w:val="left"/>
              <w:rPr>
                <w:rFonts w:hint="eastAsia" w:ascii="Arial" w:hAnsi="宋体" w:cs="Arial"/>
                <w:color w:val="auto"/>
                <w:sz w:val="24"/>
                <w:szCs w:val="24"/>
              </w:rPr>
            </w:pPr>
            <w:r>
              <w:rPr>
                <w:rFonts w:hint="eastAsia" w:ascii="Arial" w:hAnsi="宋体" w:cs="Arial"/>
                <w:color w:val="auto"/>
                <w:sz w:val="24"/>
                <w:szCs w:val="24"/>
              </w:rPr>
              <w:t>（2）提供本企业制造的货物、承担的工程或者服务，或者提供其他中小企业制造的货物。本项</w:t>
            </w:r>
            <w:r>
              <w:rPr>
                <w:rFonts w:hint="eastAsia" w:ascii="Arial" w:hAnsi="宋体" w:cs="Arial"/>
                <w:color w:val="auto"/>
                <w:sz w:val="24"/>
                <w:szCs w:val="24"/>
                <w:lang w:val="en-US" w:eastAsia="zh-CN"/>
              </w:rPr>
              <w:t>目</w:t>
            </w:r>
            <w:r>
              <w:rPr>
                <w:rFonts w:hint="eastAsia" w:ascii="Arial" w:hAnsi="宋体" w:cs="Arial"/>
                <w:color w:val="auto"/>
                <w:sz w:val="24"/>
                <w:szCs w:val="24"/>
              </w:rPr>
              <w:t>所称货物不包括使用大型企业注册商标的货物。</w:t>
            </w:r>
          </w:p>
          <w:p w14:paraId="0D28B98F">
            <w:pPr>
              <w:pStyle w:val="41"/>
              <w:tabs>
                <w:tab w:val="left" w:pos="1635"/>
              </w:tabs>
              <w:autoSpaceDE w:val="0"/>
              <w:autoSpaceDN w:val="0"/>
              <w:spacing w:line="360" w:lineRule="auto"/>
              <w:ind w:left="0" w:firstLine="480" w:firstLineChars="200"/>
              <w:jc w:val="left"/>
              <w:rPr>
                <w:rFonts w:hint="eastAsia" w:ascii="Arial" w:hAnsi="宋体" w:cs="Arial"/>
                <w:color w:val="auto"/>
                <w:sz w:val="24"/>
                <w:szCs w:val="24"/>
              </w:rPr>
            </w:pPr>
            <w:r>
              <w:rPr>
                <w:rFonts w:hint="eastAsia" w:ascii="Arial" w:hAnsi="宋体" w:cs="Arial"/>
                <w:color w:val="auto"/>
                <w:sz w:val="24"/>
                <w:szCs w:val="24"/>
              </w:rPr>
              <w:t>本规定所称中小企业划分标准，是指国务院有关部门根据企业从业人员、营业收入、资产总额等指标制定的中小企业划型标准，详见《关于印发中小企业划型标准规定的通知》（工信部联企业〔2011〕300 号） 。</w:t>
            </w:r>
          </w:p>
          <w:p w14:paraId="735E9883">
            <w:pPr>
              <w:pStyle w:val="41"/>
              <w:tabs>
                <w:tab w:val="left" w:pos="1635"/>
              </w:tabs>
              <w:autoSpaceDE w:val="0"/>
              <w:autoSpaceDN w:val="0"/>
              <w:spacing w:line="360" w:lineRule="auto"/>
              <w:ind w:left="0" w:firstLine="0"/>
              <w:jc w:val="left"/>
              <w:rPr>
                <w:rFonts w:hint="eastAsia" w:ascii="Arial" w:hAnsi="宋体" w:cs="Arial"/>
                <w:color w:val="auto"/>
                <w:sz w:val="24"/>
                <w:szCs w:val="24"/>
              </w:rPr>
            </w:pPr>
            <w:r>
              <w:rPr>
                <w:rFonts w:hint="eastAsia" w:ascii="Arial" w:hAnsi="宋体" w:cs="Arial"/>
                <w:color w:val="auto"/>
                <w:sz w:val="24"/>
                <w:szCs w:val="24"/>
              </w:rPr>
              <w:t>小型、微型企业提供中型企业制造的货物的，视同为中型企业。</w:t>
            </w:r>
          </w:p>
          <w:p w14:paraId="257ED1A9">
            <w:pPr>
              <w:pStyle w:val="41"/>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b w:val="0"/>
                <w:bCs w:val="0"/>
                <w:color w:val="auto"/>
                <w:sz w:val="24"/>
                <w:szCs w:val="24"/>
                <w:highlight w:val="none"/>
              </w:rPr>
            </w:pPr>
            <w:r>
              <w:rPr>
                <w:rFonts w:hint="eastAsia" w:ascii="Arial" w:hAnsi="宋体" w:cs="Arial"/>
                <w:color w:val="auto"/>
                <w:sz w:val="24"/>
                <w:szCs w:val="24"/>
              </w:rPr>
              <w:t>中小企业提供本企业制造的货物或服务参与投标时，须提供本企业的《中小企业声明函》及证明材料；中小企业提供其他中小企业制造的货物参与投标时，还须同时提供货物制造企业的《中小企业声明函》及其证明材料。</w:t>
            </w:r>
          </w:p>
        </w:tc>
      </w:tr>
      <w:tr w14:paraId="24A2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B1C99C5">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w:t>
            </w:r>
          </w:p>
        </w:tc>
        <w:tc>
          <w:tcPr>
            <w:tcW w:w="2340" w:type="dxa"/>
            <w:noWrap w:val="0"/>
            <w:vAlign w:val="center"/>
          </w:tcPr>
          <w:p w14:paraId="28D78B3C">
            <w:pPr>
              <w:pStyle w:val="8"/>
              <w:autoSpaceDE w:val="0"/>
              <w:autoSpaceDN w:val="0"/>
              <w:spacing w:line="360" w:lineRule="auto"/>
              <w:ind w:left="0"/>
              <w:jc w:val="center"/>
              <w:rPr>
                <w:rFonts w:hint="eastAsia" w:ascii="Arial" w:hAnsi="宋体" w:cs="Arial"/>
                <w:color w:val="auto"/>
                <w:sz w:val="24"/>
                <w:szCs w:val="24"/>
              </w:rPr>
            </w:pPr>
            <w:r>
              <w:rPr>
                <w:rFonts w:hint="eastAsia" w:ascii="宋体" w:hAnsi="宋体" w:eastAsia="宋体" w:cs="宋体"/>
                <w:b w:val="0"/>
                <w:bCs w:val="0"/>
                <w:color w:val="auto"/>
                <w:lang w:val="en-US" w:eastAsia="zh-CN"/>
              </w:rPr>
              <w:t>残疾人福利性单位</w:t>
            </w:r>
          </w:p>
        </w:tc>
        <w:tc>
          <w:tcPr>
            <w:tcW w:w="6054" w:type="dxa"/>
            <w:noWrap w:val="0"/>
            <w:vAlign w:val="bottom"/>
          </w:tcPr>
          <w:p w14:paraId="1D3D002F">
            <w:pPr>
              <w:pStyle w:val="41"/>
              <w:tabs>
                <w:tab w:val="left" w:pos="1635"/>
              </w:tabs>
              <w:autoSpaceDE w:val="0"/>
              <w:autoSpaceDN w:val="0"/>
              <w:spacing w:line="360" w:lineRule="auto"/>
              <w:ind w:left="0" w:firstLine="0"/>
              <w:jc w:val="left"/>
              <w:rPr>
                <w:rFonts w:ascii="宋体" w:hAnsi="宋体" w:cs="宋体"/>
                <w:color w:val="auto"/>
                <w:sz w:val="24"/>
                <w:szCs w:val="24"/>
              </w:rPr>
            </w:pPr>
            <w:r>
              <w:rPr>
                <w:rFonts w:hint="eastAsia" w:ascii="宋体" w:hAnsi="宋体" w:cs="宋体"/>
                <w:color w:val="auto"/>
                <w:sz w:val="24"/>
                <w:szCs w:val="24"/>
              </w:rPr>
              <w:t>享受政府采购支持政策的残疾人福利性单位应当同时满足以下条件：</w:t>
            </w:r>
          </w:p>
          <w:p w14:paraId="4D5147D2">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（1）安置的残疾人占本单位在职职工人数的比例不低于 25%（含 25%），并且安置的残疾人人数不少于 10 人（含 10 人）；</w:t>
            </w:r>
          </w:p>
          <w:p w14:paraId="125A749B">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（2）依法与安置的每位残疾人签订了一年以上（含一年）的劳动合同或服务协议；</w:t>
            </w:r>
          </w:p>
          <w:p w14:paraId="4F0AEFDD">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为安置的每位残疾人按月足额缴纳了基本养老保险、基本医疗保险、失业保险、工伤保险和生育保险等社会保险费；</w:t>
            </w:r>
          </w:p>
          <w:p w14:paraId="72265931">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（3）通过银行等金融机构向安置的每位残疾人，按月支付了不低于单位所在区县适用的经省级人民政府批准的月最低工资标准的工资；</w:t>
            </w:r>
          </w:p>
          <w:p w14:paraId="27FFA040">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（4）提供本单位制造的货物、承担的工程或者服务（以下简称产品），或者提供其他残疾人福利性单位制造的货物（不包括使用非残疾人福利性单位注册商标的货物）。</w:t>
            </w:r>
          </w:p>
          <w:p w14:paraId="230EF1DB">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197CDF57">
            <w:pPr>
              <w:pStyle w:val="41"/>
              <w:tabs>
                <w:tab w:val="left" w:pos="1635"/>
              </w:tabs>
              <w:autoSpaceDE w:val="0"/>
              <w:autoSpaceDN w:val="0"/>
              <w:spacing w:line="360" w:lineRule="auto"/>
              <w:ind w:left="0" w:firstLine="0"/>
              <w:jc w:val="left"/>
              <w:rPr>
                <w:rFonts w:hint="eastAsia" w:ascii="宋体" w:hAnsi="宋体" w:cs="宋体"/>
                <w:color w:val="auto"/>
                <w:sz w:val="24"/>
                <w:szCs w:val="24"/>
              </w:rPr>
            </w:pPr>
            <w:r>
              <w:rPr>
                <w:rFonts w:hint="eastAsia" w:ascii="宋体" w:hAnsi="宋体" w:cs="宋体"/>
                <w:color w:val="auto"/>
                <w:sz w:val="24"/>
                <w:szCs w:val="24"/>
              </w:rPr>
              <w:t>符合条件的残疾人福利性单位在参加政府采购活动时，应当提供本《残疾人福利性单位声明函》（见附件），并对声明的真实性负责。任何单位或者个人在政府采购活动中均不得要求残疾人福利性单位提供其他证明声明函内容的材料。</w:t>
            </w:r>
          </w:p>
          <w:p w14:paraId="6569527E">
            <w:pPr>
              <w:pStyle w:val="41"/>
              <w:tabs>
                <w:tab w:val="left" w:pos="1635"/>
              </w:tabs>
              <w:autoSpaceDE w:val="0"/>
              <w:autoSpaceDN w:val="0"/>
              <w:spacing w:line="360" w:lineRule="auto"/>
              <w:ind w:left="0" w:leftChars="0" w:firstLine="480" w:firstLineChars="200"/>
              <w:jc w:val="left"/>
              <w:rPr>
                <w:rFonts w:hint="eastAsia" w:ascii="Arial" w:hAnsi="宋体" w:cs="Arial"/>
                <w:color w:val="auto"/>
                <w:sz w:val="24"/>
                <w:szCs w:val="24"/>
              </w:rPr>
            </w:pPr>
            <w:r>
              <w:rPr>
                <w:rFonts w:hint="eastAsia" w:ascii="宋体" w:hAnsi="宋体" w:cs="宋体"/>
                <w:color w:val="auto"/>
                <w:sz w:val="24"/>
                <w:szCs w:val="24"/>
              </w:rPr>
              <w:t>成交</w:t>
            </w:r>
            <w:r>
              <w:rPr>
                <w:rFonts w:hint="eastAsia" w:ascii="宋体" w:hAnsi="宋体" w:cs="宋体"/>
                <w:color w:val="auto"/>
                <w:sz w:val="24"/>
                <w:szCs w:val="24"/>
                <w:lang w:eastAsia="zh-CN"/>
              </w:rPr>
              <w:t>投标人</w:t>
            </w:r>
            <w:r>
              <w:rPr>
                <w:rFonts w:hint="eastAsia" w:ascii="宋体" w:hAnsi="宋体" w:cs="宋体"/>
                <w:color w:val="auto"/>
                <w:sz w:val="24"/>
                <w:szCs w:val="24"/>
              </w:rPr>
              <w:t>为残疾人福利性单位的，《残疾人福利性单位声明函》将与成交结果同时公告，接受社会监督。</w:t>
            </w:r>
            <w:r>
              <w:rPr>
                <w:rFonts w:hint="eastAsia" w:ascii="宋体" w:hAnsi="宋体" w:cs="宋体"/>
                <w:color w:val="auto"/>
                <w:sz w:val="24"/>
                <w:szCs w:val="24"/>
                <w:lang w:eastAsia="zh-CN"/>
              </w:rPr>
              <w:t>投标人</w:t>
            </w:r>
            <w:r>
              <w:rPr>
                <w:rFonts w:hint="eastAsia" w:ascii="宋体" w:hAnsi="宋体" w:cs="宋体"/>
                <w:color w:val="auto"/>
                <w:sz w:val="24"/>
                <w:szCs w:val="24"/>
              </w:rPr>
              <w:t>提供的《残疾人福利性单位声明函》与事实不符的，依照《</w:t>
            </w:r>
            <w:r>
              <w:rPr>
                <w:rFonts w:hint="eastAsia" w:ascii="宋体" w:hAnsi="宋体" w:cs="宋体"/>
                <w:color w:val="auto"/>
                <w:sz w:val="24"/>
                <w:szCs w:val="24"/>
                <w:lang w:val="en-US" w:eastAsia="zh-CN"/>
              </w:rPr>
              <w:t>中华人民共和国</w:t>
            </w:r>
            <w:r>
              <w:rPr>
                <w:rFonts w:hint="eastAsia" w:ascii="宋体" w:hAnsi="宋体" w:cs="宋体"/>
                <w:color w:val="auto"/>
                <w:sz w:val="24"/>
                <w:szCs w:val="24"/>
              </w:rPr>
              <w:t>政府采购法》第七十七条第一款的规定追究法律责任。</w:t>
            </w:r>
          </w:p>
        </w:tc>
      </w:tr>
      <w:tr w14:paraId="5126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7785F5DE">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33</w:t>
            </w:r>
          </w:p>
        </w:tc>
        <w:tc>
          <w:tcPr>
            <w:tcW w:w="2340" w:type="dxa"/>
            <w:noWrap w:val="0"/>
            <w:vAlign w:val="center"/>
          </w:tcPr>
          <w:p w14:paraId="6AC17F6C">
            <w:pPr>
              <w:pStyle w:val="8"/>
              <w:autoSpaceDE w:val="0"/>
              <w:autoSpaceDN w:val="0"/>
              <w:spacing w:line="360" w:lineRule="auto"/>
              <w:ind w:left="0" w:firstLine="480" w:firstLineChars="200"/>
              <w:jc w:val="left"/>
              <w:rPr>
                <w:rFonts w:hint="eastAsia" w:ascii="Arial" w:hAnsi="宋体" w:cs="Arial"/>
                <w:color w:val="auto"/>
                <w:sz w:val="24"/>
                <w:szCs w:val="24"/>
              </w:rPr>
            </w:pPr>
            <w:r>
              <w:rPr>
                <w:rFonts w:hint="eastAsia" w:ascii="宋体" w:hAnsi="宋体" w:eastAsia="宋体" w:cs="宋体"/>
                <w:b w:val="0"/>
                <w:bCs w:val="0"/>
                <w:color w:val="auto"/>
                <w:lang w:val="en-US" w:eastAsia="zh-CN"/>
              </w:rPr>
              <w:t>监狱企业</w:t>
            </w:r>
          </w:p>
        </w:tc>
        <w:tc>
          <w:tcPr>
            <w:tcW w:w="6054" w:type="dxa"/>
            <w:noWrap w:val="0"/>
            <w:vAlign w:val="bottom"/>
          </w:tcPr>
          <w:p w14:paraId="38951781">
            <w:pPr>
              <w:pStyle w:val="41"/>
              <w:tabs>
                <w:tab w:val="left" w:pos="1635"/>
              </w:tabs>
              <w:autoSpaceDE w:val="0"/>
              <w:autoSpaceDN w:val="0"/>
              <w:spacing w:line="360" w:lineRule="auto"/>
              <w:ind w:left="0" w:firstLine="0"/>
              <w:jc w:val="left"/>
              <w:rPr>
                <w:rFonts w:ascii="宋体" w:hAnsi="宋体" w:cs="宋体"/>
                <w:color w:val="auto"/>
                <w:sz w:val="24"/>
                <w:szCs w:val="24"/>
              </w:rPr>
            </w:pPr>
            <w:r>
              <w:rPr>
                <w:rFonts w:hint="eastAsia" w:ascii="宋体" w:hAnsi="宋体" w:cs="宋体"/>
                <w:color w:val="auto"/>
                <w:sz w:val="24"/>
                <w:szCs w:val="24"/>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E25BA4">
            <w:pPr>
              <w:pStyle w:val="41"/>
              <w:tabs>
                <w:tab w:val="left" w:pos="1635"/>
              </w:tabs>
              <w:autoSpaceDE w:val="0"/>
              <w:autoSpaceDN w:val="0"/>
              <w:spacing w:line="360" w:lineRule="auto"/>
              <w:ind w:left="0" w:leftChars="0" w:firstLine="480" w:firstLineChars="200"/>
              <w:jc w:val="left"/>
              <w:rPr>
                <w:rFonts w:hint="eastAsia" w:ascii="宋体" w:hAnsi="宋体" w:cs="宋体"/>
                <w:color w:val="auto"/>
                <w:sz w:val="24"/>
                <w:szCs w:val="24"/>
              </w:rPr>
            </w:pPr>
            <w:r>
              <w:rPr>
                <w:rFonts w:hint="eastAsia" w:ascii="宋体" w:hAnsi="宋体" w:cs="宋体"/>
                <w:color w:val="auto"/>
                <w:sz w:val="24"/>
                <w:szCs w:val="24"/>
              </w:rPr>
              <w:t>监狱企业参加政府采购活动时，应当提供由省级以上监狱管理局、戒毒管理局（含新疆生产建设兵团）出具的属于监狱企业的证明文件。</w:t>
            </w:r>
          </w:p>
        </w:tc>
      </w:tr>
      <w:tr w14:paraId="2061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5499796A">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34</w:t>
            </w:r>
          </w:p>
        </w:tc>
        <w:tc>
          <w:tcPr>
            <w:tcW w:w="2340" w:type="dxa"/>
            <w:noWrap w:val="0"/>
            <w:vAlign w:val="center"/>
          </w:tcPr>
          <w:p w14:paraId="6FDC7A1A">
            <w:pPr>
              <w:widowControl/>
              <w:spacing w:line="360" w:lineRule="auto"/>
              <w:jc w:val="center"/>
              <w:rPr>
                <w:rFonts w:hint="eastAsia" w:ascii="Arial" w:hAnsi="宋体" w:cs="Arial"/>
                <w:color w:val="auto"/>
                <w:sz w:val="24"/>
                <w:szCs w:val="24"/>
              </w:rPr>
            </w:pPr>
            <w:r>
              <w:rPr>
                <w:rFonts w:hint="eastAsia" w:ascii="宋体" w:hAnsi="宋体" w:cs="宋体"/>
                <w:color w:val="auto"/>
                <w:spacing w:val="-4"/>
                <w:sz w:val="24"/>
                <w:szCs w:val="24"/>
              </w:rPr>
              <w:t>节能、环境标志产品</w:t>
            </w:r>
          </w:p>
        </w:tc>
        <w:tc>
          <w:tcPr>
            <w:tcW w:w="6054" w:type="dxa"/>
            <w:noWrap w:val="0"/>
            <w:vAlign w:val="bottom"/>
          </w:tcPr>
          <w:p w14:paraId="4E880465">
            <w:pPr>
              <w:widowControl/>
              <w:spacing w:line="360" w:lineRule="auto"/>
              <w:jc w:val="left"/>
              <w:rPr>
                <w:rFonts w:hint="eastAsia" w:ascii="宋体" w:hAnsi="宋体" w:eastAsia="宋体" w:cs="宋体"/>
                <w:color w:val="auto"/>
                <w:sz w:val="24"/>
                <w:szCs w:val="24"/>
                <w:lang w:eastAsia="zh-CN"/>
              </w:rPr>
            </w:pPr>
            <w:r>
              <w:rPr>
                <w:rFonts w:hint="eastAsia" w:ascii="宋体" w:hAnsi="宋体" w:cs="宋体"/>
                <w:color w:val="auto"/>
                <w:sz w:val="24"/>
                <w:szCs w:val="24"/>
              </w:rPr>
              <w:t>（1）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7AAD6502">
            <w:pPr>
              <w:widowControl/>
              <w:spacing w:line="360" w:lineRule="auto"/>
              <w:jc w:val="left"/>
              <w:rPr>
                <w:rFonts w:hint="eastAsia" w:ascii="宋体" w:hAnsi="宋体" w:eastAsia="宋体" w:cs="宋体"/>
                <w:color w:val="auto"/>
                <w:sz w:val="24"/>
                <w:szCs w:val="24"/>
                <w:lang w:eastAsia="zh-CN"/>
              </w:rPr>
            </w:pPr>
            <w:r>
              <w:rPr>
                <w:rFonts w:hint="eastAsia" w:ascii="宋体" w:hAnsi="宋体" w:cs="宋体"/>
                <w:color w:val="auto"/>
                <w:sz w:val="24"/>
                <w:szCs w:val="24"/>
              </w:rPr>
              <w:t>（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4B00F60">
            <w:pPr>
              <w:widowControl/>
              <w:spacing w:line="360" w:lineRule="auto"/>
              <w:jc w:val="left"/>
              <w:rPr>
                <w:rFonts w:hint="eastAsia" w:ascii="宋体" w:hAnsi="宋体" w:cs="宋体"/>
                <w:color w:val="auto"/>
                <w:sz w:val="24"/>
                <w:szCs w:val="24"/>
              </w:rPr>
            </w:pPr>
            <w:r>
              <w:rPr>
                <w:rFonts w:hint="eastAsia" w:ascii="宋体" w:hAnsi="宋体" w:cs="宋体"/>
                <w:color w:val="auto"/>
                <w:sz w:val="24"/>
                <w:szCs w:val="24"/>
              </w:rPr>
              <w:t>（3）投标时，</w:t>
            </w:r>
            <w:r>
              <w:rPr>
                <w:rFonts w:hint="eastAsia" w:ascii="宋体" w:hAnsi="宋体" w:cs="宋体"/>
                <w:color w:val="auto"/>
                <w:sz w:val="24"/>
                <w:szCs w:val="24"/>
                <w:lang w:eastAsia="zh-CN"/>
              </w:rPr>
              <w:t>投标人</w:t>
            </w:r>
            <w:r>
              <w:rPr>
                <w:rFonts w:hint="eastAsia" w:ascii="宋体" w:hAnsi="宋体" w:cs="宋体"/>
                <w:color w:val="auto"/>
                <w:sz w:val="24"/>
                <w:szCs w:val="24"/>
              </w:rPr>
              <w:t>可通过中国政府采购网(http：//ccgp.gov.cn/)、国家</w:t>
            </w:r>
            <w:r>
              <w:rPr>
                <w:rFonts w:hint="eastAsia" w:ascii="宋体" w:hAnsi="宋体" w:cs="宋体"/>
                <w:color w:val="auto"/>
                <w:sz w:val="24"/>
                <w:szCs w:val="24"/>
                <w:lang w:eastAsia="zh-CN"/>
              </w:rPr>
              <w:t>生态环境部</w:t>
            </w:r>
            <w:r>
              <w:rPr>
                <w:rFonts w:hint="eastAsia" w:ascii="宋体" w:hAnsi="宋体" w:cs="宋体"/>
                <w:color w:val="auto"/>
                <w:sz w:val="24"/>
                <w:szCs w:val="24"/>
              </w:rPr>
              <w:t>网(http：//www.sepa.gov.cn/)查阅、下载认证机构和获证产品相关情况。</w:t>
            </w:r>
          </w:p>
        </w:tc>
      </w:tr>
    </w:tbl>
    <w:p w14:paraId="15194105">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C341044">
      <w:pPr>
        <w:spacing w:line="500" w:lineRule="exact"/>
        <w:ind w:firstLine="510"/>
        <w:jc w:val="center"/>
        <w:rPr>
          <w:rFonts w:ascii="宋体"/>
          <w:b/>
          <w:bCs/>
          <w:color w:val="auto"/>
          <w:spacing w:val="14"/>
          <w:sz w:val="44"/>
        </w:rPr>
      </w:pPr>
      <w:r>
        <w:rPr>
          <w:rFonts w:hint="eastAsia" w:ascii="宋体" w:hAnsi="宋体"/>
          <w:b/>
          <w:bCs/>
          <w:color w:val="auto"/>
          <w:spacing w:val="14"/>
          <w:sz w:val="44"/>
        </w:rPr>
        <w:t>投</w:t>
      </w:r>
      <w:r>
        <w:rPr>
          <w:rFonts w:ascii="宋体" w:hAnsi="宋体"/>
          <w:b/>
          <w:bCs/>
          <w:color w:val="auto"/>
          <w:spacing w:val="14"/>
          <w:sz w:val="44"/>
        </w:rPr>
        <w:t xml:space="preserve"> </w:t>
      </w:r>
      <w:r>
        <w:rPr>
          <w:rFonts w:hint="eastAsia" w:ascii="宋体" w:hAnsi="宋体"/>
          <w:b/>
          <w:bCs/>
          <w:color w:val="auto"/>
          <w:spacing w:val="14"/>
          <w:sz w:val="44"/>
        </w:rPr>
        <w:t>标</w:t>
      </w:r>
      <w:r>
        <w:rPr>
          <w:rFonts w:ascii="宋体" w:hAnsi="宋体"/>
          <w:b/>
          <w:bCs/>
          <w:color w:val="auto"/>
          <w:spacing w:val="14"/>
          <w:sz w:val="44"/>
        </w:rPr>
        <w:t xml:space="preserve"> </w:t>
      </w:r>
      <w:r>
        <w:rPr>
          <w:rFonts w:hint="eastAsia" w:ascii="宋体" w:hAnsi="宋体"/>
          <w:b/>
          <w:bCs/>
          <w:color w:val="auto"/>
          <w:spacing w:val="14"/>
          <w:sz w:val="44"/>
        </w:rPr>
        <w:t>人</w:t>
      </w:r>
      <w:r>
        <w:rPr>
          <w:rFonts w:ascii="宋体" w:hAnsi="宋体"/>
          <w:b/>
          <w:bCs/>
          <w:color w:val="auto"/>
          <w:spacing w:val="14"/>
          <w:sz w:val="44"/>
        </w:rPr>
        <w:t xml:space="preserve"> </w:t>
      </w:r>
      <w:r>
        <w:rPr>
          <w:rFonts w:hint="eastAsia" w:ascii="宋体" w:hAnsi="宋体"/>
          <w:b/>
          <w:bCs/>
          <w:color w:val="auto"/>
          <w:spacing w:val="14"/>
          <w:sz w:val="44"/>
        </w:rPr>
        <w:t>须</w:t>
      </w:r>
      <w:r>
        <w:rPr>
          <w:rFonts w:ascii="宋体" w:hAnsi="宋体"/>
          <w:b/>
          <w:bCs/>
          <w:color w:val="auto"/>
          <w:spacing w:val="14"/>
          <w:sz w:val="44"/>
        </w:rPr>
        <w:t xml:space="preserve"> </w:t>
      </w:r>
      <w:r>
        <w:rPr>
          <w:rFonts w:hint="eastAsia" w:ascii="宋体" w:hAnsi="宋体"/>
          <w:b/>
          <w:bCs/>
          <w:color w:val="auto"/>
          <w:spacing w:val="14"/>
          <w:sz w:val="44"/>
        </w:rPr>
        <w:t>知</w:t>
      </w:r>
    </w:p>
    <w:p w14:paraId="36A007EC">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p>
    <w:p w14:paraId="23500155">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一、总  则</w:t>
      </w:r>
    </w:p>
    <w:p w14:paraId="6037F5A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1.采购人、采购代理机构、项目名称，详见招标文件“</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须知前附表”。</w:t>
      </w:r>
    </w:p>
    <w:p w14:paraId="39BCD65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2.资金来源</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详见招标文件“</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须知前附表”。</w:t>
      </w:r>
    </w:p>
    <w:p w14:paraId="376B89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3.采购</w:t>
      </w:r>
      <w:r>
        <w:rPr>
          <w:rFonts w:hint="eastAsia" w:asciiTheme="minorEastAsia" w:hAnsiTheme="minorEastAsia" w:eastAsiaTheme="minorEastAsia" w:cstheme="minorEastAsia"/>
          <w:b w:val="0"/>
          <w:bCs/>
          <w:color w:val="auto"/>
          <w:sz w:val="24"/>
          <w:szCs w:val="24"/>
          <w:highlight w:val="none"/>
          <w:lang w:val="en-US" w:eastAsia="zh-CN"/>
        </w:rPr>
        <w:t>需求</w:t>
      </w:r>
      <w:r>
        <w:rPr>
          <w:rFonts w:hint="eastAsia" w:asciiTheme="minorEastAsia" w:hAnsiTheme="minorEastAsia" w:eastAsiaTheme="minorEastAsia" w:cstheme="minorEastAsia"/>
          <w:b w:val="0"/>
          <w:bCs/>
          <w:color w:val="auto"/>
          <w:sz w:val="24"/>
          <w:szCs w:val="24"/>
          <w:highlight w:val="none"/>
        </w:rPr>
        <w:t>详见招标文件。</w:t>
      </w:r>
    </w:p>
    <w:p w14:paraId="5FD69B5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4.合格的</w:t>
      </w:r>
      <w:r>
        <w:rPr>
          <w:rFonts w:hint="eastAsia" w:asciiTheme="minorEastAsia" w:hAnsiTheme="minorEastAsia" w:eastAsiaTheme="minorEastAsia" w:cstheme="minorEastAsia"/>
          <w:b w:val="0"/>
          <w:bCs/>
          <w:color w:val="auto"/>
          <w:sz w:val="24"/>
          <w:szCs w:val="24"/>
          <w:highlight w:val="none"/>
          <w:lang w:eastAsia="zh-CN"/>
        </w:rPr>
        <w:t>投标人</w:t>
      </w:r>
    </w:p>
    <w:p w14:paraId="706C607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4.1</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lang w:val="en-US" w:eastAsia="zh-CN"/>
        </w:rPr>
        <w:t>资格要求详</w:t>
      </w:r>
      <w:r>
        <w:rPr>
          <w:rFonts w:hint="eastAsia" w:asciiTheme="minorEastAsia" w:hAnsiTheme="minorEastAsia" w:eastAsiaTheme="minorEastAsia" w:cstheme="minorEastAsia"/>
          <w:b w:val="0"/>
          <w:bCs/>
          <w:color w:val="auto"/>
          <w:sz w:val="24"/>
          <w:szCs w:val="24"/>
          <w:highlight w:val="none"/>
        </w:rPr>
        <w:t>见招标文件“</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26DA631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4.2</w:t>
      </w:r>
      <w:r>
        <w:rPr>
          <w:rFonts w:hint="eastAsia" w:asciiTheme="minorEastAsia" w:hAnsiTheme="minorEastAsia" w:eastAsiaTheme="minorEastAsia" w:cstheme="minorEastAsia"/>
          <w:b w:val="0"/>
          <w:bCs/>
          <w:color w:val="auto"/>
          <w:sz w:val="24"/>
          <w:szCs w:val="24"/>
          <w:highlight w:val="none"/>
          <w:lang w:val="en-US" w:eastAsia="zh-CN"/>
        </w:rPr>
        <w:t>本项目不接受联合体投标。</w:t>
      </w:r>
    </w:p>
    <w:p w14:paraId="33357C1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4.3本项目不允许分包。</w:t>
      </w:r>
    </w:p>
    <w:p w14:paraId="24E4670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5.投标费用</w:t>
      </w:r>
    </w:p>
    <w:p w14:paraId="75FF9B38">
      <w:pPr>
        <w:pStyle w:val="2"/>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5.1</w:t>
      </w:r>
      <w:r>
        <w:rPr>
          <w:rFonts w:hint="eastAsia" w:asciiTheme="minorEastAsia" w:hAnsiTheme="minorEastAsia" w:eastAsiaTheme="minorEastAsia" w:cstheme="minorEastAsia"/>
          <w:color w:val="auto"/>
          <w:sz w:val="24"/>
          <w:szCs w:val="24"/>
          <w:highlight w:val="none"/>
        </w:rPr>
        <w:t>不论投标结果如何，</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均应自行承担所有与准备和参加投标活动有关的全部费用。</w:t>
      </w:r>
      <w:bookmarkStart w:id="41" w:name="_Toc321836357"/>
    </w:p>
    <w:p w14:paraId="22A136C8">
      <w:pPr>
        <w:pStyle w:val="2"/>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5.2投标人需成交本项目的成交服务费，详见招标文件“投标人须知前附表”。</w:t>
      </w:r>
    </w:p>
    <w:p w14:paraId="455D7BC0">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bookmarkEnd w:id="41"/>
      <w:r>
        <w:rPr>
          <w:rFonts w:hint="eastAsia" w:asciiTheme="minorEastAsia" w:hAnsiTheme="minorEastAsia" w:eastAsiaTheme="minorEastAsia" w:cstheme="minorEastAsia"/>
          <w:b/>
          <w:color w:val="auto"/>
          <w:sz w:val="28"/>
          <w:szCs w:val="28"/>
          <w:highlight w:val="none"/>
        </w:rPr>
        <w:t>二、招标文件</w:t>
      </w:r>
    </w:p>
    <w:p w14:paraId="54D4F85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.招标文件构成</w:t>
      </w:r>
    </w:p>
    <w:p w14:paraId="5CF1580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.1招标文件</w:t>
      </w:r>
      <w:r>
        <w:rPr>
          <w:rFonts w:hint="eastAsia" w:asciiTheme="minorEastAsia" w:hAnsiTheme="minorEastAsia" w:eastAsiaTheme="minorEastAsia" w:cstheme="minorEastAsia"/>
          <w:color w:val="auto"/>
          <w:sz w:val="24"/>
          <w:szCs w:val="24"/>
          <w:highlight w:val="none"/>
          <w:lang w:val="en-US" w:eastAsia="zh-CN"/>
        </w:rPr>
        <w:t>包括下列</w:t>
      </w:r>
      <w:r>
        <w:rPr>
          <w:rFonts w:hint="eastAsia" w:asciiTheme="minorEastAsia" w:hAnsiTheme="minorEastAsia" w:eastAsiaTheme="minorEastAsia" w:cstheme="minorEastAsia"/>
          <w:color w:val="auto"/>
          <w:sz w:val="24"/>
          <w:szCs w:val="24"/>
          <w:highlight w:val="none"/>
        </w:rPr>
        <w:t>内容：</w:t>
      </w:r>
    </w:p>
    <w:p w14:paraId="50ABD03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第一章 招标公告</w:t>
      </w:r>
    </w:p>
    <w:p w14:paraId="7340D87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第二章 投标人须知</w:t>
      </w:r>
      <w:r>
        <w:rPr>
          <w:rFonts w:hint="eastAsia" w:asciiTheme="minorEastAsia" w:hAnsiTheme="minorEastAsia" w:eastAsiaTheme="minorEastAsia" w:cstheme="minorEastAsia"/>
          <w:color w:val="auto"/>
          <w:sz w:val="24"/>
          <w:szCs w:val="24"/>
          <w:highlight w:val="none"/>
        </w:rPr>
        <w:tab/>
      </w:r>
    </w:p>
    <w:p w14:paraId="6B3F8D7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第三章 评标方法（综合评分法）</w:t>
      </w:r>
      <w:r>
        <w:rPr>
          <w:rFonts w:hint="eastAsia" w:asciiTheme="minorEastAsia" w:hAnsiTheme="minorEastAsia" w:eastAsiaTheme="minorEastAsia" w:cstheme="minorEastAsia"/>
          <w:color w:val="auto"/>
          <w:sz w:val="24"/>
          <w:szCs w:val="24"/>
          <w:highlight w:val="none"/>
        </w:rPr>
        <w:tab/>
      </w:r>
    </w:p>
    <w:p w14:paraId="2744762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第四章 合同主要条款及格式</w:t>
      </w:r>
      <w:r>
        <w:rPr>
          <w:rFonts w:hint="eastAsia" w:asciiTheme="minorEastAsia" w:hAnsiTheme="minorEastAsia" w:eastAsiaTheme="minorEastAsia" w:cstheme="minorEastAsia"/>
          <w:color w:val="auto"/>
          <w:sz w:val="24"/>
          <w:szCs w:val="24"/>
          <w:highlight w:val="none"/>
        </w:rPr>
        <w:tab/>
      </w:r>
    </w:p>
    <w:p w14:paraId="07CAECA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 投标文件格式</w:t>
      </w:r>
      <w:r>
        <w:rPr>
          <w:rFonts w:hint="eastAsia" w:asciiTheme="minorEastAsia" w:hAnsiTheme="minorEastAsia" w:eastAsiaTheme="minorEastAsia" w:cstheme="minorEastAsia"/>
          <w:color w:val="auto"/>
          <w:sz w:val="24"/>
          <w:szCs w:val="24"/>
          <w:highlight w:val="none"/>
        </w:rPr>
        <w:tab/>
      </w:r>
    </w:p>
    <w:p w14:paraId="2AC7E4D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第六章 采购需求</w:t>
      </w:r>
    </w:p>
    <w:p w14:paraId="0203F81B">
      <w:pPr>
        <w:pStyle w:val="2"/>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42" w:name="_Toc30125"/>
      <w:bookmarkStart w:id="43" w:name="_Toc3194"/>
      <w:bookmarkStart w:id="44" w:name="_Toc26868"/>
      <w:bookmarkStart w:id="45" w:name="_Toc35700997"/>
      <w:bookmarkStart w:id="46" w:name="_Toc31972"/>
      <w:bookmarkStart w:id="47" w:name="_Toc7867"/>
      <w:bookmarkStart w:id="48" w:name="_Toc49935309"/>
      <w:bookmarkStart w:id="49" w:name="_Toc35701783"/>
      <w:bookmarkStart w:id="50" w:name="_Toc17071"/>
      <w:bookmarkStart w:id="51" w:name="_Toc12240"/>
      <w:bookmarkStart w:id="52" w:name="_Toc36116052"/>
      <w:bookmarkStart w:id="53" w:name="_Toc22930"/>
      <w:bookmarkStart w:id="54" w:name="_Toc22304"/>
      <w:bookmarkStart w:id="55" w:name="_Toc35700926"/>
      <w:bookmarkStart w:id="56" w:name="_Toc32361"/>
      <w:bookmarkStart w:id="57" w:name="_Toc14269"/>
      <w:bookmarkStart w:id="58" w:name="_Hlk530349586"/>
      <w:bookmarkStart w:id="59" w:name="_Hlk530346927"/>
      <w:r>
        <w:rPr>
          <w:rFonts w:hint="eastAsia" w:asciiTheme="minorEastAsia" w:hAnsiTheme="minorEastAsia" w:eastAsiaTheme="minorEastAsia" w:cstheme="minorEastAsia"/>
          <w:b w:val="0"/>
          <w:bCs w:val="0"/>
          <w:color w:val="auto"/>
          <w:sz w:val="24"/>
          <w:szCs w:val="24"/>
          <w:highlight w:val="none"/>
          <w:lang w:val="en-US" w:eastAsia="zh-CN"/>
        </w:rPr>
        <w:t>7.招标文件的询问、澄清、修改</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5C762674">
      <w:pPr>
        <w:pStyle w:val="2"/>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投标人应仔细阅读和检查招标文件的全部内容，如有疑问，投标人应当在提交投标文件截止时间10日前凭企业数字证书（CA）登录“政采云平台”（https://www.zcygov.cn/）通过在线方式向采购人或采购代理机构提出询问，采购人或者采购代理机构自收到异议之日起3日内对投标人依法提出的询问通过在线形式作出答复，但答复的内容不涉及商业秘密。</w:t>
      </w:r>
    </w:p>
    <w:p w14:paraId="0FA81140">
      <w:pPr>
        <w:pStyle w:val="2"/>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采购人或者采购代理机构可以对已发出的招标文件进行必要的澄清或者修改，该澄清或者修改的内容为招标文件的组成部分。澄清或者修改的内容可能影响投标文件编制的，采购人或者采购代理机构应当在提交投标文件截止时间至少15日前澄清或者修改招标文件；不足15日的，采购人或者采购代理机构应当顺延提交投标文件的截止时间。</w:t>
      </w:r>
    </w:p>
    <w:p w14:paraId="565AFE1C">
      <w:pPr>
        <w:pStyle w:val="2"/>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7.3采购人对招标文件中的涉及评标办法、评审项目等重要评审内容做出变更，将同时发布补遗文件进行说明，以便各投标人都能下载招标文件并用于编制电子投标文件。</w:t>
      </w:r>
    </w:p>
    <w:p w14:paraId="6DBDB08A">
      <w:pPr>
        <w:pStyle w:val="2"/>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7.4招标文件澄清、招标文件修改文件内容均以网上电子文件为准，当招标文件、招标文件澄清、招标文件修改文件内容前后不一致时，以后发出的内容为准。</w:t>
      </w:r>
    </w:p>
    <w:p w14:paraId="71FA6234">
      <w:pPr>
        <w:pStyle w:val="2"/>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7.5本项目招标澄清和补遗全部通过网络送达，投标人须在提交投标文件截止时间前自行登录“政采云平台”（https://www.zcygov.cn/）查看有关该项目招标文件的答疑、补遗内容。否则，由此引起的投标损失自负。</w:t>
      </w:r>
      <w:bookmarkEnd w:id="58"/>
      <w:bookmarkEnd w:id="59"/>
    </w:p>
    <w:p w14:paraId="3F2B97D1">
      <w:pPr>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三、</w:t>
      </w:r>
      <w:r>
        <w:rPr>
          <w:rFonts w:hint="eastAsia" w:asciiTheme="minorEastAsia" w:hAnsiTheme="minorEastAsia" w:eastAsiaTheme="minorEastAsia" w:cstheme="minorEastAsia"/>
          <w:b/>
          <w:bCs w:val="0"/>
          <w:color w:val="auto"/>
          <w:sz w:val="28"/>
          <w:szCs w:val="28"/>
          <w:highlight w:val="none"/>
        </w:rPr>
        <w:t>投标文件</w:t>
      </w:r>
    </w:p>
    <w:p w14:paraId="6B6125A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8.投标文件编写注意事项</w:t>
      </w:r>
    </w:p>
    <w:p w14:paraId="5707047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8.1投标人应仔细阅读招标文件，在完全了解本采购项目的实质性要求（技术要求和商务要求）后编写投标文件。投标文件必须响应招标文件的实质性要求（技术要求和商务要求）。</w:t>
      </w:r>
    </w:p>
    <w:p w14:paraId="3DEE1EE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8.2技术要求包括采购标的的名称、规格、产品技术要求、功能、性能、数量、产品质量要求、技术培训要求、配置要求等。</w:t>
      </w:r>
    </w:p>
    <w:p w14:paraId="52DE6101">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8.3商务要求包括售后服务要求、交货地点要求、合同履行期限等。</w:t>
      </w:r>
    </w:p>
    <w:p w14:paraId="0078F29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9.投标的语言及计量单位</w:t>
      </w:r>
    </w:p>
    <w:p w14:paraId="37B4CFB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9.1投标人的投标文件、投标人与采购人、采购代理机构就有关投标的所有来往函电统一使用中文（特别规定除外）。</w:t>
      </w:r>
    </w:p>
    <w:p w14:paraId="3F30A88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9.2除招标文件中有特殊规定外，本项目一律使用中国法定计量单位，投标货币为人民币。</w:t>
      </w:r>
    </w:p>
    <w:p w14:paraId="555DA2D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rPr>
        <w:t>1</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.投标报价</w:t>
      </w:r>
    </w:p>
    <w:p w14:paraId="4A65710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10.1报价应为人民币含税价（元），注：报价须包含完成项目所必须的全部费用，包含人工费、材料费、机械费、运输费（含二次运输）、企业管理费、利润、税费、安装费、运维费等招标文件明示或暗示的所有费用。产品以外汇报价应有汇率、折扣以及最终人民币报价，无人民币报价或报价无法折算成人民币的投标属无效投标。</w:t>
      </w:r>
    </w:p>
    <w:p w14:paraId="5AF86D3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10.2投标人须提交保证接受“最低报价不能作为成交依据”的保证书。</w:t>
      </w:r>
    </w:p>
    <w:p w14:paraId="72D76F0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10.3投标报价大小写金额不一致的，以大写金额为准；总价金额与单价汇总金额不一致的，以单价金额计算结果为准；单价金额小数点有明显错位的，应以总价为准，并修改单价；对不同文字文本投标文件的解释发生异议的，以中文文本为准。</w:t>
      </w:r>
    </w:p>
    <w:p w14:paraId="0214C2B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10.4任何有选择的报价将不予接受，每种产品只允许有一个报价。</w:t>
      </w:r>
    </w:p>
    <w:p w14:paraId="3CDE4CA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10.5开标一览表中标明的价格在合同执行过程中是固定不变的，不得以任何理由予以变更。以可调整的价格提交的投标将作为非响应性投标而予以拒绝。</w:t>
      </w:r>
    </w:p>
    <w:p w14:paraId="56D231C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10.6投标人不得哄抬报价，也不应低于成本价(或进价)报价，否则一经查实，其投标将可能被拒绝或被宣布为废标。</w:t>
      </w:r>
    </w:p>
    <w:p w14:paraId="5DF5804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10.7投标人须书面承诺其投标报价不低于成本价，其报价不会影响商品质量及合同履约，否则作无效标书处理。</w:t>
      </w:r>
    </w:p>
    <w:p w14:paraId="124D63D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10.8报价必须包含一切费用，本项目全部相关的费用，投标人须在投标文件里单独进行承诺我公司所做出的报价均已考虑过各项风险因素（单独提供承诺书），未提供承诺的按无效标书处理。</w:t>
      </w:r>
    </w:p>
    <w:p w14:paraId="026DBDD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11.投标文件构成</w:t>
      </w:r>
    </w:p>
    <w:p w14:paraId="14A0A47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11.1投标人编写的投标文件应按招标文件中“投标文件格式”要求填写。</w:t>
      </w:r>
    </w:p>
    <w:p w14:paraId="3C4501B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60" w:name="_Hlk530347046"/>
      <w:r>
        <w:rPr>
          <w:rFonts w:hint="eastAsia" w:asciiTheme="minorEastAsia" w:hAnsiTheme="minorEastAsia" w:eastAsiaTheme="minorEastAsia" w:cstheme="minorEastAsia"/>
          <w:b w:val="0"/>
          <w:bCs/>
          <w:color w:val="auto"/>
          <w:sz w:val="24"/>
          <w:szCs w:val="24"/>
          <w:highlight w:val="none"/>
          <w:lang w:val="en-US" w:eastAsia="zh-CN"/>
        </w:rPr>
        <w:t>11.2各投标人应登录“政采云平台”（https://www.zcygov.cn/），下载安装“政采云电子交易客户端”，并按照本项目采购文件和政采云平台的要求编制、加密、提交投标文件。</w:t>
      </w:r>
    </w:p>
    <w:p w14:paraId="3C3C2AF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12.电子投标文件的编制</w:t>
      </w:r>
    </w:p>
    <w:p w14:paraId="379BC96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1</w:t>
      </w:r>
      <w:r>
        <w:rPr>
          <w:rFonts w:hint="eastAsia" w:asciiTheme="minorEastAsia" w:hAnsiTheme="minorEastAsia" w:eastAsiaTheme="minorEastAsia" w:cstheme="minorEastAsia"/>
          <w:b w:val="0"/>
          <w:bCs/>
          <w:color w:val="auto"/>
          <w:sz w:val="24"/>
          <w:szCs w:val="24"/>
          <w:highlight w:val="none"/>
        </w:rPr>
        <w:t>电子投标文件应使用</w:t>
      </w:r>
      <w:r>
        <w:rPr>
          <w:rFonts w:hint="eastAsia" w:asciiTheme="minorEastAsia" w:hAnsiTheme="minorEastAsia" w:eastAsiaTheme="minorEastAsia" w:cstheme="minorEastAsia"/>
          <w:b w:val="0"/>
          <w:bCs/>
          <w:color w:val="auto"/>
          <w:sz w:val="24"/>
          <w:szCs w:val="24"/>
          <w:highlight w:val="none"/>
          <w:lang w:val="en-US" w:eastAsia="zh-CN"/>
        </w:rPr>
        <w:t>“政采云电子交易客户端”</w:t>
      </w:r>
      <w:r>
        <w:rPr>
          <w:rFonts w:hint="eastAsia" w:asciiTheme="minorEastAsia" w:hAnsiTheme="minorEastAsia" w:eastAsiaTheme="minorEastAsia" w:cstheme="minorEastAsia"/>
          <w:b w:val="0"/>
          <w:bCs/>
          <w:color w:val="auto"/>
          <w:sz w:val="24"/>
          <w:szCs w:val="24"/>
          <w:highlight w:val="none"/>
          <w:lang w:eastAsia="zh-CN"/>
        </w:rPr>
        <w:t>编制，编制要求详见</w:t>
      </w:r>
      <w:r>
        <w:rPr>
          <w:rFonts w:hint="eastAsia" w:asciiTheme="minorEastAsia" w:hAnsiTheme="minorEastAsia" w:eastAsiaTheme="minorEastAsia" w:cstheme="minorEastAsia"/>
          <w:b w:val="0"/>
          <w:bCs/>
          <w:color w:val="auto"/>
          <w:sz w:val="24"/>
          <w:szCs w:val="24"/>
          <w:highlight w:val="none"/>
          <w:lang w:val="en-US" w:eastAsia="zh-CN"/>
        </w:rPr>
        <w:t>“政采云平台”</w:t>
      </w:r>
      <w:r>
        <w:rPr>
          <w:rFonts w:hint="eastAsia" w:asciiTheme="minorEastAsia" w:hAnsiTheme="minorEastAsia" w:eastAsiaTheme="minorEastAsia" w:cstheme="minorEastAsia"/>
          <w:b w:val="0"/>
          <w:bCs/>
          <w:color w:val="auto"/>
          <w:sz w:val="24"/>
          <w:szCs w:val="24"/>
          <w:highlight w:val="none"/>
          <w:lang w:eastAsia="zh-CN"/>
        </w:rPr>
        <w:t>《投标人操作手册》</w:t>
      </w:r>
      <w:r>
        <w:rPr>
          <w:rFonts w:hint="eastAsia" w:asciiTheme="minorEastAsia" w:hAnsiTheme="minorEastAsia" w:eastAsiaTheme="minorEastAsia" w:cstheme="minorEastAsia"/>
          <w:b w:val="0"/>
          <w:bCs/>
          <w:color w:val="auto"/>
          <w:sz w:val="24"/>
          <w:szCs w:val="24"/>
          <w:highlight w:val="none"/>
        </w:rPr>
        <w:t>。</w:t>
      </w:r>
    </w:p>
    <w:p w14:paraId="3D712FC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12.2在编制电子投标文件时，上传的单个资料不能大于100MB或300MB（具体以政采云平台系统要求为准）。</w:t>
      </w:r>
      <w:bookmarkEnd w:id="60"/>
      <w:bookmarkStart w:id="61" w:name="_Hlk530347140"/>
    </w:p>
    <w:bookmarkEnd w:id="61"/>
    <w:p w14:paraId="2E607D9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bookmarkStart w:id="62" w:name="_Hlk530347202"/>
      <w:bookmarkStart w:id="63" w:name="_Hlk530349759"/>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投标文件中提供的资料（包括</w:t>
      </w:r>
      <w:r>
        <w:rPr>
          <w:rFonts w:hint="eastAsia" w:asciiTheme="minorEastAsia" w:hAnsiTheme="minorEastAsia" w:eastAsiaTheme="minorEastAsia" w:cstheme="minorEastAsia"/>
          <w:b w:val="0"/>
          <w:bCs/>
          <w:color w:val="auto"/>
          <w:sz w:val="24"/>
          <w:szCs w:val="24"/>
          <w:highlight w:val="none"/>
          <w:lang w:val="en-US" w:eastAsia="zh-CN"/>
        </w:rPr>
        <w:t>原件扫描件</w:t>
      </w:r>
      <w:r>
        <w:rPr>
          <w:rFonts w:hint="eastAsia" w:asciiTheme="minorEastAsia" w:hAnsiTheme="minorEastAsia" w:eastAsiaTheme="minorEastAsia" w:cstheme="minorEastAsia"/>
          <w:b w:val="0"/>
          <w:bCs/>
          <w:color w:val="auto"/>
          <w:sz w:val="24"/>
          <w:szCs w:val="24"/>
          <w:highlight w:val="none"/>
        </w:rPr>
        <w:t>），内容必须清晰可辨，若内容模糊</w:t>
      </w:r>
      <w:r>
        <w:rPr>
          <w:rFonts w:hint="eastAsia" w:asciiTheme="minorEastAsia" w:hAnsiTheme="minorEastAsia" w:eastAsiaTheme="minorEastAsia" w:cstheme="minorEastAsia"/>
          <w:b w:val="0"/>
          <w:bCs/>
          <w:color w:val="auto"/>
          <w:sz w:val="24"/>
          <w:szCs w:val="24"/>
          <w:highlight w:val="none"/>
          <w:lang w:val="en-US" w:eastAsia="zh-CN"/>
        </w:rPr>
        <w:t>不完整</w:t>
      </w:r>
      <w:r>
        <w:rPr>
          <w:rFonts w:hint="eastAsia" w:asciiTheme="minorEastAsia" w:hAnsiTheme="minorEastAsia" w:eastAsiaTheme="minorEastAsia" w:cstheme="minorEastAsia"/>
          <w:b w:val="0"/>
          <w:bCs/>
          <w:color w:val="auto"/>
          <w:sz w:val="24"/>
          <w:szCs w:val="24"/>
          <w:highlight w:val="none"/>
        </w:rPr>
        <w:t>，无法辨识</w:t>
      </w:r>
      <w:r>
        <w:rPr>
          <w:rFonts w:hint="eastAsia" w:asciiTheme="minorEastAsia" w:hAnsiTheme="minorEastAsia" w:eastAsiaTheme="minorEastAsia" w:cstheme="minorEastAsia"/>
          <w:b w:val="0"/>
          <w:bCs/>
          <w:color w:val="auto"/>
          <w:sz w:val="24"/>
          <w:szCs w:val="24"/>
          <w:highlight w:val="none"/>
          <w:lang w:eastAsia="zh-CN"/>
        </w:rPr>
        <w:t>的，</w:t>
      </w:r>
      <w:r>
        <w:rPr>
          <w:rFonts w:hint="eastAsia" w:asciiTheme="minorEastAsia" w:hAnsiTheme="minorEastAsia" w:eastAsiaTheme="minorEastAsia" w:cstheme="minorEastAsia"/>
          <w:b w:val="0"/>
          <w:bCs/>
          <w:color w:val="auto"/>
          <w:sz w:val="24"/>
          <w:szCs w:val="24"/>
          <w:highlight w:val="none"/>
          <w:lang w:val="en-US" w:eastAsia="zh-CN"/>
        </w:rPr>
        <w:t>评标委员会有权作出对投标人不利的处理决定。</w:t>
      </w:r>
    </w:p>
    <w:p w14:paraId="6DF3A2F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投标文件应由法定代表人或其委托代理人在规定签字处签字，要求盖章处应盖单位章，签字及盖章要求详见</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须知前附表。</w:t>
      </w:r>
    </w:p>
    <w:bookmarkEnd w:id="62"/>
    <w:p w14:paraId="110348E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13.提交电子投标文件截止时间</w:t>
      </w:r>
    </w:p>
    <w:p w14:paraId="55448A9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详见</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2419695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eastAsia="zh-CN"/>
        </w:rPr>
      </w:pPr>
      <w:bookmarkStart w:id="64" w:name="_Hlk530347395"/>
      <w:r>
        <w:rPr>
          <w:rFonts w:hint="eastAsia" w:asciiTheme="minorEastAsia" w:hAnsiTheme="minorEastAsia" w:eastAsiaTheme="minorEastAsia" w:cstheme="minorEastAsia"/>
          <w:b w:val="0"/>
          <w:bCs/>
          <w:color w:val="auto"/>
          <w:sz w:val="24"/>
          <w:szCs w:val="24"/>
          <w:highlight w:val="none"/>
          <w:lang w:val="en-US" w:eastAsia="zh-CN"/>
        </w:rPr>
        <w:t>14.电子</w:t>
      </w:r>
      <w:r>
        <w:rPr>
          <w:rFonts w:hint="eastAsia" w:asciiTheme="minorEastAsia" w:hAnsiTheme="minorEastAsia" w:eastAsiaTheme="minorEastAsia" w:cstheme="minorEastAsia"/>
          <w:b w:val="0"/>
          <w:bCs/>
          <w:color w:val="auto"/>
          <w:sz w:val="24"/>
          <w:szCs w:val="24"/>
          <w:highlight w:val="none"/>
        </w:rPr>
        <w:t>投标文件的</w:t>
      </w:r>
      <w:r>
        <w:rPr>
          <w:rFonts w:hint="eastAsia" w:asciiTheme="minorEastAsia" w:hAnsiTheme="minorEastAsia" w:eastAsiaTheme="minorEastAsia" w:cstheme="minorEastAsia"/>
          <w:b w:val="0"/>
          <w:bCs/>
          <w:color w:val="auto"/>
          <w:sz w:val="24"/>
          <w:szCs w:val="24"/>
          <w:highlight w:val="none"/>
          <w:lang w:eastAsia="zh-CN"/>
        </w:rPr>
        <w:t>提交</w:t>
      </w:r>
    </w:p>
    <w:p w14:paraId="4F8C850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65" w:name="_Hlk530347341"/>
      <w:bookmarkStart w:id="66" w:name="_Toc247527583"/>
      <w:bookmarkStart w:id="67" w:name="_Toc152042334"/>
      <w:bookmarkStart w:id="68" w:name="_Toc144974526"/>
      <w:bookmarkStart w:id="69" w:name="_Toc152045558"/>
      <w:bookmarkStart w:id="70" w:name="_Toc247513982"/>
      <w:r>
        <w:rPr>
          <w:rFonts w:hint="eastAsia" w:asciiTheme="minorEastAsia" w:hAnsiTheme="minorEastAsia" w:eastAsiaTheme="minorEastAsia" w:cstheme="minorEastAsia"/>
          <w:b w:val="0"/>
          <w:bCs/>
          <w:color w:val="auto"/>
          <w:sz w:val="24"/>
          <w:szCs w:val="24"/>
          <w:highlight w:val="none"/>
          <w:lang w:val="en-US" w:eastAsia="zh-CN"/>
        </w:rPr>
        <w:t>14.1</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lang w:val="en-US" w:eastAsia="zh-CN"/>
        </w:rPr>
        <w:t>须</w:t>
      </w:r>
      <w:r>
        <w:rPr>
          <w:rFonts w:hint="eastAsia" w:asciiTheme="minorEastAsia" w:hAnsiTheme="minorEastAsia" w:eastAsiaTheme="minorEastAsia" w:cstheme="minorEastAsia"/>
          <w:b w:val="0"/>
          <w:bCs/>
          <w:color w:val="auto"/>
          <w:sz w:val="24"/>
          <w:szCs w:val="24"/>
          <w:highlight w:val="none"/>
        </w:rPr>
        <w:t>对</w:t>
      </w:r>
      <w:r>
        <w:rPr>
          <w:rFonts w:hint="eastAsia" w:asciiTheme="minorEastAsia" w:hAnsiTheme="minorEastAsia" w:eastAsiaTheme="minorEastAsia" w:cstheme="minorEastAsia"/>
          <w:b w:val="0"/>
          <w:bCs/>
          <w:color w:val="auto"/>
          <w:sz w:val="24"/>
          <w:szCs w:val="24"/>
          <w:highlight w:val="none"/>
          <w:lang w:val="en-US" w:eastAsia="zh-CN"/>
        </w:rPr>
        <w:t>电子</w:t>
      </w:r>
      <w:r>
        <w:rPr>
          <w:rFonts w:hint="eastAsia" w:asciiTheme="minorEastAsia" w:hAnsiTheme="minorEastAsia" w:eastAsiaTheme="minorEastAsia" w:cstheme="minorEastAsia"/>
          <w:b w:val="0"/>
          <w:bCs/>
          <w:color w:val="auto"/>
          <w:sz w:val="24"/>
          <w:szCs w:val="24"/>
          <w:highlight w:val="none"/>
        </w:rPr>
        <w:t>投标文件进行加密</w:t>
      </w:r>
      <w:bookmarkEnd w:id="65"/>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未按要求加密的，采购人不予受理</w:t>
      </w:r>
      <w:r>
        <w:rPr>
          <w:rFonts w:hint="eastAsia" w:asciiTheme="minorEastAsia" w:hAnsiTheme="minorEastAsia" w:eastAsiaTheme="minorEastAsia" w:cstheme="minorEastAsia"/>
          <w:b w:val="0"/>
          <w:bCs/>
          <w:color w:val="auto"/>
          <w:sz w:val="24"/>
          <w:szCs w:val="24"/>
          <w:highlight w:val="none"/>
          <w:lang w:eastAsia="zh-CN"/>
        </w:rPr>
        <w:t>。</w:t>
      </w:r>
    </w:p>
    <w:p w14:paraId="2185FEA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14.2</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须在</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w:t>
      </w:r>
      <w:r>
        <w:rPr>
          <w:rFonts w:hint="eastAsia" w:asciiTheme="minorEastAsia" w:hAnsiTheme="minorEastAsia" w:eastAsiaTheme="minorEastAsia" w:cstheme="minorEastAsia"/>
          <w:b w:val="0"/>
          <w:bCs/>
          <w:color w:val="auto"/>
          <w:sz w:val="24"/>
          <w:szCs w:val="24"/>
          <w:highlight w:val="none"/>
          <w:lang w:val="en-US" w:eastAsia="zh-CN"/>
        </w:rPr>
        <w:t>登录政采云平台</w:t>
      </w:r>
      <w:r>
        <w:rPr>
          <w:rFonts w:hint="eastAsia" w:asciiTheme="minorEastAsia" w:hAnsiTheme="minorEastAsia" w:eastAsiaTheme="minorEastAsia" w:cstheme="minorEastAsia"/>
          <w:b w:val="0"/>
          <w:bCs/>
          <w:color w:val="auto"/>
          <w:sz w:val="24"/>
          <w:szCs w:val="24"/>
          <w:highlight w:val="none"/>
        </w:rPr>
        <w:t>完成所有投标文件的上传</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前未完成投标文件传输的，</w:t>
      </w:r>
      <w:r>
        <w:rPr>
          <w:rFonts w:hint="eastAsia" w:asciiTheme="minorEastAsia" w:hAnsiTheme="minorEastAsia" w:eastAsiaTheme="minorEastAsia" w:cstheme="minorEastAsia"/>
          <w:b w:val="0"/>
          <w:bCs/>
          <w:color w:val="auto"/>
          <w:sz w:val="24"/>
          <w:szCs w:val="24"/>
          <w:highlight w:val="none"/>
          <w:lang w:eastAsia="zh-CN"/>
        </w:rPr>
        <w:t>视为未提交投标文件</w:t>
      </w:r>
      <w:r>
        <w:rPr>
          <w:rFonts w:hint="eastAsia" w:asciiTheme="minorEastAsia" w:hAnsiTheme="minorEastAsia" w:eastAsiaTheme="minorEastAsia" w:cstheme="minorEastAsia"/>
          <w:b w:val="0"/>
          <w:bCs/>
          <w:color w:val="auto"/>
          <w:sz w:val="24"/>
          <w:szCs w:val="24"/>
          <w:highlight w:val="none"/>
        </w:rPr>
        <w:t>。</w:t>
      </w:r>
    </w:p>
    <w:p w14:paraId="31D1E5E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15.电子</w:t>
      </w:r>
      <w:r>
        <w:rPr>
          <w:rFonts w:hint="eastAsia" w:asciiTheme="minorEastAsia" w:hAnsiTheme="minorEastAsia" w:eastAsiaTheme="minorEastAsia" w:cstheme="minorEastAsia"/>
          <w:b w:val="0"/>
          <w:bCs/>
          <w:color w:val="auto"/>
          <w:sz w:val="24"/>
          <w:szCs w:val="24"/>
          <w:highlight w:val="none"/>
        </w:rPr>
        <w:t>投标文件的修改与撤回</w:t>
      </w:r>
      <w:bookmarkEnd w:id="66"/>
      <w:bookmarkEnd w:id="67"/>
      <w:bookmarkEnd w:id="68"/>
      <w:bookmarkEnd w:id="69"/>
      <w:bookmarkEnd w:id="70"/>
    </w:p>
    <w:p w14:paraId="06DAB58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可以补充、修改或撤回已在网上</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的投标文件。</w:t>
      </w:r>
    </w:p>
    <w:p w14:paraId="44D64DB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补充、修改的内容应当按招标文件要求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本须知附件1</w:t>
      </w:r>
      <w:r>
        <w:rPr>
          <w:rFonts w:hint="eastAsia" w:asciiTheme="minorEastAsia" w:hAnsiTheme="minorEastAsia" w:eastAsiaTheme="minorEastAsia" w:cstheme="minorEastAsia"/>
          <w:color w:val="auto"/>
          <w:sz w:val="24"/>
          <w:szCs w:val="24"/>
          <w:highlight w:val="none"/>
        </w:rPr>
        <w:t>《政府采购项目电子化交易操作须知》进行编制和</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w:t>
      </w:r>
      <w:bookmarkEnd w:id="64"/>
    </w:p>
    <w:p w14:paraId="2FB36CA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16</w:t>
      </w:r>
      <w:r>
        <w:rPr>
          <w:rFonts w:hint="eastAsia" w:asciiTheme="minorEastAsia" w:hAnsiTheme="minorEastAsia" w:eastAsiaTheme="minorEastAsia" w:cstheme="minorEastAsia"/>
          <w:b w:val="0"/>
          <w:bCs w:val="0"/>
          <w:color w:val="auto"/>
          <w:sz w:val="24"/>
          <w:szCs w:val="24"/>
          <w:highlight w:val="none"/>
        </w:rPr>
        <w:t>.投标保证金</w:t>
      </w:r>
    </w:p>
    <w:p w14:paraId="2329D90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应在提交投标文件截止时间前按“</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须知前附表”</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规定提交投标保证金。</w:t>
      </w:r>
    </w:p>
    <w:p w14:paraId="7EC6DD7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采购人或者采购代理机构应当自中标通知书发出之日起5个工作日内退还未中标</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的投标保证金，自政府采购合同签订之日起5个工作日内退还中标</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的投标保证金。</w:t>
      </w:r>
    </w:p>
    <w:p w14:paraId="2842765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下列情况发生时，投标保证金将不予退还</w:t>
      </w:r>
      <w:r>
        <w:rPr>
          <w:rFonts w:hint="eastAsia" w:asciiTheme="minorEastAsia" w:hAnsiTheme="minorEastAsia" w:eastAsiaTheme="minorEastAsia" w:cstheme="minorEastAsia"/>
          <w:color w:val="auto"/>
          <w:sz w:val="24"/>
          <w:szCs w:val="24"/>
          <w:highlight w:val="none"/>
          <w:lang w:eastAsia="zh-CN"/>
        </w:rPr>
        <w:t>：</w:t>
      </w:r>
    </w:p>
    <w:bookmarkEnd w:id="63"/>
    <w:p w14:paraId="3476AA5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（1）投标人在提交响应文件截止时间后撤回响应文件的；</w:t>
      </w:r>
    </w:p>
    <w:p w14:paraId="11B50DA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（2）投标人在响应文件中提供虚假材料的；</w:t>
      </w:r>
    </w:p>
    <w:p w14:paraId="0E5DF78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（3）除因不可抗力或招标文件认可的情形以外，成交投标人不与采购人签订合同的；</w:t>
      </w:r>
    </w:p>
    <w:p w14:paraId="337A6AD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（4）投标人与采购人、其他投标人或者采购代理机构恶意串通的；</w:t>
      </w:r>
    </w:p>
    <w:p w14:paraId="765CC47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（5）招标文件规定的其他情形。</w:t>
      </w:r>
    </w:p>
    <w:p w14:paraId="6760291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17.纸质投标文件</w:t>
      </w:r>
    </w:p>
    <w:p w14:paraId="520087C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中标人提供的</w:t>
      </w:r>
      <w:r>
        <w:rPr>
          <w:rFonts w:hint="eastAsia" w:asciiTheme="minorEastAsia" w:hAnsiTheme="minorEastAsia" w:eastAsiaTheme="minorEastAsia" w:cstheme="minorEastAsia"/>
          <w:b w:val="0"/>
          <w:bCs w:val="0"/>
          <w:color w:val="auto"/>
          <w:sz w:val="24"/>
          <w:szCs w:val="24"/>
          <w:highlight w:val="none"/>
        </w:rPr>
        <w:t>纸质投标文件份数见“</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须知前附表”要求。投标文件封面上应标明项目名称、</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名称等内容。投标文件内容须清晰可辨</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编制目录装订成册</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装订应牢固，不得采用活页夹。</w:t>
      </w:r>
    </w:p>
    <w:p w14:paraId="6BECF06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8</w:t>
      </w:r>
      <w:r>
        <w:rPr>
          <w:rFonts w:hint="eastAsia" w:asciiTheme="minorEastAsia" w:hAnsiTheme="minorEastAsia" w:eastAsiaTheme="minorEastAsia" w:cstheme="minorEastAsia"/>
          <w:b w:val="0"/>
          <w:bCs w:val="0"/>
          <w:color w:val="auto"/>
          <w:sz w:val="24"/>
          <w:szCs w:val="24"/>
          <w:highlight w:val="none"/>
        </w:rPr>
        <w:t>.投标文件有效期</w:t>
      </w:r>
    </w:p>
    <w:p w14:paraId="7D4A88C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b w:val="0"/>
          <w:bCs/>
          <w:color w:val="auto"/>
          <w:sz w:val="24"/>
          <w:szCs w:val="24"/>
          <w:highlight w:val="none"/>
          <w:lang w:eastAsia="zh-CN"/>
        </w:rPr>
        <w:t>投标人</w:t>
      </w:r>
      <w:r>
        <w:rPr>
          <w:rFonts w:hint="eastAsia" w:asciiTheme="minorEastAsia" w:hAnsiTheme="minorEastAsia" w:eastAsiaTheme="minorEastAsia" w:cstheme="minorEastAsia"/>
          <w:b w:val="0"/>
          <w:bCs/>
          <w:color w:val="auto"/>
          <w:sz w:val="24"/>
          <w:szCs w:val="24"/>
          <w:highlight w:val="none"/>
        </w:rPr>
        <w:t>须知前附表”规</w:t>
      </w:r>
      <w:r>
        <w:rPr>
          <w:rFonts w:hint="eastAsia" w:asciiTheme="minorEastAsia" w:hAnsiTheme="minorEastAsia" w:eastAsiaTheme="minorEastAsia" w:cstheme="minorEastAsia"/>
          <w:color w:val="auto"/>
          <w:sz w:val="24"/>
          <w:szCs w:val="24"/>
          <w:highlight w:val="none"/>
        </w:rPr>
        <w:t>定的投标有效期内，</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不得要求撤销或修改其投标文件。</w:t>
      </w:r>
    </w:p>
    <w:p w14:paraId="1D1852A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.2</w:t>
      </w:r>
      <w:bookmarkStart w:id="71" w:name="_Hlk530349676"/>
      <w:r>
        <w:rPr>
          <w:rFonts w:hint="eastAsia" w:asciiTheme="minorEastAsia" w:hAnsiTheme="minorEastAsia" w:eastAsiaTheme="minorEastAsia" w:cstheme="minorEastAsia"/>
          <w:color w:val="auto"/>
          <w:sz w:val="24"/>
          <w:szCs w:val="24"/>
          <w:highlight w:val="none"/>
        </w:rPr>
        <w:t>在特殊情况需要延长投标有效期的，采购人在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上通知所有</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延长投标有效期。</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同意延长的，应相应延长其投标保证金的有效期，但不得要求或被允许修改或撤销其投标文件；</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拒绝延长的，其投标文件失效，但</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有权</w:t>
      </w:r>
      <w:r>
        <w:rPr>
          <w:rFonts w:hint="eastAsia" w:asciiTheme="minorEastAsia" w:hAnsiTheme="minorEastAsia" w:eastAsiaTheme="minorEastAsia" w:cstheme="minorEastAsia"/>
          <w:color w:val="auto"/>
          <w:sz w:val="24"/>
          <w:szCs w:val="24"/>
          <w:highlight w:val="none"/>
          <w:lang w:val="en-US" w:eastAsia="zh-CN"/>
        </w:rPr>
        <w:t>予以退还</w:t>
      </w:r>
      <w:r>
        <w:rPr>
          <w:rFonts w:hint="eastAsia" w:asciiTheme="minorEastAsia" w:hAnsiTheme="minorEastAsia" w:eastAsiaTheme="minorEastAsia" w:cstheme="minorEastAsia"/>
          <w:color w:val="auto"/>
          <w:sz w:val="24"/>
          <w:szCs w:val="24"/>
          <w:highlight w:val="none"/>
        </w:rPr>
        <w:t>其投标保证金。</w:t>
      </w:r>
      <w:bookmarkEnd w:id="71"/>
    </w:p>
    <w:p w14:paraId="57F50961">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四</w:t>
      </w:r>
      <w:r>
        <w:rPr>
          <w:rFonts w:hint="eastAsia" w:asciiTheme="minorEastAsia" w:hAnsiTheme="minorEastAsia" w:eastAsiaTheme="minorEastAsia" w:cstheme="minorEastAsia"/>
          <w:b/>
          <w:bCs/>
          <w:color w:val="auto"/>
          <w:sz w:val="28"/>
          <w:szCs w:val="28"/>
          <w:highlight w:val="none"/>
        </w:rPr>
        <w:t>、</w:t>
      </w:r>
      <w:r>
        <w:rPr>
          <w:rFonts w:hint="eastAsia" w:asciiTheme="minorEastAsia" w:hAnsiTheme="minorEastAsia" w:eastAsiaTheme="minorEastAsia" w:cstheme="minorEastAsia"/>
          <w:b/>
          <w:color w:val="auto"/>
          <w:sz w:val="28"/>
          <w:szCs w:val="28"/>
          <w:highlight w:val="none"/>
        </w:rPr>
        <w:t>开标与评标</w:t>
      </w:r>
    </w:p>
    <w:p w14:paraId="1B6E14F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lang w:val="en-US" w:eastAsia="zh-CN"/>
        </w:rPr>
        <w:t>19</w:t>
      </w:r>
      <w:r>
        <w:rPr>
          <w:rFonts w:hint="eastAsia" w:asciiTheme="minorEastAsia" w:hAnsiTheme="minorEastAsia" w:eastAsiaTheme="minorEastAsia" w:cstheme="minorEastAsia"/>
          <w:b w:val="0"/>
          <w:bCs w:val="0"/>
          <w:color w:val="auto"/>
          <w:sz w:val="24"/>
          <w:szCs w:val="24"/>
          <w:highlight w:val="none"/>
        </w:rPr>
        <w:t>.开标</w:t>
      </w:r>
    </w:p>
    <w:p w14:paraId="57F64BF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.1采购代理机构将在“</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须知前附表”规定的时间和地点进行</w:t>
      </w:r>
      <w:r>
        <w:rPr>
          <w:rFonts w:hint="eastAsia" w:asciiTheme="minorEastAsia" w:hAnsiTheme="minorEastAsia" w:eastAsiaTheme="minorEastAsia" w:cstheme="minorEastAsia"/>
          <w:color w:val="auto"/>
          <w:sz w:val="24"/>
          <w:szCs w:val="24"/>
          <w:highlight w:val="none"/>
          <w:lang w:val="en-US" w:eastAsia="zh-CN"/>
        </w:rPr>
        <w:t>网上公开</w:t>
      </w:r>
      <w:r>
        <w:rPr>
          <w:rFonts w:hint="eastAsia" w:asciiTheme="minorEastAsia" w:hAnsiTheme="minorEastAsia" w:eastAsiaTheme="minorEastAsia" w:cstheme="minorEastAsia"/>
          <w:color w:val="auto"/>
          <w:sz w:val="24"/>
          <w:szCs w:val="24"/>
          <w:highlight w:val="none"/>
        </w:rPr>
        <w:t>开标，</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的法定代表人或委托代理人应</w:t>
      </w:r>
      <w:r>
        <w:rPr>
          <w:rFonts w:hint="eastAsia" w:asciiTheme="minorEastAsia" w:hAnsiTheme="minorEastAsia" w:eastAsiaTheme="minorEastAsia" w:cstheme="minorEastAsia"/>
          <w:color w:val="auto"/>
          <w:sz w:val="24"/>
          <w:szCs w:val="24"/>
          <w:highlight w:val="none"/>
          <w:lang w:val="en-US" w:eastAsia="zh-CN"/>
        </w:rPr>
        <w:t>按时按规定</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开标会，如</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未出席</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开标会，由此产生的后果由</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自行负责。</w:t>
      </w:r>
    </w:p>
    <w:p w14:paraId="76915C7B">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参加投标的</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不足三家的，停止开标。</w:t>
      </w:r>
    </w:p>
    <w:p w14:paraId="6944508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72" w:name="_Hlk530349793"/>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.3开标程序：</w:t>
      </w:r>
    </w:p>
    <w:p w14:paraId="5D4590A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3BA95A8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（1）开标由本项目</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主持；</w:t>
      </w:r>
    </w:p>
    <w:p w14:paraId="527AD39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（2）本</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项目的开标会议将于上述投标截止的同一时间在线远程网络公开进行（无需</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到开标现场），</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前进入</w:t>
      </w:r>
      <w:r>
        <w:rPr>
          <w:rFonts w:hint="eastAsia" w:asciiTheme="minorEastAsia" w:hAnsiTheme="minorEastAsia" w:eastAsiaTheme="minorEastAsia" w:cstheme="minorEastAsia"/>
          <w:color w:val="auto"/>
          <w:sz w:val="24"/>
          <w:szCs w:val="24"/>
          <w:highlight w:val="none"/>
          <w:lang w:val="en-US" w:eastAsia="zh-CN"/>
        </w:rPr>
        <w:t>本</w:t>
      </w:r>
      <w:r>
        <w:rPr>
          <w:rFonts w:hint="eastAsia" w:asciiTheme="minorEastAsia" w:hAnsiTheme="minorEastAsia" w:eastAsiaTheme="minorEastAsia" w:cstheme="minorEastAsia"/>
          <w:color w:val="auto"/>
          <w:sz w:val="24"/>
          <w:szCs w:val="24"/>
          <w:highlight w:val="none"/>
        </w:rPr>
        <w:t>投标项目</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w:t>
      </w:r>
      <w:r>
        <w:rPr>
          <w:rFonts w:hint="eastAsia" w:asciiTheme="minorEastAsia" w:hAnsiTheme="minorEastAsia" w:eastAsiaTheme="minorEastAsia" w:cstheme="minorEastAsia"/>
          <w:color w:val="auto"/>
          <w:sz w:val="24"/>
          <w:szCs w:val="24"/>
          <w:highlight w:val="none"/>
          <w:lang w:eastAsia="zh-CN"/>
        </w:rPr>
        <w:t>；</w:t>
      </w:r>
    </w:p>
    <w:p w14:paraId="0EF3E26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）采购人或</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通过远程在线开标系统下达“网上解密”指令后，</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应在采购人规定的投标文件解密时间内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lang w:val="en-US" w:eastAsia="zh-CN"/>
        </w:rPr>
        <w:t>——网上开标室显示时间为准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，使用编制投标文件时加密的数字证书进行解密。如若未在规定的解密时间内完成解密操作或因</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自身原因致使其投标文件未成功解密的投标视为</w:t>
      </w:r>
      <w:r>
        <w:rPr>
          <w:rFonts w:hint="eastAsia" w:asciiTheme="minorEastAsia" w:hAnsiTheme="minorEastAsia" w:eastAsiaTheme="minorEastAsia" w:cstheme="minorEastAsia"/>
          <w:color w:val="auto"/>
          <w:sz w:val="24"/>
          <w:szCs w:val="24"/>
          <w:highlight w:val="none"/>
          <w:lang w:val="en-US" w:eastAsia="zh-CN"/>
        </w:rPr>
        <w:t>未提交</w:t>
      </w:r>
      <w:r>
        <w:rPr>
          <w:rFonts w:hint="eastAsia" w:asciiTheme="minorEastAsia" w:hAnsiTheme="minorEastAsia" w:eastAsiaTheme="minorEastAsia" w:cstheme="minorEastAsia"/>
          <w:color w:val="auto"/>
          <w:sz w:val="24"/>
          <w:szCs w:val="24"/>
          <w:highlight w:val="none"/>
        </w:rPr>
        <w:t xml:space="preserve">投标。 </w:t>
      </w:r>
    </w:p>
    <w:p w14:paraId="026881D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代表、记录人等有关人员在开标记录上签字确认；</w:t>
      </w:r>
    </w:p>
    <w:p w14:paraId="2487330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）开标结束。</w:t>
      </w:r>
    </w:p>
    <w:p w14:paraId="1EE7E17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开标异议</w:t>
      </w:r>
    </w:p>
    <w:p w14:paraId="725420A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投标人若对本项目在线开标过程有任何异议，应在开标结束指令下达前提出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否则，视为投标人对本项目开标过程无任何异议。</w:t>
      </w:r>
      <w:r>
        <w:rPr>
          <w:rFonts w:hint="eastAsia" w:asciiTheme="minorEastAsia" w:hAnsiTheme="minorEastAsia" w:eastAsiaTheme="minorEastAsia" w:cstheme="minorEastAsia"/>
          <w:color w:val="auto"/>
          <w:sz w:val="24"/>
          <w:szCs w:val="24"/>
          <w:highlight w:val="none"/>
          <w:lang w:val="en-US" w:eastAsia="zh-CN"/>
        </w:rPr>
        <w:t>采购人或采购代理机构将在线</w:t>
      </w:r>
      <w:r>
        <w:rPr>
          <w:rFonts w:hint="eastAsia" w:asciiTheme="minorEastAsia" w:hAnsiTheme="minorEastAsia" w:eastAsiaTheme="minorEastAsia" w:cstheme="minorEastAsia"/>
          <w:color w:val="auto"/>
          <w:sz w:val="24"/>
          <w:szCs w:val="24"/>
          <w:highlight w:val="none"/>
        </w:rPr>
        <w:t>进行查看并回复</w:t>
      </w:r>
      <w:r>
        <w:rPr>
          <w:rFonts w:hint="eastAsia" w:asciiTheme="minorEastAsia" w:hAnsiTheme="minorEastAsia" w:eastAsiaTheme="minorEastAsia" w:cstheme="minorEastAsia"/>
          <w:color w:val="auto"/>
          <w:sz w:val="24"/>
          <w:szCs w:val="24"/>
          <w:highlight w:val="none"/>
          <w:lang w:eastAsia="zh-CN"/>
        </w:rPr>
        <w:t>。</w:t>
      </w:r>
    </w:p>
    <w:bookmarkEnd w:id="72"/>
    <w:p w14:paraId="344516A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.评标</w:t>
      </w:r>
    </w:p>
    <w:p w14:paraId="17244BF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.1评标由采购人依法组建的评标委员会负责。评标委员会由采购人代表和有关技术、经济等方面的专家组成，成员人数应当为</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人以上单数。其中，技术、经济等方面的专家不得少于成员总数的三分之二。评标委员会应当推选组长，采购人代表不得担任组长。</w:t>
      </w:r>
    </w:p>
    <w:p w14:paraId="159A1D3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bookmarkStart w:id="73" w:name="_Toc191374422"/>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.2评标原则</w:t>
      </w:r>
      <w:bookmarkEnd w:id="73"/>
      <w:r>
        <w:rPr>
          <w:rFonts w:hint="eastAsia" w:asciiTheme="minorEastAsia" w:hAnsiTheme="minorEastAsia" w:eastAsiaTheme="minorEastAsia" w:cstheme="minorEastAsia"/>
          <w:color w:val="auto"/>
          <w:sz w:val="24"/>
          <w:szCs w:val="24"/>
          <w:highlight w:val="none"/>
        </w:rPr>
        <w:t>及方法</w:t>
      </w:r>
    </w:p>
    <w:p w14:paraId="44F373C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14:paraId="1B191E1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.3评标方法</w:t>
      </w:r>
    </w:p>
    <w:p w14:paraId="4173C60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本项目按“</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须知前附表”规定的评标方法评标。在评标中，不得改变招标文件中规定的评标标准、方法。“评标方法”没有规定的评审因素和标准，不作为评标依据。</w:t>
      </w:r>
    </w:p>
    <w:p w14:paraId="13441BA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1CFD452D">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五</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成交</w:t>
      </w:r>
      <w:r>
        <w:rPr>
          <w:rFonts w:hint="eastAsia" w:asciiTheme="minorEastAsia" w:hAnsiTheme="minorEastAsia" w:eastAsiaTheme="minorEastAsia" w:cstheme="minorEastAsia"/>
          <w:b/>
          <w:color w:val="auto"/>
          <w:sz w:val="28"/>
          <w:szCs w:val="28"/>
          <w:highlight w:val="none"/>
        </w:rPr>
        <w:t>结果</w:t>
      </w:r>
    </w:p>
    <w:p w14:paraId="3C7A5E36">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的确定</w:t>
      </w:r>
    </w:p>
    <w:p w14:paraId="53811C1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.1采购代理机构应当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结束</w:t>
      </w:r>
      <w:r>
        <w:rPr>
          <w:rFonts w:hint="eastAsia" w:asciiTheme="minorEastAsia" w:hAnsiTheme="minorEastAsia" w:eastAsiaTheme="minorEastAsia" w:cstheme="minorEastAsia"/>
          <w:color w:val="auto"/>
          <w:sz w:val="24"/>
          <w:szCs w:val="24"/>
          <w:highlight w:val="none"/>
          <w:lang w:val="en-US" w:eastAsia="zh-CN"/>
        </w:rPr>
        <w:t>之日起2</w:t>
      </w:r>
      <w:r>
        <w:rPr>
          <w:rFonts w:hint="eastAsia" w:asciiTheme="minorEastAsia" w:hAnsiTheme="minorEastAsia" w:eastAsiaTheme="minorEastAsia" w:cstheme="minorEastAsia"/>
          <w:color w:val="auto"/>
          <w:sz w:val="24"/>
          <w:szCs w:val="24"/>
          <w:highlight w:val="none"/>
        </w:rPr>
        <w:t>个工作日内将</w:t>
      </w:r>
      <w:r>
        <w:rPr>
          <w:rFonts w:hint="eastAsia" w:asciiTheme="minorEastAsia" w:hAnsiTheme="minorEastAsia" w:eastAsiaTheme="minorEastAsia" w:cstheme="minorEastAsia"/>
          <w:color w:val="auto"/>
          <w:sz w:val="24"/>
          <w:szCs w:val="24"/>
          <w:highlight w:val="none"/>
          <w:lang w:eastAsia="zh-CN"/>
        </w:rPr>
        <w:t>评审报告</w:t>
      </w:r>
      <w:r>
        <w:rPr>
          <w:rFonts w:hint="eastAsia" w:asciiTheme="minorEastAsia" w:hAnsiTheme="minorEastAsia" w:eastAsiaTheme="minorEastAsia" w:cstheme="minorEastAsia"/>
          <w:color w:val="auto"/>
          <w:sz w:val="24"/>
          <w:szCs w:val="24"/>
          <w:highlight w:val="none"/>
        </w:rPr>
        <w:t>送</w:t>
      </w:r>
      <w:r>
        <w:rPr>
          <w:rFonts w:hint="eastAsia" w:asciiTheme="minorEastAsia" w:hAnsiTheme="minorEastAsia" w:eastAsiaTheme="minorEastAsia" w:cstheme="minorEastAsia"/>
          <w:color w:val="auto"/>
          <w:sz w:val="24"/>
          <w:szCs w:val="24"/>
          <w:highlight w:val="none"/>
          <w:lang w:val="en-US" w:eastAsia="zh-CN"/>
        </w:rPr>
        <w:t>交</w:t>
      </w:r>
      <w:r>
        <w:rPr>
          <w:rFonts w:hint="eastAsia" w:asciiTheme="minorEastAsia" w:hAnsiTheme="minorEastAsia" w:eastAsiaTheme="minorEastAsia" w:cstheme="minorEastAsia"/>
          <w:color w:val="auto"/>
          <w:sz w:val="24"/>
          <w:szCs w:val="24"/>
          <w:highlight w:val="none"/>
        </w:rPr>
        <w:t>采购人。</w:t>
      </w:r>
    </w:p>
    <w:p w14:paraId="4F30139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.2采购人应当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收到评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w:t>
      </w:r>
      <w:r>
        <w:rPr>
          <w:rFonts w:hint="eastAsia" w:asciiTheme="minorEastAsia" w:hAnsiTheme="minorEastAsia" w:eastAsiaTheme="minorEastAsia" w:cstheme="minorEastAsia"/>
          <w:color w:val="auto"/>
          <w:sz w:val="24"/>
          <w:szCs w:val="24"/>
          <w:highlight w:val="none"/>
          <w:lang w:val="en-US" w:eastAsia="zh-CN"/>
        </w:rPr>
        <w:t>之日起5</w:t>
      </w:r>
      <w:r>
        <w:rPr>
          <w:rFonts w:hint="eastAsia" w:asciiTheme="minorEastAsia" w:hAnsiTheme="minorEastAsia" w:eastAsiaTheme="minorEastAsia" w:cstheme="minorEastAsia"/>
          <w:color w:val="auto"/>
          <w:sz w:val="24"/>
          <w:szCs w:val="24"/>
          <w:highlight w:val="none"/>
        </w:rPr>
        <w:t>个工作日内</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报告推荐的</w:t>
      </w:r>
      <w:r>
        <w:rPr>
          <w:rFonts w:hint="eastAsia" w:asciiTheme="minorEastAsia" w:hAnsiTheme="minorEastAsia" w:eastAsiaTheme="minorEastAsia" w:cstheme="minorEastAsia"/>
          <w:color w:val="auto"/>
          <w:sz w:val="24"/>
          <w:szCs w:val="24"/>
          <w:highlight w:val="none"/>
          <w:lang w:val="en-US" w:eastAsia="zh-CN"/>
        </w:rPr>
        <w:t>成交候选中按</w:t>
      </w:r>
      <w:r>
        <w:rPr>
          <w:rFonts w:hint="eastAsia" w:asciiTheme="minorEastAsia" w:hAnsiTheme="minorEastAsia" w:eastAsiaTheme="minorEastAsia" w:cstheme="minorEastAsia"/>
          <w:color w:val="auto"/>
          <w:sz w:val="24"/>
          <w:szCs w:val="24"/>
          <w:highlight w:val="none"/>
        </w:rPr>
        <w:t>顺序确定中标</w:t>
      </w:r>
      <w:r>
        <w:rPr>
          <w:rFonts w:hint="eastAsia" w:asciiTheme="minorEastAsia" w:hAnsiTheme="minorEastAsia" w:eastAsiaTheme="minorEastAsia" w:cstheme="minorEastAsia"/>
          <w:color w:val="auto"/>
          <w:sz w:val="24"/>
          <w:szCs w:val="24"/>
          <w:highlight w:val="none"/>
          <w:lang w:val="en-US" w:eastAsia="zh-CN"/>
        </w:rPr>
        <w:t>单位</w:t>
      </w:r>
      <w:r>
        <w:rPr>
          <w:rFonts w:hint="eastAsia" w:asciiTheme="minorEastAsia" w:hAnsiTheme="minorEastAsia" w:eastAsiaTheme="minorEastAsia" w:cstheme="minorEastAsia"/>
          <w:color w:val="auto"/>
          <w:sz w:val="24"/>
          <w:szCs w:val="24"/>
          <w:highlight w:val="none"/>
        </w:rPr>
        <w:t>。</w:t>
      </w:r>
    </w:p>
    <w:p w14:paraId="2EC97DB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bookmarkStart w:id="74" w:name="_Hlk530347524"/>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w:t>
      </w:r>
      <w:bookmarkStart w:id="75" w:name="_Hlk530349836"/>
      <w:r>
        <w:rPr>
          <w:rFonts w:hint="eastAsia" w:asciiTheme="minorEastAsia" w:hAnsiTheme="minorEastAsia" w:eastAsiaTheme="minorEastAsia" w:cstheme="minorEastAsia"/>
          <w:color w:val="auto"/>
          <w:sz w:val="24"/>
          <w:szCs w:val="24"/>
          <w:highlight w:val="none"/>
        </w:rPr>
        <w:t>采购人或者采购代理机构应当自</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确定之日起2个工作日内，在省级以上</w:t>
      </w:r>
      <w:r>
        <w:rPr>
          <w:rFonts w:hint="eastAsia" w:asciiTheme="minorEastAsia" w:hAnsiTheme="minorEastAsia" w:eastAsiaTheme="minorEastAsia" w:cstheme="minorEastAsia"/>
          <w:color w:val="auto"/>
          <w:sz w:val="24"/>
          <w:szCs w:val="24"/>
          <w:highlight w:val="none"/>
          <w:lang w:val="en-US" w:eastAsia="zh-CN"/>
        </w:rPr>
        <w:t>人民政府</w:t>
      </w:r>
      <w:r>
        <w:rPr>
          <w:rFonts w:hint="eastAsia" w:asciiTheme="minorEastAsia" w:hAnsiTheme="minorEastAsia" w:eastAsiaTheme="minorEastAsia" w:cstheme="minorEastAsia"/>
          <w:color w:val="auto"/>
          <w:sz w:val="24"/>
          <w:szCs w:val="24"/>
          <w:highlight w:val="none"/>
        </w:rPr>
        <w:t>财政部门指定的媒体上</w:t>
      </w:r>
      <w:r>
        <w:rPr>
          <w:rFonts w:hint="eastAsia" w:asciiTheme="minorEastAsia" w:hAnsiTheme="minorEastAsia" w:eastAsiaTheme="minorEastAsia" w:cstheme="minorEastAsia"/>
          <w:color w:val="auto"/>
          <w:sz w:val="24"/>
          <w:szCs w:val="24"/>
          <w:highlight w:val="none"/>
          <w:lang w:val="en-US" w:eastAsia="zh-CN"/>
        </w:rPr>
        <w:t>依法</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结果。</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公告期限为1个工作日。</w:t>
      </w:r>
    </w:p>
    <w:bookmarkEnd w:id="74"/>
    <w:bookmarkEnd w:id="75"/>
    <w:p w14:paraId="77F32C4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成交通知书</w:t>
      </w:r>
    </w:p>
    <w:p w14:paraId="4BC1A15F">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bookmarkStart w:id="76" w:name="_Hlk530347544"/>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公告期限</w:t>
      </w:r>
      <w:r>
        <w:rPr>
          <w:rFonts w:hint="eastAsia" w:asciiTheme="minorEastAsia" w:hAnsiTheme="minorEastAsia" w:eastAsiaTheme="minorEastAsia" w:cstheme="minorEastAsia"/>
          <w:color w:val="auto"/>
          <w:sz w:val="24"/>
          <w:szCs w:val="24"/>
          <w:highlight w:val="none"/>
          <w:lang w:val="en-US" w:eastAsia="zh-CN"/>
        </w:rPr>
        <w:t>结束后</w:t>
      </w:r>
      <w:r>
        <w:rPr>
          <w:rFonts w:hint="eastAsia" w:asciiTheme="minorEastAsia" w:hAnsiTheme="minorEastAsia" w:eastAsiaTheme="minorEastAsia" w:cstheme="minorEastAsia"/>
          <w:color w:val="auto"/>
          <w:sz w:val="24"/>
          <w:szCs w:val="24"/>
          <w:highlight w:val="none"/>
        </w:rPr>
        <w:t>，采购人或者采购代理机构应当</w:t>
      </w:r>
      <w:r>
        <w:rPr>
          <w:rFonts w:hint="eastAsia" w:asciiTheme="minorEastAsia" w:hAnsiTheme="minorEastAsia" w:eastAsiaTheme="minorEastAsia" w:cstheme="minorEastAsia"/>
          <w:color w:val="auto"/>
          <w:sz w:val="24"/>
          <w:szCs w:val="24"/>
          <w:highlight w:val="none"/>
          <w:lang w:val="en-US" w:eastAsia="zh-CN"/>
        </w:rPr>
        <w:t>按规定</w:t>
      </w:r>
      <w:r>
        <w:rPr>
          <w:rFonts w:hint="eastAsia" w:asciiTheme="minorEastAsia" w:hAnsiTheme="minorEastAsia" w:eastAsiaTheme="minorEastAsia" w:cstheme="minorEastAsia"/>
          <w:color w:val="auto"/>
          <w:sz w:val="24"/>
          <w:szCs w:val="24"/>
          <w:highlight w:val="none"/>
        </w:rPr>
        <w:t>向</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发出</w:t>
      </w:r>
      <w:r>
        <w:rPr>
          <w:rFonts w:hint="eastAsia" w:asciiTheme="minorEastAsia" w:hAnsiTheme="minorEastAsia" w:eastAsiaTheme="minorEastAsia" w:cstheme="minorEastAsia"/>
          <w:color w:val="auto"/>
          <w:sz w:val="24"/>
          <w:szCs w:val="24"/>
          <w:highlight w:val="none"/>
          <w:lang w:eastAsia="zh-CN"/>
        </w:rPr>
        <w:t>成交通知书</w:t>
      </w:r>
      <w:r>
        <w:rPr>
          <w:rFonts w:hint="eastAsia" w:asciiTheme="minorEastAsia" w:hAnsiTheme="minorEastAsia" w:eastAsiaTheme="minorEastAsia" w:cstheme="minorEastAsia"/>
          <w:color w:val="auto"/>
          <w:sz w:val="24"/>
          <w:szCs w:val="24"/>
          <w:highlight w:val="none"/>
        </w:rPr>
        <w:t>。</w:t>
      </w:r>
    </w:p>
    <w:bookmarkEnd w:id="76"/>
    <w:p w14:paraId="696DD340">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成交通知书</w:t>
      </w:r>
      <w:r>
        <w:rPr>
          <w:rFonts w:hint="eastAsia" w:asciiTheme="minorEastAsia" w:hAnsiTheme="minorEastAsia" w:eastAsiaTheme="minorEastAsia" w:cstheme="minorEastAsia"/>
          <w:color w:val="auto"/>
          <w:sz w:val="24"/>
          <w:szCs w:val="24"/>
          <w:highlight w:val="none"/>
        </w:rPr>
        <w:t>是合同的一个组成部分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与合同具有同等效力</w:t>
      </w:r>
      <w:r>
        <w:rPr>
          <w:rFonts w:hint="eastAsia" w:asciiTheme="minorEastAsia" w:hAnsiTheme="minorEastAsia" w:eastAsiaTheme="minorEastAsia" w:cstheme="minorEastAsia"/>
          <w:color w:val="auto"/>
          <w:sz w:val="24"/>
          <w:szCs w:val="24"/>
          <w:highlight w:val="none"/>
        </w:rPr>
        <w:t>。</w:t>
      </w:r>
    </w:p>
    <w:p w14:paraId="7E0DBE8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.签订合同</w:t>
      </w:r>
    </w:p>
    <w:p w14:paraId="7708C249">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.1采购人应当自</w:t>
      </w:r>
      <w:r>
        <w:rPr>
          <w:rFonts w:hint="eastAsia" w:asciiTheme="minorEastAsia" w:hAnsiTheme="minorEastAsia" w:eastAsiaTheme="minorEastAsia" w:cstheme="minorEastAsia"/>
          <w:color w:val="auto"/>
          <w:sz w:val="24"/>
          <w:szCs w:val="24"/>
          <w:highlight w:val="none"/>
          <w:lang w:eastAsia="zh-CN"/>
        </w:rPr>
        <w:t>成交通知书</w:t>
      </w:r>
      <w:r>
        <w:rPr>
          <w:rFonts w:hint="eastAsia" w:asciiTheme="minorEastAsia" w:hAnsiTheme="minorEastAsia" w:eastAsiaTheme="minorEastAsia" w:cstheme="minorEastAsia"/>
          <w:color w:val="auto"/>
          <w:sz w:val="24"/>
          <w:szCs w:val="24"/>
          <w:highlight w:val="none"/>
        </w:rPr>
        <w:t>发出之日起30日内，按照招标文件和中标人投标文件的规定，与中标人签订书面合同。所签订的合同不得对招标文件确定的事项和</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投标文件作实质性修改。</w:t>
      </w:r>
    </w:p>
    <w:p w14:paraId="16D06D1A">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拒绝与采购人签订合同的，采购人可以按照评审报告推荐的</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候选人名单排序，确定下一候选人为</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，也可以重新开展政府采购活动。</w:t>
      </w:r>
    </w:p>
    <w:p w14:paraId="68E751E0">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.3政府采购合同履行中，采购人需追加与合同标的相同的</w:t>
      </w:r>
      <w:r>
        <w:rPr>
          <w:rFonts w:hint="eastAsia" w:asciiTheme="minorEastAsia" w:hAnsiTheme="minorEastAsia" w:eastAsiaTheme="minorEastAsia" w:cstheme="minorEastAsia"/>
          <w:color w:val="auto"/>
          <w:sz w:val="24"/>
          <w:szCs w:val="24"/>
          <w:highlight w:val="none"/>
          <w:lang w:val="en-US" w:eastAsia="zh-CN"/>
        </w:rPr>
        <w:t>货物</w:t>
      </w:r>
      <w:r>
        <w:rPr>
          <w:rFonts w:hint="eastAsia" w:asciiTheme="minorEastAsia" w:hAnsiTheme="minorEastAsia" w:eastAsiaTheme="minorEastAsia" w:cstheme="minorEastAsia"/>
          <w:color w:val="auto"/>
          <w:sz w:val="24"/>
          <w:szCs w:val="24"/>
          <w:highlight w:val="none"/>
        </w:rPr>
        <w:t>的，在不改变合同</w:t>
      </w:r>
      <w:r>
        <w:rPr>
          <w:rFonts w:hint="eastAsia" w:asciiTheme="minorEastAsia" w:hAnsiTheme="minorEastAsia" w:eastAsiaTheme="minorEastAsia" w:cstheme="minorEastAsia"/>
          <w:color w:val="auto"/>
          <w:sz w:val="24"/>
          <w:szCs w:val="24"/>
          <w:highlight w:val="none"/>
          <w:lang w:val="en-US" w:eastAsia="zh-CN"/>
        </w:rPr>
        <w:t>实质性条款和</w:t>
      </w:r>
      <w:r>
        <w:rPr>
          <w:rFonts w:hint="eastAsia" w:asciiTheme="minorEastAsia" w:hAnsiTheme="minorEastAsia" w:eastAsiaTheme="minorEastAsia" w:cstheme="minorEastAsia"/>
          <w:color w:val="auto"/>
          <w:sz w:val="24"/>
          <w:szCs w:val="24"/>
          <w:highlight w:val="none"/>
        </w:rPr>
        <w:t>其他条款的前提下，可以与</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p>
    <w:p w14:paraId="6226E101">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六</w:t>
      </w:r>
      <w:r>
        <w:rPr>
          <w:rFonts w:hint="eastAsia" w:asciiTheme="minorEastAsia" w:hAnsiTheme="minorEastAsia" w:eastAsiaTheme="minorEastAsia" w:cstheme="minorEastAsia"/>
          <w:b/>
          <w:color w:val="auto"/>
          <w:sz w:val="28"/>
          <w:szCs w:val="28"/>
          <w:highlight w:val="none"/>
        </w:rPr>
        <w:t>、其他事项</w:t>
      </w:r>
    </w:p>
    <w:p w14:paraId="7286822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.在招标采购中，出现下列情形之一的，应予废标：</w:t>
      </w:r>
    </w:p>
    <w:p w14:paraId="33B87FC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24.1</w:t>
      </w:r>
      <w:r>
        <w:rPr>
          <w:rFonts w:hint="eastAsia" w:asciiTheme="minorEastAsia" w:hAnsiTheme="minorEastAsia" w:eastAsiaTheme="minorEastAsia" w:cstheme="minorEastAsia"/>
          <w:color w:val="auto"/>
          <w:sz w:val="24"/>
          <w:szCs w:val="24"/>
          <w:highlight w:val="none"/>
        </w:rPr>
        <w:t>符合专业条件的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或者对招标文件作实质</w:t>
      </w:r>
      <w:r>
        <w:rPr>
          <w:rFonts w:hint="eastAsia" w:asciiTheme="minorEastAsia" w:hAnsiTheme="minorEastAsia" w:eastAsiaTheme="minorEastAsia" w:cstheme="minorEastAsia"/>
          <w:color w:val="auto"/>
          <w:sz w:val="24"/>
          <w:szCs w:val="24"/>
          <w:highlight w:val="none"/>
          <w:lang w:val="en-US" w:eastAsia="zh-CN"/>
        </w:rPr>
        <w:t>性</w:t>
      </w:r>
      <w:r>
        <w:rPr>
          <w:rFonts w:hint="eastAsia" w:asciiTheme="minorEastAsia" w:hAnsiTheme="minorEastAsia" w:eastAsiaTheme="minorEastAsia" w:cstheme="minorEastAsia"/>
          <w:color w:val="auto"/>
          <w:sz w:val="24"/>
          <w:szCs w:val="24"/>
          <w:highlight w:val="none"/>
        </w:rPr>
        <w:t>响应的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不足</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家的；</w:t>
      </w:r>
    </w:p>
    <w:p w14:paraId="43B7D22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24.2</w:t>
      </w:r>
      <w:r>
        <w:rPr>
          <w:rFonts w:hint="eastAsia" w:asciiTheme="minorEastAsia" w:hAnsiTheme="minorEastAsia" w:eastAsiaTheme="minorEastAsia" w:cstheme="minorEastAsia"/>
          <w:color w:val="auto"/>
          <w:sz w:val="24"/>
          <w:szCs w:val="24"/>
          <w:highlight w:val="none"/>
        </w:rPr>
        <w:t>出现影响采购公正的违法、违规行为的；</w:t>
      </w:r>
    </w:p>
    <w:p w14:paraId="1764C2F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24.3投标人</w:t>
      </w:r>
      <w:r>
        <w:rPr>
          <w:rFonts w:hint="eastAsia" w:asciiTheme="minorEastAsia" w:hAnsiTheme="minorEastAsia" w:eastAsiaTheme="minorEastAsia" w:cstheme="minorEastAsia"/>
          <w:color w:val="auto"/>
          <w:sz w:val="24"/>
          <w:szCs w:val="24"/>
          <w:highlight w:val="none"/>
        </w:rPr>
        <w:t>的报价均超过了采购预算，采购人不能支付的；</w:t>
      </w:r>
    </w:p>
    <w:p w14:paraId="5403617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24.4</w:t>
      </w:r>
      <w:r>
        <w:rPr>
          <w:rFonts w:hint="eastAsia" w:asciiTheme="minorEastAsia" w:hAnsiTheme="minorEastAsia" w:eastAsiaTheme="minorEastAsia" w:cstheme="minorEastAsia"/>
          <w:color w:val="auto"/>
          <w:sz w:val="24"/>
          <w:szCs w:val="24"/>
          <w:highlight w:val="none"/>
        </w:rPr>
        <w:t>因重大变故，采购任务取消的。</w:t>
      </w:r>
    </w:p>
    <w:p w14:paraId="626B768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5</w:t>
      </w:r>
      <w:r>
        <w:rPr>
          <w:rFonts w:hint="eastAsia" w:asciiTheme="minorEastAsia" w:hAnsiTheme="minorEastAsia" w:eastAsiaTheme="minorEastAsia" w:cstheme="minorEastAsia"/>
          <w:b w:val="0"/>
          <w:bCs/>
          <w:color w:val="auto"/>
          <w:sz w:val="24"/>
          <w:szCs w:val="24"/>
          <w:highlight w:val="none"/>
        </w:rPr>
        <w:t>.招标文件编制依据</w:t>
      </w:r>
    </w:p>
    <w:p w14:paraId="5675EAF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本招标文件根据《中华人民共和国政府采购法》及相关法律法规编制。</w:t>
      </w:r>
    </w:p>
    <w:p w14:paraId="2B37DF71">
      <w:pPr>
        <w:keepNext w:val="0"/>
        <w:keepLines w:val="0"/>
        <w:pageBreakBefore w:val="0"/>
        <w:shd w:val="clear" w:color="auto" w:fill="auto"/>
        <w:kinsoku/>
        <w:wordWrap/>
        <w:overflowPunct/>
        <w:topLinePunct w:val="0"/>
        <w:autoSpaceDE/>
        <w:autoSpaceDN/>
        <w:bidi w:val="0"/>
        <w:adjustRightInd/>
        <w:snapToGrid/>
        <w:spacing w:line="520" w:lineRule="exact"/>
        <w:ind w:firstLine="482" w:firstLineChars="200"/>
        <w:textAlignment w:val="auto"/>
        <w:rPr>
          <w:rFonts w:hint="default" w:asciiTheme="minorEastAsia" w:hAnsiTheme="minorEastAsia" w:eastAsiaTheme="minorEastAsia" w:cstheme="minorEastAsia"/>
          <w:b/>
          <w:bCs/>
          <w:color w:val="auto"/>
          <w:sz w:val="24"/>
          <w:szCs w:val="24"/>
          <w:highlight w:val="none"/>
          <w:lang w:val="en-US" w:eastAsia="zh-CN"/>
        </w:rPr>
      </w:pPr>
      <w:bookmarkStart w:id="77" w:name="_Toc321836356"/>
      <w:r>
        <w:rPr>
          <w:rFonts w:hint="eastAsia" w:asciiTheme="minorEastAsia" w:hAnsiTheme="minorEastAsia" w:eastAsiaTheme="minorEastAsia" w:cstheme="minorEastAsia"/>
          <w:b/>
          <w:bCs/>
          <w:color w:val="auto"/>
          <w:sz w:val="24"/>
          <w:szCs w:val="24"/>
          <w:highlight w:val="none"/>
          <w:lang w:val="en-US" w:eastAsia="zh-CN"/>
        </w:rPr>
        <w:t>26.</w:t>
      </w:r>
      <w:r>
        <w:rPr>
          <w:rFonts w:hint="eastAsia" w:asciiTheme="minorEastAsia" w:hAnsiTheme="minorEastAsia" w:eastAsiaTheme="minorEastAsia" w:cstheme="minorEastAsia"/>
          <w:b/>
          <w:bCs/>
          <w:color w:val="auto"/>
          <w:sz w:val="24"/>
          <w:szCs w:val="24"/>
          <w:highlight w:val="none"/>
        </w:rPr>
        <w:t>质疑</w:t>
      </w:r>
      <w:bookmarkEnd w:id="77"/>
      <w:r>
        <w:rPr>
          <w:rFonts w:hint="eastAsia" w:asciiTheme="minorEastAsia" w:hAnsiTheme="minorEastAsia" w:eastAsiaTheme="minorEastAsia" w:cstheme="minorEastAsia"/>
          <w:b/>
          <w:bCs/>
          <w:color w:val="auto"/>
          <w:sz w:val="24"/>
          <w:szCs w:val="24"/>
          <w:highlight w:val="none"/>
          <w:lang w:val="en-US" w:eastAsia="zh-CN"/>
        </w:rPr>
        <w:t>与投诉</w:t>
      </w:r>
    </w:p>
    <w:p w14:paraId="0859B06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26.1投标人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08F6C6C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受理质疑单位：云南临祥项目管理咨询有限公司</w:t>
      </w:r>
    </w:p>
    <w:p w14:paraId="68C5410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地址：云南省临沧市临翔区迎宾路159号锦绣花园二期4单元101室</w:t>
      </w:r>
    </w:p>
    <w:p w14:paraId="6C84D35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default"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联 系 人：张楌</w:t>
      </w:r>
    </w:p>
    <w:p w14:paraId="7926501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电    话：18988347549</w:t>
      </w:r>
    </w:p>
    <w:p w14:paraId="16A04C8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26.2投标人提供的质疑书应符合中华人民共和国财政部第94号令《政府采购质疑和投诉办法》的规定。投标人提供的质疑书（如材料中有外文资料应同时附上中文译本）应当包括以下主要内容：</w:t>
      </w:r>
    </w:p>
    <w:p w14:paraId="30675E2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（1）质疑项目名称；</w:t>
      </w:r>
    </w:p>
    <w:p w14:paraId="59A712B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（2）质疑理由及事实依据；</w:t>
      </w:r>
    </w:p>
    <w:p w14:paraId="7FD7820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（3）质疑对象；</w:t>
      </w:r>
    </w:p>
    <w:p w14:paraId="226E1AB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（4）联系电话和地址；</w:t>
      </w:r>
    </w:p>
    <w:p w14:paraId="59C9B39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（5）质疑的日期；</w:t>
      </w:r>
    </w:p>
    <w:p w14:paraId="0385FA9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（6）质疑人署名。</w:t>
      </w:r>
    </w:p>
    <w:p w14:paraId="4A640B2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质疑书实行实名制，并提交由法定代表人或其授权代理人签字并加盖单位公章的原件。</w:t>
      </w:r>
    </w:p>
    <w:p w14:paraId="5CA2FFC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26.3采购人、采购代理机构将在收到投标人的书面质疑后七个工作日内做出书面答复，但答复的内容不涉及商业秘密。</w:t>
      </w:r>
    </w:p>
    <w:p w14:paraId="43C6DFE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26.4参与政府采购活动的投标人对开标过程或者结果提出质疑的，采购人或采购代理机构可以组织原评标委员会成员协助处理质疑事项，并依据评标委员会成员出具的意见进行书面答复。质疑答复导致成交结果改变的，采购人或采购代理机构应当将相关情况报财政部门备案。</w:t>
      </w:r>
    </w:p>
    <w:p w14:paraId="4ACFE39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26.5投诉人必须首先经过质疑程序，在对采购人、采购代理机构的答复不满意，或者采购人、采购代理机构未在规定的时间内做出答复的，可以在答复期满后十五个工作日内书面向当地政府采购监督管理部门投诉。</w:t>
      </w:r>
    </w:p>
    <w:p w14:paraId="4F9D85C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27</w:t>
      </w:r>
      <w:r>
        <w:rPr>
          <w:rFonts w:hint="eastAsia" w:asciiTheme="minorEastAsia" w:hAnsiTheme="minorEastAsia" w:eastAsiaTheme="minorEastAsia" w:cstheme="minorEastAsia"/>
          <w:b w:val="0"/>
          <w:bCs/>
          <w:color w:val="auto"/>
          <w:sz w:val="24"/>
          <w:szCs w:val="24"/>
          <w:highlight w:val="none"/>
        </w:rPr>
        <w:t>.需要补充的其他内容</w:t>
      </w:r>
    </w:p>
    <w:p w14:paraId="49D83DA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须知前附表”中若规定可以接受备选方案的，</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在投标文件中只能提供一个备选方案，并注明主选方案，且备选方案的投标价格不得高于主选方案。凡提供两个以上备选方案或未注明主选方案的，该投标将被视为未实质性响应招标文件要求。</w:t>
      </w:r>
    </w:p>
    <w:p w14:paraId="09F2A40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w:t>
      </w:r>
      <w:r>
        <w:rPr>
          <w:rFonts w:hint="eastAsia" w:asciiTheme="minorEastAsia" w:hAnsiTheme="minorEastAsia" w:eastAsiaTheme="minorEastAsia" w:cstheme="minorEastAsia"/>
          <w:b w:val="0"/>
          <w:bCs w:val="0"/>
          <w:color w:val="auto"/>
          <w:sz w:val="24"/>
          <w:szCs w:val="24"/>
          <w:highlight w:val="none"/>
        </w:rPr>
        <w:t>.2本</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项目采购人不统一组织</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对现场情况进行踏勘，由</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根据</w:t>
      </w:r>
      <w:r>
        <w:rPr>
          <w:rFonts w:hint="eastAsia" w:asciiTheme="minorEastAsia" w:hAnsiTheme="minorEastAsia" w:eastAsiaTheme="minorEastAsia" w:cstheme="minorEastAsia"/>
          <w:b w:val="0"/>
          <w:bCs w:val="0"/>
          <w:color w:val="auto"/>
          <w:sz w:val="24"/>
          <w:szCs w:val="24"/>
          <w:highlight w:val="none"/>
          <w:lang w:val="en-US" w:eastAsia="zh-CN"/>
        </w:rPr>
        <w:t>本项目采购需求等</w:t>
      </w:r>
      <w:r>
        <w:rPr>
          <w:rFonts w:hint="eastAsia" w:asciiTheme="minorEastAsia" w:hAnsiTheme="minorEastAsia" w:eastAsiaTheme="minorEastAsia" w:cstheme="minorEastAsia"/>
          <w:b w:val="0"/>
          <w:bCs w:val="0"/>
          <w:color w:val="auto"/>
          <w:sz w:val="24"/>
          <w:szCs w:val="24"/>
          <w:highlight w:val="none"/>
        </w:rPr>
        <w:t>，自行踏勘。</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对踏勘中获取的现场资料</w:t>
      </w:r>
      <w:r>
        <w:rPr>
          <w:rFonts w:hint="eastAsia" w:asciiTheme="minorEastAsia" w:hAnsiTheme="minorEastAsia" w:eastAsiaTheme="minorEastAsia" w:cstheme="minorEastAsia"/>
          <w:b w:val="0"/>
          <w:bCs w:val="0"/>
          <w:color w:val="auto"/>
          <w:sz w:val="24"/>
          <w:szCs w:val="24"/>
          <w:highlight w:val="none"/>
          <w:lang w:val="en-US" w:eastAsia="zh-CN"/>
        </w:rPr>
        <w:t>自行承担理解及应用的责任</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并对踏勘过程中的责任和风险负责，无论</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是否踏勘过</w:t>
      </w:r>
      <w:r>
        <w:rPr>
          <w:rFonts w:hint="eastAsia" w:asciiTheme="minorEastAsia" w:hAnsiTheme="minorEastAsia" w:eastAsiaTheme="minorEastAsia" w:cstheme="minorEastAsia"/>
          <w:b w:val="0"/>
          <w:bCs w:val="0"/>
          <w:color w:val="auto"/>
          <w:sz w:val="24"/>
          <w:szCs w:val="24"/>
          <w:highlight w:val="none"/>
          <w:lang w:val="en-US" w:eastAsia="zh-CN"/>
        </w:rPr>
        <w:t>本项目</w:t>
      </w:r>
      <w:r>
        <w:rPr>
          <w:rFonts w:hint="eastAsia" w:asciiTheme="minorEastAsia" w:hAnsiTheme="minorEastAsia" w:eastAsiaTheme="minorEastAsia" w:cstheme="minorEastAsia"/>
          <w:b w:val="0"/>
          <w:bCs w:val="0"/>
          <w:color w:val="auto"/>
          <w:sz w:val="24"/>
          <w:szCs w:val="24"/>
          <w:highlight w:val="none"/>
        </w:rPr>
        <w:t>现场，均被认为在</w:t>
      </w:r>
      <w:r>
        <w:rPr>
          <w:rFonts w:hint="eastAsia" w:asciiTheme="minorEastAsia" w:hAnsiTheme="minorEastAsia" w:eastAsiaTheme="minorEastAsia" w:cstheme="minorEastAsia"/>
          <w:b w:val="0"/>
          <w:bCs w:val="0"/>
          <w:color w:val="auto"/>
          <w:sz w:val="24"/>
          <w:szCs w:val="24"/>
          <w:highlight w:val="none"/>
          <w:lang w:eastAsia="zh-CN"/>
        </w:rPr>
        <w:t>提交</w:t>
      </w:r>
      <w:r>
        <w:rPr>
          <w:rFonts w:hint="eastAsia" w:asciiTheme="minorEastAsia" w:hAnsiTheme="minorEastAsia" w:eastAsiaTheme="minorEastAsia" w:cstheme="minorEastAsia"/>
          <w:b w:val="0"/>
          <w:bCs w:val="0"/>
          <w:color w:val="auto"/>
          <w:sz w:val="24"/>
          <w:szCs w:val="24"/>
          <w:highlight w:val="none"/>
        </w:rPr>
        <w:t>投标文件之前已踏勘过</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现场，对本项目的风险和义务十分了解，并在其投标文件中充分考虑了</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现场的</w:t>
      </w:r>
      <w:r>
        <w:rPr>
          <w:rFonts w:hint="eastAsia" w:asciiTheme="minorEastAsia" w:hAnsiTheme="minorEastAsia" w:eastAsiaTheme="minorEastAsia" w:cstheme="minorEastAsia"/>
          <w:b w:val="0"/>
          <w:bCs w:val="0"/>
          <w:color w:val="auto"/>
          <w:sz w:val="24"/>
          <w:szCs w:val="24"/>
          <w:highlight w:val="none"/>
          <w:lang w:val="en-US" w:eastAsia="zh-CN"/>
        </w:rPr>
        <w:t>各项</w:t>
      </w:r>
      <w:r>
        <w:rPr>
          <w:rFonts w:hint="eastAsia" w:asciiTheme="minorEastAsia" w:hAnsiTheme="minorEastAsia" w:eastAsiaTheme="minorEastAsia" w:cstheme="minorEastAsia"/>
          <w:b w:val="0"/>
          <w:bCs w:val="0"/>
          <w:color w:val="auto"/>
          <w:sz w:val="24"/>
          <w:szCs w:val="24"/>
          <w:highlight w:val="none"/>
        </w:rPr>
        <w:t>条件</w:t>
      </w:r>
      <w:r>
        <w:rPr>
          <w:rFonts w:hint="eastAsia" w:asciiTheme="minorEastAsia" w:hAnsiTheme="minorEastAsia" w:eastAsiaTheme="minorEastAsia" w:cstheme="minorEastAsia"/>
          <w:b w:val="0"/>
          <w:bCs w:val="0"/>
          <w:color w:val="auto"/>
          <w:sz w:val="24"/>
          <w:szCs w:val="24"/>
          <w:highlight w:val="none"/>
          <w:lang w:eastAsia="zh-CN"/>
        </w:rPr>
        <w:t>。</w:t>
      </w:r>
    </w:p>
    <w:p w14:paraId="604BBE7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.3需要补充的其他内容详见</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须知前附表。</w:t>
      </w:r>
    </w:p>
    <w:p w14:paraId="03EA4AFF">
      <w:pPr>
        <w:pStyle w:val="11"/>
        <w:rPr>
          <w:rFonts w:hint="eastAsia" w:asciiTheme="minorEastAsia" w:hAnsiTheme="minorEastAsia" w:eastAsiaTheme="minorEastAsia" w:cstheme="minorEastAsia"/>
          <w:b/>
          <w:color w:val="auto"/>
          <w:sz w:val="24"/>
          <w:szCs w:val="24"/>
          <w:highlight w:val="none"/>
        </w:rPr>
      </w:pPr>
      <w:bookmarkStart w:id="78" w:name="_Toc1256"/>
    </w:p>
    <w:p w14:paraId="71070222">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472D1DB3">
      <w:pPr>
        <w:shd w:val="clear" w:color="auto" w:fill="auto"/>
        <w:spacing w:line="413"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附件1：</w:t>
      </w:r>
      <w:bookmarkEnd w:id="78"/>
      <w:r>
        <w:rPr>
          <w:rFonts w:hint="eastAsia" w:asciiTheme="minorEastAsia" w:hAnsiTheme="minorEastAsia" w:eastAsiaTheme="minorEastAsia" w:cstheme="minorEastAsia"/>
          <w:b/>
          <w:color w:val="auto"/>
          <w:sz w:val="24"/>
          <w:szCs w:val="24"/>
          <w:highlight w:val="none"/>
        </w:rPr>
        <w:t>政府采购项目电子化交易操作须知</w:t>
      </w:r>
    </w:p>
    <w:p w14:paraId="04907DE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为规范临沧市政府采购电子交易平台操作和使用，整理交易操作流程等内容供各位潜在投标人学习，请认真阅读以免影响投标。</w:t>
      </w:r>
    </w:p>
    <w:p w14:paraId="6D14C4F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凡有意参加投标者，须提前在政采云平台注册账号并办理数字证书（CA）。涉及电子交易平台使用问题的，请致电</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：95763。</w:t>
      </w:r>
    </w:p>
    <w:p w14:paraId="144A4CE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政采云平台投标人账号注册：登录</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rPr>
        <w:t>（https：//www.zcygov.cn/）注册账号。操作路径：政府采购云平台首页—商家入驻—云南省（找到云南省立即前往）—云南省政府采购投标人入驻登记（立即登记），投标人根据平台系统提示逐步进行操作即可。</w:t>
      </w:r>
    </w:p>
    <w:p w14:paraId="6519130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须办理数字证书（CA），并在政采云绑定数字证书（CA）后线上获取采购文件及其它采购资料。CA申领链接：http：//yzt.ynsmartcert.cn/cms/yztlccb.html云南壹证通CA可支持线上、线下办理方式，并提供7*24小时全天候客户服务支持，客服热线400-004-0628（紧急CA办理电话：19988166369）政府采购云平台支持多家CA服务商，投标人可自行选择。CA申领后需登陆政采云平台完成数字证书（CA）绑定才可以使用，数字证书（CA）详见其办理流程。</w:t>
      </w:r>
    </w:p>
    <w:p w14:paraId="0EA15BD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投标人在政采云平台注册账号后，登录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（www.zcygov.cn），绑定数字证书（CA）后，在线申请获取电子招标（或采购）文件及其他相关资料（如有）；未办理数字证书（CA） 的潜在投标人，请登录CA数字证书申请系统注册并在网上申请办理证书；此前已经在云南省公共资源交易电子化平台申请过云南CA数字证书的，不用重复申请数字证书，可以互通共用。</w:t>
      </w:r>
    </w:p>
    <w:p w14:paraId="04D9F18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政府采购项目电子化操作流程</w:t>
      </w:r>
    </w:p>
    <w:p w14:paraId="696304B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政府采购项目电子化操作学习：请各位潜在投标人自行登录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进行学习。（操作路径：登录首页—操作指南—登录投标人账号—查看投标人操作手册进行学习）。</w:t>
      </w:r>
    </w:p>
    <w:p w14:paraId="23BC185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招标（或采购）文件获取：投标人可自行在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下载采购文件（操作路径：登录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—项目采购—获取采购文件—找到本项目—点击“申请获取采购文件”）。获取时间截止到截标前，请各位投标人合理安排好时间，妥善处理好文件下载与制作响应文件时间关系。</w:t>
      </w:r>
    </w:p>
    <w:p w14:paraId="6DC756B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投标（或响应）文件编制与导入</w:t>
      </w:r>
    </w:p>
    <w:p w14:paraId="33C3BFB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投标（或响应）文件编制：（操作路径：政采云投标客户端—投标响应文件编制），电子投标（响应）文件应使用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（http：//www.zcygov.cn）中下载的政采云电子投标客户端制作，并进行电子签章及加密后上传至</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t>
      </w:r>
    </w:p>
    <w:p w14:paraId="568D6C7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如投标人提交的电子标书不符合（1）要求或开标时无法读取导入或解密，其投标（响应）文件将不予受理。</w:t>
      </w:r>
    </w:p>
    <w:p w14:paraId="3E3AF77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投标（或响应）文件导入：单个资料上传不能大于100MB或300MB（具体以政采云平台系统要求为准）。</w:t>
      </w:r>
    </w:p>
    <w:p w14:paraId="2951CC8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文件格式：投标人应当在政采云电子投标客户端上编制投标（或响应）文件，并生成电子加密标书，响应文件制作完成并生成加密标书后，投标人需在开标前将加密的响应文件上传至政采云平台。具体操作请下载附件（投标人政府采购电子交易平台操作指南）</w:t>
      </w:r>
    </w:p>
    <w:p w14:paraId="19CC23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投标（或响应）文件递交：投标人必须通过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电子投标响应文件。投标人须在投标截止时间前递交投标文件，完成所有电子投标文件的上传。投标人在投标文件提交截止时间前可以补充、修改或者撤回投标文件。补充或者修改投标文件的，应当先行撤回原文件，补充、修改后重新上传、递交。投标截止时间前未完成投标文件传输的，视为未上传或撤回投标文件。不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递交投标文件的，均为无效投标人。</w:t>
      </w:r>
    </w:p>
    <w:p w14:paraId="6BFC287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采用网上开标，远程解密投标响应文件，投标人无须参加开标活动。</w:t>
      </w:r>
    </w:p>
    <w:p w14:paraId="4DED696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远程解密、签字确认时间：本项目远程解密时间为</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钟，签名确认时间为5分钟，请投标人务必携带加密数字证书在规定的时间内完成投标响应文件解密和签名确认工作。若在规定的时间内不能成功完成网上远程解密的，则视为投标人放弃此次投标；若未在签名确认时间内完成签名确认，则视为对本次开标无异议。</w:t>
      </w:r>
    </w:p>
    <w:p w14:paraId="0876E89D">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4AC634CF">
      <w:pPr>
        <w:pStyle w:val="3"/>
        <w:shd w:val="clear" w:color="auto" w:fill="auto"/>
        <w:tabs>
          <w:tab w:val="left" w:pos="360"/>
        </w:tabs>
        <w:ind w:left="0" w:firstLine="0"/>
        <w:jc w:val="center"/>
        <w:rPr>
          <w:rFonts w:hint="eastAsia" w:asciiTheme="minorEastAsia" w:hAnsiTheme="minorEastAsia" w:eastAsiaTheme="minorEastAsia" w:cstheme="minorEastAsia"/>
          <w:color w:val="auto"/>
          <w:sz w:val="32"/>
          <w:szCs w:val="32"/>
          <w:highlight w:val="none"/>
        </w:rPr>
      </w:pPr>
      <w:bookmarkStart w:id="79" w:name="_Toc28379"/>
      <w:bookmarkStart w:id="80" w:name="_Toc21165"/>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三</w:t>
      </w:r>
      <w:r>
        <w:rPr>
          <w:rFonts w:hint="eastAsia" w:asciiTheme="minorEastAsia" w:hAnsiTheme="minorEastAsia" w:eastAsiaTheme="minorEastAsia" w:cstheme="minorEastAsia"/>
          <w:color w:val="auto"/>
          <w:sz w:val="32"/>
          <w:szCs w:val="32"/>
          <w:highlight w:val="none"/>
        </w:rPr>
        <w:t>章 评标方法（综合评分法）</w:t>
      </w:r>
      <w:bookmarkEnd w:id="79"/>
      <w:bookmarkEnd w:id="80"/>
    </w:p>
    <w:p w14:paraId="61F9AB6F">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color w:val="auto"/>
          <w:sz w:val="24"/>
          <w:szCs w:val="24"/>
          <w:highlight w:val="none"/>
        </w:rPr>
        <w:t>评标方法前附表</w:t>
      </w:r>
      <w:bookmarkStart w:id="81" w:name="_Toc393222602"/>
      <w:bookmarkStart w:id="82" w:name="_Toc313403325"/>
      <w:bookmarkStart w:id="83" w:name="_Toc312150716"/>
      <w:bookmarkStart w:id="84" w:name="_Toc24895"/>
      <w:bookmarkStart w:id="85" w:name="_Toc15395"/>
      <w:bookmarkStart w:id="86" w:name="_Toc354867106"/>
    </w:p>
    <w:tbl>
      <w:tblPr>
        <w:tblStyle w:val="24"/>
        <w:tblpPr w:leftFromText="180" w:rightFromText="180" w:vertAnchor="text" w:tblpXSpec="center" w:tblpY="1"/>
        <w:tblOverlap w:val="never"/>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
        <w:gridCol w:w="3566"/>
        <w:gridCol w:w="4537"/>
      </w:tblGrid>
      <w:tr w14:paraId="1139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34" w:type="dxa"/>
            <w:gridSpan w:val="2"/>
            <w:noWrap w:val="0"/>
            <w:vAlign w:val="center"/>
          </w:tcPr>
          <w:p w14:paraId="5A82FB1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3566" w:type="dxa"/>
            <w:noWrap w:val="0"/>
            <w:vAlign w:val="center"/>
          </w:tcPr>
          <w:p w14:paraId="66FD2B3B">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4537" w:type="dxa"/>
            <w:noWrap w:val="0"/>
            <w:vAlign w:val="center"/>
          </w:tcPr>
          <w:p w14:paraId="24D535E8">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5DF1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tcBorders>
              <w:right w:val="single" w:color="auto" w:sz="4" w:space="0"/>
            </w:tcBorders>
            <w:noWrap w:val="0"/>
            <w:vAlign w:val="center"/>
          </w:tcPr>
          <w:p w14:paraId="2D09050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606" w:type="dxa"/>
            <w:vMerge w:val="restart"/>
            <w:tcBorders>
              <w:top w:val="single" w:color="auto" w:sz="4" w:space="0"/>
              <w:left w:val="single" w:color="auto" w:sz="4" w:space="0"/>
              <w:right w:val="single" w:color="auto" w:sz="4" w:space="0"/>
            </w:tcBorders>
            <w:noWrap w:val="0"/>
            <w:vAlign w:val="center"/>
          </w:tcPr>
          <w:p w14:paraId="022E1D7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资格评审标准</w:t>
            </w:r>
          </w:p>
        </w:tc>
        <w:tc>
          <w:tcPr>
            <w:tcW w:w="3566" w:type="dxa"/>
            <w:tcBorders>
              <w:left w:val="single" w:color="auto" w:sz="4" w:space="0"/>
            </w:tcBorders>
            <w:noWrap w:val="0"/>
            <w:vAlign w:val="center"/>
          </w:tcPr>
          <w:p w14:paraId="0EE5E4A1">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u w:val="none"/>
                <w:lang w:val="en-US" w:eastAsia="zh-CN"/>
              </w:rPr>
              <w:t>投标人须为在中华人民共和国注册且具有独立承担民事责任能力的法人或其他组织，具有有效的营业执照</w:t>
            </w:r>
          </w:p>
        </w:tc>
        <w:tc>
          <w:tcPr>
            <w:tcW w:w="4537" w:type="dxa"/>
            <w:noWrap w:val="0"/>
            <w:vAlign w:val="center"/>
          </w:tcPr>
          <w:p w14:paraId="53F8D80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投标文件中提供原件扫描件</w:t>
            </w:r>
          </w:p>
        </w:tc>
      </w:tr>
      <w:tr w14:paraId="2DB7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72FA990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73C43E2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00C318A7">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投标人须具有良好的商业信誉</w:t>
            </w:r>
          </w:p>
        </w:tc>
        <w:tc>
          <w:tcPr>
            <w:tcW w:w="4537" w:type="dxa"/>
            <w:noWrap w:val="0"/>
            <w:vAlign w:val="center"/>
          </w:tcPr>
          <w:p w14:paraId="5B7D8245">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w:t>
            </w:r>
          </w:p>
        </w:tc>
      </w:tr>
      <w:tr w14:paraId="6B7A2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613A191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0BEEFAB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11B724B6">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投标人须具有健全的财务会计制度</w:t>
            </w:r>
          </w:p>
        </w:tc>
        <w:tc>
          <w:tcPr>
            <w:tcW w:w="4537" w:type="dxa"/>
            <w:noWrap w:val="0"/>
            <w:vAlign w:val="center"/>
          </w:tcPr>
          <w:p w14:paraId="105B396F">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投标文件中提供承诺书或证明材料</w:t>
            </w:r>
          </w:p>
        </w:tc>
      </w:tr>
      <w:tr w14:paraId="16C8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5D708B7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10C2EF4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760F05BC">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投标人须具有履行合同所必需的设备和专业技术能力</w:t>
            </w:r>
          </w:p>
        </w:tc>
        <w:tc>
          <w:tcPr>
            <w:tcW w:w="4537" w:type="dxa"/>
            <w:noWrap w:val="0"/>
            <w:vAlign w:val="center"/>
          </w:tcPr>
          <w:p w14:paraId="5A9A2B8C">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w:t>
            </w:r>
          </w:p>
        </w:tc>
      </w:tr>
      <w:tr w14:paraId="49B6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7978781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58E9BE0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0355EC07">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投标人须具有依法缴纳</w:t>
            </w:r>
            <w:r>
              <w:rPr>
                <w:rFonts w:hint="eastAsia" w:asciiTheme="minorEastAsia" w:hAnsiTheme="minorEastAsia" w:eastAsiaTheme="minorEastAsia" w:cstheme="minorEastAsia"/>
                <w:bCs/>
                <w:color w:val="auto"/>
                <w:sz w:val="24"/>
                <w:szCs w:val="24"/>
                <w:highlight w:val="none"/>
                <w:lang w:val="en-US" w:eastAsia="zh-CN"/>
              </w:rPr>
              <w:t>税收</w:t>
            </w:r>
            <w:r>
              <w:rPr>
                <w:rFonts w:hint="eastAsia" w:asciiTheme="minorEastAsia" w:hAnsiTheme="minorEastAsia" w:eastAsiaTheme="minorEastAsia" w:cstheme="minorEastAsia"/>
                <w:bCs/>
                <w:color w:val="auto"/>
                <w:sz w:val="24"/>
                <w:szCs w:val="24"/>
                <w:highlight w:val="none"/>
              </w:rPr>
              <w:t>和社保资金的良好记录，具有相关证明材料（新成立不满3个月的投标人，提供情况说明或未拖欠税收、社保资金承诺或证明材料）；依法免税或不需要缴纳社会保障资金的投标人，应具有相应证明文件</w:t>
            </w:r>
          </w:p>
        </w:tc>
        <w:tc>
          <w:tcPr>
            <w:tcW w:w="4537" w:type="dxa"/>
            <w:noWrap w:val="0"/>
            <w:vAlign w:val="center"/>
          </w:tcPr>
          <w:p w14:paraId="551E8C52">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投标文件中提供承诺书或证明材料</w:t>
            </w:r>
          </w:p>
        </w:tc>
      </w:tr>
      <w:tr w14:paraId="6CB7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47B2C3F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402EC43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354FA347">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投标人参加政府采购活动前三年内，在经营活动中没有重大违法记录</w:t>
            </w:r>
          </w:p>
        </w:tc>
        <w:tc>
          <w:tcPr>
            <w:tcW w:w="4537" w:type="dxa"/>
            <w:noWrap w:val="0"/>
            <w:vAlign w:val="center"/>
          </w:tcPr>
          <w:p w14:paraId="5C2E739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投标文件中提供承诺书或证明材料</w:t>
            </w:r>
          </w:p>
        </w:tc>
      </w:tr>
      <w:tr w14:paraId="09D5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73260EC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43761B0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26CE2011">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bCs/>
                <w:color w:val="auto"/>
                <w:sz w:val="24"/>
                <w:szCs w:val="24"/>
                <w:highlight w:val="none"/>
              </w:rPr>
              <w:t>投标人未被列入信用中国网站（www.creditchina.gov.cn）公布的“失信被执行人”、“重大税收违法失信主体”；未被列入中国政府采购网（www.ccgp.gov.cn）公布的“政府采购严重违法失信行为信息记录”（被禁止在一定期限内参加政府采购活动但期限届满的除外）</w:t>
            </w:r>
          </w:p>
        </w:tc>
        <w:tc>
          <w:tcPr>
            <w:tcW w:w="4537" w:type="dxa"/>
            <w:noWrap w:val="0"/>
            <w:vAlign w:val="center"/>
          </w:tcPr>
          <w:p w14:paraId="3F0A54F8">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采购人或代理机构于项目评审前在“信用中国”网站（www.creditchina.gov.cn）和“中国政府采购网”（www.ccgp.gov.cn）进行查询，并留存查询结果的网页截图或网页打印稿，</w:t>
            </w: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lang w:val="en-US" w:eastAsia="zh-CN"/>
              </w:rPr>
              <w:t>若被列入上述任意一项查询名单的，不予通过资格审查。</w:t>
            </w:r>
          </w:p>
        </w:tc>
      </w:tr>
      <w:tr w14:paraId="3F3F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75BE471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574DE1A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tcBorders>
              <w:left w:val="single" w:color="auto" w:sz="4" w:space="0"/>
            </w:tcBorders>
            <w:noWrap w:val="0"/>
            <w:vAlign w:val="center"/>
          </w:tcPr>
          <w:p w14:paraId="48A8DD9A">
            <w:pPr>
              <w:pStyle w:val="2"/>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根据《中华人民共和国政府采购法实施条例》第十八条第一款规定，单位负责人为同一人或者存在直接控股、管理关系的不同投标人，不得同时参加本项目投标</w:t>
            </w:r>
          </w:p>
        </w:tc>
        <w:tc>
          <w:tcPr>
            <w:tcW w:w="4537" w:type="dxa"/>
            <w:noWrap w:val="0"/>
            <w:vAlign w:val="center"/>
          </w:tcPr>
          <w:p w14:paraId="47E1BF4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投标文件中提供承诺书或证明材料</w:t>
            </w:r>
          </w:p>
        </w:tc>
      </w:tr>
      <w:tr w14:paraId="64CF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noWrap w:val="0"/>
            <w:vAlign w:val="center"/>
          </w:tcPr>
          <w:p w14:paraId="32F9E2D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606" w:type="dxa"/>
            <w:vMerge w:val="restart"/>
            <w:tcBorders>
              <w:top w:val="single" w:color="auto" w:sz="4" w:space="0"/>
            </w:tcBorders>
            <w:noWrap w:val="0"/>
            <w:vAlign w:val="center"/>
          </w:tcPr>
          <w:p w14:paraId="75D1E79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符合性评审标准</w:t>
            </w:r>
          </w:p>
        </w:tc>
        <w:tc>
          <w:tcPr>
            <w:tcW w:w="3566" w:type="dxa"/>
            <w:noWrap w:val="0"/>
            <w:vAlign w:val="center"/>
          </w:tcPr>
          <w:p w14:paraId="71151F15">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4537" w:type="dxa"/>
            <w:noWrap w:val="0"/>
            <w:vAlign w:val="center"/>
          </w:tcPr>
          <w:p w14:paraId="77BCD37C">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按时、足额缴纳投标保证金</w:t>
            </w:r>
          </w:p>
        </w:tc>
      </w:tr>
      <w:tr w14:paraId="27BD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064E3E1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center"/>
          </w:tcPr>
          <w:p w14:paraId="62E81E8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3014E70D">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投标文件格式及内容</w:t>
            </w:r>
          </w:p>
        </w:tc>
        <w:tc>
          <w:tcPr>
            <w:tcW w:w="4537" w:type="dxa"/>
            <w:noWrap w:val="0"/>
            <w:vAlign w:val="center"/>
          </w:tcPr>
          <w:p w14:paraId="6AC6433F">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符合招标文件中规定的“投标文件格式”的要求</w:t>
            </w:r>
          </w:p>
        </w:tc>
      </w:tr>
      <w:tr w14:paraId="5C07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6714EF5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center"/>
          </w:tcPr>
          <w:p w14:paraId="6252F56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2F350277">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投标文件签字盖章</w:t>
            </w:r>
          </w:p>
        </w:tc>
        <w:tc>
          <w:tcPr>
            <w:tcW w:w="4537" w:type="dxa"/>
            <w:noWrap w:val="0"/>
            <w:vAlign w:val="center"/>
          </w:tcPr>
          <w:p w14:paraId="3E8E5AC9">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有法定代表人或委托代理人签字及加盖单位章</w:t>
            </w:r>
          </w:p>
        </w:tc>
      </w:tr>
      <w:tr w14:paraId="7D0A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6A5FBB9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center"/>
          </w:tcPr>
          <w:p w14:paraId="77D29DE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50D566F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法定代表人身份证明书</w:t>
            </w:r>
          </w:p>
        </w:tc>
        <w:tc>
          <w:tcPr>
            <w:tcW w:w="4537" w:type="dxa"/>
            <w:noWrap w:val="0"/>
            <w:vAlign w:val="center"/>
          </w:tcPr>
          <w:p w14:paraId="537605CF">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3EC4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11F2ED1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460B4DF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10DE5F5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tc>
        <w:tc>
          <w:tcPr>
            <w:tcW w:w="4537" w:type="dxa"/>
            <w:noWrap w:val="0"/>
            <w:vAlign w:val="center"/>
          </w:tcPr>
          <w:p w14:paraId="33DDF7A4">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12572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6876FBD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3334064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43B811BB">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法定代表人或委托代理人身份证</w:t>
            </w:r>
          </w:p>
        </w:tc>
        <w:tc>
          <w:tcPr>
            <w:tcW w:w="4537" w:type="dxa"/>
            <w:noWrap w:val="0"/>
            <w:vAlign w:val="center"/>
          </w:tcPr>
          <w:p w14:paraId="1EDC5EBB">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p>
        </w:tc>
      </w:tr>
      <w:tr w14:paraId="042C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28" w:type="dxa"/>
            <w:vMerge w:val="continue"/>
            <w:noWrap w:val="0"/>
            <w:vAlign w:val="top"/>
          </w:tcPr>
          <w:p w14:paraId="2B1E5B5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41CF59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14F6DBB2">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w:t>
            </w:r>
          </w:p>
        </w:tc>
        <w:tc>
          <w:tcPr>
            <w:tcW w:w="4537" w:type="dxa"/>
            <w:noWrap w:val="0"/>
            <w:vAlign w:val="center"/>
          </w:tcPr>
          <w:p w14:paraId="63C15E82">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有投标报价，且只能在限价范围内报价，只能有一个有效报价，不得提交选择性报价</w:t>
            </w:r>
          </w:p>
        </w:tc>
      </w:tr>
      <w:tr w14:paraId="18A2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16F6D40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88957B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25D1F20E">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交货地点</w:t>
            </w:r>
          </w:p>
        </w:tc>
        <w:tc>
          <w:tcPr>
            <w:tcW w:w="4537" w:type="dxa"/>
            <w:noWrap w:val="0"/>
            <w:vAlign w:val="center"/>
          </w:tcPr>
          <w:p w14:paraId="01594D0E">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7EBE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7495F50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2F4FA89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2ADBC38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售后服务承诺</w:t>
            </w:r>
          </w:p>
        </w:tc>
        <w:tc>
          <w:tcPr>
            <w:tcW w:w="4537" w:type="dxa"/>
            <w:noWrap w:val="0"/>
            <w:vAlign w:val="center"/>
          </w:tcPr>
          <w:p w14:paraId="25963FF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3EFA4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2EA04D4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71314E0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59DB7A3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人员培训</w:t>
            </w:r>
            <w:r>
              <w:rPr>
                <w:rFonts w:hint="eastAsia" w:asciiTheme="minorEastAsia" w:hAnsiTheme="minorEastAsia" w:eastAsiaTheme="minorEastAsia" w:cstheme="minorEastAsia"/>
                <w:color w:val="auto"/>
                <w:sz w:val="24"/>
                <w:szCs w:val="24"/>
                <w:highlight w:val="none"/>
                <w:lang w:val="en-US" w:eastAsia="zh-CN"/>
              </w:rPr>
              <w:t>承诺</w:t>
            </w:r>
          </w:p>
        </w:tc>
        <w:tc>
          <w:tcPr>
            <w:tcW w:w="4537" w:type="dxa"/>
            <w:noWrap w:val="0"/>
            <w:vAlign w:val="center"/>
          </w:tcPr>
          <w:p w14:paraId="77F3113C">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17AB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2E01753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283B148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58FB37B7">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合同履约期限</w:t>
            </w:r>
          </w:p>
        </w:tc>
        <w:tc>
          <w:tcPr>
            <w:tcW w:w="4537" w:type="dxa"/>
            <w:noWrap w:val="0"/>
            <w:vAlign w:val="center"/>
          </w:tcPr>
          <w:p w14:paraId="478C8622">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2A65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1199444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FB7BAC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6622D977">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商务条款偏离</w:t>
            </w:r>
          </w:p>
        </w:tc>
        <w:tc>
          <w:tcPr>
            <w:tcW w:w="4537" w:type="dxa"/>
            <w:noWrap w:val="0"/>
            <w:vAlign w:val="center"/>
          </w:tcPr>
          <w:p w14:paraId="45D03442">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投标文件载明条款不存在采购人不能接受的偏离</w:t>
            </w:r>
          </w:p>
        </w:tc>
      </w:tr>
      <w:tr w14:paraId="4E80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639BE16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kern w:val="0"/>
                <w:sz w:val="24"/>
                <w:szCs w:val="24"/>
                <w:highlight w:val="none"/>
              </w:rPr>
            </w:pPr>
          </w:p>
        </w:tc>
        <w:tc>
          <w:tcPr>
            <w:tcW w:w="606" w:type="dxa"/>
            <w:vMerge w:val="continue"/>
            <w:noWrap w:val="0"/>
            <w:vAlign w:val="top"/>
          </w:tcPr>
          <w:p w14:paraId="56AF3B03">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kern w:val="0"/>
                <w:sz w:val="24"/>
                <w:szCs w:val="24"/>
                <w:highlight w:val="none"/>
              </w:rPr>
            </w:pPr>
          </w:p>
        </w:tc>
        <w:tc>
          <w:tcPr>
            <w:tcW w:w="3566" w:type="dxa"/>
            <w:noWrap w:val="0"/>
            <w:vAlign w:val="center"/>
          </w:tcPr>
          <w:p w14:paraId="77F157A4">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技术条款偏离</w:t>
            </w:r>
          </w:p>
        </w:tc>
        <w:tc>
          <w:tcPr>
            <w:tcW w:w="4537" w:type="dxa"/>
            <w:noWrap w:val="0"/>
            <w:vAlign w:val="center"/>
          </w:tcPr>
          <w:p w14:paraId="001FD55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投标文件载明条款不存在采购人不能接受的偏离</w:t>
            </w:r>
          </w:p>
        </w:tc>
      </w:tr>
      <w:tr w14:paraId="5446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28" w:type="dxa"/>
            <w:vMerge w:val="continue"/>
            <w:noWrap w:val="0"/>
            <w:vAlign w:val="top"/>
          </w:tcPr>
          <w:p w14:paraId="483F483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5F836FA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222DA59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4537" w:type="dxa"/>
            <w:noWrap w:val="0"/>
            <w:vAlign w:val="center"/>
          </w:tcPr>
          <w:p w14:paraId="1AEF461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7B69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098C287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5B1ADB9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37DBFD7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无效</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rPr>
              <w:t>标条件</w:t>
            </w:r>
          </w:p>
        </w:tc>
        <w:tc>
          <w:tcPr>
            <w:tcW w:w="4537" w:type="dxa"/>
            <w:noWrap w:val="0"/>
            <w:vAlign w:val="center"/>
          </w:tcPr>
          <w:p w14:paraId="5014322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投标人或投标文件有下列情形之一的，其投标作无效标处理：</w:t>
            </w:r>
          </w:p>
          <w:p w14:paraId="3F00A0D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1.投标文件的内容及有关材料弄虚作假；</w:t>
            </w:r>
          </w:p>
          <w:p w14:paraId="1D15408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2.有串通投标或有其他违法行为的；</w:t>
            </w:r>
          </w:p>
          <w:p w14:paraId="017BFE9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3.投标文件不符合招标文件规定的实质性要求；</w:t>
            </w:r>
          </w:p>
          <w:p w14:paraId="33E05951">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4.投标文件不按规定格式及内容填写；</w:t>
            </w:r>
          </w:p>
          <w:p w14:paraId="73805E6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5.投标文件未按招标文件规定的要求签名与盖章的；</w:t>
            </w:r>
          </w:p>
          <w:p w14:paraId="720E7FB3">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6.投标人不按评标委员会要求对投标文件相关内容进行澄清、说明或补正的；</w:t>
            </w:r>
          </w:p>
          <w:p w14:paraId="4D3F8C0E">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7.投标人拒绝对投标文件中存在的算术错误按规定进行修正的；</w:t>
            </w:r>
          </w:p>
          <w:p w14:paraId="64B7EF4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8.投标文件附有其他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人不能接受的条件的；</w:t>
            </w:r>
          </w:p>
          <w:p w14:paraId="0B301F6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9.不同单位的投标文件出现芯片序列号、硬盘序列号、网卡序列号中的某一项或几项一致的</w:t>
            </w:r>
            <w:r>
              <w:rPr>
                <w:rFonts w:hint="eastAsia" w:asciiTheme="minorEastAsia" w:hAnsiTheme="minorEastAsia" w:eastAsiaTheme="minorEastAsia" w:cstheme="minorEastAsia"/>
                <w:color w:val="auto"/>
                <w:sz w:val="24"/>
                <w:szCs w:val="24"/>
                <w:highlight w:val="none"/>
              </w:rPr>
              <w:t>。</w:t>
            </w:r>
          </w:p>
          <w:p w14:paraId="6EF13D8B">
            <w:pPr>
              <w:pStyle w:val="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10.法律、法规和招标文件规定的其他无效情形</w:t>
            </w:r>
          </w:p>
        </w:tc>
      </w:tr>
      <w:tr w14:paraId="4EEE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noWrap w:val="0"/>
            <w:vAlign w:val="center"/>
          </w:tcPr>
          <w:p w14:paraId="5682D58D">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2.2</w:t>
            </w:r>
          </w:p>
        </w:tc>
        <w:tc>
          <w:tcPr>
            <w:tcW w:w="606" w:type="dxa"/>
            <w:vMerge w:val="restart"/>
            <w:tcBorders>
              <w:top w:val="single" w:color="auto" w:sz="4" w:space="0"/>
            </w:tcBorders>
            <w:noWrap w:val="0"/>
            <w:vAlign w:val="center"/>
          </w:tcPr>
          <w:p w14:paraId="7A94A5A1">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3566" w:type="dxa"/>
            <w:noWrap w:val="0"/>
            <w:vAlign w:val="center"/>
          </w:tcPr>
          <w:p w14:paraId="07F62022">
            <w:pPr>
              <w:keepNext w:val="0"/>
              <w:keepLines w:val="0"/>
              <w:pageBreakBefore w:val="0"/>
              <w:shd w:val="clear" w:color="auto" w:fill="auto"/>
              <w:kinsoku/>
              <w:wordWrap/>
              <w:overflowPunct/>
              <w:topLinePunct w:val="0"/>
              <w:autoSpaceDE/>
              <w:autoSpaceDN/>
              <w:bidi w:val="0"/>
              <w:snapToGrid/>
              <w:spacing w:line="400" w:lineRule="exact"/>
              <w:ind w:firstLine="240" w:firstLineChars="1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1）评标总得分计算公式</w:t>
            </w:r>
          </w:p>
        </w:tc>
        <w:tc>
          <w:tcPr>
            <w:tcW w:w="4537" w:type="dxa"/>
            <w:noWrap w:val="0"/>
            <w:vAlign w:val="center"/>
          </w:tcPr>
          <w:p w14:paraId="4E0E07C3">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的评标总得分＝F1＋F2＋F3</w:t>
            </w:r>
          </w:p>
          <w:p w14:paraId="36163717">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其中：F1、F2、F3分别为投标报价、技术部分、履约能力3项评分因素的汇总得分。</w:t>
            </w:r>
          </w:p>
        </w:tc>
      </w:tr>
      <w:tr w14:paraId="2395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5D3F417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6F8433B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566" w:type="dxa"/>
            <w:noWrap w:val="0"/>
            <w:vAlign w:val="center"/>
          </w:tcPr>
          <w:p w14:paraId="1128FE4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2）评分因素权重</w:t>
            </w:r>
          </w:p>
        </w:tc>
        <w:tc>
          <w:tcPr>
            <w:tcW w:w="4537" w:type="dxa"/>
            <w:noWrap w:val="0"/>
            <w:vAlign w:val="center"/>
          </w:tcPr>
          <w:p w14:paraId="21DB9A57">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投标报价F1：</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w:t>
            </w:r>
          </w:p>
          <w:p w14:paraId="38FFB3E8">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技术部分F2：</w:t>
            </w:r>
            <w:r>
              <w:rPr>
                <w:rFonts w:hint="eastAsia" w:asciiTheme="minorEastAsia" w:hAnsiTheme="minorEastAsia" w:eastAsiaTheme="minorEastAsia" w:cstheme="minorEastAsia"/>
                <w:color w:val="auto"/>
                <w:sz w:val="24"/>
                <w:szCs w:val="24"/>
                <w:highlight w:val="none"/>
                <w:lang w:val="en-US" w:eastAsia="zh-CN"/>
              </w:rPr>
              <w:t>50</w:t>
            </w:r>
            <w:r>
              <w:rPr>
                <w:rFonts w:hint="eastAsia" w:asciiTheme="minorEastAsia" w:hAnsiTheme="minorEastAsia" w:eastAsiaTheme="minorEastAsia" w:cstheme="minorEastAsia"/>
                <w:color w:val="auto"/>
                <w:sz w:val="24"/>
                <w:szCs w:val="24"/>
                <w:highlight w:val="none"/>
              </w:rPr>
              <w:t>分。</w:t>
            </w:r>
          </w:p>
          <w:p w14:paraId="40CF43AB">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履约能力部分F3：</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分。</w:t>
            </w:r>
          </w:p>
        </w:tc>
      </w:tr>
      <w:tr w14:paraId="4D40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3BBBDF78">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5A9D8B8E">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noWrap w:val="0"/>
            <w:vAlign w:val="center"/>
          </w:tcPr>
          <w:p w14:paraId="1AE07D7C">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3）投标报价得分F1</w:t>
            </w:r>
          </w:p>
          <w:p w14:paraId="321E5E45">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0分）</w:t>
            </w:r>
          </w:p>
        </w:tc>
        <w:tc>
          <w:tcPr>
            <w:tcW w:w="4537" w:type="dxa"/>
            <w:noWrap w:val="0"/>
            <w:vAlign w:val="center"/>
          </w:tcPr>
          <w:p w14:paraId="4F0A3C1A">
            <w:pPr>
              <w:keepNext w:val="0"/>
              <w:keepLines w:val="0"/>
              <w:pageBreakBefore w:val="0"/>
              <w:widowControl w:val="0"/>
              <w:shd w:val="clear" w:color="auto" w:fill="auto"/>
              <w:kinsoku/>
              <w:wordWrap/>
              <w:overflowPunct/>
              <w:topLinePunct w:val="0"/>
              <w:autoSpaceDE/>
              <w:autoSpaceDN/>
              <w:bidi w:val="0"/>
              <w:adjustRightInd w:val="0"/>
              <w:snapToGrid/>
              <w:spacing w:line="40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价格分应当采用低价优先法计算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即满足招标文件要求且投标价格最低的投标报价为评标基准价，其价格分为满分。其他</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的价格分统一按照下列公式计算：</w:t>
            </w:r>
            <w:r>
              <w:rPr>
                <w:rFonts w:hint="eastAsia" w:asciiTheme="minorEastAsia" w:hAnsiTheme="minorEastAsia" w:eastAsiaTheme="minorEastAsia" w:cstheme="minorEastAsia"/>
                <w:b/>
                <w:bCs/>
                <w:color w:val="auto"/>
                <w:sz w:val="24"/>
                <w:szCs w:val="24"/>
                <w:highlight w:val="none"/>
              </w:rPr>
              <w:t>投标报价得分=(评标基准价／该</w:t>
            </w:r>
            <w:r>
              <w:rPr>
                <w:rFonts w:hint="eastAsia" w:asciiTheme="minorEastAsia" w:hAnsiTheme="minorEastAsia" w:eastAsiaTheme="minorEastAsia" w:cstheme="minorEastAsia"/>
                <w:b/>
                <w:bCs/>
                <w:color w:val="auto"/>
                <w:sz w:val="24"/>
                <w:szCs w:val="24"/>
                <w:highlight w:val="none"/>
                <w:lang w:val="en-US" w:eastAsia="zh-CN"/>
              </w:rPr>
              <w:t>投标人</w:t>
            </w:r>
            <w:r>
              <w:rPr>
                <w:rFonts w:hint="eastAsia" w:asciiTheme="minorEastAsia" w:hAnsiTheme="minorEastAsia" w:eastAsiaTheme="minorEastAsia" w:cstheme="minorEastAsia"/>
                <w:b/>
                <w:bCs/>
                <w:color w:val="auto"/>
                <w:sz w:val="24"/>
                <w:szCs w:val="24"/>
                <w:highlight w:val="none"/>
              </w:rPr>
              <w:t>投标报价)×</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0</w:t>
            </w:r>
          </w:p>
          <w:p w14:paraId="121397ED">
            <w:pPr>
              <w:pStyle w:val="11"/>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注：1.评标基准价为经初步评审合格且投标价格最低的投标报</w:t>
            </w:r>
            <w:r>
              <w:rPr>
                <w:rFonts w:hint="eastAsia" w:asciiTheme="minorEastAsia" w:hAnsiTheme="minorEastAsia" w:eastAsiaTheme="minorEastAsia" w:cstheme="minorEastAsia"/>
                <w:color w:val="auto"/>
                <w:sz w:val="24"/>
                <w:szCs w:val="24"/>
                <w:highlight w:val="none"/>
                <w:lang w:val="en-US" w:eastAsia="zh-CN"/>
              </w:rPr>
              <w:t>价</w:t>
            </w:r>
            <w:r>
              <w:rPr>
                <w:rFonts w:hint="eastAsia" w:asciiTheme="minorEastAsia" w:hAnsiTheme="minorEastAsia" w:eastAsiaTheme="minorEastAsia" w:cstheme="minorEastAsia"/>
                <w:color w:val="auto"/>
                <w:sz w:val="24"/>
                <w:szCs w:val="24"/>
                <w:highlight w:val="none"/>
              </w:rPr>
              <w:t>；</w:t>
            </w:r>
          </w:p>
          <w:p w14:paraId="3AB4C274">
            <w:pPr>
              <w:pStyle w:val="11"/>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2评审过程中，不得去掉最后报价中的最高报价和最低报价。</w:t>
            </w:r>
          </w:p>
          <w:p w14:paraId="669ED72B">
            <w:pPr>
              <w:pStyle w:val="11"/>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投标人提供的货物全部由符合政策要求的小型和微型企业制造的其价格给予10%价格扣除，用扣除后的价格参加评审；监狱企业、残疾人福利性单位视同小型、微型企业，其价格在评审时给予相同的价格扣除。监狱企业、残疾人福利性单位属于小微企业的，不重复享受价格扣除优惠政策；价格扣除比例对小型企业和微型企业同等对待，不作区分。评标委员会应当按扣除后的价格作为评审报价，并依据其计算报价得分，即评审报价=投标总报价×（1-10%）。</w:t>
            </w:r>
          </w:p>
          <w:p w14:paraId="07ED4497">
            <w:pPr>
              <w:pStyle w:val="11"/>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该扣除后的评审报价仅作为计算报价得分之用，不作为采购合同签订报价，合同价格仍按投标人的实际报价进行签订。</w:t>
            </w:r>
          </w:p>
        </w:tc>
      </w:tr>
      <w:tr w14:paraId="5E4A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8" w:type="dxa"/>
            <w:vMerge w:val="continue"/>
            <w:noWrap w:val="0"/>
            <w:vAlign w:val="top"/>
          </w:tcPr>
          <w:p w14:paraId="34E9503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21F90E8A">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vMerge w:val="restart"/>
            <w:noWrap w:val="0"/>
            <w:vAlign w:val="center"/>
          </w:tcPr>
          <w:p w14:paraId="7B03B92F">
            <w:pPr>
              <w:keepNext w:val="0"/>
              <w:keepLines w:val="0"/>
              <w:pageBreakBefore w:val="0"/>
              <w:numPr>
                <w:ilvl w:val="0"/>
                <w:numId w:val="0"/>
              </w:numPr>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shd w:val="clear"/>
                <w:lang w:val="en-US" w:eastAsia="zh-CN"/>
              </w:rPr>
            </w:pPr>
            <w:r>
              <w:rPr>
                <w:rFonts w:hint="eastAsia" w:asciiTheme="minorEastAsia" w:hAnsiTheme="minorEastAsia" w:eastAsiaTheme="minorEastAsia" w:cstheme="minorEastAsia"/>
                <w:color w:val="auto"/>
                <w:kern w:val="2"/>
                <w:sz w:val="24"/>
                <w:szCs w:val="24"/>
                <w:highlight w:val="none"/>
                <w:shd w:val="clear"/>
                <w:lang w:val="en-US" w:eastAsia="zh-CN" w:bidi="ar-SA"/>
              </w:rPr>
              <w:t>4）</w:t>
            </w:r>
            <w:r>
              <w:rPr>
                <w:rFonts w:hint="eastAsia" w:asciiTheme="minorEastAsia" w:hAnsiTheme="minorEastAsia" w:eastAsiaTheme="minorEastAsia" w:cstheme="minorEastAsia"/>
                <w:color w:val="auto"/>
                <w:sz w:val="24"/>
                <w:szCs w:val="24"/>
                <w:highlight w:val="none"/>
                <w:shd w:val="clear"/>
              </w:rPr>
              <w:t>技术部分得分F</w:t>
            </w:r>
            <w:r>
              <w:rPr>
                <w:rFonts w:hint="eastAsia" w:asciiTheme="minorEastAsia" w:hAnsiTheme="minorEastAsia" w:eastAsiaTheme="minorEastAsia" w:cstheme="minorEastAsia"/>
                <w:color w:val="auto"/>
                <w:sz w:val="24"/>
                <w:szCs w:val="24"/>
                <w:highlight w:val="none"/>
                <w:shd w:val="clear"/>
                <w:lang w:val="en-US" w:eastAsia="zh-CN"/>
              </w:rPr>
              <w:t>2</w:t>
            </w:r>
          </w:p>
          <w:p w14:paraId="6F598842">
            <w:pPr>
              <w:keepNext w:val="0"/>
              <w:keepLines w:val="0"/>
              <w:pageBreakBefore w:val="0"/>
              <w:numPr>
                <w:ilvl w:val="0"/>
                <w:numId w:val="0"/>
              </w:numPr>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shd w:val="clear"/>
              </w:rPr>
              <w:t>（满分</w:t>
            </w:r>
            <w:r>
              <w:rPr>
                <w:rFonts w:hint="eastAsia" w:asciiTheme="minorEastAsia" w:hAnsiTheme="minorEastAsia" w:eastAsiaTheme="minorEastAsia" w:cstheme="minorEastAsia"/>
                <w:color w:val="auto"/>
                <w:sz w:val="24"/>
                <w:szCs w:val="24"/>
                <w:highlight w:val="none"/>
                <w:shd w:val="clear"/>
                <w:lang w:val="en-US" w:eastAsia="zh-CN"/>
              </w:rPr>
              <w:t>50</w:t>
            </w:r>
            <w:r>
              <w:rPr>
                <w:rFonts w:hint="eastAsia" w:asciiTheme="minorEastAsia" w:hAnsiTheme="minorEastAsia" w:eastAsiaTheme="minorEastAsia" w:cstheme="minorEastAsia"/>
                <w:color w:val="auto"/>
                <w:sz w:val="24"/>
                <w:szCs w:val="24"/>
                <w:highlight w:val="none"/>
                <w:shd w:val="clear"/>
              </w:rPr>
              <w:t>分）</w:t>
            </w:r>
          </w:p>
        </w:tc>
        <w:tc>
          <w:tcPr>
            <w:tcW w:w="4537" w:type="dxa"/>
            <w:noWrap w:val="0"/>
            <w:vAlign w:val="center"/>
          </w:tcPr>
          <w:p w14:paraId="494C1C1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napToGrid/>
              <w:spacing w:before="0" w:beforeAutospacing="0" w:after="0" w:afterAutospacing="0" w:line="400" w:lineRule="exact"/>
              <w:ind w:right="0"/>
              <w:jc w:val="both"/>
              <w:textAlignment w:val="auto"/>
              <w:rPr>
                <w:rFonts w:hint="eastAsia" w:ascii="宋体" w:hAnsi="宋体" w:eastAsia="宋体" w:cs="宋体"/>
                <w:b/>
                <w:bCs/>
                <w:color w:val="auto"/>
                <w:sz w:val="24"/>
                <w:szCs w:val="24"/>
                <w:highlight w:val="none"/>
                <w:lang w:val="en-US" w:eastAsia="zh-CN"/>
              </w:rPr>
            </w:pPr>
            <w:bookmarkStart w:id="87" w:name="_Toc30600"/>
            <w:bookmarkStart w:id="88" w:name="_Toc1306"/>
            <w:r>
              <w:rPr>
                <w:rFonts w:hint="eastAsia" w:ascii="宋体" w:hAnsi="宋体" w:eastAsia="宋体" w:cs="宋体"/>
                <w:b/>
                <w:bCs/>
                <w:color w:val="auto"/>
                <w:sz w:val="24"/>
                <w:szCs w:val="24"/>
                <w:highlight w:val="none"/>
                <w:lang w:val="en-US" w:eastAsia="zh-CN"/>
              </w:rPr>
              <w:t>4.1技术参数评审（总分</w:t>
            </w:r>
            <w:r>
              <w:rPr>
                <w:rFonts w:hint="eastAsia"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分）</w:t>
            </w:r>
            <w:bookmarkEnd w:id="87"/>
            <w:bookmarkEnd w:id="88"/>
          </w:p>
          <w:p w14:paraId="54206F5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napToGrid/>
              <w:spacing w:before="0" w:beforeAutospacing="0" w:after="0" w:afterAutospacing="0" w:line="400" w:lineRule="exact"/>
              <w:ind w:left="0" w:right="0" w:firstLine="480" w:firstLineChars="200"/>
              <w:jc w:val="both"/>
              <w:textAlignment w:val="auto"/>
              <w:rPr>
                <w:rFonts w:hint="eastAsia"/>
                <w:color w:val="auto"/>
                <w:sz w:val="24"/>
                <w:szCs w:val="24"/>
                <w:highlight w:val="none"/>
                <w:lang w:val="en-US"/>
              </w:rPr>
            </w:pPr>
            <w:r>
              <w:rPr>
                <w:rFonts w:hint="eastAsia"/>
                <w:b w:val="0"/>
                <w:bCs/>
                <w:color w:val="auto"/>
                <w:sz w:val="24"/>
                <w:szCs w:val="24"/>
                <w:highlight w:val="none"/>
                <w:lang w:val="en-US" w:eastAsia="zh-CN"/>
              </w:rPr>
              <w:t>技术参数完全满足或优于招标文件要求的得10分。标注▲的重要技术参数出现负偏离项的每一项扣1分，未标注▲号的一般技术参数出现负偏离项的每一项扣0.5分，扣分扣完10分为止。</w:t>
            </w:r>
          </w:p>
        </w:tc>
      </w:tr>
      <w:tr w14:paraId="7502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noWrap w:val="0"/>
            <w:vAlign w:val="top"/>
          </w:tcPr>
          <w:p w14:paraId="3430AAE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58DE9535">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vMerge w:val="continue"/>
            <w:noWrap w:val="0"/>
            <w:vAlign w:val="center"/>
          </w:tcPr>
          <w:p w14:paraId="53DDF262">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p>
        </w:tc>
        <w:tc>
          <w:tcPr>
            <w:tcW w:w="4537" w:type="dxa"/>
            <w:noWrap w:val="0"/>
            <w:vAlign w:val="center"/>
          </w:tcPr>
          <w:p w14:paraId="052408C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cs="宋体"/>
                <w:b/>
                <w:bCs/>
                <w:color w:val="auto"/>
                <w:sz w:val="24"/>
                <w:szCs w:val="24"/>
                <w:highlight w:val="none"/>
                <w:lang w:val="en-US" w:eastAsia="zh-CN"/>
              </w:rPr>
              <w:t>2技术方案</w:t>
            </w:r>
            <w:r>
              <w:rPr>
                <w:rFonts w:hint="eastAsia" w:ascii="宋体" w:hAnsi="宋体" w:eastAsia="宋体" w:cs="宋体"/>
                <w:b/>
                <w:bCs/>
                <w:color w:val="auto"/>
                <w:sz w:val="24"/>
                <w:szCs w:val="24"/>
                <w:highlight w:val="none"/>
                <w:lang w:val="en-US" w:eastAsia="zh-CN"/>
              </w:rPr>
              <w:t>评审（</w:t>
            </w:r>
            <w:r>
              <w:rPr>
                <w:rFonts w:hint="eastAsia" w:ascii="宋体" w:hAnsi="宋体" w:cs="宋体"/>
                <w:b/>
                <w:bCs/>
                <w:color w:val="auto"/>
                <w:sz w:val="24"/>
                <w:szCs w:val="24"/>
                <w:highlight w:val="none"/>
                <w:lang w:val="en-US" w:eastAsia="zh-CN"/>
              </w:rPr>
              <w:t>总</w:t>
            </w:r>
            <w:r>
              <w:rPr>
                <w:rFonts w:hint="eastAsia" w:ascii="宋体" w:hAnsi="宋体" w:eastAsia="宋体" w:cs="宋体"/>
                <w:b/>
                <w:bCs/>
                <w:color w:val="auto"/>
                <w:sz w:val="24"/>
                <w:szCs w:val="24"/>
                <w:highlight w:val="none"/>
                <w:lang w:val="en-US" w:eastAsia="zh-CN"/>
              </w:rPr>
              <w:t>分</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lang w:val="en-US" w:eastAsia="zh-CN"/>
              </w:rPr>
              <w:t>分）</w:t>
            </w:r>
          </w:p>
          <w:p w14:paraId="3BF34026">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firstLine="480" w:firstLineChars="200"/>
              <w:textAlignment w:val="auto"/>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为保障项目需求理解，投标人需提供技术方案，包括：项目建设背景、项目需求分析、项目建设目标、总体架构等，根据投标人提交的方案做横向对比评审。</w:t>
            </w:r>
          </w:p>
          <w:p w14:paraId="1C2E5E8F">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第一个档次：项目技术方案完善具体、针对性及合理性优的，得12-20分。</w:t>
            </w:r>
          </w:p>
          <w:p w14:paraId="25AE50BC">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第二个档次：项目技术方案基本可行、针对性及合理性一般的，得3-11分。</w:t>
            </w:r>
          </w:p>
          <w:p w14:paraId="5CFC9463">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第三个档次：项目技术方案一般、针对性及合理性较差的，得1-2分。</w:t>
            </w:r>
          </w:p>
          <w:p w14:paraId="58648F9A">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tl w:val="0"/>
                <w:lang w:val="en-US" w:eastAsia="zh-CN"/>
              </w:rPr>
              <w:t>未提供方案的不得分。</w:t>
            </w:r>
          </w:p>
        </w:tc>
      </w:tr>
      <w:tr w14:paraId="1D42A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noWrap w:val="0"/>
            <w:vAlign w:val="top"/>
          </w:tcPr>
          <w:p w14:paraId="39CA0B72">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58ECE0AB">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vMerge w:val="continue"/>
            <w:noWrap w:val="0"/>
            <w:vAlign w:val="center"/>
          </w:tcPr>
          <w:p w14:paraId="76CB85E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p>
        </w:tc>
        <w:tc>
          <w:tcPr>
            <w:tcW w:w="4537" w:type="dxa"/>
            <w:noWrap w:val="0"/>
            <w:vAlign w:val="center"/>
          </w:tcPr>
          <w:p w14:paraId="1C189D57">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eastAsia" w:ascii="宋体" w:hAnsi="宋体" w:eastAsia="宋体" w:cs="宋体"/>
                <w:b/>
                <w:bCs/>
                <w:color w:val="auto"/>
                <w:sz w:val="24"/>
                <w:szCs w:val="24"/>
                <w:highlight w:val="none"/>
                <w:rtl w:val="0"/>
                <w:lang w:val="en-US" w:eastAsia="zh-CN"/>
              </w:rPr>
            </w:pPr>
            <w:r>
              <w:rPr>
                <w:rFonts w:hint="eastAsia" w:ascii="宋体" w:hAnsi="宋体" w:eastAsia="宋体" w:cs="宋体"/>
                <w:b/>
                <w:bCs/>
                <w:color w:val="auto"/>
                <w:sz w:val="24"/>
                <w:szCs w:val="24"/>
                <w:highlight w:val="none"/>
                <w:rtl w:val="0"/>
                <w:lang w:val="en-US" w:eastAsia="zh-CN"/>
              </w:rPr>
              <w:t>4.3实施方案评审（总分</w:t>
            </w:r>
            <w:r>
              <w:rPr>
                <w:rFonts w:hint="eastAsia" w:ascii="宋体" w:hAnsi="宋体" w:cs="宋体"/>
                <w:b/>
                <w:bCs/>
                <w:color w:val="auto"/>
                <w:sz w:val="24"/>
                <w:szCs w:val="24"/>
                <w:highlight w:val="none"/>
                <w:rtl w:val="0"/>
                <w:lang w:val="en-US" w:eastAsia="zh-CN"/>
              </w:rPr>
              <w:t>20</w:t>
            </w:r>
            <w:r>
              <w:rPr>
                <w:rFonts w:hint="eastAsia" w:ascii="宋体" w:hAnsi="宋体" w:eastAsia="宋体" w:cs="宋体"/>
                <w:b/>
                <w:bCs/>
                <w:color w:val="auto"/>
                <w:sz w:val="24"/>
                <w:szCs w:val="24"/>
                <w:highlight w:val="none"/>
                <w:rtl w:val="0"/>
                <w:lang w:val="en-US" w:eastAsia="zh-CN"/>
              </w:rPr>
              <w:t>分）</w:t>
            </w:r>
          </w:p>
          <w:p w14:paraId="3D190452">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firstLine="480" w:firstLineChars="200"/>
              <w:textAlignment w:val="auto"/>
              <w:rPr>
                <w:rFonts w:hint="default" w:asciiTheme="minorEastAsia" w:hAnsiTheme="minorEastAsia" w:eastAsiaTheme="minorEastAsia" w:cstheme="minorEastAsia"/>
                <w:color w:val="auto"/>
                <w:sz w:val="24"/>
                <w:szCs w:val="24"/>
                <w:highlight w:val="none"/>
                <w:rtl w:val="0"/>
                <w:lang w:val="en-US" w:eastAsia="zh-CN"/>
              </w:rPr>
            </w:pPr>
            <w:r>
              <w:rPr>
                <w:rFonts w:hint="default" w:asciiTheme="minorEastAsia" w:hAnsiTheme="minorEastAsia" w:eastAsiaTheme="minorEastAsia" w:cstheme="minorEastAsia"/>
                <w:color w:val="auto"/>
                <w:sz w:val="24"/>
                <w:szCs w:val="24"/>
                <w:highlight w:val="none"/>
                <w:rtl w:val="0"/>
                <w:lang w:val="en-US" w:eastAsia="zh-CN"/>
              </w:rPr>
              <w:t>投标人提供项目实施方案，包括总体推进计划、质量保证计划、信息安全管理、进度计划、团队人员组织结构、测试阶段实施方案、交付及维护方案等，根据投标人提交的方案做横向对比评审。</w:t>
            </w:r>
          </w:p>
          <w:p w14:paraId="65025A16">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default" w:asciiTheme="minorEastAsia" w:hAnsiTheme="minorEastAsia" w:eastAsiaTheme="minorEastAsia" w:cstheme="minorEastAsia"/>
                <w:color w:val="auto"/>
                <w:sz w:val="24"/>
                <w:szCs w:val="24"/>
                <w:highlight w:val="none"/>
                <w:rtl w:val="0"/>
                <w:lang w:val="en-US" w:eastAsia="zh-CN"/>
              </w:rPr>
            </w:pPr>
            <w:r>
              <w:rPr>
                <w:rFonts w:hint="default" w:asciiTheme="minorEastAsia" w:hAnsiTheme="minorEastAsia" w:eastAsiaTheme="minorEastAsia" w:cstheme="minorEastAsia"/>
                <w:color w:val="auto"/>
                <w:sz w:val="24"/>
                <w:szCs w:val="24"/>
                <w:highlight w:val="none"/>
                <w:rtl w:val="0"/>
                <w:lang w:val="en-US" w:eastAsia="zh-CN"/>
              </w:rPr>
              <w:t>第一个档次：项目实施方案完善具体、针对性及合理性优的，得1</w:t>
            </w:r>
            <w:r>
              <w:rPr>
                <w:rFonts w:hint="eastAsia" w:asciiTheme="minorEastAsia" w:hAnsiTheme="minorEastAsia" w:eastAsiaTheme="minorEastAsia" w:cstheme="minorEastAsia"/>
                <w:color w:val="auto"/>
                <w:sz w:val="24"/>
                <w:szCs w:val="24"/>
                <w:highlight w:val="none"/>
                <w:rtl w:val="0"/>
                <w:lang w:val="en-US" w:eastAsia="zh-CN"/>
              </w:rPr>
              <w:t>2</w:t>
            </w:r>
            <w:r>
              <w:rPr>
                <w:rFonts w:hint="default" w:asciiTheme="minorEastAsia" w:hAnsiTheme="minorEastAsia" w:eastAsiaTheme="minorEastAsia" w:cstheme="minorEastAsia"/>
                <w:color w:val="auto"/>
                <w:sz w:val="24"/>
                <w:szCs w:val="24"/>
                <w:highlight w:val="none"/>
                <w:rtl w:val="0"/>
                <w:lang w:val="en-US" w:eastAsia="zh-CN"/>
              </w:rPr>
              <w:t>-</w:t>
            </w:r>
            <w:r>
              <w:rPr>
                <w:rFonts w:hint="eastAsia" w:asciiTheme="minorEastAsia" w:hAnsiTheme="minorEastAsia" w:eastAsiaTheme="minorEastAsia" w:cstheme="minorEastAsia"/>
                <w:color w:val="auto"/>
                <w:sz w:val="24"/>
                <w:szCs w:val="24"/>
                <w:highlight w:val="none"/>
                <w:rtl w:val="0"/>
                <w:lang w:val="en-US" w:eastAsia="zh-CN"/>
              </w:rPr>
              <w:t>20</w:t>
            </w:r>
            <w:r>
              <w:rPr>
                <w:rFonts w:hint="default" w:asciiTheme="minorEastAsia" w:hAnsiTheme="minorEastAsia" w:eastAsiaTheme="minorEastAsia" w:cstheme="minorEastAsia"/>
                <w:color w:val="auto"/>
                <w:sz w:val="24"/>
                <w:szCs w:val="24"/>
                <w:highlight w:val="none"/>
                <w:rtl w:val="0"/>
                <w:lang w:val="en-US" w:eastAsia="zh-CN"/>
              </w:rPr>
              <w:t>分。</w:t>
            </w:r>
          </w:p>
          <w:p w14:paraId="5C6D6C55">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default" w:asciiTheme="minorEastAsia" w:hAnsiTheme="minorEastAsia" w:eastAsiaTheme="minorEastAsia" w:cstheme="minorEastAsia"/>
                <w:color w:val="auto"/>
                <w:sz w:val="24"/>
                <w:szCs w:val="24"/>
                <w:highlight w:val="none"/>
                <w:rtl w:val="0"/>
                <w:lang w:val="en-US" w:eastAsia="zh-CN"/>
              </w:rPr>
            </w:pPr>
            <w:r>
              <w:rPr>
                <w:rFonts w:hint="default" w:asciiTheme="minorEastAsia" w:hAnsiTheme="minorEastAsia" w:eastAsiaTheme="minorEastAsia" w:cstheme="minorEastAsia"/>
                <w:color w:val="auto"/>
                <w:sz w:val="24"/>
                <w:szCs w:val="24"/>
                <w:highlight w:val="none"/>
                <w:rtl w:val="0"/>
                <w:lang w:val="en-US" w:eastAsia="zh-CN"/>
              </w:rPr>
              <w:t>第二个档次：项目实施方案基本可行、针对性及合理性一般的，得</w:t>
            </w:r>
            <w:r>
              <w:rPr>
                <w:rFonts w:hint="eastAsia" w:asciiTheme="minorEastAsia" w:hAnsiTheme="minorEastAsia" w:eastAsiaTheme="minorEastAsia" w:cstheme="minorEastAsia"/>
                <w:color w:val="auto"/>
                <w:sz w:val="24"/>
                <w:szCs w:val="24"/>
                <w:highlight w:val="none"/>
                <w:rtl w:val="0"/>
                <w:lang w:val="en-US" w:eastAsia="zh-CN"/>
              </w:rPr>
              <w:t>3</w:t>
            </w:r>
            <w:r>
              <w:rPr>
                <w:rFonts w:hint="default" w:asciiTheme="minorEastAsia" w:hAnsiTheme="minorEastAsia" w:eastAsiaTheme="minorEastAsia" w:cstheme="minorEastAsia"/>
                <w:color w:val="auto"/>
                <w:sz w:val="24"/>
                <w:szCs w:val="24"/>
                <w:highlight w:val="none"/>
                <w:rtl w:val="0"/>
                <w:lang w:val="en-US" w:eastAsia="zh-CN"/>
              </w:rPr>
              <w:t>-</w:t>
            </w:r>
            <w:r>
              <w:rPr>
                <w:rFonts w:hint="eastAsia" w:asciiTheme="minorEastAsia" w:hAnsiTheme="minorEastAsia" w:eastAsiaTheme="minorEastAsia" w:cstheme="minorEastAsia"/>
                <w:color w:val="auto"/>
                <w:sz w:val="24"/>
                <w:szCs w:val="24"/>
                <w:highlight w:val="none"/>
                <w:rtl w:val="0"/>
                <w:lang w:val="en-US" w:eastAsia="zh-CN"/>
              </w:rPr>
              <w:t>11</w:t>
            </w:r>
            <w:r>
              <w:rPr>
                <w:rFonts w:hint="default" w:asciiTheme="minorEastAsia" w:hAnsiTheme="minorEastAsia" w:eastAsiaTheme="minorEastAsia" w:cstheme="minorEastAsia"/>
                <w:color w:val="auto"/>
                <w:sz w:val="24"/>
                <w:szCs w:val="24"/>
                <w:highlight w:val="none"/>
                <w:rtl w:val="0"/>
                <w:lang w:val="en-US" w:eastAsia="zh-CN"/>
              </w:rPr>
              <w:t>分。</w:t>
            </w:r>
          </w:p>
          <w:p w14:paraId="1E828D2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default" w:asciiTheme="minorEastAsia" w:hAnsiTheme="minorEastAsia" w:eastAsiaTheme="minorEastAsia" w:cstheme="minorEastAsia"/>
                <w:color w:val="auto"/>
                <w:sz w:val="24"/>
                <w:szCs w:val="24"/>
                <w:highlight w:val="none"/>
                <w:rtl w:val="0"/>
                <w:lang w:val="en-US" w:eastAsia="zh-CN"/>
              </w:rPr>
            </w:pPr>
            <w:r>
              <w:rPr>
                <w:rFonts w:hint="default" w:asciiTheme="minorEastAsia" w:hAnsiTheme="minorEastAsia" w:eastAsiaTheme="minorEastAsia" w:cstheme="minorEastAsia"/>
                <w:color w:val="auto"/>
                <w:sz w:val="24"/>
                <w:szCs w:val="24"/>
                <w:highlight w:val="none"/>
                <w:rtl w:val="0"/>
                <w:lang w:val="en-US" w:eastAsia="zh-CN"/>
              </w:rPr>
              <w:t>第三个档次：项目实施方案一般、针对性及合理性较差的，得1-</w:t>
            </w:r>
            <w:r>
              <w:rPr>
                <w:rFonts w:hint="eastAsia" w:asciiTheme="minorEastAsia" w:hAnsiTheme="minorEastAsia" w:eastAsiaTheme="minorEastAsia" w:cstheme="minorEastAsia"/>
                <w:color w:val="auto"/>
                <w:sz w:val="24"/>
                <w:szCs w:val="24"/>
                <w:highlight w:val="none"/>
                <w:rtl w:val="0"/>
                <w:lang w:val="en-US" w:eastAsia="zh-CN"/>
              </w:rPr>
              <w:t>2</w:t>
            </w:r>
            <w:r>
              <w:rPr>
                <w:rFonts w:hint="default" w:asciiTheme="minorEastAsia" w:hAnsiTheme="minorEastAsia" w:eastAsiaTheme="minorEastAsia" w:cstheme="minorEastAsia"/>
                <w:color w:val="auto"/>
                <w:sz w:val="24"/>
                <w:szCs w:val="24"/>
                <w:highlight w:val="none"/>
                <w:rtl w:val="0"/>
                <w:lang w:val="en-US" w:eastAsia="zh-CN"/>
              </w:rPr>
              <w:t>分。</w:t>
            </w:r>
          </w:p>
          <w:p w14:paraId="3B8DCAFC">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left="0"/>
              <w:textAlignment w:val="auto"/>
              <w:rPr>
                <w:rFonts w:hint="default"/>
                <w:highlight w:val="none"/>
                <w:rtl w:val="0"/>
                <w:lang w:val="en-US" w:eastAsia="zh-CN"/>
              </w:rPr>
            </w:pPr>
            <w:r>
              <w:rPr>
                <w:rFonts w:hint="default" w:asciiTheme="minorEastAsia" w:hAnsiTheme="minorEastAsia" w:eastAsiaTheme="minorEastAsia" w:cstheme="minorEastAsia"/>
                <w:color w:val="auto"/>
                <w:sz w:val="24"/>
                <w:szCs w:val="24"/>
                <w:highlight w:val="none"/>
                <w:rtl w:val="0"/>
                <w:lang w:val="en-US" w:eastAsia="zh-CN"/>
              </w:rPr>
              <w:t>未提供方案的不得分。</w:t>
            </w:r>
          </w:p>
        </w:tc>
      </w:tr>
      <w:tr w14:paraId="5D9A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28" w:type="dxa"/>
            <w:vMerge w:val="continue"/>
            <w:noWrap w:val="0"/>
            <w:vAlign w:val="top"/>
          </w:tcPr>
          <w:p w14:paraId="0DF889AD">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14F49AC3">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vMerge w:val="restart"/>
            <w:noWrap w:val="0"/>
            <w:vAlign w:val="center"/>
          </w:tcPr>
          <w:p w14:paraId="43E0150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5）履约能力评审得分F3</w:t>
            </w:r>
          </w:p>
          <w:p w14:paraId="070C0F9E">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分）</w:t>
            </w:r>
          </w:p>
        </w:tc>
        <w:tc>
          <w:tcPr>
            <w:tcW w:w="4537" w:type="dxa"/>
            <w:noWrap w:val="0"/>
            <w:vAlign w:val="center"/>
          </w:tcPr>
          <w:p w14:paraId="3EBE0B16">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5.1应急预案</w:t>
            </w:r>
            <w:r>
              <w:rPr>
                <w:rFonts w:hint="eastAsia" w:ascii="宋体" w:hAnsi="宋体" w:cs="宋体"/>
                <w:b/>
                <w:bCs/>
                <w:color w:val="auto"/>
                <w:sz w:val="24"/>
                <w:szCs w:val="24"/>
                <w:highlight w:val="none"/>
                <w:lang w:val="en-US" w:eastAsia="zh-CN"/>
              </w:rPr>
              <w:t>评审</w:t>
            </w:r>
            <w:r>
              <w:rPr>
                <w:rFonts w:hint="eastAsia" w:ascii="宋体" w:hAnsi="宋体" w:eastAsia="宋体" w:cs="宋体"/>
                <w:b/>
                <w:bCs/>
                <w:color w:val="auto"/>
                <w:sz w:val="24"/>
                <w:szCs w:val="24"/>
                <w:highlight w:val="none"/>
                <w:lang w:val="en-US" w:eastAsia="zh-CN"/>
              </w:rPr>
              <w:t>（总分</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分）</w:t>
            </w:r>
          </w:p>
          <w:p w14:paraId="2AFE7913">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投标人应针对本项目特点结合实际情况提供的故障应急方案及保障措施和相关证明材料，根据投标人提交的方案进行横向对比评审。</w:t>
            </w:r>
          </w:p>
          <w:p w14:paraId="5307A26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第一档次，故障应急方案及保障措施完善具体、针对性及合理性优的，得3-5分。</w:t>
            </w:r>
          </w:p>
          <w:p w14:paraId="29EFB59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第二档次，故障应急方案及保障措施基本可行、针对性及合理性一般的，得1-2分。</w:t>
            </w:r>
          </w:p>
          <w:p w14:paraId="3B88BAA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default"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未提供方案的不得分。</w:t>
            </w:r>
          </w:p>
        </w:tc>
      </w:tr>
      <w:tr w14:paraId="7AFF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5025B76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0036B32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vMerge w:val="continue"/>
            <w:noWrap w:val="0"/>
            <w:vAlign w:val="center"/>
          </w:tcPr>
          <w:p w14:paraId="5EA25CD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537" w:type="dxa"/>
            <w:noWrap w:val="0"/>
            <w:vAlign w:val="center"/>
          </w:tcPr>
          <w:p w14:paraId="6482618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售后服务方案</w:t>
            </w:r>
            <w:r>
              <w:rPr>
                <w:rFonts w:hint="eastAsia" w:ascii="宋体" w:hAnsi="宋体" w:cs="宋体"/>
                <w:b/>
                <w:bCs/>
                <w:color w:val="auto"/>
                <w:sz w:val="24"/>
                <w:szCs w:val="24"/>
                <w:highlight w:val="none"/>
                <w:lang w:val="en-US" w:eastAsia="zh-CN"/>
              </w:rPr>
              <w:t>评审</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总</w:t>
            </w:r>
            <w:r>
              <w:rPr>
                <w:rFonts w:hint="eastAsia" w:ascii="宋体" w:hAnsi="宋体" w:eastAsia="宋体" w:cs="宋体"/>
                <w:b/>
                <w:bCs/>
                <w:color w:val="auto"/>
                <w:sz w:val="24"/>
                <w:szCs w:val="24"/>
                <w:highlight w:val="none"/>
              </w:rPr>
              <w:t>分</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p w14:paraId="0F4548C4">
            <w:pPr>
              <w:keepNext w:val="0"/>
              <w:keepLines w:val="0"/>
              <w:pageBreakBefore w:val="0"/>
              <w:shd w:val="clear" w:color="auto" w:fill="auto"/>
              <w:kinsoku/>
              <w:wordWrap/>
              <w:overflowPunct/>
              <w:topLinePunct w:val="0"/>
              <w:autoSpaceDE/>
              <w:autoSpaceDN/>
              <w:bidi w:val="0"/>
              <w:snapToGrid/>
              <w:spacing w:line="400" w:lineRule="exact"/>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投标人应针对本项目特点结合实际情况提供售后服务方案内容包括但不限于售后服务方式、售后服务体系、售后服务人员安排、售后服务措施、响应时间等内容，根据投标人提交的方案做横向对比评审。</w:t>
            </w:r>
          </w:p>
          <w:p w14:paraId="5F25B4E0">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第一个档次：售后服务能力强，售后服务（培训）方案、承诺及保证完善具体，针对性强的，得5-6分；</w:t>
            </w:r>
          </w:p>
          <w:p w14:paraId="0E018BAA">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第二个档次：售后服务能力较强，售后服务（培训）方案、承诺及保证具体可行，有一定的针对性的，得3-4分；</w:t>
            </w:r>
          </w:p>
          <w:p w14:paraId="66A6729C">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第三个档次：售后服务能力一般甚至较差，售后服务（培训）方案、承诺及保证基本可行，但缺乏针对性的，得1-2分；</w:t>
            </w:r>
          </w:p>
          <w:p w14:paraId="5E5113C2">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未提供方案的不得分。</w:t>
            </w:r>
          </w:p>
        </w:tc>
      </w:tr>
      <w:tr w14:paraId="5234D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265F1C27">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606" w:type="dxa"/>
            <w:vMerge w:val="continue"/>
            <w:noWrap w:val="0"/>
            <w:vAlign w:val="center"/>
          </w:tcPr>
          <w:p w14:paraId="136E7C15">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566" w:type="dxa"/>
            <w:vMerge w:val="continue"/>
            <w:noWrap w:val="0"/>
            <w:vAlign w:val="center"/>
          </w:tcPr>
          <w:p w14:paraId="2E788F5C">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537" w:type="dxa"/>
            <w:shd w:val="clear" w:color="auto" w:fill="auto"/>
            <w:noWrap w:val="0"/>
            <w:vAlign w:val="center"/>
          </w:tcPr>
          <w:p w14:paraId="4869EAA3">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5.4技术服务管理人员配置评审（总分</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分）</w:t>
            </w:r>
          </w:p>
          <w:p w14:paraId="1F7AAF07">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第一个档次：技术服务管理人员配置针对技术服务实际且合理，能满足技术服务需要，岗位安排合理的，得3-9分；</w:t>
            </w:r>
          </w:p>
          <w:p w14:paraId="0CE3078C">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第二个档次：技术服务管理人员配置基本合理，基本满足需要，但专业配置没有针对性的，得1-2分；</w:t>
            </w:r>
          </w:p>
          <w:p w14:paraId="43F0F573">
            <w:pPr>
              <w:keepNext w:val="0"/>
              <w:keepLines w:val="0"/>
              <w:pageBreakBefore w:val="0"/>
              <w:shd w:val="clear" w:color="auto" w:fill="auto"/>
              <w:kinsoku/>
              <w:wordWrap/>
              <w:overflowPunct/>
              <w:topLinePunct w:val="0"/>
              <w:autoSpaceDE/>
              <w:autoSpaceDN/>
              <w:bidi w:val="0"/>
              <w:snapToGrid/>
              <w:spacing w:line="400" w:lineRule="exact"/>
              <w:jc w:val="left"/>
              <w:textAlignment w:val="auto"/>
              <w:rPr>
                <w:rFonts w:hint="eastAsia" w:ascii="宋体" w:hAnsi="宋体" w:eastAsia="宋体" w:cs="宋体"/>
                <w:b/>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未提供方案的不得分。</w:t>
            </w:r>
          </w:p>
        </w:tc>
      </w:tr>
    </w:tbl>
    <w:p w14:paraId="143736EA">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2"/>
          <w:szCs w:val="28"/>
          <w:highlight w:val="none"/>
        </w:rPr>
      </w:pPr>
      <w:r>
        <w:rPr>
          <w:rFonts w:hint="eastAsia" w:asciiTheme="minorEastAsia" w:hAnsiTheme="minorEastAsia" w:eastAsiaTheme="minorEastAsia" w:cstheme="minorEastAsia"/>
          <w:b/>
          <w:bCs/>
          <w:color w:val="auto"/>
          <w:sz w:val="28"/>
          <w:szCs w:val="28"/>
          <w:highlight w:val="none"/>
        </w:rPr>
        <w:t>1.评标方法</w:t>
      </w:r>
    </w:p>
    <w:p w14:paraId="46114E5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本次评标采用综合评分法。</w:t>
      </w:r>
      <w:r>
        <w:rPr>
          <w:rFonts w:hint="eastAsia" w:asciiTheme="minorEastAsia" w:hAnsiTheme="minorEastAsia" w:eastAsiaTheme="minorEastAsia" w:cstheme="minorEastAsia"/>
          <w:b w:val="0"/>
          <w:bCs w:val="0"/>
          <w:color w:val="auto"/>
          <w:sz w:val="24"/>
          <w:szCs w:val="24"/>
          <w:highlight w:val="none"/>
        </w:rPr>
        <w:t>评标委员会对满足招标文件初步评审要求的投标文件，按照本章前附表规定的评分标准进行打分，并按下列评标总得分计算公式计算评标总得分：按</w:t>
      </w:r>
      <w:r>
        <w:rPr>
          <w:rFonts w:hint="eastAsia" w:asciiTheme="minorEastAsia" w:hAnsiTheme="minorEastAsia" w:eastAsiaTheme="minorEastAsia" w:cstheme="minorEastAsia"/>
          <w:b w:val="0"/>
          <w:bCs w:val="0"/>
          <w:color w:val="auto"/>
          <w:sz w:val="24"/>
          <w:szCs w:val="24"/>
          <w:highlight w:val="none"/>
          <w:lang w:val="en-US" w:eastAsia="zh-CN"/>
        </w:rPr>
        <w:t>评审得分</w:t>
      </w:r>
      <w:r>
        <w:rPr>
          <w:rFonts w:hint="eastAsia" w:asciiTheme="minorEastAsia" w:hAnsiTheme="minorEastAsia" w:eastAsiaTheme="minorEastAsia" w:cstheme="minorEastAsia"/>
          <w:b w:val="0"/>
          <w:bCs w:val="0"/>
          <w:color w:val="auto"/>
          <w:sz w:val="24"/>
          <w:szCs w:val="24"/>
          <w:highlight w:val="none"/>
        </w:rPr>
        <w:t>由高到低的顺序推荐中标候选人排序，评审得分相同的，按照</w:t>
      </w:r>
      <w:r>
        <w:rPr>
          <w:rFonts w:hint="eastAsia" w:asciiTheme="minorEastAsia" w:hAnsiTheme="minorEastAsia" w:eastAsiaTheme="minorEastAsia" w:cstheme="minorEastAsia"/>
          <w:b w:val="0"/>
          <w:bCs w:val="0"/>
          <w:color w:val="auto"/>
          <w:sz w:val="24"/>
          <w:szCs w:val="24"/>
          <w:highlight w:val="none"/>
          <w:lang w:val="en-US" w:eastAsia="zh-CN"/>
        </w:rPr>
        <w:t>投标人</w:t>
      </w:r>
      <w:r>
        <w:rPr>
          <w:rFonts w:hint="eastAsia" w:asciiTheme="minorEastAsia" w:hAnsiTheme="minorEastAsia" w:eastAsiaTheme="minorEastAsia" w:cstheme="minorEastAsia"/>
          <w:b w:val="0"/>
          <w:bCs w:val="0"/>
          <w:color w:val="auto"/>
          <w:sz w:val="24"/>
          <w:szCs w:val="24"/>
          <w:highlight w:val="none"/>
        </w:rPr>
        <w:t>投标报价（符合相关价格扣除政策的以扣除前的报价为准）由低到高进行排序；评审得分且最后报价都相同的，</w:t>
      </w:r>
      <w:r>
        <w:rPr>
          <w:rFonts w:hint="eastAsia" w:asciiTheme="minorEastAsia" w:hAnsiTheme="minorEastAsia" w:eastAsiaTheme="minorEastAsia" w:cstheme="minorEastAsia"/>
          <w:b w:val="0"/>
          <w:bCs w:val="0"/>
          <w:color w:val="auto"/>
          <w:sz w:val="24"/>
          <w:szCs w:val="24"/>
          <w:highlight w:val="none"/>
          <w:lang w:val="en-US" w:eastAsia="zh-CN"/>
        </w:rPr>
        <w:t>提供节能产品、环境标志产品的投标人排序在前</w:t>
      </w:r>
      <w:r>
        <w:rPr>
          <w:rFonts w:hint="eastAsia" w:asciiTheme="minorEastAsia" w:hAnsiTheme="minorEastAsia" w:eastAsiaTheme="minorEastAsia" w:cstheme="minorEastAsia"/>
          <w:b w:val="0"/>
          <w:bCs w:val="0"/>
          <w:color w:val="auto"/>
          <w:sz w:val="24"/>
          <w:szCs w:val="24"/>
          <w:highlight w:val="none"/>
        </w:rPr>
        <w:t>；出现其他情形的，由评标委员会投票，得票多者排序在前。</w:t>
      </w:r>
    </w:p>
    <w:p w14:paraId="4F88456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1.1.提供相同品牌产品的不同投标人的推荐方式</w:t>
      </w:r>
    </w:p>
    <w:p w14:paraId="7E45625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投标人提供产品品牌相同的，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投标人</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p w14:paraId="5C01718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1.2.节能产品、环境标志产品认定</w:t>
      </w:r>
    </w:p>
    <w:p w14:paraId="6E7FE57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对列入财政部、发展改革委、生态环境部等部门发布的节能设备政府采购品目清单、环境标志设备政府采购品目清单，且取得市场监督管理总局等认证机构出具的、处于有效期之内的节能设备、环境标志设备认证证书的设备，实施政府优先采购或强制采购。若投标人所供设备属于上述清单内产品的，须在投标文件格式部分投标分项报价表“备注”中注明，并提供相应的认证证书，否则不予认可。</w:t>
      </w:r>
    </w:p>
    <w:p w14:paraId="718B947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（2）节能产品政府采购品目清单、环境标志产品政府采购品目清单可通过中国政府采购网（http://www.ccgp.gov.cn/）查阅。</w:t>
      </w:r>
    </w:p>
    <w:p w14:paraId="580A4CFE">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2.评审标准</w:t>
      </w:r>
    </w:p>
    <w:p w14:paraId="3FD57EF9">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2.1初步评审标准</w:t>
      </w:r>
    </w:p>
    <w:p w14:paraId="5C9AC81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2.1.1资格评审标准：依据法律法规和招标文件的规定，对投标文件中的资格证明文件、投标保证金等进行审查，见评标方法前附表。</w:t>
      </w:r>
    </w:p>
    <w:p w14:paraId="0FF8476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2.1.2符合性评审标准：依据招标文件的规定，从投标文件的有效性、完整性和对招标文件的响应程度进行审查，见评标方法前附表。</w:t>
      </w:r>
    </w:p>
    <w:p w14:paraId="1E23F5D0">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2.2分值构成与评分标准</w:t>
      </w:r>
    </w:p>
    <w:p w14:paraId="2A52A50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2.2.1分值构成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24F6D0B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2.2.2评分标准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526A2FF8">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3.评标程序</w:t>
      </w:r>
    </w:p>
    <w:p w14:paraId="53AF7677">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3.1初步评审</w:t>
      </w:r>
    </w:p>
    <w:p w14:paraId="4009D88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3.1.1评标委员会依据本章第2.1.1项、第2.1.2项规定的标准对投标文件进行初步评审。有一项不符合评审标准的，该投标文件按无效投标处理。</w:t>
      </w:r>
    </w:p>
    <w:p w14:paraId="713C431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3.1.2投标文件如果出现计算或表达上的错误，修正错误的原则如下：</w:t>
      </w:r>
    </w:p>
    <w:p w14:paraId="14B0764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1）开标时，投标文件中开标一览表内容与投标文件中明细表内容不一致的，以开标一览表为准。</w:t>
      </w:r>
    </w:p>
    <w:p w14:paraId="6659DFB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2）投标文件的大写金额和小写金额不一致的，以大写金额为准；</w:t>
      </w:r>
    </w:p>
    <w:p w14:paraId="1821A2E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3）总价金额与按单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汇总金额不一致的，以单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金额计算结果为准；</w:t>
      </w:r>
    </w:p>
    <w:p w14:paraId="14BCC90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金额小数点有明显错位的，应以总价为准，并修改单</w:t>
      </w:r>
      <w:r>
        <w:rPr>
          <w:rFonts w:hint="eastAsia" w:asciiTheme="minorEastAsia" w:hAnsiTheme="minorEastAsia" w:eastAsiaTheme="minorEastAsia" w:cstheme="minorEastAsia"/>
          <w:color w:val="auto"/>
          <w:sz w:val="24"/>
          <w:szCs w:val="24"/>
          <w:highlight w:val="none"/>
          <w:lang w:val="en-US" w:eastAsia="zh-CN"/>
        </w:rPr>
        <w:t>项价格</w:t>
      </w:r>
      <w:r>
        <w:rPr>
          <w:rFonts w:hint="eastAsia" w:asciiTheme="minorEastAsia" w:hAnsiTheme="minorEastAsia" w:eastAsiaTheme="minorEastAsia" w:cstheme="minorEastAsia"/>
          <w:color w:val="auto"/>
          <w:sz w:val="24"/>
          <w:szCs w:val="24"/>
          <w:highlight w:val="none"/>
        </w:rPr>
        <w:t>；</w:t>
      </w:r>
    </w:p>
    <w:p w14:paraId="3501C0F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5）对不同文字文本投标文件的解释发生异议的，以中文文本为准。</w:t>
      </w:r>
    </w:p>
    <w:p w14:paraId="777DE98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6）按上述修正错误的原则及方法调整或修正投标文件的投标报价，</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同意后，调整后的投标报价对</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起约束作用。如果</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不接受修正后的报价，视为未实质性响应招标文件要求。</w:t>
      </w:r>
    </w:p>
    <w:p w14:paraId="4BE81C45">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3.2详细评审</w:t>
      </w:r>
    </w:p>
    <w:p w14:paraId="4D24E48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3.2.1评标委员会按本章第2款规定的量化因素和分值进行打分，并计算出</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的评标总得分。对</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的客观评分项的评分应当一致，对其他需要借助专业知识评判的主观评分项，应当严格按照评分细则公正评分。</w:t>
      </w:r>
    </w:p>
    <w:p w14:paraId="3A32C58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w:t>
      </w:r>
      <w:r>
        <w:rPr>
          <w:rFonts w:hint="eastAsia" w:asciiTheme="minorEastAsia" w:hAnsiTheme="minorEastAsia" w:eastAsiaTheme="minorEastAsia" w:cstheme="minorEastAsia"/>
          <w:color w:val="auto"/>
          <w:sz w:val="24"/>
          <w:szCs w:val="24"/>
          <w:highlight w:val="none"/>
          <w:lang w:val="en-US" w:eastAsia="zh-CN"/>
        </w:rPr>
        <w:t>详细评审部分</w:t>
      </w:r>
      <w:r>
        <w:rPr>
          <w:rFonts w:hint="eastAsia" w:asciiTheme="minorEastAsia" w:hAnsiTheme="minorEastAsia" w:eastAsiaTheme="minorEastAsia" w:cstheme="minorEastAsia"/>
          <w:color w:val="auto"/>
          <w:sz w:val="24"/>
          <w:szCs w:val="24"/>
          <w:highlight w:val="none"/>
        </w:rPr>
        <w:t>得分由评标委员会成员独立评分，</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各项评分因素得分为该项因素各评委评分的算术平均值（保留小数点后两位），小数点后第三位“四舍五入”。</w:t>
      </w:r>
    </w:p>
    <w:p w14:paraId="66D399F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08503253">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3.3投标文件的澄清</w:t>
      </w:r>
      <w:r>
        <w:rPr>
          <w:rFonts w:hint="eastAsia" w:asciiTheme="minorEastAsia" w:hAnsiTheme="minorEastAsia" w:eastAsiaTheme="minorEastAsia" w:cstheme="minorEastAsia"/>
          <w:color w:val="auto"/>
          <w:sz w:val="24"/>
          <w:szCs w:val="24"/>
          <w:highlight w:val="none"/>
        </w:rPr>
        <w:t xml:space="preserve"> </w:t>
      </w:r>
    </w:p>
    <w:p w14:paraId="7B2B783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3.3.1评标委员会可以要求</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对投标文件中含义不明确的内容作必要的澄清或者说明，但是澄清或者说明不得超出投标文件的范围或者改变投标文件的实质性内容。评标委员会不得暗示或者诱导</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作出澄清、说明，不得接受</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主动提出的澄清、说明。</w:t>
      </w:r>
    </w:p>
    <w:p w14:paraId="367DB62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w:t>
      </w:r>
      <w:bookmarkStart w:id="89" w:name="_Toc297531588"/>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电子招标投标办法</w:t>
      </w:r>
      <w:bookmarkEnd w:id="89"/>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八部委20号令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规定，</w:t>
      </w:r>
      <w:r>
        <w:rPr>
          <w:rFonts w:hint="eastAsia" w:asciiTheme="minorEastAsia" w:hAnsiTheme="minorEastAsia" w:eastAsiaTheme="minorEastAsia" w:cstheme="minorEastAsia"/>
          <w:color w:val="auto"/>
          <w:sz w:val="24"/>
          <w:szCs w:val="24"/>
          <w:highlight w:val="none"/>
        </w:rPr>
        <w:t>评标中需要</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对投标文件澄清或者说明的，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和</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应当通过电子招标投标交易平台交换数据电文。</w:t>
      </w:r>
    </w:p>
    <w:p w14:paraId="0ADECB1A">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3.4评标结果</w:t>
      </w:r>
    </w:p>
    <w:p w14:paraId="79DA3C9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3.4.1评标委员会按最终得分由高到低顺序推荐中标候选人，并提出书面评标报告。</w:t>
      </w:r>
    </w:p>
    <w:p w14:paraId="5B54C15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根据评标委员会提出的书面评标报告和推荐的中标候选人名单，确定中标人。</w:t>
      </w:r>
    </w:p>
    <w:p w14:paraId="0BEB16D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3.4.3评审委员会发现采购文件存在歧义、重大缺陷导致评审工作无法进行，或者采购文件内容违反国家有关规定的，要停止评审工作并向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书面说明情况，</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应当修改采购文件后重新组织采购活动；发现</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提供虚假材料、串通等违法违规行为的，要及时向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报告</w:t>
      </w:r>
      <w:bookmarkEnd w:id="81"/>
      <w:bookmarkEnd w:id="82"/>
      <w:bookmarkEnd w:id="83"/>
      <w:bookmarkEnd w:id="84"/>
      <w:bookmarkEnd w:id="85"/>
      <w:bookmarkEnd w:id="86"/>
      <w:r>
        <w:rPr>
          <w:rFonts w:hint="eastAsia" w:asciiTheme="minorEastAsia" w:hAnsiTheme="minorEastAsia" w:eastAsiaTheme="minorEastAsia" w:cstheme="minorEastAsia"/>
          <w:color w:val="auto"/>
          <w:sz w:val="24"/>
          <w:szCs w:val="24"/>
          <w:highlight w:val="none"/>
          <w:lang w:eastAsia="zh-CN"/>
        </w:rPr>
        <w:t>。</w:t>
      </w:r>
      <w:bookmarkEnd w:id="39"/>
      <w:bookmarkEnd w:id="40"/>
    </w:p>
    <w:p w14:paraId="4D35CC02">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6437E44D">
      <w:pPr>
        <w:pStyle w:val="3"/>
        <w:numPr>
          <w:ilvl w:val="0"/>
          <w:numId w:val="0"/>
        </w:numPr>
        <w:shd w:val="clear" w:color="auto" w:fill="auto"/>
        <w:tabs>
          <w:tab w:val="left" w:pos="360"/>
        </w:tabs>
        <w:jc w:val="center"/>
        <w:rPr>
          <w:rFonts w:hint="eastAsia" w:asciiTheme="minorEastAsia" w:hAnsiTheme="minorEastAsia" w:eastAsiaTheme="minorEastAsia" w:cstheme="minorEastAsia"/>
          <w:color w:val="auto"/>
          <w:sz w:val="40"/>
          <w:szCs w:val="40"/>
          <w:highlight w:val="none"/>
        </w:rPr>
      </w:pPr>
      <w:bookmarkStart w:id="90" w:name="_Toc28640"/>
      <w:bookmarkStart w:id="91" w:name="_Toc27203"/>
      <w:r>
        <w:rPr>
          <w:rFonts w:hint="eastAsia" w:asciiTheme="minorEastAsia" w:hAnsiTheme="minorEastAsia" w:eastAsiaTheme="minorEastAsia" w:cstheme="minorEastAsia"/>
          <w:color w:val="auto"/>
          <w:sz w:val="36"/>
          <w:szCs w:val="36"/>
          <w:highlight w:val="none"/>
          <w:lang w:val="en-US" w:eastAsia="zh-CN"/>
        </w:rPr>
        <w:t xml:space="preserve">第四章 </w:t>
      </w:r>
      <w:r>
        <w:rPr>
          <w:rFonts w:hint="eastAsia" w:asciiTheme="minorEastAsia" w:hAnsiTheme="minorEastAsia" w:eastAsiaTheme="minorEastAsia" w:cstheme="minorEastAsia"/>
          <w:color w:val="auto"/>
          <w:sz w:val="36"/>
          <w:szCs w:val="36"/>
          <w:highlight w:val="none"/>
        </w:rPr>
        <w:t>合同主要条款</w:t>
      </w:r>
      <w:r>
        <w:rPr>
          <w:rFonts w:hint="eastAsia" w:asciiTheme="minorEastAsia" w:hAnsiTheme="minorEastAsia" w:eastAsiaTheme="minorEastAsia" w:cstheme="minorEastAsia"/>
          <w:color w:val="auto"/>
          <w:sz w:val="36"/>
          <w:szCs w:val="36"/>
          <w:highlight w:val="none"/>
          <w:lang w:val="en-US" w:eastAsia="zh-CN"/>
        </w:rPr>
        <w:t>及</w:t>
      </w:r>
      <w:r>
        <w:rPr>
          <w:rFonts w:hint="eastAsia" w:asciiTheme="minorEastAsia" w:hAnsiTheme="minorEastAsia" w:eastAsiaTheme="minorEastAsia" w:cstheme="minorEastAsia"/>
          <w:color w:val="auto"/>
          <w:sz w:val="36"/>
          <w:szCs w:val="36"/>
          <w:highlight w:val="none"/>
        </w:rPr>
        <w:t>格式</w:t>
      </w:r>
      <w:bookmarkEnd w:id="90"/>
      <w:bookmarkEnd w:id="91"/>
    </w:p>
    <w:p w14:paraId="5C456919">
      <w:pPr>
        <w:jc w:val="center"/>
        <w:rPr>
          <w:rFonts w:ascii="宋体" w:hAnsi="宋体" w:cs="宋体"/>
          <w:sz w:val="28"/>
          <w:szCs w:val="36"/>
          <w:highlight w:val="none"/>
        </w:rPr>
      </w:pPr>
      <w:r>
        <w:rPr>
          <w:rFonts w:hint="eastAsia" w:ascii="宋体" w:hAnsi="宋体" w:cs="宋体"/>
          <w:sz w:val="28"/>
          <w:szCs w:val="36"/>
          <w:highlight w:val="none"/>
        </w:rPr>
        <w:t>（合同内容仅供参考）</w:t>
      </w:r>
    </w:p>
    <w:p w14:paraId="1CBD5326">
      <w:pPr>
        <w:overflowPunct w:val="0"/>
        <w:autoSpaceDE w:val="0"/>
        <w:autoSpaceDN w:val="0"/>
        <w:adjustRightInd w:val="0"/>
        <w:spacing w:after="200" w:line="360" w:lineRule="auto"/>
        <w:rPr>
          <w:rFonts w:ascii="宋体" w:hAnsi="宋体" w:cs="宋体"/>
          <w:color w:val="000000"/>
          <w:kern w:val="0"/>
          <w:sz w:val="28"/>
          <w:highlight w:val="none"/>
        </w:rPr>
      </w:pPr>
      <w:r>
        <w:rPr>
          <w:rFonts w:hint="eastAsia" w:ascii="宋体" w:hAnsi="宋体" w:cs="宋体"/>
          <w:color w:val="000000"/>
          <w:kern w:val="0"/>
          <w:sz w:val="28"/>
          <w:highlight w:val="none"/>
        </w:rPr>
        <w:t>合同编号：            合同自编号：              招标编号：</w:t>
      </w:r>
    </w:p>
    <w:p w14:paraId="39B1AE56">
      <w:pPr>
        <w:pStyle w:val="22"/>
        <w:ind w:firstLine="210"/>
        <w:rPr>
          <w:rFonts w:ascii="宋体" w:hAnsi="宋体" w:cs="宋体"/>
          <w:highlight w:val="none"/>
        </w:rPr>
      </w:pPr>
    </w:p>
    <w:p w14:paraId="2E1C2669">
      <w:pPr>
        <w:spacing w:after="200" w:line="360" w:lineRule="auto"/>
        <w:rPr>
          <w:rFonts w:ascii="宋体" w:hAnsi="宋体" w:cs="宋体"/>
          <w:color w:val="000000"/>
          <w:kern w:val="0"/>
          <w:sz w:val="28"/>
          <w:highlight w:val="none"/>
        </w:rPr>
      </w:pPr>
      <w:r>
        <w:rPr>
          <w:rFonts w:hint="eastAsia" w:ascii="宋体" w:hAnsi="宋体" w:cs="宋体"/>
          <w:color w:val="000000"/>
          <w:kern w:val="0"/>
          <w:sz w:val="28"/>
          <w:highlight w:val="none"/>
        </w:rPr>
        <w:t>·本合同须加盖甲乙双方骑缝章有效</w:t>
      </w:r>
    </w:p>
    <w:p w14:paraId="4EAC89C0">
      <w:pPr>
        <w:pStyle w:val="22"/>
        <w:ind w:firstLine="210"/>
        <w:rPr>
          <w:rFonts w:ascii="宋体" w:hAnsi="宋体" w:cs="宋体"/>
          <w:highlight w:val="none"/>
        </w:rPr>
      </w:pPr>
    </w:p>
    <w:p w14:paraId="00EDDE66">
      <w:pPr>
        <w:overflowPunct w:val="0"/>
        <w:autoSpaceDE w:val="0"/>
        <w:autoSpaceDN w:val="0"/>
        <w:adjustRightInd w:val="0"/>
        <w:spacing w:after="200" w:line="360" w:lineRule="auto"/>
        <w:jc w:val="center"/>
        <w:rPr>
          <w:rFonts w:ascii="宋体" w:hAnsi="宋体" w:cs="宋体"/>
          <w:b/>
          <w:color w:val="000000"/>
          <w:w w:val="80"/>
          <w:kern w:val="0"/>
          <w:sz w:val="52"/>
          <w:highlight w:val="none"/>
        </w:rPr>
      </w:pPr>
      <w:r>
        <w:rPr>
          <w:rFonts w:hint="eastAsia" w:ascii="宋体" w:hAnsi="宋体" w:cs="宋体"/>
          <w:b/>
          <w:color w:val="000000"/>
          <w:w w:val="80"/>
          <w:kern w:val="0"/>
          <w:sz w:val="52"/>
          <w:highlight w:val="none"/>
        </w:rPr>
        <w:t>云 南 省 政 府 采 购</w:t>
      </w:r>
    </w:p>
    <w:p w14:paraId="01787872">
      <w:pPr>
        <w:tabs>
          <w:tab w:val="left" w:pos="3885"/>
        </w:tabs>
        <w:overflowPunct w:val="0"/>
        <w:autoSpaceDE w:val="0"/>
        <w:autoSpaceDN w:val="0"/>
        <w:adjustRightInd w:val="0"/>
        <w:spacing w:after="200" w:line="360" w:lineRule="auto"/>
        <w:jc w:val="center"/>
        <w:rPr>
          <w:rFonts w:ascii="宋体" w:hAnsi="宋体" w:cs="宋体"/>
          <w:b/>
          <w:color w:val="000000"/>
          <w:kern w:val="0"/>
          <w:sz w:val="32"/>
          <w:highlight w:val="none"/>
        </w:rPr>
      </w:pPr>
      <w:r>
        <w:rPr>
          <w:rFonts w:hint="eastAsia" w:ascii="宋体" w:hAnsi="宋体" w:cs="宋体"/>
          <w:b/>
          <w:color w:val="000000"/>
          <w:kern w:val="0"/>
          <w:sz w:val="32"/>
          <w:highlight w:val="none"/>
        </w:rPr>
        <w:t>（委托采购）</w:t>
      </w:r>
    </w:p>
    <w:p w14:paraId="1E2BD337">
      <w:pPr>
        <w:spacing w:after="200" w:line="360" w:lineRule="auto"/>
        <w:rPr>
          <w:rFonts w:ascii="宋体" w:hAnsi="宋体" w:cs="宋体"/>
          <w:color w:val="000000"/>
          <w:highlight w:val="none"/>
        </w:rPr>
      </w:pPr>
    </w:p>
    <w:p w14:paraId="66E0DDA5">
      <w:pPr>
        <w:pStyle w:val="40"/>
        <w:rPr>
          <w:rFonts w:hAnsi="宋体" w:cs="宋体"/>
          <w:highlight w:val="none"/>
        </w:rPr>
      </w:pPr>
    </w:p>
    <w:p w14:paraId="37B2E65F">
      <w:pPr>
        <w:tabs>
          <w:tab w:val="left" w:pos="3885"/>
        </w:tabs>
        <w:overflowPunct w:val="0"/>
        <w:autoSpaceDE w:val="0"/>
        <w:autoSpaceDN w:val="0"/>
        <w:adjustRightInd w:val="0"/>
        <w:spacing w:after="200" w:line="360" w:lineRule="auto"/>
        <w:jc w:val="center"/>
        <w:rPr>
          <w:rFonts w:ascii="宋体" w:hAnsi="宋体" w:cs="宋体"/>
          <w:b/>
          <w:color w:val="000000"/>
          <w:kern w:val="0"/>
          <w:sz w:val="52"/>
          <w:highlight w:val="none"/>
        </w:rPr>
      </w:pPr>
      <w:r>
        <w:rPr>
          <w:rFonts w:hint="eastAsia" w:ascii="宋体" w:hAnsi="宋体" w:cs="宋体"/>
          <w:b/>
          <w:color w:val="000000"/>
          <w:kern w:val="0"/>
          <w:sz w:val="52"/>
          <w:highlight w:val="none"/>
        </w:rPr>
        <w:t>合</w:t>
      </w:r>
    </w:p>
    <w:p w14:paraId="58C55070">
      <w:pPr>
        <w:tabs>
          <w:tab w:val="left" w:pos="3885"/>
        </w:tabs>
        <w:overflowPunct w:val="0"/>
        <w:autoSpaceDE w:val="0"/>
        <w:autoSpaceDN w:val="0"/>
        <w:adjustRightInd w:val="0"/>
        <w:spacing w:after="200" w:line="360" w:lineRule="auto"/>
        <w:jc w:val="center"/>
        <w:rPr>
          <w:rFonts w:ascii="宋体" w:hAnsi="宋体" w:cs="宋体"/>
          <w:color w:val="000000"/>
          <w:kern w:val="0"/>
          <w:sz w:val="52"/>
          <w:highlight w:val="none"/>
        </w:rPr>
      </w:pPr>
      <w:r>
        <w:rPr>
          <w:rFonts w:hint="eastAsia" w:ascii="宋体" w:hAnsi="宋体" w:cs="宋体"/>
          <w:b/>
          <w:color w:val="000000"/>
          <w:kern w:val="0"/>
          <w:sz w:val="52"/>
          <w:highlight w:val="none"/>
        </w:rPr>
        <w:t>同</w:t>
      </w:r>
    </w:p>
    <w:p w14:paraId="3601730E">
      <w:pPr>
        <w:tabs>
          <w:tab w:val="left" w:pos="3990"/>
        </w:tabs>
        <w:overflowPunct w:val="0"/>
        <w:autoSpaceDE w:val="0"/>
        <w:autoSpaceDN w:val="0"/>
        <w:adjustRightInd w:val="0"/>
        <w:spacing w:after="200" w:line="360" w:lineRule="auto"/>
        <w:jc w:val="center"/>
        <w:rPr>
          <w:rFonts w:ascii="宋体" w:hAnsi="宋体" w:cs="宋体"/>
          <w:b/>
          <w:color w:val="000000"/>
          <w:kern w:val="0"/>
          <w:sz w:val="52"/>
          <w:highlight w:val="none"/>
        </w:rPr>
      </w:pPr>
      <w:r>
        <w:rPr>
          <w:rFonts w:hint="eastAsia" w:ascii="宋体" w:hAnsi="宋体" w:cs="宋体"/>
          <w:b/>
          <w:color w:val="000000"/>
          <w:kern w:val="0"/>
          <w:sz w:val="52"/>
          <w:highlight w:val="none"/>
        </w:rPr>
        <w:t>书</w:t>
      </w:r>
    </w:p>
    <w:p w14:paraId="189F4C5E">
      <w:pPr>
        <w:overflowPunct w:val="0"/>
        <w:autoSpaceDE w:val="0"/>
        <w:autoSpaceDN w:val="0"/>
        <w:adjustRightInd w:val="0"/>
        <w:spacing w:after="200" w:line="360" w:lineRule="auto"/>
        <w:jc w:val="left"/>
        <w:rPr>
          <w:rFonts w:ascii="宋体" w:hAnsi="宋体" w:cs="宋体"/>
          <w:color w:val="000000"/>
          <w:kern w:val="0"/>
          <w:sz w:val="36"/>
          <w:highlight w:val="none"/>
        </w:rPr>
      </w:pPr>
    </w:p>
    <w:p w14:paraId="4748291C">
      <w:pPr>
        <w:overflowPunct w:val="0"/>
        <w:autoSpaceDE w:val="0"/>
        <w:autoSpaceDN w:val="0"/>
        <w:adjustRightInd w:val="0"/>
        <w:spacing w:after="200" w:line="360" w:lineRule="auto"/>
        <w:ind w:firstLine="1440" w:firstLineChars="400"/>
        <w:jc w:val="left"/>
        <w:rPr>
          <w:rFonts w:ascii="宋体" w:hAnsi="宋体" w:cs="宋体"/>
          <w:color w:val="000000"/>
          <w:kern w:val="0"/>
          <w:sz w:val="36"/>
          <w:highlight w:val="none"/>
        </w:rPr>
      </w:pPr>
      <w:r>
        <w:rPr>
          <w:rFonts w:hint="eastAsia" w:ascii="宋体" w:hAnsi="宋体" w:cs="宋体"/>
          <w:color w:val="000000"/>
          <w:kern w:val="0"/>
          <w:sz w:val="36"/>
          <w:highlight w:val="none"/>
        </w:rPr>
        <w:t>签订地点：</w:t>
      </w:r>
    </w:p>
    <w:p w14:paraId="47F4472F">
      <w:pPr>
        <w:overflowPunct w:val="0"/>
        <w:autoSpaceDE w:val="0"/>
        <w:autoSpaceDN w:val="0"/>
        <w:adjustRightInd w:val="0"/>
        <w:spacing w:after="200" w:line="360" w:lineRule="auto"/>
        <w:jc w:val="center"/>
        <w:rPr>
          <w:rFonts w:ascii="宋体" w:hAnsi="宋体" w:cs="宋体"/>
          <w:color w:val="000000"/>
          <w:kern w:val="0"/>
          <w:sz w:val="36"/>
          <w:highlight w:val="none"/>
        </w:rPr>
      </w:pPr>
      <w:r>
        <w:rPr>
          <w:rFonts w:hint="eastAsia" w:ascii="宋体" w:hAnsi="宋体" w:cs="宋体"/>
          <w:color w:val="000000"/>
          <w:kern w:val="0"/>
          <w:sz w:val="36"/>
          <w:highlight w:val="none"/>
        </w:rPr>
        <w:t>云南省财政厅     制</w:t>
      </w:r>
    </w:p>
    <w:p w14:paraId="077F41A7">
      <w:pPr>
        <w:rPr>
          <w:rFonts w:hint="eastAsia" w:ascii="宋体" w:hAnsi="宋体" w:cs="宋体"/>
          <w:sz w:val="24"/>
          <w:u w:val="single"/>
          <w:lang w:val="zh-CN"/>
        </w:rPr>
      </w:pPr>
      <w:r>
        <w:rPr>
          <w:rFonts w:hint="eastAsia" w:ascii="宋体" w:hAnsi="宋体" w:cs="宋体"/>
          <w:sz w:val="24"/>
          <w:u w:val="single"/>
          <w:lang w:val="zh-CN"/>
        </w:rPr>
        <w:br w:type="page"/>
      </w:r>
    </w:p>
    <w:p w14:paraId="3DCB124E">
      <w:pPr>
        <w:spacing w:line="36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根据《中华人民共和国民法典》《中华人民共和国政府采购法》等相关法律法规的规定，甲乙双方就甲方委托乙方完成</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有关事宜，经双方充分协商达成一致，订立本合同。各方当事人承诺恪守信用，严格履行。</w:t>
      </w:r>
    </w:p>
    <w:p w14:paraId="17188FDD">
      <w:pPr>
        <w:spacing w:line="360" w:lineRule="auto"/>
        <w:ind w:firstLine="562" w:firstLineChars="200"/>
        <w:rPr>
          <w:rFonts w:hint="eastAsia" w:ascii="宋体" w:hAnsi="宋体" w:eastAsia="宋体" w:cs="宋体"/>
          <w:sz w:val="28"/>
          <w:szCs w:val="28"/>
          <w:highlight w:val="none"/>
        </w:rPr>
      </w:pPr>
      <w:r>
        <w:rPr>
          <w:rFonts w:hint="eastAsia" w:ascii="宋体" w:hAnsi="宋体" w:eastAsia="宋体" w:cs="宋体"/>
          <w:b/>
          <w:sz w:val="28"/>
          <w:szCs w:val="28"/>
          <w:highlight w:val="none"/>
        </w:rPr>
        <w:t>第一条  项目名称</w:t>
      </w:r>
    </w:p>
    <w:p w14:paraId="77361486">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        </w:t>
      </w:r>
    </w:p>
    <w:p w14:paraId="27F0900D">
      <w:pPr>
        <w:spacing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第二条　合同内容</w:t>
      </w:r>
    </w:p>
    <w:p w14:paraId="45ABFD7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1.按照甲方要求，完成实施工作，具体以甲方委托的为准。</w:t>
      </w:r>
    </w:p>
    <w:p w14:paraId="75C5C3F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2.技术指标和参数：</w:t>
      </w:r>
    </w:p>
    <w:p w14:paraId="5D5C36C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质保期</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项目通过验收后3年</w:t>
      </w:r>
      <w:r>
        <w:rPr>
          <w:rFonts w:hint="eastAsia" w:ascii="宋体" w:hAnsi="宋体" w:eastAsia="宋体" w:cs="宋体"/>
          <w:sz w:val="28"/>
          <w:szCs w:val="28"/>
          <w:highlight w:val="none"/>
        </w:rPr>
        <w:t>。</w:t>
      </w:r>
    </w:p>
    <w:p w14:paraId="1288492F">
      <w:pPr>
        <w:spacing w:line="360" w:lineRule="auto"/>
        <w:ind w:firstLine="560" w:firstLineChars="200"/>
        <w:rPr>
          <w:rFonts w:hint="default" w:ascii="宋体" w:hAnsi="宋体" w:eastAsia="宋体" w:cs="宋体"/>
          <w:color w:val="FF0000"/>
          <w:sz w:val="28"/>
          <w:szCs w:val="28"/>
          <w:highlight w:val="none"/>
          <w:lang w:val="en-US" w:eastAsia="zh-CN"/>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交货地点：甲方指定地点</w:t>
      </w:r>
      <w:r>
        <w:rPr>
          <w:rFonts w:hint="eastAsia" w:ascii="宋体" w:hAnsi="宋体" w:eastAsia="宋体" w:cs="宋体"/>
          <w:sz w:val="28"/>
          <w:szCs w:val="28"/>
          <w:highlight w:val="none"/>
        </w:rPr>
        <w:t>。</w:t>
      </w:r>
    </w:p>
    <w:p w14:paraId="46D4BB5A">
      <w:pPr>
        <w:spacing w:line="360" w:lineRule="auto"/>
        <w:ind w:firstLine="562" w:firstLineChars="200"/>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第三条　合同金额及付款方式</w:t>
      </w:r>
    </w:p>
    <w:p w14:paraId="2A7E2556">
      <w:pPr>
        <w:spacing w:line="360" w:lineRule="auto"/>
        <w:ind w:firstLine="560" w:firstLineChars="200"/>
        <w:jc w:val="left"/>
        <w:rPr>
          <w:rFonts w:hint="eastAsia" w:ascii="宋体" w:hAnsi="宋体" w:eastAsia="宋体" w:cs="宋体"/>
          <w:color w:val="FF0000"/>
          <w:sz w:val="28"/>
          <w:szCs w:val="28"/>
          <w:highlight w:val="none"/>
        </w:rPr>
      </w:pPr>
      <w:r>
        <w:rPr>
          <w:rFonts w:hint="eastAsia" w:ascii="宋体" w:hAnsi="宋体" w:eastAsia="宋体" w:cs="宋体"/>
          <w:sz w:val="28"/>
          <w:szCs w:val="28"/>
          <w:highlight w:val="none"/>
        </w:rPr>
        <w:t xml:space="preserve"> 1．本合同总额为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元人民币，大写：</w:t>
      </w:r>
      <w:r>
        <w:rPr>
          <w:rFonts w:hint="eastAsia" w:ascii="宋体" w:hAnsi="宋体" w:eastAsia="宋体" w:cs="宋体"/>
          <w:sz w:val="28"/>
          <w:szCs w:val="28"/>
          <w:highlight w:val="none"/>
          <w:u w:val="singl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。以上价格包含</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rPr>
        <w:t>税费、运输、安装、调试、培训</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运维</w:t>
      </w:r>
      <w:r>
        <w:rPr>
          <w:rFonts w:hint="eastAsia" w:ascii="宋体" w:hAnsi="宋体" w:eastAsia="宋体" w:cs="宋体"/>
          <w:color w:val="auto"/>
          <w:sz w:val="28"/>
          <w:szCs w:val="28"/>
          <w:highlight w:val="none"/>
        </w:rPr>
        <w:t>费用</w:t>
      </w:r>
      <w:r>
        <w:rPr>
          <w:rFonts w:hint="eastAsia" w:ascii="宋体" w:hAnsi="宋体" w:eastAsia="宋体" w:cs="宋体"/>
          <w:color w:val="auto"/>
          <w:sz w:val="28"/>
          <w:szCs w:val="28"/>
          <w:highlight w:val="none"/>
          <w:lang w:val="en-US" w:eastAsia="zh-CN"/>
        </w:rPr>
        <w:t>等</w:t>
      </w:r>
      <w:r>
        <w:rPr>
          <w:rFonts w:hint="eastAsia" w:ascii="宋体" w:hAnsi="宋体" w:cs="宋体"/>
          <w:color w:val="auto"/>
          <w:sz w:val="28"/>
          <w:szCs w:val="28"/>
          <w:highlight w:val="none"/>
          <w:lang w:val="en-US" w:eastAsia="zh-CN"/>
        </w:rPr>
        <w:t>全部</w:t>
      </w:r>
      <w:r>
        <w:rPr>
          <w:rFonts w:hint="eastAsia" w:ascii="宋体" w:hAnsi="宋体" w:eastAsia="宋体" w:cs="宋体"/>
          <w:color w:val="auto"/>
          <w:sz w:val="28"/>
          <w:szCs w:val="28"/>
          <w:highlight w:val="none"/>
          <w:lang w:val="en-US" w:eastAsia="zh-CN"/>
        </w:rPr>
        <w:t>费用</w:t>
      </w:r>
      <w:r>
        <w:rPr>
          <w:rFonts w:hint="eastAsia" w:ascii="宋体" w:hAnsi="宋体" w:eastAsia="宋体" w:cs="宋体"/>
          <w:color w:val="auto"/>
          <w:sz w:val="28"/>
          <w:szCs w:val="28"/>
          <w:highlight w:val="none"/>
        </w:rPr>
        <w:t xml:space="preserve">。    </w:t>
      </w:r>
    </w:p>
    <w:p w14:paraId="4BBB32C8">
      <w:pPr>
        <w:spacing w:line="360" w:lineRule="auto"/>
        <w:ind w:firstLine="560" w:firstLineChars="200"/>
        <w:jc w:val="left"/>
        <w:rPr>
          <w:rFonts w:hint="eastAsia" w:ascii="宋体" w:hAnsi="宋体" w:eastAsia="宋体" w:cs="宋体"/>
          <w:sz w:val="28"/>
          <w:szCs w:val="28"/>
          <w:highlight w:val="none"/>
        </w:rPr>
      </w:pPr>
      <w:bookmarkStart w:id="92" w:name="_Toc28268"/>
      <w:bookmarkStart w:id="93" w:name="_Toc31420"/>
      <w:r>
        <w:rPr>
          <w:rFonts w:hint="eastAsia" w:ascii="宋体" w:hAnsi="宋体" w:eastAsia="宋体" w:cs="宋体"/>
          <w:sz w:val="28"/>
          <w:szCs w:val="28"/>
          <w:highlight w:val="none"/>
        </w:rPr>
        <w:t>2．支付方式：</w:t>
      </w:r>
      <w:bookmarkEnd w:id="92"/>
      <w:bookmarkEnd w:id="93"/>
    </w:p>
    <w:p w14:paraId="0CBD54D6">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合同签订后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个工作日内，甲方向乙方支付总</w:t>
      </w:r>
      <w:r>
        <w:rPr>
          <w:rFonts w:hint="eastAsia" w:ascii="宋体" w:hAnsi="宋体" w:eastAsia="宋体" w:cs="宋体"/>
          <w:color w:val="auto"/>
          <w:sz w:val="28"/>
          <w:szCs w:val="28"/>
          <w:highlight w:val="none"/>
        </w:rPr>
        <w:t>价款的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，项目验收</w:t>
      </w:r>
      <w:r>
        <w:rPr>
          <w:rFonts w:hint="eastAsia" w:ascii="宋体" w:hAnsi="宋体" w:eastAsia="宋体" w:cs="宋体"/>
          <w:color w:val="auto"/>
          <w:sz w:val="28"/>
          <w:szCs w:val="28"/>
          <w:highlight w:val="none"/>
          <w:lang w:val="en-US" w:eastAsia="zh-CN"/>
        </w:rPr>
        <w:t>合格</w:t>
      </w:r>
      <w:r>
        <w:rPr>
          <w:rFonts w:hint="eastAsia" w:ascii="宋体" w:hAnsi="宋体" w:eastAsia="宋体" w:cs="宋体"/>
          <w:color w:val="auto"/>
          <w:sz w:val="28"/>
          <w:szCs w:val="28"/>
          <w:highlight w:val="none"/>
        </w:rPr>
        <w:t>后支付剩余的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CE24AC1">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注：1)</w:t>
      </w:r>
      <w:r>
        <w:rPr>
          <w:rFonts w:hint="eastAsia" w:ascii="宋体" w:hAnsi="宋体" w:eastAsia="宋体" w:cs="宋体"/>
          <w:sz w:val="28"/>
          <w:szCs w:val="28"/>
          <w:highlight w:val="none"/>
          <w:lang w:eastAsia="zh-CN"/>
        </w:rPr>
        <w:t>乙方</w:t>
      </w:r>
      <w:r>
        <w:rPr>
          <w:rFonts w:hint="eastAsia" w:ascii="宋体" w:hAnsi="宋体" w:eastAsia="宋体" w:cs="宋体"/>
          <w:sz w:val="28"/>
          <w:szCs w:val="28"/>
          <w:highlight w:val="none"/>
        </w:rPr>
        <w:t>需在</w:t>
      </w:r>
      <w:r>
        <w:rPr>
          <w:rFonts w:hint="eastAsia" w:ascii="宋体" w:hAnsi="宋体" w:eastAsia="宋体" w:cs="宋体"/>
          <w:sz w:val="28"/>
          <w:szCs w:val="28"/>
          <w:highlight w:val="none"/>
          <w:lang w:eastAsia="zh-CN"/>
        </w:rPr>
        <w:t>甲方</w:t>
      </w:r>
      <w:r>
        <w:rPr>
          <w:rFonts w:hint="eastAsia" w:ascii="宋体" w:hAnsi="宋体" w:eastAsia="宋体" w:cs="宋体"/>
          <w:sz w:val="28"/>
          <w:szCs w:val="28"/>
          <w:highlight w:val="none"/>
        </w:rPr>
        <w:t>付款前出具符合国家规定的等金额发票</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乙方延迟开具发票或开具发票不合格导致甲方延迟支付的，甲方不承担任何违约责任。</w:t>
      </w:r>
    </w:p>
    <w:p w14:paraId="3C9EABB6">
      <w:pPr>
        <w:spacing w:line="360" w:lineRule="auto"/>
        <w:ind w:firstLine="1120" w:firstLineChars="400"/>
        <w:rPr>
          <w:rFonts w:hint="eastAsia" w:ascii="宋体" w:hAnsi="宋体" w:eastAsia="宋体" w:cs="宋体"/>
          <w:sz w:val="28"/>
          <w:szCs w:val="28"/>
          <w:highlight w:val="none"/>
        </w:rPr>
      </w:pPr>
      <w:r>
        <w:rPr>
          <w:rFonts w:hint="eastAsia" w:ascii="宋体" w:hAnsi="宋体" w:eastAsia="宋体" w:cs="宋体"/>
          <w:sz w:val="28"/>
          <w:szCs w:val="28"/>
          <w:highlight w:val="none"/>
        </w:rPr>
        <w:t>2）甲方应按合同约定的条件、时间和方式向乙方支付合同价款，如甲方未能按合同约定支付合同价款的，应承担逾期支付的违约责任。</w:t>
      </w:r>
    </w:p>
    <w:p w14:paraId="124D602A">
      <w:pPr>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第四条　合同执行期限</w:t>
      </w:r>
    </w:p>
    <w:p w14:paraId="29E0A038">
      <w:pPr>
        <w:spacing w:line="36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　　</w:t>
      </w:r>
      <w:r>
        <w:rPr>
          <w:rFonts w:hint="eastAsia" w:ascii="宋体" w:hAnsi="宋体" w:eastAsia="宋体" w:cs="宋体"/>
          <w:sz w:val="28"/>
          <w:szCs w:val="28"/>
          <w:highlight w:val="none"/>
          <w:lang w:val="en-US" w:eastAsia="zh-CN"/>
        </w:rPr>
        <w:t>签订合同后5</w:t>
      </w:r>
      <w:r>
        <w:rPr>
          <w:rFonts w:hint="eastAsia" w:ascii="宋体" w:hAnsi="宋体" w:eastAsia="宋体" w:cs="宋体"/>
          <w:color w:val="auto"/>
          <w:sz w:val="28"/>
          <w:szCs w:val="28"/>
          <w:highlight w:val="none"/>
          <w:lang w:val="en-US" w:eastAsia="zh-CN"/>
        </w:rPr>
        <w:t>个月内</w:t>
      </w:r>
      <w:r>
        <w:rPr>
          <w:rFonts w:hint="eastAsia" w:ascii="宋体" w:hAnsi="宋体" w:eastAsia="宋体" w:cs="宋体"/>
          <w:color w:val="auto"/>
          <w:sz w:val="28"/>
          <w:szCs w:val="28"/>
          <w:highlight w:val="none"/>
          <w:lang w:eastAsia="zh-CN"/>
        </w:rPr>
        <w:t>完成供货、安装、调试并交付</w:t>
      </w:r>
      <w:r>
        <w:rPr>
          <w:rFonts w:hint="eastAsia" w:ascii="宋体" w:hAnsi="宋体" w:eastAsia="宋体" w:cs="宋体"/>
          <w:color w:val="auto"/>
          <w:sz w:val="28"/>
          <w:szCs w:val="28"/>
          <w:highlight w:val="none"/>
          <w:lang w:val="en-US" w:eastAsia="zh-CN"/>
        </w:rPr>
        <w:t>甲方</w:t>
      </w:r>
      <w:r>
        <w:rPr>
          <w:rFonts w:hint="eastAsia" w:ascii="宋体" w:hAnsi="宋体" w:eastAsia="宋体" w:cs="宋体"/>
          <w:color w:val="auto"/>
          <w:sz w:val="28"/>
          <w:szCs w:val="28"/>
          <w:highlight w:val="none"/>
          <w:lang w:eastAsia="zh-CN"/>
        </w:rPr>
        <w:t>使用。</w:t>
      </w:r>
    </w:p>
    <w:p w14:paraId="0400749B">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w:t>
      </w: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条　甲方责任</w:t>
      </w:r>
    </w:p>
    <w:p w14:paraId="2B705F36">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1.在项目实施期间协调相关工作人员配合乙方实施。</w:t>
      </w:r>
      <w:r>
        <w:rPr>
          <w:rFonts w:hint="eastAsia" w:ascii="宋体" w:hAnsi="宋体" w:eastAsia="宋体" w:cs="宋体"/>
          <w:sz w:val="28"/>
          <w:szCs w:val="28"/>
          <w:highlight w:val="none"/>
        </w:rPr>
        <w:tab/>
      </w:r>
    </w:p>
    <w:p w14:paraId="09AA2AA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2.提供场地、人员、必要的文档资料和数据。</w:t>
      </w:r>
    </w:p>
    <w:p w14:paraId="47473FD1">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3.甲方承诺在乙方完成本合同的技术服务内容后，给予乙方出具《验收报告》并加盖公章。</w:t>
      </w:r>
    </w:p>
    <w:p w14:paraId="3C3FB668">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项目实施完成后，按照甲方验收流程，由甲方对项目进行验收，并签署验收报告</w:t>
      </w:r>
      <w:r>
        <w:rPr>
          <w:rFonts w:hint="eastAsia" w:ascii="仿宋" w:hAnsi="仿宋" w:eastAsia="仿宋" w:cs="仿宋"/>
          <w:color w:val="auto"/>
          <w:kern w:val="0"/>
          <w:sz w:val="28"/>
          <w:szCs w:val="28"/>
        </w:rPr>
        <w:t>。</w:t>
      </w:r>
    </w:p>
    <w:p w14:paraId="0A39E9F4">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六</w:t>
      </w:r>
      <w:r>
        <w:rPr>
          <w:rFonts w:hint="eastAsia" w:ascii="宋体" w:hAnsi="宋体" w:eastAsia="宋体" w:cs="宋体"/>
          <w:b/>
          <w:sz w:val="28"/>
          <w:szCs w:val="28"/>
          <w:highlight w:val="none"/>
        </w:rPr>
        <w:t>条　乙方责任</w:t>
      </w:r>
    </w:p>
    <w:p w14:paraId="3BA0C6A5">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1.保证本合同涉及的技术不侵害他人的任何权利。</w:t>
      </w:r>
    </w:p>
    <w:p w14:paraId="02CEFF7A">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2.保证本合同涉及的技术具有实用性、可靠性、先进性。</w:t>
      </w:r>
    </w:p>
    <w:p w14:paraId="23A969A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3.负责选派业务精湛和解决实际问题能力强的工作人员实施系统的安装、集成、修改、调试和测试、平台维护。</w:t>
      </w:r>
    </w:p>
    <w:p w14:paraId="0BD9255A">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.乙方对甲方在使用本软件过程中，因设备故障、操作失误等造成的数据丢失、利润或营业额损失或费用增加，以及因不按正常操作规范使用软件或软件被盗、损失、损毁、误用所造成的损失不负责任。</w:t>
      </w:r>
    </w:p>
    <w:p w14:paraId="49C68F80">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.甲方根据工作要求提出软件改进意见，乙方负责改正或增加相应功能满足甲方要求。</w:t>
      </w:r>
    </w:p>
    <w:p w14:paraId="69B8EAA3">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.应能够严格控制各应用模块操作人员的使用期限，对所有操作人员的所有操作都应有详细的日志记录（包括操作时间、操作人、操作名称、每次登录系统的时间、操作时间等）。</w:t>
      </w:r>
    </w:p>
    <w:p w14:paraId="7D8C5B30">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.乙方保证在其交付的系统不存在任何未曾向甲方透露的担保物权，如抵押权、质押权、留置权等，不存在会造成甲方任何合同外义务的负担。</w:t>
      </w:r>
    </w:p>
    <w:p w14:paraId="094EBA96">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.乙方技术方案书中提供的软件均应该完全解决可能出现的相关安全问题，对可能出现的安全问题需提出详细的解决方案和具体的措施。</w:t>
      </w:r>
    </w:p>
    <w:p w14:paraId="5B870907">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 乙方应无条件接受项目采购人单位的保密约定，包括在合同期结束后承诺保密义务，并承担相应的涉密责任。</w:t>
      </w:r>
    </w:p>
    <w:p w14:paraId="52F47AE5">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乙方应保证软件运行时的安全性，提供详尽的系统运行日志，可以通过日志进行故障排查。</w:t>
      </w:r>
    </w:p>
    <w:p w14:paraId="64BA2D65">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.乙方应保证系统的数据安全，系统中不得存在明显的数据泄漏的安全漏洞。</w:t>
      </w:r>
    </w:p>
    <w:p w14:paraId="7524783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.乙方应保证系统环境安全，系统中不得存在明显的系统运行环境泄漏的安全漏洞，软件操作过程中不能输出操作系统类型、版本号、中间件类型、版本号、软件调试信息、软件异常信息等。</w:t>
      </w:r>
    </w:p>
    <w:p w14:paraId="694F0C8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.乙方保证其所交付的信息系统没有侵犯任何第三人的知识产权和商业秘密等权利。</w:t>
      </w:r>
    </w:p>
    <w:p w14:paraId="2D32B9D7">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.如甲方使用该信息系统构成上述侵权的，则由乙方承担全部责任。</w:t>
      </w:r>
    </w:p>
    <w:p w14:paraId="48B381E5">
      <w:pPr>
        <w:spacing w:line="360" w:lineRule="auto"/>
        <w:ind w:firstLine="560" w:firstLineChars="200"/>
        <w:rPr>
          <w:rFonts w:hint="eastAsia" w:ascii="宋体" w:hAnsi="宋体" w:eastAsia="宋体" w:cs="宋体"/>
          <w:sz w:val="28"/>
          <w:szCs w:val="28"/>
          <w:highlight w:val="none"/>
        </w:rPr>
      </w:pPr>
      <w:bookmarkStart w:id="94" w:name="_Toc25432"/>
      <w:bookmarkStart w:id="95" w:name="_Toc17659"/>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.不得转包。</w:t>
      </w:r>
      <w:bookmarkEnd w:id="94"/>
      <w:bookmarkEnd w:id="95"/>
    </w:p>
    <w:p w14:paraId="103B198C">
      <w:pPr>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16.</w:t>
      </w:r>
      <w:r>
        <w:rPr>
          <w:rFonts w:hint="eastAsia" w:ascii="宋体" w:hAnsi="宋体" w:eastAsia="宋体" w:cs="宋体"/>
          <w:color w:val="auto"/>
          <w:sz w:val="28"/>
          <w:szCs w:val="28"/>
          <w:highlight w:val="none"/>
          <w:lang w:eastAsia="zh-CN"/>
        </w:rPr>
        <w:t>乙方在</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lang w:eastAsia="zh-CN"/>
        </w:rPr>
        <w:t>验收合格前，承担交验货物的一切责任和风险。</w:t>
      </w:r>
    </w:p>
    <w:p w14:paraId="7F496176">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17.自项目验收后，乙方提供3年免费运维，质量保证期内，服务内容包括：协助采购人完成日常系统及应用的维护工作，保证系统的稳定正常运行；问题、故障的诊断与排除，系统配置和辅助应用系统部署与维护；软件版本的升级、调试。</w:t>
      </w:r>
    </w:p>
    <w:p w14:paraId="5D3D859A">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18.乙方指派工作人员为甲方提供服务期间，其人身和财产安全</w:t>
      </w:r>
      <w:r>
        <w:rPr>
          <w:rFonts w:hint="eastAsia" w:ascii="宋体" w:hAnsi="宋体" w:cs="宋体"/>
          <w:color w:val="auto"/>
          <w:sz w:val="28"/>
          <w:szCs w:val="28"/>
          <w:highlight w:val="none"/>
          <w:lang w:val="en-US" w:eastAsia="zh-CN"/>
        </w:rPr>
        <w:t>由</w:t>
      </w:r>
      <w:r>
        <w:rPr>
          <w:rFonts w:hint="eastAsia" w:ascii="宋体" w:hAnsi="宋体" w:eastAsia="宋体" w:cs="宋体"/>
          <w:color w:val="auto"/>
          <w:sz w:val="28"/>
          <w:szCs w:val="28"/>
          <w:highlight w:val="none"/>
          <w:lang w:val="en-US" w:eastAsia="zh-CN"/>
        </w:rPr>
        <w:t>乙方自行负责。</w:t>
      </w:r>
    </w:p>
    <w:p w14:paraId="5FA2232E">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19.乙方提供7×24小时热线电话、远程网络等服务方式。热线电话和远程网络提供技术咨询和即时服务，2小时内给予明确的响应并解决；重大故障到现场排查处理。</w:t>
      </w:r>
    </w:p>
    <w:p w14:paraId="59B44DED">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七</w:t>
      </w:r>
      <w:r>
        <w:rPr>
          <w:rFonts w:hint="eastAsia" w:ascii="宋体" w:hAnsi="宋体" w:eastAsia="宋体" w:cs="宋体"/>
          <w:b/>
          <w:sz w:val="28"/>
          <w:szCs w:val="28"/>
          <w:highlight w:val="none"/>
        </w:rPr>
        <w:t>条　保密条款</w:t>
      </w:r>
    </w:p>
    <w:p w14:paraId="6676E9DF">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 签约各方对本合同涉及的技术在合同有效期内均负有保密义务。</w:t>
      </w:r>
    </w:p>
    <w:p w14:paraId="18B73EA9">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甲方有责任保护乙方的技术机密，不得擅自将乙方的软件技术以任何方式泄密、转让给第三者，同时乙方对甲方的业务数据承担保密义务，不得擅自将甲方的数据泄露、转让给第三者，否则违约方应向守约方支付合同总金额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%作为违约金。</w:t>
      </w:r>
    </w:p>
    <w:p w14:paraId="73CC72B6">
      <w:pPr>
        <w:pStyle w:val="54"/>
        <w:numPr>
          <w:ilvl w:val="0"/>
          <w:numId w:val="0"/>
        </w:numPr>
        <w:spacing w:line="360" w:lineRule="auto"/>
        <w:rPr>
          <w:rFonts w:hint="eastAsia" w:ascii="宋体" w:hAnsi="宋体" w:eastAsia="宋体" w:cs="宋体"/>
          <w:b/>
          <w:sz w:val="28"/>
          <w:szCs w:val="28"/>
          <w:highlight w:val="none"/>
        </w:rPr>
      </w:pPr>
      <w:r>
        <w:rPr>
          <w:rFonts w:hint="eastAsia" w:ascii="宋体" w:hAnsi="宋体" w:eastAsia="宋体" w:cs="宋体"/>
          <w:b/>
          <w:kern w:val="2"/>
          <w:sz w:val="28"/>
          <w:szCs w:val="28"/>
          <w:lang w:val="en-US" w:eastAsia="zh-CN" w:bidi="ar-SA"/>
        </w:rPr>
        <w:t>第</w:t>
      </w:r>
      <w:r>
        <w:rPr>
          <w:rFonts w:hint="eastAsia" w:ascii="宋体" w:hAnsi="宋体" w:cs="宋体"/>
          <w:b/>
          <w:kern w:val="2"/>
          <w:sz w:val="28"/>
          <w:szCs w:val="28"/>
          <w:lang w:val="en-US" w:eastAsia="zh-CN" w:bidi="ar-SA"/>
        </w:rPr>
        <w:t>八</w:t>
      </w:r>
      <w:r>
        <w:rPr>
          <w:rFonts w:hint="eastAsia" w:ascii="宋体" w:hAnsi="宋体" w:eastAsia="宋体" w:cs="宋体"/>
          <w:b/>
          <w:kern w:val="2"/>
          <w:sz w:val="28"/>
          <w:szCs w:val="28"/>
          <w:lang w:val="en-US" w:eastAsia="zh-CN" w:bidi="ar-SA"/>
        </w:rPr>
        <w:t>条　</w:t>
      </w:r>
      <w:r>
        <w:rPr>
          <w:rFonts w:hint="eastAsia" w:ascii="宋体" w:hAnsi="宋体" w:cs="宋体"/>
          <w:b/>
          <w:sz w:val="28"/>
          <w:szCs w:val="28"/>
          <w:highlight w:val="none"/>
          <w:lang w:val="en-US" w:eastAsia="zh-CN"/>
        </w:rPr>
        <w:t>人员</w:t>
      </w:r>
      <w:r>
        <w:rPr>
          <w:rFonts w:hint="eastAsia" w:ascii="宋体" w:hAnsi="宋体" w:eastAsia="宋体" w:cs="宋体"/>
          <w:b/>
          <w:sz w:val="28"/>
          <w:szCs w:val="28"/>
          <w:highlight w:val="none"/>
        </w:rPr>
        <w:t>培训</w:t>
      </w:r>
    </w:p>
    <w:p w14:paraId="0C0EC320">
      <w:pPr>
        <w:spacing w:line="360" w:lineRule="auto"/>
        <w:ind w:firstLine="495" w:firstLineChars="177"/>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乙方中标后以本项目部署的医疗卫生单位能够掌握系统各项功能的应用为前提，提供相应的应用软件技术和系统操作等方面的培训，提供培训教材，培训应该在本期项目验收完成前进行</w:t>
      </w:r>
      <w:r>
        <w:rPr>
          <w:rFonts w:hint="eastAsia" w:ascii="宋体" w:hAnsi="宋体" w:eastAsia="宋体" w:cs="宋体"/>
          <w:sz w:val="28"/>
          <w:szCs w:val="28"/>
          <w:highlight w:val="none"/>
        </w:rPr>
        <w:t>。</w:t>
      </w:r>
    </w:p>
    <w:p w14:paraId="6252918B">
      <w:pPr>
        <w:spacing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九</w:t>
      </w:r>
      <w:r>
        <w:rPr>
          <w:rFonts w:hint="eastAsia" w:ascii="宋体" w:hAnsi="宋体" w:eastAsia="宋体" w:cs="宋体"/>
          <w:b/>
          <w:sz w:val="28"/>
          <w:szCs w:val="28"/>
          <w:highlight w:val="none"/>
        </w:rPr>
        <w:t>条 本合同项目成果知识产权归属</w:t>
      </w:r>
    </w:p>
    <w:p w14:paraId="59358650">
      <w:pPr>
        <w:spacing w:line="360" w:lineRule="auto"/>
        <w:ind w:firstLine="495" w:firstLineChars="177"/>
        <w:rPr>
          <w:rFonts w:hint="eastAsia" w:ascii="宋体" w:hAnsi="宋体" w:eastAsia="宋体" w:cs="宋体"/>
          <w:sz w:val="28"/>
          <w:szCs w:val="28"/>
          <w:highlight w:val="none"/>
        </w:rPr>
      </w:pPr>
      <w:r>
        <w:rPr>
          <w:rFonts w:hint="eastAsia" w:ascii="宋体" w:hAnsi="宋体" w:eastAsia="宋体" w:cs="宋体"/>
          <w:sz w:val="28"/>
          <w:szCs w:val="28"/>
          <w:highlight w:val="none"/>
        </w:rPr>
        <w:t>1．工作中如乙方需要将第三方的知识产权透露给甲方时，乙方保证已获得必要的许可并出示相关具有法律效力的证明材料，而未侵害该第三方的权利，并且乙方同意赔偿甲方因此可能受到的损害。</w:t>
      </w:r>
    </w:p>
    <w:p w14:paraId="0CDF4064">
      <w:pPr>
        <w:spacing w:line="360" w:lineRule="auto"/>
        <w:ind w:firstLine="495" w:firstLineChars="177"/>
        <w:rPr>
          <w:rFonts w:hint="eastAsia" w:ascii="宋体" w:hAnsi="宋体" w:eastAsia="宋体" w:cs="宋体"/>
          <w:sz w:val="28"/>
          <w:szCs w:val="28"/>
          <w:highlight w:val="none"/>
        </w:rPr>
      </w:pPr>
      <w:r>
        <w:rPr>
          <w:rFonts w:hint="eastAsia" w:ascii="宋体" w:hAnsi="宋体" w:eastAsia="宋体" w:cs="宋体"/>
          <w:sz w:val="28"/>
          <w:szCs w:val="28"/>
          <w:highlight w:val="none"/>
        </w:rPr>
        <w:t>2．因履行本合同的研究设计开发工作而采用的任何一方已合法拥有的知识产权归属权利方所有，最终用户享有永久使用权。</w:t>
      </w:r>
    </w:p>
    <w:p w14:paraId="4D750135">
      <w:pPr>
        <w:spacing w:line="360" w:lineRule="auto"/>
        <w:ind w:firstLine="495" w:firstLineChars="177"/>
        <w:rPr>
          <w:rFonts w:hint="eastAsia" w:ascii="宋体" w:hAnsi="宋体" w:eastAsia="宋体" w:cs="宋体"/>
          <w:sz w:val="28"/>
          <w:szCs w:val="28"/>
          <w:highlight w:val="none"/>
        </w:rPr>
      </w:pPr>
      <w:r>
        <w:rPr>
          <w:rFonts w:hint="eastAsia" w:ascii="宋体" w:hAnsi="宋体" w:eastAsia="宋体" w:cs="宋体"/>
          <w:sz w:val="28"/>
          <w:szCs w:val="28"/>
          <w:highlight w:val="none"/>
        </w:rPr>
        <w:t>3．对于乙方为履行本合同提供的已取得知识产权的产品，乙方从第三方购买的由他人完成、出售的已经存在知识产权的产品，乙方在此授予甲方一项非独占性的、不可撤销的使用许可，但该权利不可以再转让。</w:t>
      </w:r>
    </w:p>
    <w:p w14:paraId="4010E7F1">
      <w:pPr>
        <w:spacing w:line="360" w:lineRule="auto"/>
        <w:ind w:firstLine="495" w:firstLineChars="177"/>
        <w:rPr>
          <w:rFonts w:hint="eastAsia" w:ascii="宋体" w:hAnsi="宋体" w:eastAsia="宋体" w:cs="宋体"/>
          <w:sz w:val="28"/>
          <w:szCs w:val="28"/>
          <w:highlight w:val="none"/>
        </w:rPr>
      </w:pPr>
      <w:r>
        <w:rPr>
          <w:rFonts w:hint="eastAsia" w:ascii="宋体" w:hAnsi="宋体" w:eastAsia="宋体" w:cs="宋体"/>
          <w:sz w:val="28"/>
          <w:szCs w:val="28"/>
          <w:highlight w:val="none"/>
        </w:rPr>
        <w:t>4．甲方在使用乙方系统过程中后续改进的技术成果和相关权利由甲方独享，乙方无权分享。</w:t>
      </w:r>
    </w:p>
    <w:p w14:paraId="6D069BEA">
      <w:pPr>
        <w:spacing w:line="360" w:lineRule="auto"/>
        <w:ind w:left="480" w:hanging="562" w:hanging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第十条　违约责任</w:t>
      </w:r>
    </w:p>
    <w:p w14:paraId="3A9E6A7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1．甲乙双方本着真诚合作、相互信赖的原则，根据国家相关的法律、法规，协商解决在本合同执行过程中可能出现的违约纠纷和违约责任。</w:t>
      </w:r>
    </w:p>
    <w:p w14:paraId="25729B3E">
      <w:pPr>
        <w:spacing w:line="360" w:lineRule="auto"/>
        <w:ind w:firstLine="560" w:firstLineChars="200"/>
        <w:rPr>
          <w:rFonts w:hint="eastAsia" w:ascii="宋体" w:hAnsi="宋体" w:eastAsia="宋体" w:cs="宋体"/>
          <w:sz w:val="28"/>
          <w:szCs w:val="28"/>
          <w:highlight w:val="none"/>
        </w:rPr>
      </w:pPr>
      <w:bookmarkStart w:id="96" w:name="_Toc10996"/>
      <w:bookmarkStart w:id="97" w:name="_Toc8731"/>
      <w:r>
        <w:rPr>
          <w:rFonts w:hint="eastAsia" w:ascii="宋体" w:hAnsi="宋体" w:eastAsia="宋体" w:cs="宋体"/>
          <w:sz w:val="28"/>
          <w:szCs w:val="28"/>
          <w:highlight w:val="none"/>
        </w:rPr>
        <w:t>2.违约处理：</w:t>
      </w:r>
      <w:bookmarkEnd w:id="96"/>
      <w:bookmarkEnd w:id="97"/>
    </w:p>
    <w:p w14:paraId="54184F29">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甲乙双方中任何一方没有按照合同要求履行该方应承担的义务，违约一方应该承担由此带来的相关违约责任。</w:t>
      </w:r>
    </w:p>
    <w:p w14:paraId="23507F55">
      <w:pPr>
        <w:numPr>
          <w:ilvl w:val="0"/>
          <w:numId w:val="0"/>
        </w:numPr>
        <w:spacing w:line="360" w:lineRule="auto"/>
        <w:ind w:firstLine="560" w:firstLineChars="200"/>
        <w:jc w:val="left"/>
        <w:rPr>
          <w:rFonts w:hint="eastAsia" w:ascii="宋体" w:hAnsi="宋体" w:eastAsia="宋体" w:cs="宋体"/>
          <w:sz w:val="28"/>
          <w:szCs w:val="28"/>
          <w:highlight w:val="none"/>
        </w:rPr>
      </w:pPr>
      <w:r>
        <w:rPr>
          <w:rFonts w:hint="eastAsia" w:ascii="宋体" w:hAnsi="宋体" w:eastAsia="宋体" w:cs="宋体"/>
          <w:kern w:val="2"/>
          <w:sz w:val="28"/>
          <w:szCs w:val="28"/>
          <w:lang w:val="en-US" w:eastAsia="zh-CN" w:bidi="ar-SA"/>
        </w:rPr>
        <w:t>（1）</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乙方不按合同约定向甲方提供服务的，甲方有权委托第三方完成，由此产生的费用，由乙方承担。同时，乙方还应按合同总价款的10%向甲方支付违约金。</w:t>
      </w:r>
    </w:p>
    <w:p w14:paraId="3AFEA04B">
      <w:pPr>
        <w:numPr>
          <w:ilvl w:val="0"/>
          <w:numId w:val="0"/>
        </w:numPr>
        <w:spacing w:line="360" w:lineRule="auto"/>
        <w:ind w:firstLine="560" w:firstLineChars="200"/>
        <w:jc w:val="left"/>
        <w:rPr>
          <w:rFonts w:hint="eastAsia" w:ascii="宋体" w:hAnsi="宋体" w:eastAsia="宋体" w:cs="宋体"/>
          <w:sz w:val="28"/>
          <w:szCs w:val="28"/>
          <w:highlight w:val="none"/>
        </w:rPr>
      </w:pPr>
      <w:r>
        <w:rPr>
          <w:rFonts w:hint="eastAsia" w:ascii="宋体" w:hAnsi="宋体" w:eastAsia="宋体" w:cs="宋体"/>
          <w:kern w:val="2"/>
          <w:sz w:val="28"/>
          <w:szCs w:val="28"/>
          <w:lang w:val="en-US" w:eastAsia="zh-CN" w:bidi="ar-SA"/>
        </w:rPr>
        <w:t>（2）</w:t>
      </w:r>
      <w:r>
        <w:rPr>
          <w:rFonts w:hint="eastAsia" w:ascii="宋体" w:hAnsi="宋体" w:eastAsia="宋体" w:cs="宋体"/>
          <w:sz w:val="28"/>
          <w:szCs w:val="28"/>
          <w:highlight w:val="none"/>
        </w:rPr>
        <w:t xml:space="preserve">未经甲方同意，乙方不得将标的物的分包、转包第三方或委托第三方完成。否则，甲方有权解除本合同，并要求乙方按照合同总金额的10%支付违约金,纳入不合格供应商。 </w:t>
      </w:r>
    </w:p>
    <w:p w14:paraId="602690CD">
      <w:pPr>
        <w:numPr>
          <w:ilvl w:val="0"/>
          <w:numId w:val="0"/>
        </w:numPr>
        <w:spacing w:line="360" w:lineRule="auto"/>
        <w:ind w:firstLine="560" w:firstLineChars="200"/>
        <w:jc w:val="left"/>
        <w:rPr>
          <w:rFonts w:hint="eastAsia" w:ascii="宋体" w:hAnsi="宋体" w:eastAsia="宋体" w:cs="宋体"/>
          <w:sz w:val="28"/>
          <w:szCs w:val="28"/>
          <w:highlight w:val="none"/>
        </w:rPr>
      </w:pPr>
      <w:r>
        <w:rPr>
          <w:rFonts w:hint="eastAsia" w:ascii="宋体" w:hAnsi="宋体" w:eastAsia="宋体" w:cs="宋体"/>
          <w:kern w:val="2"/>
          <w:sz w:val="28"/>
          <w:szCs w:val="28"/>
          <w:lang w:val="en-US" w:eastAsia="zh-CN" w:bidi="ar-SA"/>
        </w:rPr>
        <w:t>（3）</w:t>
      </w:r>
      <w:r>
        <w:rPr>
          <w:rFonts w:hint="eastAsia" w:ascii="宋体" w:hAnsi="宋体" w:eastAsia="宋体" w:cs="宋体"/>
          <w:sz w:val="28"/>
          <w:szCs w:val="28"/>
          <w:highlight w:val="none"/>
        </w:rPr>
        <w:t>甲方无正当理由未按合同约定向乙方支付合同价款的，按照中国人民银行同期贷款利率计算，向乙方支付违约金。</w:t>
      </w:r>
    </w:p>
    <w:p w14:paraId="43BC2F44">
      <w:pPr>
        <w:numPr>
          <w:ilvl w:val="0"/>
          <w:numId w:val="0"/>
        </w:numPr>
        <w:spacing w:line="360" w:lineRule="auto"/>
        <w:ind w:firstLine="560" w:firstLineChars="200"/>
        <w:jc w:val="left"/>
        <w:rPr>
          <w:rFonts w:hint="eastAsia" w:ascii="宋体" w:hAnsi="宋体" w:eastAsia="宋体" w:cs="宋体"/>
          <w:sz w:val="28"/>
          <w:szCs w:val="28"/>
          <w:highlight w:val="none"/>
        </w:rPr>
      </w:pPr>
      <w:r>
        <w:rPr>
          <w:rFonts w:hint="eastAsia" w:ascii="宋体" w:hAnsi="宋体" w:eastAsia="宋体" w:cs="宋体"/>
          <w:kern w:val="2"/>
          <w:sz w:val="28"/>
          <w:szCs w:val="28"/>
          <w:lang w:val="en-US" w:eastAsia="zh-CN" w:bidi="ar-SA"/>
        </w:rPr>
        <w:t>（4）</w:t>
      </w:r>
      <w:r>
        <w:rPr>
          <w:rFonts w:hint="eastAsia" w:ascii="宋体" w:hAnsi="宋体" w:eastAsia="宋体" w:cs="宋体"/>
          <w:sz w:val="28"/>
          <w:szCs w:val="28"/>
          <w:highlight w:val="none"/>
        </w:rPr>
        <w:t>乙方未按合同约定时间、技术要求和培训要求完成合同约定义务,每逾期一日,按合同金额1‰向甲方支付违约金。工作进度延迟超过十日的,甲方有权单方面解除本合同。合同解除后，乙方须在五日内返还甲方已经支付的全部款项，同时赔偿甲方因乙方逾期完成项目给甲方造成的所有经济损失（包括但不限于甲方向乙方追索违约金等经济赔偿所产生的诉讼费、保全费、律师费等费用）。</w:t>
      </w:r>
    </w:p>
    <w:p w14:paraId="210C0BAA">
      <w:pPr>
        <w:numPr>
          <w:ilvl w:val="0"/>
          <w:numId w:val="0"/>
        </w:numPr>
        <w:spacing w:line="360" w:lineRule="auto"/>
        <w:ind w:firstLine="560" w:firstLineChars="200"/>
        <w:jc w:val="left"/>
        <w:rPr>
          <w:rFonts w:hint="eastAsia" w:ascii="宋体" w:hAnsi="宋体" w:eastAsia="宋体" w:cs="宋体"/>
          <w:sz w:val="28"/>
          <w:szCs w:val="28"/>
          <w:highlight w:val="none"/>
        </w:rPr>
      </w:pPr>
      <w:r>
        <w:rPr>
          <w:rFonts w:hint="eastAsia" w:ascii="宋体" w:hAnsi="宋体" w:eastAsia="宋体" w:cs="宋体"/>
          <w:kern w:val="2"/>
          <w:sz w:val="28"/>
          <w:szCs w:val="28"/>
          <w:lang w:val="en-US" w:eastAsia="zh-CN" w:bidi="ar-SA"/>
        </w:rPr>
        <w:t>（5）</w:t>
      </w:r>
      <w:r>
        <w:rPr>
          <w:rFonts w:hint="eastAsia" w:ascii="宋体" w:hAnsi="宋体" w:eastAsia="宋体" w:cs="宋体"/>
          <w:sz w:val="28"/>
          <w:szCs w:val="28"/>
          <w:highlight w:val="none"/>
        </w:rPr>
        <w:t>乙方应按本合同约定的质量要求和业务需求向甲方交付技术上先进的、能稳定可靠运行的、没有设计缺陷的、符合相应规定并且适合于合同规定用途和目的的软件。如乙方所交付软件出现未能达到质量和业务需求的情况，甲方有权根据实际发生的情形采取以下任意一种方式要求乙方承担违约责任：</w:t>
      </w:r>
    </w:p>
    <w:p w14:paraId="7393C9D7">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如存在发生缺陷或违反质量要求和业务需求每出现一次，甲方有权处以合同金额的1%的违约处罚。并要求乙方及时整改，甲方不承担相应费用。</w:t>
      </w:r>
    </w:p>
    <w:p w14:paraId="3CD0097F">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如存在发生缺陷或违反质量要求和业务需求的情形3次及以上的，则甲方除有权单方解除本合同外，还有权要求乙方承担合同总金额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%的违约金。</w:t>
      </w:r>
    </w:p>
    <w:p w14:paraId="43FD92C0">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bookmarkStart w:id="98" w:name="_Toc20777"/>
      <w:bookmarkStart w:id="99" w:name="_Toc31221"/>
      <w:r>
        <w:rPr>
          <w:rFonts w:hint="eastAsia" w:ascii="宋体" w:hAnsi="宋体" w:eastAsia="宋体" w:cs="宋体"/>
          <w:sz w:val="28"/>
          <w:szCs w:val="28"/>
          <w:highlight w:val="none"/>
        </w:rPr>
        <w:t>3.乙方免责条款：</w:t>
      </w:r>
      <w:bookmarkEnd w:id="98"/>
      <w:bookmarkEnd w:id="99"/>
    </w:p>
    <w:p w14:paraId="637E4A5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对甲方在使用软件过程中，因设备故障、操作失误等造成的数据丢失、利润或营业额损失或费用增加，以及因不按正常操作规范使用软件或软件被盗、损失、损毁、误用所造成的损失不负责任。但乙方仍需协助甲方对系统进行修复。   </w:t>
      </w:r>
    </w:p>
    <w:p w14:paraId="6A33FDE5">
      <w:pPr>
        <w:spacing w:line="360" w:lineRule="auto"/>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乙方不承担因甲方人员进行非法操作、感染病毒、硬件出现故障导致的数据混乱、丢失责任。但乙方仍需协助甲方对系统进行修复。</w:t>
      </w:r>
    </w:p>
    <w:p w14:paraId="3E63B6C1">
      <w:pPr>
        <w:numPr>
          <w:ilvl w:val="0"/>
          <w:numId w:val="0"/>
        </w:numPr>
        <w:spacing w:line="360" w:lineRule="auto"/>
        <w:rPr>
          <w:rFonts w:hint="eastAsia" w:ascii="宋体" w:hAnsi="宋体" w:eastAsia="宋体" w:cs="宋体"/>
          <w:b/>
          <w:sz w:val="28"/>
          <w:szCs w:val="28"/>
          <w:highlight w:val="none"/>
        </w:rPr>
      </w:pPr>
      <w:r>
        <w:rPr>
          <w:rFonts w:hint="eastAsia" w:ascii="宋体" w:hAnsi="宋体" w:eastAsia="宋体" w:cs="宋体"/>
          <w:b/>
          <w:kern w:val="2"/>
          <w:sz w:val="28"/>
          <w:szCs w:val="28"/>
          <w:lang w:val="en-US" w:eastAsia="zh-CN" w:bidi="ar-SA"/>
        </w:rPr>
        <w:t>第十一条　</w:t>
      </w:r>
      <w:r>
        <w:rPr>
          <w:rFonts w:hint="eastAsia" w:ascii="宋体" w:hAnsi="宋体" w:eastAsia="宋体" w:cs="宋体"/>
          <w:b/>
          <w:sz w:val="28"/>
          <w:szCs w:val="28"/>
          <w:highlight w:val="none"/>
        </w:rPr>
        <w:t>不可抗力</w:t>
      </w:r>
    </w:p>
    <w:p w14:paraId="1BF55EA8">
      <w:pPr>
        <w:numPr>
          <w:ilvl w:val="0"/>
          <w:numId w:val="0"/>
        </w:numPr>
        <w:spacing w:line="36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14:paraId="385419DD">
      <w:pPr>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第十</w:t>
      </w:r>
      <w:r>
        <w:rPr>
          <w:rFonts w:hint="eastAsia" w:ascii="宋体" w:hAnsi="宋体" w:eastAsia="宋体" w:cs="宋体"/>
          <w:b/>
          <w:sz w:val="28"/>
          <w:szCs w:val="28"/>
          <w:highlight w:val="none"/>
          <w:lang w:val="en-US" w:eastAsia="zh-CN"/>
        </w:rPr>
        <w:t>二</w:t>
      </w:r>
      <w:r>
        <w:rPr>
          <w:rFonts w:hint="eastAsia" w:ascii="宋体" w:hAnsi="宋体" w:eastAsia="宋体" w:cs="宋体"/>
          <w:b/>
          <w:sz w:val="28"/>
          <w:szCs w:val="28"/>
          <w:highlight w:val="none"/>
        </w:rPr>
        <w:t>条　争议解决方式</w:t>
      </w:r>
    </w:p>
    <w:p w14:paraId="06F4800D">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1．在合同履行过程中发生争议，双方应当协商解决。</w:t>
      </w:r>
    </w:p>
    <w:p w14:paraId="34DCE03E">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2．协商解决不成，双方商定，采用以下第</w:t>
      </w:r>
      <w:r>
        <w:rPr>
          <w:rFonts w:hint="eastAsia" w:ascii="宋体" w:hAnsi="宋体" w:eastAsia="宋体" w:cs="宋体"/>
          <w:sz w:val="28"/>
          <w:szCs w:val="28"/>
          <w:highlight w:val="none"/>
          <w:u w:val="single"/>
        </w:rPr>
        <w:t>（2）</w:t>
      </w:r>
      <w:r>
        <w:rPr>
          <w:rFonts w:hint="eastAsia" w:ascii="宋体" w:hAnsi="宋体" w:eastAsia="宋体" w:cs="宋体"/>
          <w:sz w:val="28"/>
          <w:szCs w:val="28"/>
          <w:highlight w:val="none"/>
        </w:rPr>
        <w:t>种方式解决。</w:t>
      </w:r>
    </w:p>
    <w:p w14:paraId="138EDB5F">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（1）申请仲裁委员会仲裁；</w:t>
      </w:r>
    </w:p>
    <w:p w14:paraId="297ED817">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（2）向甲方所在地人民法院起诉。</w:t>
      </w:r>
    </w:p>
    <w:p w14:paraId="2FF2866D">
      <w:pPr>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第十</w:t>
      </w: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条　补充约定</w:t>
      </w:r>
    </w:p>
    <w:p w14:paraId="46BACFE9">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1．签约方确定以下内容作为本合同的附件，并与本合同具有同等效力：</w:t>
      </w:r>
    </w:p>
    <w:p w14:paraId="38E36996">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w:t>
      </w:r>
      <w:r>
        <w:rPr>
          <w:rFonts w:hint="eastAsia" w:ascii="宋体" w:hAnsi="宋体" w:eastAsia="宋体" w:cs="宋体"/>
          <w:sz w:val="28"/>
          <w:szCs w:val="28"/>
          <w:highlight w:val="none"/>
          <w:lang w:val="en-US" w:eastAsia="zh-CN"/>
        </w:rPr>
        <w:t>项目采购</w:t>
      </w:r>
      <w:r>
        <w:rPr>
          <w:rFonts w:hint="eastAsia" w:ascii="宋体" w:hAnsi="宋体" w:eastAsia="宋体" w:cs="宋体"/>
          <w:sz w:val="28"/>
          <w:szCs w:val="28"/>
          <w:highlight w:val="none"/>
        </w:rPr>
        <w:t>内容；</w:t>
      </w:r>
    </w:p>
    <w:p w14:paraId="26CB4A97">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（2）项目实施计划；</w:t>
      </w:r>
    </w:p>
    <w:p w14:paraId="678FA871">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（3）乙方团队人员名单及职责；</w:t>
      </w:r>
    </w:p>
    <w:p w14:paraId="543CF9C1">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（4）乙方服务承诺。</w:t>
      </w:r>
    </w:p>
    <w:p w14:paraId="4BF584F0">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2．其他需要补充约定的内容：</w:t>
      </w:r>
    </w:p>
    <w:p w14:paraId="2CBCC9BD">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1）乙方向甲方保证根据本合同中由乙方提供的服务或技术文档、注释、说明文件（包括系统说明书及操作说明书等文件）不会构成对任何第三方的专利、版权、商标权、商业秘密或其他财产的侵犯。如有上述情况发生，则责任由乙方承担。</w:t>
      </w:r>
    </w:p>
    <w:p w14:paraId="1D86BDA3">
      <w:pPr>
        <w:spacing w:line="360" w:lineRule="auto"/>
        <w:ind w:firstLine="420" w:firstLineChars="15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（2）招标文件及投标文件是本合同的有效组成部份，具有同等法律效力。如果招标文件与合同内容不一致时，以合同内容为准。</w:t>
      </w:r>
    </w:p>
    <w:p w14:paraId="1BF3687C">
      <w:pPr>
        <w:spacing w:line="360" w:lineRule="auto"/>
        <w:ind w:firstLine="422" w:firstLineChars="150"/>
        <w:rPr>
          <w:rFonts w:hint="eastAsia" w:ascii="宋体" w:hAnsi="宋体" w:eastAsia="宋体" w:cs="宋体"/>
          <w:sz w:val="28"/>
          <w:szCs w:val="28"/>
          <w:highlight w:val="none"/>
        </w:rPr>
      </w:pPr>
      <w:r>
        <w:rPr>
          <w:rFonts w:hint="eastAsia" w:ascii="宋体" w:hAnsi="宋体" w:eastAsia="宋体" w:cs="宋体"/>
          <w:b/>
          <w:sz w:val="28"/>
          <w:szCs w:val="28"/>
          <w:highlight w:val="none"/>
        </w:rPr>
        <w:t>第十</w:t>
      </w:r>
      <w:r>
        <w:rPr>
          <w:rFonts w:hint="eastAsia" w:ascii="宋体" w:hAnsi="宋体" w:eastAsia="宋体" w:cs="宋体"/>
          <w:b/>
          <w:sz w:val="28"/>
          <w:szCs w:val="28"/>
          <w:highlight w:val="none"/>
          <w:lang w:val="en-US" w:eastAsia="zh-CN"/>
        </w:rPr>
        <w:t>四</w:t>
      </w:r>
      <w:r>
        <w:rPr>
          <w:rFonts w:hint="eastAsia" w:ascii="宋体" w:hAnsi="宋体" w:eastAsia="宋体" w:cs="宋体"/>
          <w:b/>
          <w:sz w:val="28"/>
          <w:szCs w:val="28"/>
          <w:highlight w:val="none"/>
        </w:rPr>
        <w:t>条　合同生效</w:t>
      </w:r>
      <w:r>
        <w:rPr>
          <w:rFonts w:hint="eastAsia" w:ascii="宋体" w:hAnsi="宋体" w:eastAsia="宋体" w:cs="宋体"/>
          <w:sz w:val="28"/>
          <w:szCs w:val="28"/>
          <w:highlight w:val="none"/>
        </w:rPr>
        <w:t>　</w:t>
      </w:r>
    </w:p>
    <w:p w14:paraId="096F7CB3">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本合同正本一式</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份，甲方执</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份，乙方执</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份，经双方法定代表人或委托代理人签</w:t>
      </w:r>
      <w:r>
        <w:rPr>
          <w:rFonts w:hint="eastAsia" w:ascii="宋体" w:hAnsi="宋体" w:eastAsia="宋体" w:cs="宋体"/>
          <w:color w:val="auto"/>
          <w:sz w:val="28"/>
          <w:szCs w:val="28"/>
          <w:highlight w:val="none"/>
        </w:rPr>
        <w:t>字</w:t>
      </w:r>
      <w:r>
        <w:rPr>
          <w:rFonts w:hint="eastAsia" w:ascii="宋体" w:hAnsi="宋体" w:cs="宋体"/>
          <w:color w:val="auto"/>
          <w:sz w:val="28"/>
          <w:szCs w:val="28"/>
          <w:highlight w:val="none"/>
          <w:lang w:val="en-US" w:eastAsia="zh-CN"/>
        </w:rPr>
        <w:t>并</w:t>
      </w:r>
      <w:r>
        <w:rPr>
          <w:rFonts w:hint="eastAsia" w:ascii="宋体" w:hAnsi="宋体" w:eastAsia="宋体" w:cs="宋体"/>
          <w:sz w:val="28"/>
          <w:szCs w:val="28"/>
          <w:highlight w:val="none"/>
        </w:rPr>
        <w:t>盖章后生效。</w:t>
      </w:r>
    </w:p>
    <w:p w14:paraId="361ED26A">
      <w:pPr>
        <w:spacing w:line="360" w:lineRule="auto"/>
        <w:rPr>
          <w:rFonts w:hint="eastAsia" w:ascii="宋体" w:hAnsi="宋体" w:eastAsia="宋体" w:cs="宋体"/>
          <w:sz w:val="28"/>
          <w:szCs w:val="28"/>
          <w:highlight w:val="none"/>
        </w:rPr>
      </w:pPr>
    </w:p>
    <w:p w14:paraId="6017FC16">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（本页无正文）</w:t>
      </w:r>
    </w:p>
    <w:p w14:paraId="27A25D55">
      <w:pPr>
        <w:spacing w:line="360" w:lineRule="auto"/>
        <w:rPr>
          <w:rFonts w:hint="eastAsia" w:ascii="宋体" w:hAnsi="宋体" w:eastAsia="宋体" w:cs="宋体"/>
          <w:sz w:val="28"/>
          <w:szCs w:val="28"/>
          <w:highlight w:val="none"/>
        </w:rPr>
      </w:pPr>
    </w:p>
    <w:p w14:paraId="45BD7923">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甲方（盖章）                                 乙方（盖章）</w:t>
      </w:r>
    </w:p>
    <w:p w14:paraId="04A86A4A">
      <w:pPr>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p>
    <w:p w14:paraId="4690827E">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法定代表人（签字）：_________　　            法定代表人（签字）：</w:t>
      </w:r>
      <w:r>
        <w:rPr>
          <w:rFonts w:hint="eastAsia" w:ascii="宋体" w:hAnsi="宋体" w:eastAsia="宋体" w:cs="宋体"/>
          <w:sz w:val="28"/>
          <w:szCs w:val="28"/>
          <w:highlight w:val="none"/>
          <w:u w:val="single"/>
          <w:lang w:val="en-US" w:eastAsia="zh-CN"/>
        </w:rPr>
        <w:t xml:space="preserve">     </w:t>
      </w:r>
    </w:p>
    <w:p w14:paraId="7D841C43">
      <w:pPr>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项目（技术）负责人</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项目（技术）负责人</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 xml:space="preserve">      </w:t>
      </w:r>
    </w:p>
    <w:p w14:paraId="5456E06D">
      <w:pPr>
        <w:spacing w:line="360" w:lineRule="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联系人：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p>
    <w:p w14:paraId="68E1CBBA">
      <w:pPr>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p>
    <w:p w14:paraId="7185946C">
      <w:pPr>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lang w:eastAsia="zh-CN"/>
        </w:rPr>
        <w:t>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lang w:eastAsia="zh-CN"/>
        </w:rPr>
        <w:t>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p>
    <w:p w14:paraId="17CBE904">
      <w:pPr>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开户银行：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lang w:eastAsia="zh-CN"/>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开户银行：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p>
    <w:p w14:paraId="6102A89C">
      <w:pPr>
        <w:spacing w:line="360" w:lineRule="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账号：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lang w:eastAsia="zh-CN"/>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账号：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p>
    <w:p w14:paraId="0E57B7D7">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合同签订地点：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合同签订地点：</w:t>
      </w:r>
    </w:p>
    <w:p w14:paraId="7EF0B629">
      <w:pPr>
        <w:spacing w:line="360" w:lineRule="auto"/>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签订时间：</w:t>
      </w:r>
      <w:r>
        <w:rPr>
          <w:rFonts w:hint="eastAsia" w:ascii="宋体" w:hAnsi="宋体" w:eastAsia="宋体" w:cs="宋体"/>
          <w:sz w:val="28"/>
          <w:szCs w:val="28"/>
          <w:highlight w:val="none"/>
        </w:rPr>
        <w:t>________年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签订时间：</w:t>
      </w:r>
      <w:r>
        <w:rPr>
          <w:rFonts w:hint="eastAsia" w:ascii="宋体" w:hAnsi="宋体" w:eastAsia="宋体" w:cs="宋体"/>
          <w:sz w:val="28"/>
          <w:szCs w:val="28"/>
          <w:highlight w:val="none"/>
        </w:rPr>
        <w:t xml:space="preserve"> ____年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52437581">
      <w:pPr>
        <w:widowControl/>
        <w:spacing w:line="360" w:lineRule="auto"/>
        <w:jc w:val="center"/>
        <w:rPr>
          <w:rFonts w:hAnsi="宋体" w:cs="宋体"/>
          <w:b/>
          <w:color w:val="000000"/>
          <w:sz w:val="28"/>
          <w:szCs w:val="28"/>
          <w:highlight w:val="none"/>
        </w:rPr>
      </w:pPr>
    </w:p>
    <w:p w14:paraId="275DF810">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1A1C0399">
      <w:pPr>
        <w:adjustRightInd w:val="0"/>
        <w:snapToGrid w:val="0"/>
        <w:jc w:val="center"/>
        <w:rPr>
          <w:rFonts w:hint="eastAsia" w:asciiTheme="minorEastAsia" w:hAnsiTheme="minorEastAsia" w:eastAsiaTheme="minorEastAsia" w:cstheme="minorEastAsia"/>
          <w:b w:val="0"/>
          <w:bCs w:val="0"/>
          <w:color w:val="auto"/>
          <w:sz w:val="28"/>
          <w:szCs w:val="28"/>
          <w:highlight w:val="none"/>
        </w:rPr>
      </w:pPr>
      <w:bookmarkStart w:id="100" w:name="_Toc20313"/>
      <w:r>
        <w:rPr>
          <w:rFonts w:hint="eastAsia" w:asciiTheme="minorEastAsia" w:hAnsiTheme="minorEastAsia" w:eastAsiaTheme="minorEastAsia" w:cstheme="minorEastAsia"/>
          <w:b w:val="0"/>
          <w:bCs w:val="0"/>
          <w:color w:val="auto"/>
          <w:sz w:val="28"/>
          <w:szCs w:val="28"/>
          <w:highlight w:val="none"/>
        </w:rPr>
        <w:br w:type="page"/>
      </w:r>
    </w:p>
    <w:bookmarkEnd w:id="100"/>
    <w:p w14:paraId="50187672">
      <w:pPr>
        <w:pStyle w:val="3"/>
        <w:shd w:val="clear" w:color="auto" w:fill="auto"/>
        <w:tabs>
          <w:tab w:val="left" w:pos="360"/>
        </w:tabs>
        <w:jc w:val="center"/>
        <w:rPr>
          <w:rFonts w:hint="eastAsia" w:asciiTheme="minorEastAsia" w:hAnsiTheme="minorEastAsia" w:eastAsiaTheme="minorEastAsia" w:cstheme="minorEastAsia"/>
          <w:color w:val="auto"/>
          <w:sz w:val="36"/>
          <w:szCs w:val="36"/>
          <w:highlight w:val="none"/>
        </w:rPr>
      </w:pPr>
      <w:bookmarkStart w:id="101" w:name="_Toc304"/>
      <w:bookmarkStart w:id="102" w:name="_Toc7675"/>
      <w:r>
        <w:rPr>
          <w:rFonts w:hint="eastAsia" w:asciiTheme="minorEastAsia" w:hAnsiTheme="minorEastAsia" w:eastAsiaTheme="minorEastAsia" w:cstheme="minorEastAsia"/>
          <w:color w:val="auto"/>
          <w:sz w:val="36"/>
          <w:szCs w:val="36"/>
          <w:highlight w:val="none"/>
        </w:rPr>
        <w:t>第</w:t>
      </w:r>
      <w:r>
        <w:rPr>
          <w:rFonts w:hint="eastAsia" w:asciiTheme="minorEastAsia" w:hAnsiTheme="minorEastAsia" w:eastAsiaTheme="minorEastAsia" w:cstheme="minorEastAsia"/>
          <w:color w:val="auto"/>
          <w:sz w:val="36"/>
          <w:szCs w:val="36"/>
          <w:highlight w:val="none"/>
          <w:lang w:val="en-US" w:eastAsia="zh-CN"/>
        </w:rPr>
        <w:t>五</w:t>
      </w:r>
      <w:r>
        <w:rPr>
          <w:rFonts w:hint="eastAsia" w:asciiTheme="minorEastAsia" w:hAnsiTheme="minorEastAsia" w:eastAsiaTheme="minorEastAsia" w:cstheme="minorEastAsia"/>
          <w:color w:val="auto"/>
          <w:sz w:val="36"/>
          <w:szCs w:val="36"/>
          <w:highlight w:val="none"/>
        </w:rPr>
        <w:t>章 投标文件格式</w:t>
      </w:r>
      <w:bookmarkEnd w:id="101"/>
      <w:bookmarkEnd w:id="102"/>
    </w:p>
    <w:p w14:paraId="314FBFA6">
      <w:pPr>
        <w:pStyle w:val="2"/>
        <w:shd w:val="clear" w:color="auto" w:fill="auto"/>
        <w:spacing w:line="500" w:lineRule="exact"/>
        <w:ind w:firstLine="1564" w:firstLineChars="745"/>
        <w:rPr>
          <w:rFonts w:hint="eastAsia" w:asciiTheme="minorEastAsia" w:hAnsiTheme="minorEastAsia" w:eastAsiaTheme="minorEastAsia" w:cstheme="minorEastAsia"/>
          <w:color w:val="auto"/>
          <w:highlight w:val="none"/>
        </w:rPr>
      </w:pPr>
    </w:p>
    <w:p w14:paraId="0E0847F3">
      <w:pPr>
        <w:pStyle w:val="2"/>
        <w:shd w:val="clear" w:color="auto" w:fill="auto"/>
        <w:spacing w:line="360" w:lineRule="auto"/>
        <w:jc w:val="center"/>
        <w:rPr>
          <w:rFonts w:hint="eastAsia" w:asciiTheme="minorEastAsia" w:hAnsiTheme="minorEastAsia" w:eastAsiaTheme="minorEastAsia" w:cstheme="minorEastAsia"/>
          <w:b/>
          <w:color w:val="auto"/>
          <w:kern w:val="0"/>
          <w:sz w:val="48"/>
          <w:szCs w:val="48"/>
          <w:highlight w:val="none"/>
          <w:lang w:eastAsia="zh-CN"/>
        </w:rPr>
      </w:pPr>
      <w:r>
        <w:rPr>
          <w:rFonts w:hint="eastAsia" w:asciiTheme="minorEastAsia" w:hAnsiTheme="minorEastAsia" w:eastAsiaTheme="minorEastAsia" w:cstheme="minorEastAsia"/>
          <w:b/>
          <w:color w:val="auto"/>
          <w:kern w:val="0"/>
          <w:sz w:val="48"/>
          <w:szCs w:val="48"/>
          <w:highlight w:val="none"/>
          <w:lang w:eastAsia="zh-CN"/>
        </w:rPr>
        <w:t>临沧市临翔区医共体医保智能风控系统</w:t>
      </w:r>
    </w:p>
    <w:p w14:paraId="31263769">
      <w:pPr>
        <w:pStyle w:val="2"/>
        <w:shd w:val="clear" w:color="auto" w:fill="auto"/>
        <w:spacing w:line="360" w:lineRule="auto"/>
        <w:jc w:val="center"/>
        <w:rPr>
          <w:rFonts w:hint="eastAsia" w:asciiTheme="minorEastAsia" w:hAnsiTheme="minorEastAsia" w:eastAsiaTheme="minorEastAsia" w:cstheme="minorEastAsia"/>
          <w:b/>
          <w:color w:val="auto"/>
          <w:kern w:val="0"/>
          <w:sz w:val="36"/>
          <w:szCs w:val="36"/>
          <w:highlight w:val="none"/>
          <w:lang w:eastAsia="zh-CN"/>
        </w:rPr>
      </w:pPr>
      <w:r>
        <w:rPr>
          <w:rFonts w:hint="eastAsia" w:asciiTheme="minorEastAsia" w:hAnsiTheme="minorEastAsia" w:eastAsiaTheme="minorEastAsia" w:cstheme="minorEastAsia"/>
          <w:b/>
          <w:color w:val="auto"/>
          <w:kern w:val="0"/>
          <w:sz w:val="48"/>
          <w:szCs w:val="48"/>
          <w:highlight w:val="none"/>
          <w:lang w:eastAsia="zh-CN"/>
        </w:rPr>
        <w:t>软件项目</w:t>
      </w:r>
    </w:p>
    <w:p w14:paraId="6F29B2F8">
      <w:pPr>
        <w:pStyle w:val="2"/>
        <w:shd w:val="clear" w:color="auto" w:fill="auto"/>
        <w:spacing w:line="500" w:lineRule="exact"/>
        <w:rPr>
          <w:rFonts w:hint="eastAsia" w:asciiTheme="minorEastAsia" w:hAnsiTheme="minorEastAsia" w:eastAsiaTheme="minorEastAsia" w:cstheme="minorEastAsia"/>
          <w:b/>
          <w:color w:val="auto"/>
          <w:sz w:val="32"/>
          <w:highlight w:val="none"/>
        </w:rPr>
      </w:pPr>
    </w:p>
    <w:p w14:paraId="5D48BFEA">
      <w:pPr>
        <w:pStyle w:val="2"/>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0915B585">
      <w:pPr>
        <w:pStyle w:val="2"/>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5D38C822">
      <w:pPr>
        <w:pStyle w:val="2"/>
        <w:shd w:val="clear" w:color="auto" w:fill="auto"/>
        <w:spacing w:line="500" w:lineRule="exact"/>
        <w:rPr>
          <w:rFonts w:hint="eastAsia" w:asciiTheme="minorEastAsia" w:hAnsiTheme="minorEastAsia" w:eastAsiaTheme="minorEastAsia" w:cstheme="minorEastAsia"/>
          <w:b/>
          <w:color w:val="auto"/>
          <w:sz w:val="32"/>
          <w:highlight w:val="none"/>
        </w:rPr>
      </w:pPr>
    </w:p>
    <w:p w14:paraId="049E05C3">
      <w:pPr>
        <w:pStyle w:val="2"/>
        <w:shd w:val="clear" w:color="auto" w:fill="auto"/>
        <w:spacing w:line="500" w:lineRule="exact"/>
        <w:jc w:val="both"/>
        <w:rPr>
          <w:rFonts w:hint="eastAsia" w:asciiTheme="minorEastAsia" w:hAnsiTheme="minorEastAsia" w:eastAsiaTheme="minorEastAsia" w:cstheme="minorEastAsia"/>
          <w:b/>
          <w:color w:val="auto"/>
          <w:sz w:val="32"/>
          <w:highlight w:val="none"/>
        </w:rPr>
      </w:pPr>
    </w:p>
    <w:p w14:paraId="1A3FDE5B">
      <w:pPr>
        <w:pStyle w:val="2"/>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2A72381C">
      <w:pPr>
        <w:pStyle w:val="2"/>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7D332387">
      <w:pPr>
        <w:pStyle w:val="2"/>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22FDCC02">
      <w:pPr>
        <w:pStyle w:val="2"/>
        <w:shd w:val="clear" w:color="auto" w:fill="auto"/>
        <w:spacing w:line="780" w:lineRule="exact"/>
        <w:jc w:val="center"/>
        <w:rPr>
          <w:rFonts w:hint="eastAsia" w:asciiTheme="minorEastAsia" w:hAnsiTheme="minorEastAsia" w:eastAsiaTheme="minorEastAsia" w:cstheme="minorEastAsia"/>
          <w:b/>
          <w:color w:val="auto"/>
          <w:sz w:val="60"/>
          <w:szCs w:val="36"/>
          <w:highlight w:val="none"/>
        </w:rPr>
      </w:pPr>
      <w:r>
        <w:rPr>
          <w:rFonts w:hint="eastAsia" w:asciiTheme="minorEastAsia" w:hAnsiTheme="minorEastAsia" w:eastAsiaTheme="minorEastAsia" w:cstheme="minorEastAsia"/>
          <w:b/>
          <w:color w:val="auto"/>
          <w:sz w:val="60"/>
          <w:szCs w:val="36"/>
          <w:highlight w:val="none"/>
        </w:rPr>
        <w:t>投  标  文  件</w:t>
      </w:r>
    </w:p>
    <w:p w14:paraId="4EBB44C8">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65B575AF">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1443308C">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709BA3CE">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31CBAF3D">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7A57CBA9">
      <w:pPr>
        <w:pStyle w:val="2"/>
        <w:shd w:val="clear" w:color="auto" w:fill="auto"/>
        <w:spacing w:line="500" w:lineRule="exact"/>
        <w:rPr>
          <w:rFonts w:hint="eastAsia" w:asciiTheme="minorEastAsia" w:hAnsiTheme="minorEastAsia" w:eastAsiaTheme="minorEastAsia" w:cstheme="minorEastAsia"/>
          <w:b/>
          <w:color w:val="auto"/>
          <w:sz w:val="72"/>
          <w:highlight w:val="none"/>
        </w:rPr>
      </w:pPr>
    </w:p>
    <w:p w14:paraId="497B6C07">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128D7ED3">
      <w:pPr>
        <w:pStyle w:val="2"/>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2FC295E6">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投标人</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(电子签章)</w:t>
      </w:r>
    </w:p>
    <w:p w14:paraId="3E6434D2">
      <w:pPr>
        <w:pStyle w:val="2"/>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78C5BCFD">
      <w:pPr>
        <w:pStyle w:val="2"/>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3B5F2427">
      <w:pPr>
        <w:shd w:val="clear" w:color="auto" w:fill="auto"/>
        <w:wordWrap w:val="0"/>
        <w:ind w:right="480"/>
        <w:jc w:val="center"/>
        <w:rPr>
          <w:rFonts w:hint="eastAsia" w:asciiTheme="minorEastAsia" w:hAnsiTheme="minorEastAsia" w:eastAsiaTheme="minorEastAsia" w:cstheme="minorEastAsia"/>
          <w:color w:val="auto"/>
          <w:szCs w:val="21"/>
          <w:highlight w:val="none"/>
        </w:rPr>
      </w:pPr>
      <w:bookmarkStart w:id="103" w:name="_Toc355877222"/>
      <w:bookmarkStart w:id="104" w:name="_Toc258848989"/>
      <w:bookmarkStart w:id="105" w:name="_Toc152047263"/>
      <w:bookmarkStart w:id="106" w:name="_Toc355877221"/>
      <w:bookmarkStart w:id="107" w:name="_Toc144974467"/>
      <w:bookmarkStart w:id="108" w:name="_Toc266880234"/>
      <w:bookmarkStart w:id="109" w:name="_Toc213141093"/>
      <w:bookmarkStart w:id="110" w:name="_Toc258848988"/>
      <w:r>
        <w:rPr>
          <w:rFonts w:hint="eastAsia" w:asciiTheme="minorEastAsia" w:hAnsiTheme="minorEastAsia" w:eastAsiaTheme="minorEastAsia" w:cstheme="minorEastAsia"/>
          <w:b/>
          <w:color w:val="auto"/>
          <w:sz w:val="28"/>
          <w:szCs w:val="28"/>
          <w:highlight w:val="none"/>
        </w:rPr>
        <w:br w:type="page"/>
      </w:r>
      <w:bookmarkEnd w:id="103"/>
      <w:bookmarkEnd w:id="104"/>
    </w:p>
    <w:p w14:paraId="38AD3CBB">
      <w:pPr>
        <w:shd w:val="clear" w:color="auto" w:fill="auto"/>
        <w:jc w:val="center"/>
        <w:outlineLvl w:val="1"/>
        <w:rPr>
          <w:rFonts w:hint="eastAsia" w:asciiTheme="minorEastAsia" w:hAnsiTheme="minorEastAsia" w:eastAsiaTheme="minorEastAsia" w:cstheme="minorEastAsia"/>
          <w:b/>
          <w:color w:val="auto"/>
          <w:sz w:val="36"/>
          <w:szCs w:val="36"/>
          <w:highlight w:val="none"/>
        </w:rPr>
      </w:pPr>
      <w:bookmarkStart w:id="111" w:name="_Toc403511223"/>
      <w:r>
        <w:rPr>
          <w:rFonts w:hint="eastAsia" w:asciiTheme="minorEastAsia" w:hAnsiTheme="minorEastAsia" w:eastAsiaTheme="minorEastAsia" w:cstheme="minorEastAsia"/>
          <w:b/>
          <w:color w:val="auto"/>
          <w:sz w:val="36"/>
          <w:szCs w:val="36"/>
          <w:highlight w:val="none"/>
          <w:lang w:val="en-US" w:eastAsia="zh-CN"/>
        </w:rPr>
        <w:t>开标</w:t>
      </w:r>
      <w:r>
        <w:rPr>
          <w:rFonts w:hint="eastAsia" w:asciiTheme="minorEastAsia" w:hAnsiTheme="minorEastAsia" w:eastAsiaTheme="minorEastAsia" w:cstheme="minorEastAsia"/>
          <w:b/>
          <w:color w:val="auto"/>
          <w:sz w:val="36"/>
          <w:szCs w:val="36"/>
          <w:highlight w:val="none"/>
        </w:rPr>
        <w:t>一览表</w:t>
      </w:r>
      <w:bookmarkEnd w:id="111"/>
    </w:p>
    <w:p w14:paraId="76274BD5">
      <w:pPr>
        <w:shd w:val="clear" w:color="auto" w:fill="auto"/>
        <w:rPr>
          <w:rFonts w:hint="eastAsia" w:asciiTheme="minorEastAsia" w:hAnsiTheme="minorEastAsia" w:eastAsiaTheme="minorEastAsia" w:cstheme="minorEastAsia"/>
          <w:color w:val="auto"/>
          <w:highlight w:val="none"/>
        </w:rPr>
      </w:pPr>
    </w:p>
    <w:p w14:paraId="1B4916EC">
      <w:pPr>
        <w:pStyle w:val="2"/>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default"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38EE57D9">
      <w:pPr>
        <w:pStyle w:val="2"/>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4"/>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1"/>
        <w:gridCol w:w="4796"/>
        <w:gridCol w:w="2411"/>
      </w:tblGrid>
      <w:tr w14:paraId="4E27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31E8E4DD">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6F7F2019">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w:t>
            </w:r>
          </w:p>
        </w:tc>
        <w:tc>
          <w:tcPr>
            <w:tcW w:w="2411" w:type="dxa"/>
            <w:tcBorders>
              <w:top w:val="single" w:color="auto" w:sz="4" w:space="0"/>
              <w:left w:val="single" w:color="auto" w:sz="4" w:space="0"/>
              <w:bottom w:val="single" w:color="auto" w:sz="4" w:space="0"/>
              <w:right w:val="single" w:color="auto" w:sz="4" w:space="0"/>
            </w:tcBorders>
            <w:noWrap w:val="0"/>
            <w:vAlign w:val="center"/>
          </w:tcPr>
          <w:p w14:paraId="12596DDC">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1998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5C2773B5">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投标总价</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17940DD1">
            <w:pPr>
              <w:pStyle w:val="2"/>
              <w:shd w:val="clear" w:color="auto" w:fill="auto"/>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含税</w:t>
            </w:r>
            <w:r>
              <w:rPr>
                <w:rFonts w:hint="eastAsia" w:asciiTheme="minorEastAsia" w:hAnsiTheme="minorEastAsia" w:eastAsiaTheme="minorEastAsia" w:cstheme="minorEastAsia"/>
                <w:color w:val="auto"/>
                <w:sz w:val="24"/>
                <w:szCs w:val="24"/>
                <w:highlight w:val="none"/>
                <w:lang w:eastAsia="zh-CN"/>
              </w:rPr>
              <w:t>）</w:t>
            </w:r>
          </w:p>
          <w:p w14:paraId="4425EACF">
            <w:pPr>
              <w:pStyle w:val="2"/>
              <w:shd w:val="clear" w:color="auto" w:fill="auto"/>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tc>
        <w:tc>
          <w:tcPr>
            <w:tcW w:w="2411" w:type="dxa"/>
            <w:tcBorders>
              <w:top w:val="single" w:color="auto" w:sz="4" w:space="0"/>
              <w:left w:val="single" w:color="auto" w:sz="4" w:space="0"/>
              <w:bottom w:val="single" w:color="auto" w:sz="4" w:space="0"/>
              <w:right w:val="single" w:color="auto" w:sz="4" w:space="0"/>
            </w:tcBorders>
            <w:noWrap w:val="0"/>
            <w:vAlign w:val="center"/>
          </w:tcPr>
          <w:p w14:paraId="67597869">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p>
        </w:tc>
      </w:tr>
      <w:tr w14:paraId="27E7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2"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0878A1B2">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交货地点</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645EAB59">
            <w:pPr>
              <w:pStyle w:val="2"/>
              <w:shd w:val="clear" w:color="auto" w:fill="auto"/>
              <w:spacing w:line="240" w:lineRule="auto"/>
              <w:rPr>
                <w:rFonts w:hint="eastAsia" w:asciiTheme="minorEastAsia" w:hAnsiTheme="minorEastAsia" w:eastAsiaTheme="minorEastAsia" w:cstheme="minorEastAsia"/>
                <w:color w:val="auto"/>
                <w:sz w:val="24"/>
                <w:szCs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14:paraId="3CB4A9B0">
            <w:pPr>
              <w:pStyle w:val="2"/>
              <w:shd w:val="clear" w:color="auto" w:fill="auto"/>
              <w:spacing w:line="240" w:lineRule="auto"/>
              <w:rPr>
                <w:rFonts w:hint="eastAsia" w:asciiTheme="minorEastAsia" w:hAnsiTheme="minorEastAsia" w:eastAsiaTheme="minorEastAsia" w:cstheme="minorEastAsia"/>
                <w:color w:val="auto"/>
                <w:kern w:val="0"/>
                <w:sz w:val="24"/>
                <w:szCs w:val="24"/>
                <w:highlight w:val="none"/>
              </w:rPr>
            </w:pPr>
          </w:p>
        </w:tc>
      </w:tr>
      <w:tr w14:paraId="44C0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4A6A50F5">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售后服务承诺</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7D4DC78C">
            <w:pPr>
              <w:pStyle w:val="2"/>
              <w:shd w:val="clear" w:color="auto" w:fill="auto"/>
              <w:spacing w:line="240" w:lineRule="auto"/>
              <w:rPr>
                <w:rFonts w:hint="eastAsia" w:asciiTheme="minorEastAsia" w:hAnsiTheme="minorEastAsia" w:eastAsiaTheme="minorEastAsia" w:cstheme="minorEastAsia"/>
                <w:color w:val="auto"/>
                <w:sz w:val="24"/>
                <w:szCs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14:paraId="4887C733">
            <w:pPr>
              <w:pStyle w:val="2"/>
              <w:shd w:val="clear" w:color="auto" w:fill="auto"/>
              <w:spacing w:line="240" w:lineRule="auto"/>
              <w:rPr>
                <w:rFonts w:hint="eastAsia" w:asciiTheme="minorEastAsia" w:hAnsiTheme="minorEastAsia" w:eastAsiaTheme="minorEastAsia" w:cstheme="minorEastAsia"/>
                <w:color w:val="auto"/>
                <w:kern w:val="0"/>
                <w:sz w:val="24"/>
                <w:szCs w:val="24"/>
                <w:highlight w:val="none"/>
              </w:rPr>
            </w:pPr>
          </w:p>
        </w:tc>
      </w:tr>
      <w:tr w14:paraId="39E2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0B2CB936">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人员培训承诺</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168FEDA4">
            <w:pPr>
              <w:pStyle w:val="2"/>
              <w:shd w:val="clear" w:color="auto" w:fill="auto"/>
              <w:spacing w:line="240" w:lineRule="auto"/>
              <w:rPr>
                <w:rFonts w:hint="eastAsia" w:asciiTheme="minorEastAsia" w:hAnsiTheme="minorEastAsia" w:eastAsiaTheme="minorEastAsia" w:cstheme="minorEastAsia"/>
                <w:color w:val="auto"/>
                <w:sz w:val="24"/>
                <w:szCs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14:paraId="0F323C34">
            <w:pPr>
              <w:pStyle w:val="2"/>
              <w:shd w:val="clear" w:color="auto" w:fill="auto"/>
              <w:spacing w:line="240" w:lineRule="auto"/>
              <w:rPr>
                <w:rFonts w:hint="eastAsia" w:asciiTheme="minorEastAsia" w:hAnsiTheme="minorEastAsia" w:eastAsiaTheme="minorEastAsia" w:cstheme="minorEastAsia"/>
                <w:color w:val="auto"/>
                <w:kern w:val="0"/>
                <w:sz w:val="24"/>
                <w:szCs w:val="24"/>
                <w:highlight w:val="none"/>
              </w:rPr>
            </w:pPr>
          </w:p>
        </w:tc>
      </w:tr>
      <w:tr w14:paraId="26FB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8"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74BC0BB4">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合同履行期限承诺</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63751FAE">
            <w:pPr>
              <w:pStyle w:val="2"/>
              <w:shd w:val="clear" w:color="auto" w:fill="auto"/>
              <w:spacing w:line="240" w:lineRule="auto"/>
              <w:rPr>
                <w:rFonts w:hint="eastAsia" w:asciiTheme="minorEastAsia" w:hAnsiTheme="minorEastAsia" w:eastAsiaTheme="minorEastAsia" w:cstheme="minorEastAsia"/>
                <w:color w:val="auto"/>
                <w:sz w:val="24"/>
                <w:szCs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14:paraId="6AEB80DA">
            <w:pPr>
              <w:pStyle w:val="2"/>
              <w:shd w:val="clear" w:color="auto" w:fill="auto"/>
              <w:spacing w:line="240" w:lineRule="auto"/>
              <w:rPr>
                <w:rFonts w:hint="eastAsia" w:asciiTheme="minorEastAsia" w:hAnsiTheme="minorEastAsia" w:eastAsiaTheme="minorEastAsia" w:cstheme="minorEastAsia"/>
                <w:color w:val="auto"/>
                <w:kern w:val="0"/>
                <w:sz w:val="24"/>
                <w:szCs w:val="24"/>
                <w:highlight w:val="none"/>
              </w:rPr>
            </w:pPr>
          </w:p>
        </w:tc>
      </w:tr>
      <w:tr w14:paraId="521E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05EF2B81">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7ECAC3F2">
            <w:pPr>
              <w:pStyle w:val="2"/>
              <w:shd w:val="clear" w:color="auto" w:fill="auto"/>
              <w:spacing w:line="240" w:lineRule="auto"/>
              <w:rPr>
                <w:rFonts w:hint="eastAsia" w:asciiTheme="minorEastAsia" w:hAnsiTheme="minorEastAsia" w:eastAsiaTheme="minorEastAsia" w:cstheme="minorEastAsia"/>
                <w:color w:val="auto"/>
                <w:sz w:val="24"/>
                <w:szCs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14:paraId="443F84F2">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p>
        </w:tc>
      </w:tr>
      <w:tr w14:paraId="3F4B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2811" w:type="dxa"/>
            <w:tcBorders>
              <w:top w:val="single" w:color="auto" w:sz="4" w:space="0"/>
              <w:left w:val="single" w:color="auto" w:sz="4" w:space="0"/>
              <w:bottom w:val="single" w:color="auto" w:sz="4" w:space="0"/>
              <w:right w:val="single" w:color="auto" w:sz="4" w:space="0"/>
            </w:tcBorders>
            <w:noWrap w:val="0"/>
            <w:vAlign w:val="center"/>
          </w:tcPr>
          <w:p w14:paraId="4E5DBD99">
            <w:pPr>
              <w:pStyle w:val="2"/>
              <w:shd w:val="clear" w:color="auto" w:fill="auto"/>
              <w:spacing w:line="240" w:lineRule="auto"/>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项目负责人及联系电话</w:t>
            </w:r>
          </w:p>
        </w:tc>
        <w:tc>
          <w:tcPr>
            <w:tcW w:w="4796" w:type="dxa"/>
            <w:tcBorders>
              <w:top w:val="single" w:color="auto" w:sz="4" w:space="0"/>
              <w:left w:val="single" w:color="auto" w:sz="4" w:space="0"/>
              <w:bottom w:val="single" w:color="auto" w:sz="4" w:space="0"/>
              <w:right w:val="single" w:color="auto" w:sz="4" w:space="0"/>
            </w:tcBorders>
            <w:noWrap w:val="0"/>
            <w:vAlign w:val="center"/>
          </w:tcPr>
          <w:p w14:paraId="52E9E625">
            <w:pPr>
              <w:pStyle w:val="2"/>
              <w:shd w:val="clear" w:color="auto" w:fill="auto"/>
              <w:spacing w:line="240" w:lineRule="auto"/>
              <w:rPr>
                <w:rFonts w:hint="eastAsia" w:asciiTheme="minorEastAsia" w:hAnsiTheme="minorEastAsia" w:eastAsiaTheme="minorEastAsia" w:cstheme="minorEastAsia"/>
                <w:color w:val="auto"/>
                <w:sz w:val="24"/>
                <w:szCs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14:paraId="240E105A">
            <w:pPr>
              <w:pStyle w:val="2"/>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p>
        </w:tc>
      </w:tr>
    </w:tbl>
    <w:p w14:paraId="29678A27">
      <w:pPr>
        <w:shd w:val="clear" w:color="auto" w:fill="auto"/>
        <w:spacing w:line="360" w:lineRule="auto"/>
        <w:ind w:firstLine="4440" w:firstLineChars="1850"/>
        <w:rPr>
          <w:rFonts w:hint="eastAsia" w:asciiTheme="minorEastAsia" w:hAnsiTheme="minorEastAsia" w:eastAsiaTheme="minorEastAsia" w:cstheme="minorEastAsia"/>
          <w:color w:val="auto"/>
          <w:sz w:val="24"/>
          <w:szCs w:val="24"/>
          <w:highlight w:val="none"/>
        </w:rPr>
      </w:pPr>
    </w:p>
    <w:p w14:paraId="581B8E0D">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lang w:val="en-US" w:eastAsia="zh-CN"/>
        </w:rPr>
      </w:pPr>
    </w:p>
    <w:p w14:paraId="2C64C89B">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lang w:val="en-US" w:eastAsia="zh-CN"/>
        </w:rPr>
      </w:pPr>
    </w:p>
    <w:p w14:paraId="552EADC7">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投标人</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（电子签章）</w:t>
      </w:r>
    </w:p>
    <w:p w14:paraId="47D61E62">
      <w:pPr>
        <w:shd w:val="clear" w:color="auto" w:fill="auto"/>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4590D28D">
      <w:pPr>
        <w:shd w:val="clear" w:color="auto" w:fill="auto"/>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2DCE1082">
      <w:pPr>
        <w:shd w:val="clear" w:color="auto" w:fill="auto"/>
        <w:jc w:val="center"/>
        <w:rPr>
          <w:rFonts w:hint="eastAsia" w:asciiTheme="minorEastAsia" w:hAnsiTheme="minorEastAsia" w:eastAsiaTheme="minorEastAsia" w:cstheme="minorEastAsia"/>
          <w:b/>
          <w:color w:val="auto"/>
          <w:sz w:val="28"/>
          <w:szCs w:val="28"/>
          <w:highlight w:val="none"/>
        </w:rPr>
        <w:sectPr>
          <w:headerReference r:id="rId10" w:type="default"/>
          <w:footerReference r:id="rId11" w:type="default"/>
          <w:pgSz w:w="11906" w:h="16838"/>
          <w:pgMar w:top="1440" w:right="1080" w:bottom="1440" w:left="1080" w:header="850" w:footer="992" w:gutter="0"/>
          <w:pgNumType w:fmt="decimal" w:start="1"/>
          <w:cols w:space="0" w:num="1"/>
          <w:rtlGutter w:val="0"/>
          <w:docGrid w:type="lines" w:linePitch="321" w:charSpace="0"/>
        </w:sectPr>
      </w:pPr>
    </w:p>
    <w:p w14:paraId="4306AFE0">
      <w:pPr>
        <w:shd w:val="clear" w:color="auto" w:fill="auto"/>
        <w:jc w:val="center"/>
        <w:outlineLvl w:val="1"/>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val="en-US" w:eastAsia="zh-CN"/>
        </w:rPr>
        <w:t>一</w:t>
      </w:r>
      <w:r>
        <w:rPr>
          <w:rFonts w:hint="eastAsia" w:asciiTheme="minorEastAsia" w:hAnsiTheme="minorEastAsia" w:eastAsiaTheme="minorEastAsia" w:cstheme="minorEastAsia"/>
          <w:b/>
          <w:color w:val="auto"/>
          <w:sz w:val="36"/>
          <w:szCs w:val="36"/>
          <w:highlight w:val="none"/>
        </w:rPr>
        <w:t>、</w:t>
      </w:r>
      <w:r>
        <w:rPr>
          <w:rFonts w:hint="eastAsia" w:asciiTheme="minorEastAsia" w:hAnsiTheme="minorEastAsia" w:eastAsiaTheme="minorEastAsia" w:cstheme="minorEastAsia"/>
          <w:b/>
          <w:color w:val="auto"/>
          <w:sz w:val="36"/>
          <w:szCs w:val="36"/>
          <w:highlight w:val="none"/>
          <w:lang w:val="en-US" w:eastAsia="zh-CN"/>
        </w:rPr>
        <w:t>投标分项报价</w:t>
      </w:r>
      <w:r>
        <w:rPr>
          <w:rFonts w:hint="eastAsia" w:asciiTheme="minorEastAsia" w:hAnsiTheme="minorEastAsia" w:eastAsiaTheme="minorEastAsia" w:cstheme="minorEastAsia"/>
          <w:b/>
          <w:color w:val="auto"/>
          <w:sz w:val="36"/>
          <w:szCs w:val="36"/>
          <w:highlight w:val="none"/>
        </w:rPr>
        <w:t>表</w:t>
      </w:r>
    </w:p>
    <w:p w14:paraId="27DFBA62">
      <w:pPr>
        <w:pStyle w:val="2"/>
        <w:shd w:val="clear" w:color="auto" w:fill="auto"/>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7D672E61">
      <w:pPr>
        <w:pStyle w:val="2"/>
        <w:shd w:val="clear" w:color="auto" w:fill="auto"/>
        <w:spacing w:line="360" w:lineRule="auto"/>
        <w:ind w:firstLine="480" w:firstLineChars="200"/>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bCs/>
          <w:color w:val="auto"/>
          <w:sz w:val="24"/>
          <w:szCs w:val="24"/>
          <w:highlight w:val="none"/>
          <w:u w:val="single"/>
          <w:lang w:eastAsia="zh-CN"/>
        </w:rPr>
        <w:t>临沧市临翔区医共体医保智能风控系统软件</w:t>
      </w:r>
    </w:p>
    <w:tbl>
      <w:tblPr>
        <w:tblStyle w:val="24"/>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3134"/>
        <w:gridCol w:w="998"/>
        <w:gridCol w:w="875"/>
        <w:gridCol w:w="1510"/>
        <w:gridCol w:w="1550"/>
        <w:gridCol w:w="920"/>
      </w:tblGrid>
      <w:tr w14:paraId="300D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exac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2F9F3CD8">
            <w:pPr>
              <w:pStyle w:val="2"/>
              <w:shd w:val="clear" w:color="auto" w:fill="auto"/>
              <w:spacing w:line="320" w:lineRule="exact"/>
              <w:jc w:val="center"/>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4FA2A75A">
            <w:pPr>
              <w:widowControl/>
              <w:shd w:val="clear" w:color="auto" w:fill="auto"/>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名称</w:t>
            </w:r>
          </w:p>
        </w:tc>
        <w:tc>
          <w:tcPr>
            <w:tcW w:w="998" w:type="dxa"/>
            <w:tcBorders>
              <w:top w:val="single" w:color="auto" w:sz="4" w:space="0"/>
              <w:left w:val="single" w:color="auto" w:sz="4" w:space="0"/>
              <w:bottom w:val="single" w:color="auto" w:sz="4" w:space="0"/>
              <w:right w:val="single" w:color="auto" w:sz="4" w:space="0"/>
            </w:tcBorders>
            <w:noWrap w:val="0"/>
            <w:vAlign w:val="center"/>
          </w:tcPr>
          <w:p w14:paraId="480D3D5C">
            <w:pPr>
              <w:widowControl/>
              <w:shd w:val="clear" w:color="auto" w:fill="auto"/>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数量</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2102BF32">
            <w:pPr>
              <w:widowControl/>
              <w:shd w:val="clear" w:color="auto" w:fill="auto"/>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计量</w:t>
            </w:r>
          </w:p>
          <w:p w14:paraId="556C9F8F">
            <w:pPr>
              <w:widowControl/>
              <w:shd w:val="clear" w:color="auto" w:fill="auto"/>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单位</w:t>
            </w:r>
          </w:p>
        </w:tc>
        <w:tc>
          <w:tcPr>
            <w:tcW w:w="1510" w:type="dxa"/>
            <w:tcBorders>
              <w:top w:val="single" w:color="auto" w:sz="4" w:space="0"/>
              <w:left w:val="single" w:color="auto" w:sz="4" w:space="0"/>
              <w:bottom w:val="single" w:color="auto" w:sz="4" w:space="0"/>
              <w:right w:val="single" w:color="auto" w:sz="4" w:space="0"/>
            </w:tcBorders>
            <w:noWrap w:val="0"/>
            <w:vAlign w:val="center"/>
          </w:tcPr>
          <w:p w14:paraId="64201AB8">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C22E358">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合价（元）</w:t>
            </w:r>
          </w:p>
        </w:tc>
        <w:tc>
          <w:tcPr>
            <w:tcW w:w="920" w:type="dxa"/>
            <w:tcBorders>
              <w:top w:val="single" w:color="auto" w:sz="4" w:space="0"/>
              <w:left w:val="single" w:color="auto" w:sz="4" w:space="0"/>
              <w:bottom w:val="single" w:color="auto" w:sz="4" w:space="0"/>
              <w:right w:val="single" w:color="auto" w:sz="4" w:space="0"/>
            </w:tcBorders>
            <w:noWrap w:val="0"/>
            <w:vAlign w:val="center"/>
          </w:tcPr>
          <w:p w14:paraId="77961B75">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r>
      <w:tr w14:paraId="139D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279848EF">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5E778A32">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7054EE64">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0C69201D">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p>
        </w:tc>
        <w:tc>
          <w:tcPr>
            <w:tcW w:w="1510" w:type="dxa"/>
            <w:tcBorders>
              <w:top w:val="single" w:color="auto" w:sz="4" w:space="0"/>
              <w:left w:val="single" w:color="auto" w:sz="4" w:space="0"/>
              <w:bottom w:val="single" w:color="auto" w:sz="4" w:space="0"/>
              <w:right w:val="single" w:color="auto" w:sz="4" w:space="0"/>
            </w:tcBorders>
            <w:noWrap w:val="0"/>
            <w:vAlign w:val="center"/>
          </w:tcPr>
          <w:p w14:paraId="15FAEC07">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C8F42BC">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642366D0">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0195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7CD47B94">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5B85A8EA">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466C9742">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5956CD01">
            <w:pPr>
              <w:pStyle w:val="2"/>
              <w:shd w:val="clear" w:color="auto" w:fill="auto"/>
              <w:spacing w:line="320" w:lineRule="exact"/>
              <w:jc w:val="center"/>
              <w:rPr>
                <w:rFonts w:hint="eastAsia" w:asciiTheme="minorEastAsia" w:hAnsiTheme="minorEastAsia" w:eastAsiaTheme="minorEastAsia" w:cstheme="minorEastAsia"/>
                <w:color w:val="auto"/>
                <w:sz w:val="24"/>
                <w:szCs w:val="24"/>
                <w:highlight w:val="none"/>
              </w:rPr>
            </w:pPr>
          </w:p>
        </w:tc>
        <w:tc>
          <w:tcPr>
            <w:tcW w:w="1510" w:type="dxa"/>
            <w:tcBorders>
              <w:top w:val="single" w:color="auto" w:sz="4" w:space="0"/>
              <w:left w:val="single" w:color="auto" w:sz="4" w:space="0"/>
              <w:bottom w:val="single" w:color="auto" w:sz="4" w:space="0"/>
              <w:right w:val="single" w:color="auto" w:sz="4" w:space="0"/>
            </w:tcBorders>
            <w:noWrap w:val="0"/>
            <w:vAlign w:val="center"/>
          </w:tcPr>
          <w:p w14:paraId="44C8B764">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0FB2FDC5">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72E6E7C1">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0620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8876" w:type="dxa"/>
            <w:gridSpan w:val="6"/>
            <w:tcBorders>
              <w:top w:val="single" w:color="auto" w:sz="4" w:space="0"/>
              <w:left w:val="single" w:color="auto" w:sz="4" w:space="0"/>
              <w:bottom w:val="single" w:color="auto" w:sz="4" w:space="0"/>
              <w:right w:val="single" w:color="auto" w:sz="4" w:space="0"/>
            </w:tcBorders>
            <w:noWrap w:val="0"/>
            <w:vAlign w:val="center"/>
          </w:tcPr>
          <w:p w14:paraId="4BCB9FD9">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总   计：</w:t>
            </w:r>
            <w:r>
              <w:rPr>
                <w:rFonts w:hint="eastAsia" w:asciiTheme="minorEastAsia" w:hAnsiTheme="minorEastAsia" w:eastAsiaTheme="minorEastAsia" w:cstheme="minorEastAsia"/>
                <w:color w:val="auto"/>
                <w:sz w:val="24"/>
                <w:szCs w:val="24"/>
                <w:highlight w:val="none"/>
              </w:rPr>
              <w:t>人民币大写：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tc>
        <w:tc>
          <w:tcPr>
            <w:tcW w:w="920" w:type="dxa"/>
            <w:tcBorders>
              <w:top w:val="single" w:color="auto" w:sz="4" w:space="0"/>
              <w:left w:val="single" w:color="auto" w:sz="4" w:space="0"/>
              <w:bottom w:val="single" w:color="auto" w:sz="4" w:space="0"/>
              <w:right w:val="single" w:color="auto" w:sz="4" w:space="0"/>
            </w:tcBorders>
            <w:noWrap w:val="0"/>
            <w:vAlign w:val="center"/>
          </w:tcPr>
          <w:p w14:paraId="2D2D972F">
            <w:pPr>
              <w:pStyle w:val="2"/>
              <w:shd w:val="clear" w:color="auto" w:fill="auto"/>
              <w:spacing w:line="320" w:lineRule="exact"/>
              <w:jc w:val="center"/>
              <w:rPr>
                <w:rFonts w:hint="eastAsia" w:asciiTheme="minorEastAsia" w:hAnsiTheme="minorEastAsia" w:eastAsiaTheme="minorEastAsia" w:cstheme="minorEastAsia"/>
                <w:color w:val="auto"/>
                <w:spacing w:val="-6"/>
                <w:sz w:val="24"/>
                <w:szCs w:val="24"/>
                <w:highlight w:val="none"/>
              </w:rPr>
            </w:pPr>
          </w:p>
        </w:tc>
      </w:tr>
    </w:tbl>
    <w:p w14:paraId="016CD045">
      <w:pPr>
        <w:shd w:val="clear" w:color="auto" w:fill="auto"/>
        <w:tabs>
          <w:tab w:val="left" w:pos="180"/>
        </w:tabs>
        <w:spacing w:line="360" w:lineRule="auto"/>
        <w:ind w:firstLine="482" w:firstLineChars="200"/>
        <w:rPr>
          <w:rFonts w:hint="eastAsia" w:asciiTheme="minorEastAsia" w:hAnsiTheme="minorEastAsia" w:eastAsiaTheme="minorEastAsia" w:cstheme="minorEastAsia"/>
          <w:b/>
          <w:color w:val="auto"/>
          <w:sz w:val="24"/>
          <w:szCs w:val="24"/>
          <w:highlight w:val="none"/>
        </w:rPr>
      </w:pPr>
    </w:p>
    <w:p w14:paraId="0D9B4AE5">
      <w:pPr>
        <w:shd w:val="clear" w:color="auto" w:fill="auto"/>
        <w:tabs>
          <w:tab w:val="left" w:pos="180"/>
        </w:tabs>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注：</w:t>
      </w:r>
      <w:r>
        <w:rPr>
          <w:rFonts w:hint="eastAsia" w:asciiTheme="minorEastAsia" w:hAnsiTheme="minorEastAsia" w:eastAsiaTheme="minorEastAsia" w:cstheme="minorEastAsia"/>
          <w:b w:val="0"/>
          <w:bCs/>
          <w:color w:val="auto"/>
          <w:sz w:val="24"/>
          <w:szCs w:val="24"/>
          <w:highlight w:val="none"/>
          <w:lang w:val="en-US" w:eastAsia="zh-CN"/>
        </w:rPr>
        <w:t>1.报价须包含完成项目所必须的全部费用，包含人工费、材料费、机械费、运输费（含二次运输）、企业管理费、利润、税费等招标文件明示或暗示的所有费用</w:t>
      </w:r>
      <w:r>
        <w:rPr>
          <w:rFonts w:hint="eastAsia" w:asciiTheme="minorEastAsia" w:hAnsiTheme="minorEastAsia" w:eastAsiaTheme="minorEastAsia" w:cstheme="minorEastAsia"/>
          <w:b w:val="0"/>
          <w:bCs/>
          <w:color w:val="auto"/>
          <w:sz w:val="24"/>
          <w:szCs w:val="24"/>
          <w:highlight w:val="none"/>
        </w:rPr>
        <w:t>。</w:t>
      </w:r>
    </w:p>
    <w:p w14:paraId="12331ACE">
      <w:pPr>
        <w:pStyle w:val="2"/>
        <w:shd w:val="clear" w:color="auto" w:fill="auto"/>
        <w:tabs>
          <w:tab w:val="left" w:pos="5040"/>
        </w:tabs>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2.投标人</w:t>
      </w:r>
      <w:r>
        <w:rPr>
          <w:rFonts w:hint="eastAsia" w:asciiTheme="minorEastAsia" w:hAnsiTheme="minorEastAsia" w:eastAsiaTheme="minorEastAsia" w:cstheme="minorEastAsia"/>
          <w:bCs/>
          <w:color w:val="auto"/>
          <w:sz w:val="24"/>
          <w:szCs w:val="24"/>
          <w:highlight w:val="none"/>
        </w:rPr>
        <w:t>须按照满足</w:t>
      </w:r>
      <w:r>
        <w:rPr>
          <w:rFonts w:hint="eastAsia" w:asciiTheme="minorEastAsia" w:hAnsiTheme="minorEastAsia" w:eastAsiaTheme="minorEastAsia" w:cstheme="minorEastAsia"/>
          <w:bCs/>
          <w:color w:val="auto"/>
          <w:sz w:val="24"/>
          <w:szCs w:val="24"/>
          <w:highlight w:val="none"/>
          <w:lang w:val="en-US" w:eastAsia="zh-CN"/>
        </w:rPr>
        <w:t>项目</w:t>
      </w:r>
      <w:r>
        <w:rPr>
          <w:rFonts w:hint="eastAsia" w:asciiTheme="minorEastAsia" w:hAnsiTheme="minorEastAsia" w:eastAsiaTheme="minorEastAsia" w:cstheme="minorEastAsia"/>
          <w:bCs/>
          <w:color w:val="auto"/>
          <w:sz w:val="24"/>
          <w:szCs w:val="24"/>
          <w:highlight w:val="none"/>
        </w:rPr>
        <w:t>实际使用功能和</w:t>
      </w:r>
      <w:r>
        <w:rPr>
          <w:rFonts w:hint="eastAsia" w:asciiTheme="minorEastAsia" w:hAnsiTheme="minorEastAsia" w:eastAsiaTheme="minorEastAsia" w:cstheme="minorEastAsia"/>
          <w:bCs/>
          <w:color w:val="auto"/>
          <w:sz w:val="24"/>
          <w:szCs w:val="24"/>
          <w:highlight w:val="none"/>
          <w:lang w:eastAsia="zh-CN"/>
        </w:rPr>
        <w:t>项目</w:t>
      </w:r>
      <w:r>
        <w:rPr>
          <w:rFonts w:hint="eastAsia" w:asciiTheme="minorEastAsia" w:hAnsiTheme="minorEastAsia" w:eastAsiaTheme="minorEastAsia" w:cstheme="minorEastAsia"/>
          <w:bCs/>
          <w:color w:val="auto"/>
          <w:sz w:val="24"/>
          <w:szCs w:val="24"/>
          <w:highlight w:val="none"/>
        </w:rPr>
        <w:t>验收即投入使用的原则进行设备配置，</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不得以招标文件未明确包含为由，故意漏报、少报、瞒报，不得出现任何组成部件、配件、备件的缺失，否则</w:t>
      </w:r>
      <w:r>
        <w:rPr>
          <w:rFonts w:hint="eastAsia" w:asciiTheme="minorEastAsia" w:hAnsiTheme="minorEastAsia" w:eastAsiaTheme="minorEastAsia" w:cstheme="minorEastAsia"/>
          <w:bCs/>
          <w:color w:val="auto"/>
          <w:sz w:val="24"/>
          <w:szCs w:val="24"/>
          <w:highlight w:val="none"/>
          <w:lang w:val="en-US" w:eastAsia="zh-CN"/>
        </w:rPr>
        <w:t>采购人</w:t>
      </w:r>
      <w:r>
        <w:rPr>
          <w:rFonts w:hint="eastAsia" w:asciiTheme="minorEastAsia" w:hAnsiTheme="minorEastAsia" w:eastAsiaTheme="minorEastAsia" w:cstheme="minorEastAsia"/>
          <w:bCs/>
          <w:color w:val="auto"/>
          <w:sz w:val="24"/>
          <w:szCs w:val="24"/>
          <w:highlight w:val="none"/>
        </w:rPr>
        <w:t>除要求</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配齐所有缺失的设备外，有权拒付相关合同价款。</w:t>
      </w:r>
    </w:p>
    <w:p w14:paraId="69F79A83">
      <w:pPr>
        <w:shd w:val="clear" w:color="auto" w:fill="auto"/>
        <w:spacing w:line="360" w:lineRule="auto"/>
        <w:jc w:val="left"/>
        <w:rPr>
          <w:rFonts w:hint="eastAsia" w:asciiTheme="minorEastAsia" w:hAnsiTheme="minorEastAsia" w:eastAsiaTheme="minorEastAsia" w:cstheme="minorEastAsia"/>
          <w:color w:val="auto"/>
          <w:sz w:val="24"/>
          <w:szCs w:val="24"/>
          <w:highlight w:val="none"/>
          <w:lang w:val="en-US" w:eastAsia="zh-CN"/>
        </w:rPr>
      </w:pPr>
    </w:p>
    <w:p w14:paraId="7095B266">
      <w:pPr>
        <w:shd w:val="clear" w:color="auto" w:fill="auto"/>
        <w:spacing w:line="360" w:lineRule="auto"/>
        <w:jc w:val="left"/>
        <w:rPr>
          <w:rFonts w:hint="eastAsia" w:asciiTheme="minorEastAsia" w:hAnsiTheme="minorEastAsia" w:eastAsiaTheme="minorEastAsia" w:cstheme="minorEastAsia"/>
          <w:color w:val="auto"/>
          <w:sz w:val="24"/>
          <w:szCs w:val="24"/>
          <w:highlight w:val="none"/>
          <w:lang w:val="en-US" w:eastAsia="zh-CN"/>
        </w:rPr>
      </w:pPr>
    </w:p>
    <w:p w14:paraId="333CAB40">
      <w:pPr>
        <w:shd w:val="clear" w:color="auto" w:fill="auto"/>
        <w:spacing w:line="360" w:lineRule="auto"/>
        <w:jc w:val="left"/>
        <w:rPr>
          <w:rFonts w:hint="eastAsia" w:asciiTheme="minorEastAsia" w:hAnsiTheme="minorEastAsia" w:eastAsiaTheme="minorEastAsia" w:cstheme="minorEastAsia"/>
          <w:color w:val="auto"/>
          <w:sz w:val="24"/>
          <w:szCs w:val="24"/>
          <w:highlight w:val="none"/>
          <w:lang w:val="en-US" w:eastAsia="zh-CN"/>
        </w:rPr>
      </w:pPr>
    </w:p>
    <w:p w14:paraId="63DB9201">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  </w:t>
      </w:r>
    </w:p>
    <w:p w14:paraId="4A327185">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r>
        <w:rPr>
          <w:rFonts w:hint="eastAsia" w:asciiTheme="minorEastAsia" w:hAnsiTheme="minorEastAsia" w:eastAsiaTheme="minorEastAsia" w:cstheme="minorEastAsia"/>
          <w:color w:val="auto"/>
          <w:sz w:val="24"/>
          <w:szCs w:val="24"/>
          <w:highlight w:val="none"/>
        </w:rPr>
        <w:t xml:space="preserve"> </w:t>
      </w:r>
    </w:p>
    <w:p w14:paraId="7F394D8A">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75F6EA1">
      <w:pPr>
        <w:shd w:val="clear" w:color="auto" w:fill="auto"/>
        <w:jc w:val="center"/>
        <w:rPr>
          <w:rFonts w:hint="eastAsia" w:asciiTheme="minorEastAsia" w:hAnsiTheme="minorEastAsia" w:eastAsiaTheme="minorEastAsia" w:cstheme="minorEastAsia"/>
          <w:b/>
          <w:color w:val="auto"/>
          <w:sz w:val="24"/>
          <w:szCs w:val="24"/>
          <w:highlight w:val="none"/>
          <w:lang w:val="en-US" w:eastAsia="zh-CN"/>
        </w:rPr>
      </w:pPr>
    </w:p>
    <w:p w14:paraId="38C2DAC1">
      <w:pPr>
        <w:shd w:val="clear" w:color="auto" w:fill="auto"/>
        <w:jc w:val="center"/>
        <w:rPr>
          <w:rFonts w:hint="eastAsia" w:asciiTheme="minorEastAsia" w:hAnsiTheme="minorEastAsia" w:eastAsiaTheme="minorEastAsia" w:cstheme="minorEastAsia"/>
          <w:b/>
          <w:color w:val="auto"/>
          <w:sz w:val="24"/>
          <w:szCs w:val="24"/>
          <w:highlight w:val="none"/>
          <w:lang w:val="en-US" w:eastAsia="zh-CN"/>
        </w:rPr>
      </w:pPr>
    </w:p>
    <w:p w14:paraId="1BBDC954">
      <w:pPr>
        <w:shd w:val="clear" w:color="auto" w:fill="auto"/>
        <w:jc w:val="center"/>
        <w:rPr>
          <w:rFonts w:hint="eastAsia" w:asciiTheme="minorEastAsia" w:hAnsiTheme="minorEastAsia" w:eastAsiaTheme="minorEastAsia" w:cstheme="minorEastAsia"/>
          <w:b/>
          <w:color w:val="auto"/>
          <w:sz w:val="24"/>
          <w:szCs w:val="24"/>
          <w:highlight w:val="none"/>
          <w:lang w:val="en-US" w:eastAsia="zh-CN"/>
        </w:rPr>
      </w:pPr>
    </w:p>
    <w:p w14:paraId="1464FB26">
      <w:pPr>
        <w:shd w:val="clear" w:color="auto" w:fill="auto"/>
        <w:jc w:val="center"/>
        <w:rPr>
          <w:rFonts w:hint="eastAsia" w:asciiTheme="minorEastAsia" w:hAnsiTheme="minorEastAsia" w:eastAsiaTheme="minorEastAsia" w:cstheme="minorEastAsia"/>
          <w:b/>
          <w:color w:val="auto"/>
          <w:sz w:val="24"/>
          <w:szCs w:val="24"/>
          <w:highlight w:val="none"/>
          <w:lang w:val="en-US" w:eastAsia="zh-CN"/>
        </w:rPr>
      </w:pPr>
    </w:p>
    <w:p w14:paraId="668E5A13">
      <w:pP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br w:type="page"/>
      </w:r>
    </w:p>
    <w:p w14:paraId="1ACA91CB">
      <w:pPr>
        <w:shd w:val="clear" w:color="auto" w:fill="auto"/>
        <w:jc w:val="center"/>
        <w:outlineLvl w:val="1"/>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val="en-US" w:eastAsia="zh-CN"/>
        </w:rPr>
        <w:t>二</w:t>
      </w:r>
      <w:r>
        <w:rPr>
          <w:rFonts w:hint="eastAsia" w:asciiTheme="minorEastAsia" w:hAnsiTheme="minorEastAsia" w:eastAsiaTheme="minorEastAsia" w:cstheme="minorEastAsia"/>
          <w:b/>
          <w:color w:val="auto"/>
          <w:sz w:val="36"/>
          <w:szCs w:val="36"/>
          <w:highlight w:val="none"/>
        </w:rPr>
        <w:t>、投标函</w:t>
      </w:r>
    </w:p>
    <w:p w14:paraId="445F9E97">
      <w:pPr>
        <w:keepNext w:val="0"/>
        <w:keepLines w:val="0"/>
        <w:pageBreakBefore w:val="0"/>
        <w:widowControl w:val="0"/>
        <w:shd w:val="clear" w:color="auto" w:fill="auto"/>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0684292C">
      <w:pPr>
        <w:keepNext w:val="0"/>
        <w:keepLines w:val="0"/>
        <w:pageBreakBefore w:val="0"/>
        <w:widowControl w:val="0"/>
        <w:shd w:val="clear" w:color="auto" w:fill="auto"/>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（采购人）</w:t>
      </w:r>
      <w:r>
        <w:rPr>
          <w:rFonts w:hint="eastAsia" w:asciiTheme="minorEastAsia" w:hAnsiTheme="minorEastAsia" w:eastAsiaTheme="minorEastAsia" w:cstheme="minorEastAsia"/>
          <w:color w:val="auto"/>
          <w:sz w:val="24"/>
          <w:szCs w:val="24"/>
          <w:highlight w:val="none"/>
          <w:u w:val="none"/>
        </w:rPr>
        <w:t>：</w:t>
      </w:r>
    </w:p>
    <w:p w14:paraId="538C3BE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根据贵方</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公告，正式授权下述签字人</w:t>
      </w:r>
      <w:r>
        <w:rPr>
          <w:rFonts w:hint="eastAsia" w:asciiTheme="minorEastAsia" w:hAnsiTheme="minorEastAsia" w:eastAsiaTheme="minorEastAsia" w:cstheme="minorEastAsia"/>
          <w:color w:val="auto"/>
          <w:sz w:val="24"/>
          <w:szCs w:val="24"/>
          <w:highlight w:val="none"/>
          <w:u w:val="single"/>
        </w:rPr>
        <w:t xml:space="preserve"> （姓名和职务） </w:t>
      </w:r>
      <w:r>
        <w:rPr>
          <w:rFonts w:hint="eastAsia" w:asciiTheme="minorEastAsia" w:hAnsiTheme="minorEastAsia" w:eastAsiaTheme="minorEastAsia" w:cstheme="minorEastAsia"/>
          <w:color w:val="auto"/>
          <w:sz w:val="24"/>
          <w:szCs w:val="24"/>
          <w:highlight w:val="none"/>
        </w:rPr>
        <w:t>全权代表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投标人</w:t>
      </w:r>
      <w:r>
        <w:rPr>
          <w:rFonts w:hint="eastAsia" w:asciiTheme="minorEastAsia" w:hAnsiTheme="minorEastAsia" w:eastAsiaTheme="minorEastAsia" w:cstheme="minorEastAsia"/>
          <w:color w:val="auto"/>
          <w:sz w:val="24"/>
          <w:szCs w:val="24"/>
          <w:highlight w:val="none"/>
          <w:u w:val="single"/>
        </w:rPr>
        <w:t xml:space="preserve">全称）   </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lang w:eastAsia="zh-CN"/>
        </w:rPr>
        <w:t>标</w:t>
      </w:r>
      <w:r>
        <w:rPr>
          <w:rFonts w:hint="eastAsia" w:asciiTheme="minorEastAsia" w:hAnsiTheme="minorEastAsia" w:eastAsiaTheme="minorEastAsia" w:cstheme="minorEastAsia"/>
          <w:color w:val="auto"/>
          <w:sz w:val="24"/>
          <w:szCs w:val="24"/>
          <w:highlight w:val="none"/>
        </w:rPr>
        <w:t>，并提交</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w:t>
      </w:r>
    </w:p>
    <w:p w14:paraId="43513E5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008529F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val="en-US" w:eastAsia="zh-CN"/>
        </w:rPr>
        <w:t>第六章“采购需求”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开标</w:t>
      </w:r>
      <w:r>
        <w:rPr>
          <w:rFonts w:hint="eastAsia" w:asciiTheme="minorEastAsia" w:hAnsiTheme="minorEastAsia" w:eastAsiaTheme="minorEastAsia" w:cstheme="minorEastAsia"/>
          <w:color w:val="auto"/>
          <w:sz w:val="24"/>
          <w:szCs w:val="24"/>
          <w:highlight w:val="none"/>
        </w:rPr>
        <w:t>一览表》。</w:t>
      </w:r>
    </w:p>
    <w:p w14:paraId="187BEE5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有效期为</w:t>
      </w:r>
      <w:r>
        <w:rPr>
          <w:rFonts w:hint="eastAsia" w:asciiTheme="minorEastAsia" w:hAnsiTheme="minorEastAsia" w:eastAsiaTheme="minorEastAsia" w:cstheme="minorEastAsia"/>
          <w:color w:val="auto"/>
          <w:sz w:val="24"/>
          <w:szCs w:val="24"/>
          <w:highlight w:val="none"/>
          <w:u w:val="none"/>
          <w:lang w:val="en-US" w:eastAsia="zh-CN"/>
        </w:rPr>
        <w:t>90</w:t>
      </w:r>
      <w:r>
        <w:rPr>
          <w:rFonts w:hint="eastAsia" w:asciiTheme="minorEastAsia" w:hAnsiTheme="minorEastAsia" w:eastAsiaTheme="minorEastAsia" w:cstheme="minorEastAsia"/>
          <w:color w:val="auto"/>
          <w:sz w:val="24"/>
          <w:szCs w:val="24"/>
          <w:highlight w:val="none"/>
        </w:rPr>
        <w:t>日历天，自</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截止时间算起。我方同意在规定的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有效期遵循本</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有效期满之前均具有约束力。如果我方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被接受，则至合同履行完为止，本函保持有效。</w:t>
      </w:r>
    </w:p>
    <w:p w14:paraId="2D481EB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应当具备的条件。</w:t>
      </w:r>
    </w:p>
    <w:p w14:paraId="08FDC9F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614433A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文件，我方知道必须放弃提出含糊不清或误解问题的权利。</w:t>
      </w:r>
    </w:p>
    <w:p w14:paraId="3F0DDC8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有关的任何数据或资料。</w:t>
      </w:r>
    </w:p>
    <w:p w14:paraId="0450FC76">
      <w:pPr>
        <w:shd w:val="clear" w:color="auto" w:fill="auto"/>
        <w:spacing w:line="360" w:lineRule="auto"/>
        <w:ind w:firstLine="1260" w:firstLineChars="6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p>
    <w:p w14:paraId="25A4303B">
      <w:pPr>
        <w:shd w:val="clear" w:color="auto" w:fill="auto"/>
        <w:spacing w:line="360" w:lineRule="auto"/>
        <w:ind w:firstLine="1260" w:firstLineChars="600"/>
        <w:rPr>
          <w:rFonts w:hint="eastAsia" w:asciiTheme="minorEastAsia" w:hAnsiTheme="minorEastAsia" w:eastAsiaTheme="minorEastAsia" w:cstheme="minorEastAsia"/>
          <w:color w:val="auto"/>
          <w:szCs w:val="21"/>
          <w:highlight w:val="none"/>
        </w:rPr>
      </w:pPr>
    </w:p>
    <w:p w14:paraId="49449E76">
      <w:pPr>
        <w:shd w:val="clear" w:color="auto" w:fill="auto"/>
        <w:spacing w:line="360" w:lineRule="auto"/>
        <w:ind w:firstLine="1260" w:firstLineChars="600"/>
        <w:rPr>
          <w:rFonts w:hint="eastAsia" w:asciiTheme="minorEastAsia" w:hAnsiTheme="minorEastAsia" w:eastAsiaTheme="minorEastAsia" w:cstheme="minorEastAsia"/>
          <w:color w:val="auto"/>
          <w:szCs w:val="21"/>
          <w:highlight w:val="none"/>
        </w:rPr>
      </w:pPr>
    </w:p>
    <w:p w14:paraId="5FA829CD">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right="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37D36A94">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right="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5B42A8E">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317B13EB">
      <w:pPr>
        <w:shd w:val="clear" w:color="auto" w:fill="auto"/>
        <w:jc w:val="center"/>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kern w:val="0"/>
          <w:szCs w:val="21"/>
          <w:highlight w:val="none"/>
        </w:rPr>
        <w:br w:type="page"/>
      </w:r>
      <w:bookmarkStart w:id="112" w:name="_Toc403511224"/>
      <w:r>
        <w:rPr>
          <w:rFonts w:hint="eastAsia" w:asciiTheme="minorEastAsia" w:hAnsiTheme="minorEastAsia" w:eastAsiaTheme="minorEastAsia" w:cstheme="minorEastAsia"/>
          <w:b/>
          <w:color w:val="auto"/>
          <w:kern w:val="0"/>
          <w:sz w:val="36"/>
          <w:szCs w:val="36"/>
          <w:highlight w:val="none"/>
          <w:lang w:val="en-US" w:eastAsia="zh-CN"/>
        </w:rPr>
        <w:t>三</w:t>
      </w:r>
      <w:r>
        <w:rPr>
          <w:rFonts w:hint="eastAsia" w:asciiTheme="minorEastAsia" w:hAnsiTheme="minorEastAsia" w:eastAsiaTheme="minorEastAsia" w:cstheme="minorEastAsia"/>
          <w:b/>
          <w:color w:val="auto"/>
          <w:sz w:val="36"/>
          <w:szCs w:val="36"/>
          <w:highlight w:val="none"/>
        </w:rPr>
        <w:t>、法定代表人身份证明</w:t>
      </w:r>
      <w:bookmarkEnd w:id="112"/>
    </w:p>
    <w:p w14:paraId="6567B4CC">
      <w:pPr>
        <w:shd w:val="clear" w:color="auto" w:fill="auto"/>
        <w:spacing w:line="360" w:lineRule="auto"/>
        <w:rPr>
          <w:rFonts w:hint="eastAsia" w:asciiTheme="minorEastAsia" w:hAnsiTheme="minorEastAsia" w:eastAsiaTheme="minorEastAsia" w:cstheme="minorEastAsia"/>
          <w:color w:val="auto"/>
          <w:szCs w:val="21"/>
          <w:highlight w:val="none"/>
        </w:rPr>
      </w:pPr>
    </w:p>
    <w:p w14:paraId="0EFCF414">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07AE45E4">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73356D88">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AC6AC51">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14:paraId="4F28D1C6">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14:paraId="013D59C9">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名称）的法定代表人。</w:t>
      </w:r>
    </w:p>
    <w:p w14:paraId="52C74114">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14:paraId="3969DCCB">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F096575">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p>
    <w:p w14:paraId="79911CE3">
      <w:pPr>
        <w:keepNext w:val="0"/>
        <w:keepLines w:val="0"/>
        <w:pageBreakBefore w:val="0"/>
        <w:widowControl w:val="0"/>
        <w:shd w:val="clear" w:color="auto" w:fill="auto"/>
        <w:kinsoku/>
        <w:wordWrap/>
        <w:overflowPunct/>
        <w:topLine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0C1F9942">
      <w:pPr>
        <w:keepNext w:val="0"/>
        <w:keepLines w:val="0"/>
        <w:pageBreakBefore w:val="0"/>
        <w:widowControl w:val="0"/>
        <w:shd w:val="clear" w:color="auto" w:fill="auto"/>
        <w:kinsoku/>
        <w:wordWrap/>
        <w:overflow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14:paraId="234A990C">
      <w:pPr>
        <w:shd w:val="clear" w:color="auto" w:fill="auto"/>
        <w:spacing w:line="360" w:lineRule="auto"/>
        <w:ind w:left="5280" w:hanging="5280" w:hangingChars="2200"/>
        <w:rPr>
          <w:rFonts w:hint="eastAsia" w:asciiTheme="minorEastAsia" w:hAnsiTheme="minorEastAsia" w:eastAsiaTheme="minorEastAsia" w:cstheme="minorEastAsia"/>
          <w:color w:val="auto"/>
          <w:sz w:val="24"/>
          <w:szCs w:val="24"/>
          <w:highlight w:val="none"/>
        </w:rPr>
      </w:pPr>
    </w:p>
    <w:p w14:paraId="2EC24DAE">
      <w:pPr>
        <w:shd w:val="clear" w:color="auto" w:fill="auto"/>
        <w:spacing w:line="360" w:lineRule="auto"/>
        <w:ind w:firstLine="480" w:firstLineChars="200"/>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szCs w:val="24"/>
          <w:highlight w:val="none"/>
        </w:rPr>
        <w:t>注：附法定代表人身份证（正反面）</w:t>
      </w:r>
    </w:p>
    <w:p w14:paraId="2CF9B08C">
      <w:pPr>
        <w:shd w:val="clear" w:color="auto" w:fill="auto"/>
        <w:spacing w:line="360" w:lineRule="auto"/>
        <w:ind w:firstLine="562" w:firstLineChars="200"/>
        <w:jc w:val="center"/>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sz w:val="36"/>
          <w:szCs w:val="36"/>
          <w:highlight w:val="none"/>
          <w:lang w:val="en-US" w:eastAsia="zh-CN"/>
        </w:rPr>
        <w:t>四</w:t>
      </w:r>
      <w:r>
        <w:rPr>
          <w:rFonts w:hint="eastAsia" w:asciiTheme="minorEastAsia" w:hAnsiTheme="minorEastAsia" w:eastAsiaTheme="minorEastAsia" w:cstheme="minorEastAsia"/>
          <w:b/>
          <w:color w:val="auto"/>
          <w:sz w:val="36"/>
          <w:szCs w:val="36"/>
          <w:highlight w:val="none"/>
        </w:rPr>
        <w:t>、授权委托书</w:t>
      </w:r>
    </w:p>
    <w:p w14:paraId="2867D9E2">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7439FBD">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（姓名）为我方代理人。代理人根据授权，以我方名义签署、澄清、递交、撤回、修改</w:t>
      </w:r>
      <w:r>
        <w:rPr>
          <w:rFonts w:hint="eastAsia" w:asciiTheme="minorEastAsia" w:hAnsiTheme="minorEastAsia" w:eastAsiaTheme="minorEastAsia" w:cstheme="minorEastAsia"/>
          <w:color w:val="auto"/>
          <w:sz w:val="24"/>
          <w:szCs w:val="24"/>
          <w:highlight w:val="none"/>
          <w:u w:val="single"/>
        </w:rPr>
        <w:t xml:space="preserve">                  （采购项目名称）</w:t>
      </w:r>
      <w:r>
        <w:rPr>
          <w:rFonts w:hint="eastAsia" w:asciiTheme="minorEastAsia" w:hAnsiTheme="minorEastAsia" w:eastAsiaTheme="minorEastAsia" w:cstheme="minorEastAsia"/>
          <w:color w:val="auto"/>
          <w:sz w:val="24"/>
          <w:szCs w:val="24"/>
          <w:highlight w:val="none"/>
        </w:rPr>
        <w:t>投标文件及投标过程中的相关承诺文件，其法律后果由我方承担。</w:t>
      </w:r>
    </w:p>
    <w:p w14:paraId="3009CBCD">
      <w:pPr>
        <w:shd w:val="clear" w:color="auto" w:fill="auto"/>
        <w:topLinePunct/>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4A98E927">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3BF87662">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3616CEA4">
      <w:pPr>
        <w:shd w:val="clear" w:color="auto" w:fill="auto"/>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附：代理人身份证（正反面）</w:t>
      </w:r>
    </w:p>
    <w:p w14:paraId="0F3294F0">
      <w:pPr>
        <w:shd w:val="clear" w:color="auto" w:fill="auto"/>
        <w:topLinePunct/>
        <w:spacing w:line="360" w:lineRule="auto"/>
        <w:rPr>
          <w:rFonts w:hint="eastAsia" w:asciiTheme="minorEastAsia" w:hAnsiTheme="minorEastAsia" w:eastAsiaTheme="minorEastAsia" w:cstheme="minorEastAsia"/>
          <w:color w:val="auto"/>
          <w:sz w:val="24"/>
          <w:szCs w:val="24"/>
          <w:highlight w:val="none"/>
        </w:rPr>
      </w:pPr>
    </w:p>
    <w:p w14:paraId="5D41530A">
      <w:pPr>
        <w:keepNext w:val="0"/>
        <w:keepLines w:val="0"/>
        <w:pageBreakBefore w:val="0"/>
        <w:widowControl w:val="0"/>
        <w:shd w:val="clear" w:color="auto" w:fill="auto"/>
        <w:kinsoku/>
        <w:wordWrap/>
        <w:overflowPunct/>
        <w:topLine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7CDB8A50">
      <w:pPr>
        <w:keepNext w:val="0"/>
        <w:keepLines w:val="0"/>
        <w:pageBreakBefore w:val="0"/>
        <w:widowControl w:val="0"/>
        <w:shd w:val="clear" w:color="auto" w:fill="auto"/>
        <w:kinsoku/>
        <w:wordWrap/>
        <w:overflowPunct/>
        <w:topLine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r>
        <w:rPr>
          <w:rFonts w:hint="eastAsia" w:asciiTheme="minorEastAsia" w:hAnsiTheme="minorEastAsia" w:eastAsiaTheme="minorEastAsia" w:cstheme="minorEastAsia"/>
          <w:color w:val="auto"/>
          <w:sz w:val="24"/>
          <w:szCs w:val="24"/>
          <w:highlight w:val="none"/>
          <w:lang w:val="en-US" w:eastAsia="zh-CN"/>
        </w:rPr>
        <w:t>或签字</w:t>
      </w:r>
      <w:r>
        <w:rPr>
          <w:rFonts w:hint="eastAsia" w:asciiTheme="minorEastAsia" w:hAnsiTheme="minorEastAsia" w:eastAsiaTheme="minorEastAsia" w:cstheme="minorEastAsia"/>
          <w:color w:val="auto"/>
          <w:sz w:val="24"/>
          <w:szCs w:val="24"/>
          <w:highlight w:val="none"/>
        </w:rPr>
        <w:t>）</w:t>
      </w:r>
    </w:p>
    <w:p w14:paraId="3D058079">
      <w:pPr>
        <w:keepNext w:val="0"/>
        <w:keepLines w:val="0"/>
        <w:pageBreakBefore w:val="0"/>
        <w:widowControl w:val="0"/>
        <w:shd w:val="clear" w:color="auto" w:fill="auto"/>
        <w:kinsoku/>
        <w:wordWrap/>
        <w:overflowPunct/>
        <w:topLine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02BE06C3">
      <w:pPr>
        <w:keepNext w:val="0"/>
        <w:keepLines w:val="0"/>
        <w:pageBreakBefore w:val="0"/>
        <w:widowControl w:val="0"/>
        <w:shd w:val="clear" w:color="auto" w:fill="auto"/>
        <w:kinsoku/>
        <w:wordWrap/>
        <w:overflowPunct/>
        <w:topLine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   </w:t>
      </w:r>
    </w:p>
    <w:p w14:paraId="33665956">
      <w:pPr>
        <w:keepNext w:val="0"/>
        <w:keepLines w:val="0"/>
        <w:pageBreakBefore w:val="0"/>
        <w:widowControl w:val="0"/>
        <w:shd w:val="clear" w:color="auto" w:fill="auto"/>
        <w:kinsoku/>
        <w:wordWrap/>
        <w:overflowPunct/>
        <w:topLine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5341E89E">
      <w:pPr>
        <w:keepNext w:val="0"/>
        <w:keepLines w:val="0"/>
        <w:pageBreakBefore w:val="0"/>
        <w:widowControl w:val="0"/>
        <w:shd w:val="clear" w:color="auto" w:fill="auto"/>
        <w:kinsoku/>
        <w:wordWrap/>
        <w:overflowPunct/>
        <w:autoSpaceDE/>
        <w:autoSpaceDN/>
        <w:bidi w:val="0"/>
        <w:adjustRightInd/>
        <w:snapToGrid w:val="0"/>
        <w:spacing w:line="480" w:lineRule="auto"/>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14:paraId="1F877AD1">
      <w:pPr>
        <w:shd w:val="clear" w:color="auto" w:fill="auto"/>
        <w:spacing w:line="360" w:lineRule="auto"/>
        <w:jc w:val="center"/>
        <w:rPr>
          <w:rFonts w:hint="eastAsia" w:asciiTheme="minorEastAsia" w:hAnsiTheme="minorEastAsia" w:eastAsiaTheme="minorEastAsia" w:cstheme="minorEastAsia"/>
          <w:color w:val="auto"/>
          <w:szCs w:val="21"/>
          <w:highlight w:val="none"/>
        </w:rPr>
      </w:pPr>
      <w:bookmarkStart w:id="113" w:name="_Toc403511225"/>
      <w:r>
        <w:rPr>
          <w:rFonts w:hint="eastAsia" w:asciiTheme="minorEastAsia" w:hAnsiTheme="minorEastAsia" w:eastAsiaTheme="minorEastAsia" w:cstheme="minorEastAsia"/>
          <w:b/>
          <w:color w:val="auto"/>
          <w:sz w:val="28"/>
          <w:szCs w:val="28"/>
          <w:highlight w:val="none"/>
        </w:rPr>
        <w:br w:type="page"/>
      </w:r>
      <w:bookmarkEnd w:id="113"/>
    </w:p>
    <w:p w14:paraId="049CB696">
      <w:pPr>
        <w:shd w:val="clear" w:color="auto" w:fill="auto"/>
        <w:jc w:val="center"/>
        <w:outlineLvl w:val="1"/>
        <w:rPr>
          <w:rFonts w:hint="eastAsia" w:asciiTheme="minorEastAsia" w:hAnsiTheme="minorEastAsia" w:eastAsiaTheme="minorEastAsia" w:cstheme="minorEastAsia"/>
          <w:b/>
          <w:color w:val="auto"/>
          <w:sz w:val="36"/>
          <w:szCs w:val="36"/>
          <w:highlight w:val="none"/>
        </w:rPr>
      </w:pPr>
      <w:bookmarkStart w:id="114" w:name="_Toc403511226"/>
      <w:r>
        <w:rPr>
          <w:rFonts w:hint="eastAsia" w:asciiTheme="minorEastAsia" w:hAnsiTheme="minorEastAsia" w:eastAsiaTheme="minorEastAsia" w:cstheme="minorEastAsia"/>
          <w:b/>
          <w:color w:val="auto"/>
          <w:sz w:val="36"/>
          <w:szCs w:val="36"/>
          <w:highlight w:val="none"/>
          <w:lang w:val="en-US" w:eastAsia="zh-CN"/>
        </w:rPr>
        <w:t>五</w:t>
      </w:r>
      <w:r>
        <w:rPr>
          <w:rFonts w:hint="eastAsia" w:asciiTheme="minorEastAsia" w:hAnsiTheme="minorEastAsia" w:eastAsiaTheme="minorEastAsia" w:cstheme="minorEastAsia"/>
          <w:b/>
          <w:color w:val="auto"/>
          <w:sz w:val="36"/>
          <w:szCs w:val="36"/>
          <w:highlight w:val="none"/>
        </w:rPr>
        <w:t>、商务条款偏离表</w:t>
      </w:r>
      <w:bookmarkEnd w:id="114"/>
    </w:p>
    <w:p w14:paraId="17281B10">
      <w:pPr>
        <w:pStyle w:val="2"/>
        <w:shd w:val="clear" w:color="auto" w:fill="auto"/>
        <w:rPr>
          <w:rFonts w:hint="eastAsia" w:asciiTheme="minorEastAsia" w:hAnsiTheme="minorEastAsia" w:eastAsiaTheme="minorEastAsia" w:cstheme="minorEastAsia"/>
          <w:color w:val="auto"/>
          <w:szCs w:val="21"/>
          <w:highlight w:val="none"/>
        </w:rPr>
      </w:pPr>
    </w:p>
    <w:p w14:paraId="26CD25E9">
      <w:pPr>
        <w:pStyle w:val="2"/>
        <w:shd w:val="clear" w:color="auto" w:fil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3B993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noWrap w:val="0"/>
            <w:vAlign w:val="center"/>
          </w:tcPr>
          <w:p w14:paraId="12A717ED">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noWrap w:val="0"/>
            <w:vAlign w:val="center"/>
          </w:tcPr>
          <w:p w14:paraId="526A32AE">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noWrap w:val="0"/>
            <w:vAlign w:val="center"/>
          </w:tcPr>
          <w:p w14:paraId="147DAED1">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noWrap w:val="0"/>
            <w:vAlign w:val="center"/>
          </w:tcPr>
          <w:p w14:paraId="70137EB3">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053A8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246247C1">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15618F2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579CD8A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336E798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61F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4558CB3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03E9C5E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5C70BEC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1FE9A10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D81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7EC0FEB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6D44D3E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5A23E79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3CE765B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4CC9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1277305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355D86E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6CEC156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7F1CC73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5673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46C07D1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00A97C0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1C4DE48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6E71460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0F7BB1EB">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“偏离性质”系指“正偏离”、“负偏离”或“无偏离”。</w:t>
      </w:r>
    </w:p>
    <w:p w14:paraId="592F3E60">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投标文件商务条款如与招标文件的要求有偏离，请认真填写该表。如无偏离，则只需注明“无偏离”即可，无需另行填表。</w:t>
      </w:r>
    </w:p>
    <w:p w14:paraId="36BB9F83">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0E4591CE">
      <w:pPr>
        <w:shd w:val="clear" w:color="auto" w:fill="auto"/>
        <w:spacing w:line="360" w:lineRule="auto"/>
        <w:rPr>
          <w:rFonts w:hint="eastAsia" w:asciiTheme="minorEastAsia" w:hAnsiTheme="minorEastAsia" w:eastAsiaTheme="minorEastAsia" w:cstheme="minorEastAsia"/>
          <w:color w:val="auto"/>
          <w:szCs w:val="21"/>
          <w:highlight w:val="none"/>
        </w:rPr>
      </w:pPr>
    </w:p>
    <w:p w14:paraId="50FE877D">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59304424">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5FBBA07A">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46CD8D56">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68FF9747">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3E48CA5">
      <w:pPr>
        <w:shd w:val="clear" w:color="auto" w:fill="auto"/>
        <w:jc w:val="center"/>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Cs w:val="21"/>
          <w:highlight w:val="none"/>
        </w:rPr>
        <w:br w:type="page"/>
      </w:r>
      <w:r>
        <w:rPr>
          <w:rFonts w:hint="eastAsia" w:asciiTheme="minorEastAsia" w:hAnsiTheme="minorEastAsia" w:eastAsiaTheme="minorEastAsia" w:cstheme="minorEastAsia"/>
          <w:b/>
          <w:color w:val="auto"/>
          <w:sz w:val="36"/>
          <w:szCs w:val="36"/>
          <w:highlight w:val="none"/>
          <w:lang w:val="en-US" w:eastAsia="zh-CN"/>
        </w:rPr>
        <w:t>六</w:t>
      </w:r>
      <w:r>
        <w:rPr>
          <w:rFonts w:hint="eastAsia" w:asciiTheme="minorEastAsia" w:hAnsiTheme="minorEastAsia" w:eastAsiaTheme="minorEastAsia" w:cstheme="minorEastAsia"/>
          <w:b/>
          <w:color w:val="auto"/>
          <w:sz w:val="36"/>
          <w:szCs w:val="36"/>
          <w:highlight w:val="none"/>
        </w:rPr>
        <w:t>、</w:t>
      </w:r>
      <w:r>
        <w:rPr>
          <w:rFonts w:hint="eastAsia" w:asciiTheme="minorEastAsia" w:hAnsiTheme="minorEastAsia" w:eastAsiaTheme="minorEastAsia" w:cstheme="minorEastAsia"/>
          <w:b/>
          <w:color w:val="auto"/>
          <w:sz w:val="36"/>
          <w:szCs w:val="36"/>
          <w:highlight w:val="none"/>
          <w:lang w:val="en-US" w:eastAsia="zh-CN"/>
        </w:rPr>
        <w:t>投标人</w:t>
      </w:r>
      <w:r>
        <w:rPr>
          <w:rFonts w:hint="eastAsia" w:asciiTheme="minorEastAsia" w:hAnsiTheme="minorEastAsia" w:eastAsiaTheme="minorEastAsia" w:cstheme="minorEastAsia"/>
          <w:b/>
          <w:color w:val="auto"/>
          <w:sz w:val="36"/>
          <w:szCs w:val="36"/>
          <w:highlight w:val="none"/>
        </w:rPr>
        <w:t>基本情况表</w:t>
      </w:r>
    </w:p>
    <w:tbl>
      <w:tblPr>
        <w:tblStyle w:val="24"/>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875"/>
        <w:gridCol w:w="255"/>
        <w:gridCol w:w="1548"/>
        <w:gridCol w:w="344"/>
        <w:gridCol w:w="1191"/>
        <w:gridCol w:w="861"/>
        <w:gridCol w:w="1729"/>
      </w:tblGrid>
      <w:tr w14:paraId="1AF5F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0DFE3FF">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名称</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667DCB8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430EA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0F1368B">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4022" w:type="dxa"/>
            <w:gridSpan w:val="4"/>
            <w:tcBorders>
              <w:top w:val="single" w:color="auto" w:sz="4" w:space="0"/>
              <w:left w:val="single" w:color="auto" w:sz="4" w:space="0"/>
              <w:bottom w:val="single" w:color="auto" w:sz="4" w:space="0"/>
              <w:right w:val="single" w:color="auto" w:sz="4" w:space="0"/>
            </w:tcBorders>
            <w:noWrap w:val="0"/>
            <w:vAlign w:val="center"/>
          </w:tcPr>
          <w:p w14:paraId="7CEEE9E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23A5D01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590" w:type="dxa"/>
            <w:gridSpan w:val="2"/>
            <w:tcBorders>
              <w:top w:val="single" w:color="auto" w:sz="4" w:space="0"/>
              <w:left w:val="single" w:color="auto" w:sz="4" w:space="0"/>
              <w:bottom w:val="single" w:color="auto" w:sz="4" w:space="0"/>
              <w:right w:val="single" w:color="auto" w:sz="4" w:space="0"/>
            </w:tcBorders>
            <w:noWrap w:val="0"/>
            <w:vAlign w:val="center"/>
          </w:tcPr>
          <w:p w14:paraId="23B732B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B4A6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noWrap w:val="0"/>
            <w:vAlign w:val="center"/>
          </w:tcPr>
          <w:p w14:paraId="50A05482">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1875" w:type="dxa"/>
            <w:tcBorders>
              <w:top w:val="single" w:color="auto" w:sz="4" w:space="0"/>
              <w:left w:val="single" w:color="auto" w:sz="4" w:space="0"/>
              <w:bottom w:val="single" w:color="auto" w:sz="4" w:space="0"/>
              <w:right w:val="single" w:color="auto" w:sz="4" w:space="0"/>
            </w:tcBorders>
            <w:noWrap w:val="0"/>
            <w:vAlign w:val="center"/>
          </w:tcPr>
          <w:p w14:paraId="4FF74F4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2147" w:type="dxa"/>
            <w:gridSpan w:val="3"/>
            <w:tcBorders>
              <w:top w:val="single" w:color="auto" w:sz="4" w:space="0"/>
              <w:left w:val="single" w:color="auto" w:sz="4" w:space="0"/>
              <w:bottom w:val="single" w:color="auto" w:sz="4" w:space="0"/>
              <w:right w:val="single" w:color="auto" w:sz="4" w:space="0"/>
            </w:tcBorders>
            <w:noWrap w:val="0"/>
            <w:vAlign w:val="center"/>
          </w:tcPr>
          <w:p w14:paraId="5F139C4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B3598FA">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590" w:type="dxa"/>
            <w:gridSpan w:val="2"/>
            <w:tcBorders>
              <w:top w:val="single" w:color="auto" w:sz="4" w:space="0"/>
              <w:left w:val="single" w:color="auto" w:sz="4" w:space="0"/>
              <w:bottom w:val="single" w:color="auto" w:sz="4" w:space="0"/>
              <w:right w:val="single" w:color="auto" w:sz="4" w:space="0"/>
            </w:tcBorders>
            <w:noWrap w:val="0"/>
            <w:vAlign w:val="center"/>
          </w:tcPr>
          <w:p w14:paraId="4B8485C3">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0C09C6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noWrap w:val="0"/>
            <w:vAlign w:val="center"/>
          </w:tcPr>
          <w:p w14:paraId="21C6C10E">
            <w:pPr>
              <w:widowControl/>
              <w:shd w:val="clear" w:color="auto" w:fill="auto"/>
              <w:jc w:val="center"/>
              <w:rPr>
                <w:rFonts w:hint="eastAsia" w:asciiTheme="minorEastAsia" w:hAnsiTheme="minorEastAsia" w:eastAsiaTheme="minorEastAsia" w:cstheme="minorEastAsia"/>
                <w:color w:val="auto"/>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noWrap w:val="0"/>
            <w:vAlign w:val="center"/>
          </w:tcPr>
          <w:p w14:paraId="7B69835A">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2147" w:type="dxa"/>
            <w:gridSpan w:val="3"/>
            <w:tcBorders>
              <w:top w:val="single" w:color="auto" w:sz="4" w:space="0"/>
              <w:left w:val="single" w:color="auto" w:sz="4" w:space="0"/>
              <w:bottom w:val="single" w:color="auto" w:sz="4" w:space="0"/>
              <w:right w:val="single" w:color="auto" w:sz="4" w:space="0"/>
            </w:tcBorders>
            <w:noWrap w:val="0"/>
            <w:vAlign w:val="center"/>
          </w:tcPr>
          <w:p w14:paraId="7CC3C13B">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0E54AA9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2590" w:type="dxa"/>
            <w:gridSpan w:val="2"/>
            <w:tcBorders>
              <w:top w:val="single" w:color="auto" w:sz="4" w:space="0"/>
              <w:left w:val="single" w:color="auto" w:sz="4" w:space="0"/>
              <w:bottom w:val="single" w:color="auto" w:sz="4" w:space="0"/>
              <w:right w:val="single" w:color="auto" w:sz="4" w:space="0"/>
            </w:tcBorders>
            <w:noWrap w:val="0"/>
            <w:vAlign w:val="center"/>
          </w:tcPr>
          <w:p w14:paraId="7A36300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33327A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6B957345">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3D4546D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3AF787B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gridSpan w:val="2"/>
            <w:tcBorders>
              <w:top w:val="single" w:color="auto" w:sz="4" w:space="0"/>
              <w:left w:val="single" w:color="auto" w:sz="4" w:space="0"/>
              <w:bottom w:val="single" w:color="auto" w:sz="4" w:space="0"/>
              <w:right w:val="single" w:color="auto" w:sz="4" w:space="0"/>
            </w:tcBorders>
            <w:noWrap w:val="0"/>
            <w:vAlign w:val="center"/>
          </w:tcPr>
          <w:p w14:paraId="6E0F44B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noWrap w:val="0"/>
            <w:vAlign w:val="center"/>
          </w:tcPr>
          <w:p w14:paraId="78B8746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noWrap w:val="0"/>
            <w:vAlign w:val="center"/>
          </w:tcPr>
          <w:p w14:paraId="15CAFB90">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6E7B9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E150CF8">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27EEBC8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7FEB9CA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gridSpan w:val="2"/>
            <w:tcBorders>
              <w:top w:val="single" w:color="auto" w:sz="4" w:space="0"/>
              <w:left w:val="single" w:color="auto" w:sz="4" w:space="0"/>
              <w:bottom w:val="single" w:color="auto" w:sz="4" w:space="0"/>
              <w:right w:val="single" w:color="auto" w:sz="4" w:space="0"/>
            </w:tcBorders>
            <w:noWrap w:val="0"/>
            <w:vAlign w:val="center"/>
          </w:tcPr>
          <w:p w14:paraId="166E664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noWrap w:val="0"/>
            <w:vAlign w:val="center"/>
          </w:tcPr>
          <w:p w14:paraId="7E422A33">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noWrap w:val="0"/>
            <w:vAlign w:val="center"/>
          </w:tcPr>
          <w:p w14:paraId="7627991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4F4CF5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5440ED6">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36AA3B0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5673" w:type="dxa"/>
            <w:gridSpan w:val="5"/>
            <w:tcBorders>
              <w:top w:val="single" w:color="auto" w:sz="4" w:space="0"/>
              <w:left w:val="single" w:color="auto" w:sz="4" w:space="0"/>
              <w:bottom w:val="single" w:color="auto" w:sz="4" w:space="0"/>
              <w:right w:val="single" w:color="auto" w:sz="4" w:space="0"/>
            </w:tcBorders>
            <w:noWrap w:val="0"/>
            <w:vAlign w:val="center"/>
          </w:tcPr>
          <w:p w14:paraId="68B006C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员工总人数</w:t>
            </w:r>
            <w:r>
              <w:rPr>
                <w:rFonts w:hint="eastAsia" w:asciiTheme="minorEastAsia" w:hAnsiTheme="minorEastAsia" w:eastAsiaTheme="minorEastAsia" w:cstheme="minorEastAsia"/>
                <w:color w:val="auto"/>
                <w:sz w:val="24"/>
                <w:szCs w:val="24"/>
                <w:highlight w:val="none"/>
                <w:lang w:eastAsia="zh-CN"/>
              </w:rPr>
              <w:t>：</w:t>
            </w:r>
          </w:p>
        </w:tc>
      </w:tr>
      <w:tr w14:paraId="4D45B0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6E4C6079">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4D964B8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49AFB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C7FAF0C">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63A42ED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4FC17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1B8AA491">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0B76402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09DC51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603F139">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314EB1D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6F543A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58F619F">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145E3EF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57CE2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14D70710">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c>
          <w:tcPr>
            <w:tcW w:w="7803" w:type="dxa"/>
            <w:gridSpan w:val="7"/>
            <w:tcBorders>
              <w:top w:val="single" w:color="auto" w:sz="4" w:space="0"/>
              <w:left w:val="single" w:color="auto" w:sz="4" w:space="0"/>
              <w:bottom w:val="single" w:color="auto" w:sz="4" w:space="0"/>
              <w:right w:val="single" w:color="auto" w:sz="4" w:space="0"/>
            </w:tcBorders>
            <w:noWrap w:val="0"/>
            <w:vAlign w:val="center"/>
          </w:tcPr>
          <w:p w14:paraId="609B8AC3">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bl>
    <w:p w14:paraId="78AB1440">
      <w:pPr>
        <w:shd w:val="clear" w:color="auto" w:fill="auto"/>
        <w:spacing w:line="360" w:lineRule="auto"/>
        <w:jc w:val="left"/>
        <w:rPr>
          <w:rFonts w:hint="eastAsia" w:asciiTheme="minorEastAsia" w:hAnsiTheme="minorEastAsia" w:eastAsiaTheme="minorEastAsia" w:cstheme="minorEastAsia"/>
          <w:b/>
          <w:bCs/>
          <w:color w:val="auto"/>
          <w:szCs w:val="21"/>
          <w:highlight w:val="none"/>
        </w:rPr>
      </w:pPr>
    </w:p>
    <w:p w14:paraId="6CE04D0D">
      <w:pPr>
        <w:shd w:val="clear" w:color="auto" w:fill="auto"/>
        <w:jc w:val="center"/>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sz w:val="36"/>
          <w:szCs w:val="36"/>
          <w:highlight w:val="none"/>
          <w:lang w:val="en-US" w:eastAsia="zh-CN"/>
        </w:rPr>
        <w:t>七</w:t>
      </w:r>
      <w:r>
        <w:rPr>
          <w:rFonts w:hint="eastAsia" w:asciiTheme="minorEastAsia" w:hAnsiTheme="minorEastAsia" w:eastAsiaTheme="minorEastAsia" w:cstheme="minorEastAsia"/>
          <w:b/>
          <w:color w:val="auto"/>
          <w:sz w:val="36"/>
          <w:szCs w:val="36"/>
          <w:highlight w:val="none"/>
        </w:rPr>
        <w:t>、</w:t>
      </w:r>
      <w:r>
        <w:rPr>
          <w:rFonts w:hint="eastAsia" w:asciiTheme="minorEastAsia" w:hAnsiTheme="minorEastAsia" w:eastAsiaTheme="minorEastAsia" w:cstheme="minorEastAsia"/>
          <w:b/>
          <w:color w:val="auto"/>
          <w:sz w:val="36"/>
          <w:szCs w:val="36"/>
          <w:highlight w:val="none"/>
          <w:lang w:val="en-US" w:eastAsia="zh-CN"/>
        </w:rPr>
        <w:t>投标人</w:t>
      </w:r>
      <w:r>
        <w:rPr>
          <w:rFonts w:hint="eastAsia" w:asciiTheme="minorEastAsia" w:hAnsiTheme="minorEastAsia" w:eastAsiaTheme="minorEastAsia" w:cstheme="minorEastAsia"/>
          <w:b/>
          <w:color w:val="auto"/>
          <w:sz w:val="36"/>
          <w:szCs w:val="36"/>
          <w:highlight w:val="none"/>
        </w:rPr>
        <w:t>相关证明资料</w:t>
      </w:r>
    </w:p>
    <w:p w14:paraId="0241E881">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p>
    <w:p w14:paraId="06C24B7D">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1.投标人须为在中华人民共和国注册且具有独立承担民事责任能力的法人或其他组织，具有有效的营业执照；提供原件扫描件。</w:t>
      </w:r>
    </w:p>
    <w:p w14:paraId="447F496F">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2.投标人须具有良好的商业信誉；提供承诺书。</w:t>
      </w:r>
    </w:p>
    <w:p w14:paraId="7867C4A8">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3.投标人须具有健全的财务会计制度；提供承诺书或证明材料。</w:t>
      </w:r>
    </w:p>
    <w:p w14:paraId="6E75DD5F">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4.投标人须具有履行合同所必需的设备和专业技术能力；提供承诺书。</w:t>
      </w:r>
    </w:p>
    <w:p w14:paraId="1DE4DA97">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5.投标人须具有依法缴纳税收和社保资金的良好记录，具有相关证明材料（新成立不满3个月的投标人，提供情况说明或未拖欠税收、社保资金承诺或证明材料）；依法免税或不需要缴纳社会保障资金的投标人，应具有相应证明文件；提供承诺书或证明材料。</w:t>
      </w:r>
    </w:p>
    <w:p w14:paraId="2D50996C">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6.投标人参加政府采购活动前三年内，在经营活动中没有重大违法记录（重大违法记录是指投标人因违法经营受到刑事处罚或者责令停产停业、吊销许可证或者执照、较大数额罚款等行政处罚）；提供承诺书或证明材料。</w:t>
      </w:r>
    </w:p>
    <w:p w14:paraId="72C10E7A">
      <w:pPr>
        <w:pStyle w:val="2"/>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7.根据《中华人民共和国政府采购法实施条例》第十八条第一款规定，单位负责人为同一人或者存在直接控股、管理关系的不同投标人，不得同时参加本项目投标；提供承诺书或证明材料。</w:t>
      </w:r>
    </w:p>
    <w:p w14:paraId="26F9A291">
      <w:pP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br w:type="page"/>
      </w:r>
    </w:p>
    <w:bookmarkEnd w:id="105"/>
    <w:bookmarkEnd w:id="106"/>
    <w:bookmarkEnd w:id="107"/>
    <w:bookmarkEnd w:id="108"/>
    <w:bookmarkEnd w:id="109"/>
    <w:bookmarkEnd w:id="110"/>
    <w:p w14:paraId="4E51C461">
      <w:pPr>
        <w:pageBreakBefore w:val="0"/>
        <w:widowControl w:val="0"/>
        <w:shd w:val="clear" w:color="auto" w:fill="auto"/>
        <w:kinsoku/>
        <w:wordWrap/>
        <w:overflowPunct/>
        <w:bidi w:val="0"/>
        <w:spacing w:line="360" w:lineRule="auto"/>
        <w:jc w:val="center"/>
        <w:textAlignment w:val="auto"/>
        <w:outlineLvl w:val="1"/>
        <w:rPr>
          <w:rFonts w:hint="eastAsia" w:asciiTheme="minorEastAsia" w:hAnsiTheme="minorEastAsia" w:eastAsiaTheme="minorEastAsia" w:cstheme="minorEastAsia"/>
          <w:b/>
          <w:bCs/>
          <w:color w:val="auto"/>
          <w:sz w:val="36"/>
          <w:szCs w:val="36"/>
          <w:highlight w:val="none"/>
          <w:lang w:val="en-US" w:eastAsia="zh-CN"/>
        </w:rPr>
      </w:pPr>
      <w:bookmarkStart w:id="115" w:name="OLE_LINK19"/>
      <w:bookmarkStart w:id="116" w:name="OLE_LINK20"/>
      <w:r>
        <w:rPr>
          <w:rFonts w:hint="eastAsia" w:asciiTheme="minorEastAsia" w:hAnsiTheme="minorEastAsia" w:eastAsiaTheme="minorEastAsia" w:cstheme="minorEastAsia"/>
          <w:b/>
          <w:bCs/>
          <w:color w:val="auto"/>
          <w:sz w:val="36"/>
          <w:szCs w:val="36"/>
          <w:highlight w:val="none"/>
          <w:lang w:val="en-US" w:eastAsia="zh-CN"/>
        </w:rPr>
        <w:t>八、中小企业、残疾人福利性单位、监狱企业声明函</w:t>
      </w:r>
    </w:p>
    <w:p w14:paraId="27F404D3">
      <w:pPr>
        <w:pageBreakBefore w:val="0"/>
        <w:widowControl w:val="0"/>
        <w:shd w:val="clear" w:color="auto" w:fill="auto"/>
        <w:kinsoku/>
        <w:wordWrap/>
        <w:overflowPunct/>
        <w:bidi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3E3D4925">
      <w:pPr>
        <w:pageBreakBefore w:val="0"/>
        <w:widowControl w:val="0"/>
        <w:shd w:val="clear" w:color="auto" w:fill="auto"/>
        <w:kinsoku/>
        <w:wordWrap/>
        <w:overflowPunct/>
        <w:bidi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1.中小企业声明函</w:t>
      </w:r>
    </w:p>
    <w:p w14:paraId="5968487C">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p>
    <w:p w14:paraId="4C77517C">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活动，</w:t>
      </w:r>
      <w:r>
        <w:rPr>
          <w:rFonts w:hint="eastAsia" w:asciiTheme="minorEastAsia" w:hAnsiTheme="minorEastAsia" w:eastAsiaTheme="minorEastAsia" w:cstheme="minorEastAsia"/>
          <w:color w:val="auto"/>
          <w:sz w:val="24"/>
          <w:szCs w:val="24"/>
          <w:highlight w:val="none"/>
          <w:lang w:val="en-US" w:eastAsia="zh-CN"/>
        </w:rPr>
        <w:t>提供的货物全部由符合政策要求的中小企业制造</w:t>
      </w:r>
      <w:r>
        <w:rPr>
          <w:rFonts w:hint="eastAsia" w:asciiTheme="minorEastAsia" w:hAnsiTheme="minorEastAsia" w:eastAsiaTheme="minorEastAsia" w:cstheme="minorEastAsia"/>
          <w:color w:val="auto"/>
          <w:sz w:val="24"/>
          <w:szCs w:val="24"/>
          <w:highlight w:val="none"/>
        </w:rPr>
        <w:t>。相关企业的具体情况如下：</w:t>
      </w:r>
    </w:p>
    <w:p w14:paraId="5985CAB9">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招标</w:t>
      </w:r>
      <w:r>
        <w:rPr>
          <w:rFonts w:hint="eastAsia" w:asciiTheme="minorEastAsia" w:hAnsiTheme="minorEastAsia" w:eastAsiaTheme="minorEastAsia" w:cstheme="minorEastAsia"/>
          <w:color w:val="auto"/>
          <w:sz w:val="24"/>
          <w:szCs w:val="24"/>
          <w:highlight w:val="none"/>
          <w:u w:val="single"/>
        </w:rPr>
        <w:t>文件中明确的所属行业）</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6939CE16">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招标</w:t>
      </w:r>
      <w:r>
        <w:rPr>
          <w:rFonts w:hint="eastAsia" w:asciiTheme="minorEastAsia" w:hAnsiTheme="minorEastAsia" w:eastAsiaTheme="minorEastAsia" w:cstheme="minorEastAsia"/>
          <w:color w:val="auto"/>
          <w:sz w:val="24"/>
          <w:szCs w:val="24"/>
          <w:highlight w:val="none"/>
          <w:u w:val="single"/>
        </w:rPr>
        <w:t>文件中明确的所属行业）</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56CBDF5C">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w:t>
      </w:r>
    </w:p>
    <w:p w14:paraId="0DAB4352">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以上企业，不属于大企业的分支机构，不存在控股股东为大企业的情形，也不存在与大企业的负责人为同一人的情形。</w:t>
      </w:r>
    </w:p>
    <w:p w14:paraId="7BF057B9">
      <w:pPr>
        <w:pageBreakBefore w:val="0"/>
        <w:widowControl w:val="0"/>
        <w:shd w:val="clear" w:color="auto" w:fill="auto"/>
        <w:kinsoku/>
        <w:wordWrap/>
        <w:overflowPunct/>
        <w:bidi w:val="0"/>
        <w:spacing w:line="360" w:lineRule="auto"/>
        <w:ind w:left="420" w:leftChars="20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本企业对上述声明内容的真实性</w:t>
      </w:r>
      <w:r>
        <w:rPr>
          <w:rFonts w:hint="eastAsia" w:asciiTheme="minorEastAsia" w:hAnsiTheme="minorEastAsia" w:eastAsiaTheme="minorEastAsia" w:cstheme="minorEastAsia"/>
          <w:b/>
          <w:bCs/>
          <w:color w:val="auto"/>
          <w:sz w:val="24"/>
          <w:szCs w:val="24"/>
          <w:highlight w:val="none"/>
          <w:u w:val="single"/>
        </w:rPr>
        <w:t>负责</w:t>
      </w:r>
      <w:r>
        <w:rPr>
          <w:rFonts w:hint="eastAsia" w:asciiTheme="minorEastAsia" w:hAnsiTheme="minorEastAsia" w:eastAsiaTheme="minorEastAsia" w:cstheme="minorEastAsia"/>
          <w:b/>
          <w:bCs/>
          <w:color w:val="auto"/>
          <w:sz w:val="24"/>
          <w:szCs w:val="24"/>
          <w:highlight w:val="none"/>
        </w:rPr>
        <w:t>。如有虚假，将依法承担相应责任。</w:t>
      </w:r>
    </w:p>
    <w:p w14:paraId="197EC5AE">
      <w:pPr>
        <w:pageBreakBefore w:val="0"/>
        <w:widowControl w:val="0"/>
        <w:shd w:val="clear" w:color="auto" w:fill="auto"/>
        <w:kinsoku/>
        <w:wordWrap/>
        <w:overflowPunct/>
        <w:bidi w:val="0"/>
        <w:spacing w:line="360" w:lineRule="auto"/>
        <w:ind w:right="2120"/>
        <w:textAlignment w:val="auto"/>
        <w:rPr>
          <w:rFonts w:hint="eastAsia" w:asciiTheme="minorEastAsia" w:hAnsiTheme="minorEastAsia" w:eastAsiaTheme="minorEastAsia" w:cstheme="minorEastAsia"/>
          <w:color w:val="auto"/>
          <w:sz w:val="24"/>
          <w:szCs w:val="24"/>
          <w:highlight w:val="none"/>
        </w:rPr>
      </w:pPr>
    </w:p>
    <w:p w14:paraId="7E711FDA">
      <w:pPr>
        <w:pageBreakBefore w:val="0"/>
        <w:widowControl w:val="0"/>
        <w:shd w:val="clear" w:color="auto" w:fill="auto"/>
        <w:tabs>
          <w:tab w:val="left" w:pos="0"/>
        </w:tabs>
        <w:kinsoku/>
        <w:wordWrap/>
        <w:overflowPunct/>
        <w:bidi w:val="0"/>
        <w:spacing w:line="36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23C8EBBE">
      <w:pPr>
        <w:pageBreakBefore w:val="0"/>
        <w:widowControl w:val="0"/>
        <w:shd w:val="clear" w:color="auto" w:fill="auto"/>
        <w:tabs>
          <w:tab w:val="left" w:pos="0"/>
        </w:tabs>
        <w:kinsoku/>
        <w:wordWrap/>
        <w:overflowPunct/>
        <w:bidi w:val="0"/>
        <w:spacing w:line="36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6AE349F">
      <w:pPr>
        <w:pageBreakBefore w:val="0"/>
        <w:widowControl w:val="0"/>
        <w:shd w:val="clear" w:color="auto" w:fill="auto"/>
        <w:kinsoku/>
        <w:wordWrap/>
        <w:overflowPunct/>
        <w:bidi w:val="0"/>
        <w:spacing w:line="360" w:lineRule="auto"/>
        <w:ind w:firstLine="42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6A28B806">
      <w:pPr>
        <w:pageBreakBefore w:val="0"/>
        <w:widowControl w:val="0"/>
        <w:shd w:val="clear" w:color="auto" w:fill="auto"/>
        <w:kinsoku/>
        <w:wordWrap/>
        <w:overflowPunct/>
        <w:bidi w:val="0"/>
        <w:spacing w:line="360" w:lineRule="auto"/>
        <w:textAlignment w:val="auto"/>
        <w:rPr>
          <w:rFonts w:hint="eastAsia" w:asciiTheme="minorEastAsia" w:hAnsiTheme="minorEastAsia" w:eastAsiaTheme="minorEastAsia" w:cstheme="minorEastAsia"/>
          <w:color w:val="auto"/>
          <w:sz w:val="24"/>
          <w:szCs w:val="24"/>
          <w:highlight w:val="none"/>
        </w:rPr>
      </w:pPr>
    </w:p>
    <w:p w14:paraId="48C04C51">
      <w:pPr>
        <w:pageBreakBefore w:val="0"/>
        <w:widowControl w:val="0"/>
        <w:shd w:val="clear" w:color="auto" w:fill="auto"/>
        <w:kinsoku/>
        <w:wordWrap/>
        <w:overflowPunct/>
        <w:bidi w:val="0"/>
        <w:spacing w:line="360" w:lineRule="auto"/>
        <w:textAlignment w:val="auto"/>
        <w:rPr>
          <w:rFonts w:hint="eastAsia" w:asciiTheme="minorEastAsia" w:hAnsiTheme="minorEastAsia" w:eastAsiaTheme="minorEastAsia" w:cstheme="minorEastAsia"/>
          <w:color w:val="auto"/>
          <w:sz w:val="24"/>
          <w:szCs w:val="24"/>
          <w:highlight w:val="none"/>
        </w:rPr>
      </w:pPr>
    </w:p>
    <w:p w14:paraId="11EBF85A">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198"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说明：</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从业人员、营业收入、资产总额填报上一年度数据，无上一年度数据的新成立企业可不填报。</w:t>
      </w:r>
    </w:p>
    <w:p w14:paraId="15BEA739">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198" w:firstLine="964" w:firstLineChars="400"/>
        <w:textAlignment w:val="auto"/>
        <w:rPr>
          <w:rFonts w:hint="eastAsia" w:asciiTheme="minorEastAsia" w:hAnsiTheme="minorEastAsia" w:eastAsiaTheme="minorEastAsia" w:cstheme="minorEastAsia"/>
          <w:b/>
          <w:color w:val="auto"/>
          <w:sz w:val="24"/>
          <w:szCs w:val="24"/>
          <w:highlight w:val="none"/>
          <w:lang w:val="en-US" w:eastAsia="zh-CN"/>
        </w:rPr>
        <w:sectPr>
          <w:pgSz w:w="11906" w:h="16838"/>
          <w:pgMar w:top="1440" w:right="1080" w:bottom="1440" w:left="1080" w:header="850" w:footer="992" w:gutter="0"/>
          <w:pgNumType w:fmt="decimal"/>
          <w:cols w:space="0" w:num="1"/>
          <w:rtlGutter w:val="0"/>
          <w:docGrid w:type="lines" w:linePitch="321" w:charSpace="0"/>
        </w:sectPr>
      </w:pPr>
      <w:r>
        <w:rPr>
          <w:rFonts w:hint="eastAsia" w:asciiTheme="minorEastAsia" w:hAnsiTheme="minorEastAsia" w:eastAsiaTheme="minorEastAsia" w:cstheme="minorEastAsia"/>
          <w:b/>
          <w:color w:val="auto"/>
          <w:sz w:val="24"/>
          <w:szCs w:val="24"/>
          <w:highlight w:val="none"/>
          <w:lang w:val="en-US" w:eastAsia="zh-CN"/>
        </w:rPr>
        <w:t>2.投标人不属于中小企业的，本声明函内容可不填写，但落款必须填写单位名称并按规定进行电子签章。</w:t>
      </w:r>
    </w:p>
    <w:p w14:paraId="7E95F569">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bookmarkStart w:id="117" w:name="_Toc8607"/>
      <w:bookmarkStart w:id="118" w:name="_Toc27737"/>
      <w:r>
        <w:rPr>
          <w:rFonts w:hint="eastAsia" w:asciiTheme="minorEastAsia" w:hAnsiTheme="minorEastAsia" w:eastAsiaTheme="minorEastAsia" w:cstheme="minorEastAsia"/>
          <w:b/>
          <w:bCs/>
          <w:color w:val="auto"/>
          <w:sz w:val="24"/>
          <w:szCs w:val="24"/>
          <w:highlight w:val="none"/>
          <w:lang w:val="en-US" w:eastAsia="zh-CN"/>
        </w:rPr>
        <w:t>2.残疾人福利性单位声明函</w:t>
      </w:r>
      <w:bookmarkEnd w:id="117"/>
      <w:bookmarkEnd w:id="118"/>
    </w:p>
    <w:p w14:paraId="422DBFA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2B3235D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中国残疾人联合会关于促进残疾人就业政府采购政策的通知》（财库〔2017〕141 号）的规定，本单位为符合条件的残疾人福利性单位，且本单位参</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采购人全称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63FEDDB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073BE26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073EF7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73139BE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0824146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218619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DD9585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4566D81">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23467721">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B4A272A">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D2DB20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F0CF60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如为残疾人福利性单位并提供本《残疾人福利性单位声明函》的，必须对声明的真实性负责。</w:t>
      </w:r>
    </w:p>
    <w:p w14:paraId="48237D6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如为残疾人福利性单位须提供相关证明材料。</w:t>
      </w:r>
    </w:p>
    <w:p w14:paraId="732ED3E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720" w:firstLineChars="3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3.投标人不属于残疾人福利性单位的，本声明函内容可不填写，但落款必须填写单位名称并按规定进行电子签章。</w:t>
      </w:r>
      <w:bookmarkStart w:id="119" w:name="_Toc24503"/>
      <w:bookmarkStart w:id="120" w:name="_Toc6515"/>
    </w:p>
    <w:p w14:paraId="2BD40AE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62457F33">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3.监狱企业声明函</w:t>
      </w:r>
      <w:bookmarkEnd w:id="119"/>
      <w:bookmarkEnd w:id="120"/>
    </w:p>
    <w:p w14:paraId="0171823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2B316C9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本单位郑重声明，根据《关于政府采购支持监狱企业发展有关问题的通知》(财库[2014]68号)的规定，本单位为符合条件的监狱企业，且本单位参加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采购人全称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采购活动提供本单位制造的货物（由本单位承担工程/提供服务），或者提供其他监狱企业制造的货物（不包括使用非监狱企业注册商标的货物）。</w:t>
      </w:r>
    </w:p>
    <w:p w14:paraId="4FF13B0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F52DD4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22DA36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2F3BEC9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4405786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E1B6AE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A180D9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08F55053">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575B88F">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5D2FB318">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81F1FC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17F6DFD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7EF62B9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如为监狱企业并提供本《监狱企业声明函》的，必须对声明的真实性负责。</w:t>
      </w:r>
    </w:p>
    <w:p w14:paraId="5AD76D3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2.监狱企业以省级以上监狱管理局、戒毒管理局(含新疆生产建设兵团)出具的属于监狱企业的证明文件为准。</w:t>
      </w:r>
    </w:p>
    <w:p w14:paraId="225C51B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3.投标人不属于监狱企业的，本声明函内容可不填写，但落款必须填写单位名称并按规定进行电子签章。</w:t>
      </w:r>
    </w:p>
    <w:p w14:paraId="37A7FAE2">
      <w:pPr>
        <w:pStyle w:val="11"/>
        <w:shd w:val="clear" w:color="auto" w:fill="auto"/>
        <w:rPr>
          <w:rFonts w:hint="eastAsia" w:asciiTheme="minorEastAsia" w:hAnsiTheme="minorEastAsia" w:eastAsiaTheme="minorEastAsia" w:cstheme="minorEastAsia"/>
          <w:color w:val="auto"/>
          <w:szCs w:val="21"/>
          <w:highlight w:val="none"/>
        </w:rPr>
      </w:pPr>
    </w:p>
    <w:bookmarkEnd w:id="115"/>
    <w:bookmarkEnd w:id="116"/>
    <w:p w14:paraId="37C138B2">
      <w:pPr>
        <w:shd w:val="clear" w:color="auto" w:fill="auto"/>
        <w:jc w:val="center"/>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Cs w:val="21"/>
          <w:highlight w:val="none"/>
        </w:rPr>
        <w:br w:type="page"/>
      </w:r>
      <w:r>
        <w:rPr>
          <w:rFonts w:hint="eastAsia" w:asciiTheme="minorEastAsia" w:hAnsiTheme="minorEastAsia" w:eastAsiaTheme="minorEastAsia" w:cstheme="minorEastAsia"/>
          <w:b/>
          <w:color w:val="auto"/>
          <w:sz w:val="36"/>
          <w:szCs w:val="36"/>
          <w:highlight w:val="none"/>
          <w:lang w:val="en-US" w:eastAsia="zh-CN"/>
        </w:rPr>
        <w:t>九、技术条款</w:t>
      </w:r>
      <w:r>
        <w:rPr>
          <w:rFonts w:hint="eastAsia" w:asciiTheme="minorEastAsia" w:hAnsiTheme="minorEastAsia" w:eastAsiaTheme="minorEastAsia" w:cstheme="minorEastAsia"/>
          <w:b/>
          <w:color w:val="auto"/>
          <w:sz w:val="36"/>
          <w:szCs w:val="36"/>
          <w:highlight w:val="none"/>
        </w:rPr>
        <w:t>偏离表</w:t>
      </w:r>
    </w:p>
    <w:p w14:paraId="4E24822C">
      <w:pPr>
        <w:pStyle w:val="2"/>
        <w:shd w:val="clear" w:color="auto" w:fill="auto"/>
        <w:rPr>
          <w:rFonts w:hint="eastAsia" w:asciiTheme="minorEastAsia" w:hAnsiTheme="minorEastAsia" w:eastAsiaTheme="minorEastAsia" w:cstheme="minorEastAsia"/>
          <w:color w:val="auto"/>
          <w:szCs w:val="21"/>
          <w:highlight w:val="none"/>
        </w:rPr>
      </w:pPr>
    </w:p>
    <w:p w14:paraId="2FA1A15B">
      <w:pPr>
        <w:pStyle w:val="2"/>
        <w:shd w:val="clear" w:color="auto" w:fil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临沧市临翔区医共体医保智能风控系统软件</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33C3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noWrap w:val="0"/>
            <w:vAlign w:val="center"/>
          </w:tcPr>
          <w:p w14:paraId="09393F63">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noWrap w:val="0"/>
            <w:vAlign w:val="center"/>
          </w:tcPr>
          <w:p w14:paraId="718A73F5">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noWrap w:val="0"/>
            <w:vAlign w:val="center"/>
          </w:tcPr>
          <w:p w14:paraId="52841DD6">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noWrap w:val="0"/>
            <w:vAlign w:val="center"/>
          </w:tcPr>
          <w:p w14:paraId="5EAB5210">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6EDF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2C1137E9">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18159EB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B9A89A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6EE06E0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7FA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4AF075E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4E317CE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59489BE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42BF657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2845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128B2C1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4520238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29289C6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5E4736C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5DC46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6838DFB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2A48667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E5247D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7A97364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3362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3D1253C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6C1FAE0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2EE695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1134F18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27CED0DC">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“偏离性质”系指“正偏离”、“负偏离”或“无偏离”。</w:t>
      </w:r>
    </w:p>
    <w:p w14:paraId="4776084B">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所</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rPr>
        <w:t>产品的实际技术参数，如与招标文件的要求有偏离，请认真填写该表。如无偏离，则只需注明“无偏离”即可，无需另行填表。</w:t>
      </w:r>
    </w:p>
    <w:p w14:paraId="51DEBB47">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3.如投标人所投标的产品技术参数出现瞒报或虚报的,一经证实，视为虚假应标，取消其投标资格，并报相关部门依法对其进行处理。</w:t>
      </w:r>
    </w:p>
    <w:p w14:paraId="5315426A">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61FD2029">
      <w:pPr>
        <w:shd w:val="clear" w:color="auto" w:fill="auto"/>
        <w:spacing w:line="360" w:lineRule="auto"/>
        <w:rPr>
          <w:rFonts w:hint="eastAsia" w:asciiTheme="minorEastAsia" w:hAnsiTheme="minorEastAsia" w:eastAsiaTheme="minorEastAsia" w:cstheme="minorEastAsia"/>
          <w:color w:val="auto"/>
          <w:szCs w:val="21"/>
          <w:highlight w:val="none"/>
        </w:rPr>
      </w:pPr>
    </w:p>
    <w:p w14:paraId="571A0AB5">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5B28F434">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78AABC14">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60BE794F">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408FD328">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5DC3651">
      <w:pPr>
        <w:shd w:val="clear" w:color="auto" w:fill="auto"/>
        <w:jc w:val="center"/>
        <w:rPr>
          <w:rFonts w:hint="eastAsia" w:asciiTheme="minorEastAsia" w:hAnsiTheme="minorEastAsia" w:eastAsiaTheme="minorEastAsia" w:cstheme="minorEastAsia"/>
          <w:b/>
          <w:color w:val="auto"/>
          <w:szCs w:val="21"/>
          <w:highlight w:val="none"/>
          <w:lang w:val="en-US" w:eastAsia="zh-CN"/>
        </w:rPr>
      </w:pPr>
    </w:p>
    <w:p w14:paraId="34469DC9">
      <w:pPr>
        <w:shd w:val="clear" w:color="auto" w:fill="auto"/>
        <w:jc w:val="center"/>
        <w:rPr>
          <w:rFonts w:hint="eastAsia" w:asciiTheme="minorEastAsia" w:hAnsiTheme="minorEastAsia" w:eastAsiaTheme="minorEastAsia" w:cstheme="minorEastAsia"/>
          <w:b/>
          <w:color w:val="auto"/>
          <w:szCs w:val="21"/>
          <w:highlight w:val="none"/>
          <w:lang w:val="en-US" w:eastAsia="zh-CN"/>
        </w:rPr>
      </w:pPr>
    </w:p>
    <w:p w14:paraId="4745A71D">
      <w:pPr>
        <w:shd w:val="clear" w:color="auto" w:fill="auto"/>
        <w:jc w:val="center"/>
        <w:rPr>
          <w:rFonts w:hint="eastAsia" w:asciiTheme="minorEastAsia" w:hAnsiTheme="minorEastAsia" w:eastAsiaTheme="minorEastAsia" w:cstheme="minorEastAsia"/>
          <w:b/>
          <w:color w:val="auto"/>
          <w:szCs w:val="21"/>
          <w:highlight w:val="none"/>
          <w:lang w:val="en-US" w:eastAsia="zh-CN"/>
        </w:rPr>
      </w:pPr>
    </w:p>
    <w:p w14:paraId="49B5A6F6">
      <w:pPr>
        <w:shd w:val="clear" w:color="auto" w:fill="auto"/>
        <w:jc w:val="center"/>
        <w:rPr>
          <w:rFonts w:hint="eastAsia" w:asciiTheme="minorEastAsia" w:hAnsiTheme="minorEastAsia" w:eastAsiaTheme="minorEastAsia" w:cstheme="minorEastAsia"/>
          <w:b/>
          <w:color w:val="auto"/>
          <w:szCs w:val="21"/>
          <w:highlight w:val="none"/>
          <w:lang w:val="en-US" w:eastAsia="zh-CN"/>
        </w:rPr>
      </w:pPr>
    </w:p>
    <w:p w14:paraId="772F0AA4">
      <w:pPr>
        <w:rPr>
          <w:rFonts w:hint="eastAsia" w:asciiTheme="minorEastAsia" w:hAnsiTheme="minorEastAsia" w:eastAsiaTheme="minorEastAsia" w:cstheme="minorEastAsia"/>
          <w:b/>
          <w:color w:val="auto"/>
          <w:szCs w:val="21"/>
          <w:highlight w:val="none"/>
          <w:lang w:val="en-US" w:eastAsia="zh-CN"/>
        </w:rPr>
      </w:pPr>
    </w:p>
    <w:p w14:paraId="6951D0F9">
      <w:pPr>
        <w:pStyle w:val="2"/>
        <w:numPr>
          <w:ilvl w:val="0"/>
          <w:numId w:val="0"/>
        </w:numPr>
        <w:shd w:val="clear" w:color="auto" w:fill="auto"/>
        <w:spacing w:line="480" w:lineRule="exact"/>
        <w:jc w:val="both"/>
        <w:rPr>
          <w:rFonts w:hint="eastAsia" w:asciiTheme="minorEastAsia" w:hAnsiTheme="minorEastAsia" w:eastAsiaTheme="minorEastAsia" w:cstheme="minorEastAsia"/>
          <w:b/>
          <w:color w:val="auto"/>
          <w:sz w:val="24"/>
          <w:szCs w:val="24"/>
          <w:highlight w:val="none"/>
          <w:lang w:val="en-US" w:eastAsia="zh-CN"/>
        </w:rPr>
      </w:pPr>
    </w:p>
    <w:p w14:paraId="29A0CBF4">
      <w:pP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br w:type="page"/>
      </w:r>
    </w:p>
    <w:p w14:paraId="0DCE20F3">
      <w:pPr>
        <w:shd w:val="clear" w:color="auto" w:fill="auto"/>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w:t>
      </w:r>
      <w:r>
        <w:rPr>
          <w:rFonts w:hint="eastAsia" w:ascii="宋体" w:hAnsi="宋体" w:cs="宋体"/>
          <w:b/>
          <w:bCs/>
          <w:color w:val="auto"/>
          <w:sz w:val="24"/>
          <w:szCs w:val="24"/>
          <w:highlight w:val="none"/>
          <w:lang w:val="en-US" w:eastAsia="zh-CN"/>
        </w:rPr>
        <w:t>技术方案</w:t>
      </w:r>
    </w:p>
    <w:p w14:paraId="46127606">
      <w:pPr>
        <w:shd w:val="clear" w:color="auto" w:fill="auto"/>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422F6801">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lang w:val="en-US" w:eastAsia="zh-CN"/>
        </w:rPr>
      </w:pPr>
    </w:p>
    <w:p w14:paraId="73AFFCA9">
      <w:pPr>
        <w:shd w:val="clear" w:color="auto" w:fill="auto"/>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十一、</w:t>
      </w:r>
      <w:r>
        <w:rPr>
          <w:rFonts w:hint="eastAsia" w:ascii="宋体" w:hAnsi="宋体" w:eastAsia="宋体" w:cs="宋体"/>
          <w:b/>
          <w:bCs/>
          <w:color w:val="auto"/>
          <w:sz w:val="24"/>
          <w:szCs w:val="24"/>
          <w:highlight w:val="none"/>
          <w:rtl w:val="0"/>
          <w:lang w:val="en-US" w:eastAsia="zh-CN"/>
        </w:rPr>
        <w:t>实施方案</w:t>
      </w:r>
    </w:p>
    <w:p w14:paraId="51BF9452">
      <w:pPr>
        <w:shd w:val="clear" w:color="auto" w:fill="auto"/>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3D795754">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lang w:val="en-US" w:eastAsia="zh-CN"/>
        </w:rPr>
      </w:pPr>
    </w:p>
    <w:p w14:paraId="7F1F38C9">
      <w:pPr>
        <w:shd w:val="clear" w:color="auto" w:fill="auto"/>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十二、</w:t>
      </w:r>
      <w:r>
        <w:rPr>
          <w:rFonts w:hint="eastAsia" w:ascii="宋体" w:hAnsi="宋体" w:eastAsia="宋体" w:cs="宋体"/>
          <w:b/>
          <w:bCs/>
          <w:color w:val="auto"/>
          <w:sz w:val="24"/>
          <w:szCs w:val="24"/>
          <w:highlight w:val="none"/>
          <w:lang w:val="en-US" w:eastAsia="zh-CN"/>
        </w:rPr>
        <w:t>应急预案</w:t>
      </w:r>
    </w:p>
    <w:p w14:paraId="0A85DC42">
      <w:pPr>
        <w:shd w:val="clear" w:color="auto" w:fill="auto"/>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2B22D1CC">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lang w:val="en-US" w:eastAsia="zh-CN"/>
        </w:rPr>
      </w:pPr>
    </w:p>
    <w:p w14:paraId="699EFF51">
      <w:pPr>
        <w:shd w:val="clear" w:color="auto" w:fill="auto"/>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十三、</w:t>
      </w:r>
      <w:r>
        <w:rPr>
          <w:rFonts w:hint="eastAsia" w:ascii="宋体" w:hAnsi="宋体" w:eastAsia="宋体" w:cs="宋体"/>
          <w:b/>
          <w:bCs/>
          <w:color w:val="auto"/>
          <w:sz w:val="24"/>
          <w:szCs w:val="24"/>
          <w:highlight w:val="none"/>
        </w:rPr>
        <w:t>售后服务方案</w:t>
      </w:r>
    </w:p>
    <w:p w14:paraId="344E3DA6">
      <w:pPr>
        <w:shd w:val="clear" w:color="auto" w:fill="auto"/>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679A0947">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lang w:val="en-US" w:eastAsia="zh-CN"/>
        </w:rPr>
      </w:pPr>
    </w:p>
    <w:p w14:paraId="14F1B669">
      <w:pPr>
        <w:shd w:val="clear" w:color="auto" w:fill="auto"/>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十四、</w:t>
      </w:r>
      <w:r>
        <w:rPr>
          <w:rFonts w:hint="eastAsia" w:ascii="宋体" w:hAnsi="宋体" w:eastAsia="宋体" w:cs="宋体"/>
          <w:b/>
          <w:bCs/>
          <w:color w:val="auto"/>
          <w:sz w:val="24"/>
          <w:szCs w:val="24"/>
          <w:highlight w:val="none"/>
          <w:lang w:val="en-US" w:eastAsia="zh-CN"/>
        </w:rPr>
        <w:t>技术服务管理人员配置</w:t>
      </w:r>
    </w:p>
    <w:p w14:paraId="4AA9293C">
      <w:pPr>
        <w:shd w:val="clear" w:color="auto" w:fill="auto"/>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2A2FA67B">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lang w:val="en-US" w:eastAsia="zh-CN"/>
        </w:rPr>
      </w:pPr>
    </w:p>
    <w:p w14:paraId="27398AB9">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lang w:val="en-US" w:eastAsia="zh-CN"/>
        </w:rPr>
      </w:pPr>
    </w:p>
    <w:p w14:paraId="17333768">
      <w:pPr>
        <w:shd w:val="clear" w:color="auto" w:fill="auto"/>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十五、招标文件要求或投标人认为应提交的其他资料</w:t>
      </w:r>
    </w:p>
    <w:p w14:paraId="16E39ECB">
      <w:pPr>
        <w:shd w:val="clear" w:color="auto" w:fill="auto"/>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78DBFF70">
      <w:pPr>
        <w:shd w:val="clear" w:color="auto" w:fill="auto"/>
        <w:spacing w:line="480" w:lineRule="exact"/>
        <w:jc w:val="center"/>
        <w:rPr>
          <w:rFonts w:hint="eastAsia" w:asciiTheme="minorEastAsia" w:hAnsiTheme="minorEastAsia" w:eastAsiaTheme="minorEastAsia" w:cstheme="minorEastAsia"/>
          <w:b/>
          <w:color w:val="auto"/>
          <w:sz w:val="24"/>
          <w:szCs w:val="24"/>
          <w:highlight w:val="none"/>
        </w:rPr>
      </w:pPr>
    </w:p>
    <w:p w14:paraId="44A01158">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p>
    <w:p w14:paraId="762676B0">
      <w:pPr>
        <w:keepNext w:val="0"/>
        <w:keepLines w:val="0"/>
        <w:pageBreakBefore w:val="0"/>
        <w:widowControl w:val="0"/>
        <w:shd w:val="clear" w:color="auto" w:fill="auto"/>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color w:val="auto"/>
          <w:sz w:val="24"/>
          <w:szCs w:val="24"/>
          <w:highlight w:val="none"/>
          <w:lang w:val="en-US" w:eastAsia="zh-CN"/>
        </w:rPr>
      </w:pPr>
    </w:p>
    <w:p w14:paraId="53E1A3A6">
      <w:pPr>
        <w:rPr>
          <w:rFonts w:hint="eastAsia" w:asciiTheme="minorEastAsia" w:hAnsiTheme="minorEastAsia" w:eastAsiaTheme="minorEastAsia" w:cstheme="minorEastAsia"/>
          <w:color w:val="auto"/>
          <w:sz w:val="32"/>
          <w:szCs w:val="32"/>
          <w:highlight w:val="none"/>
        </w:rPr>
      </w:pPr>
      <w:bookmarkStart w:id="121" w:name="_Toc20780"/>
      <w:bookmarkStart w:id="122" w:name="_Toc8493"/>
      <w:r>
        <w:rPr>
          <w:rFonts w:hint="eastAsia" w:asciiTheme="minorEastAsia" w:hAnsiTheme="minorEastAsia" w:eastAsiaTheme="minorEastAsia" w:cstheme="minorEastAsia"/>
          <w:color w:val="auto"/>
          <w:sz w:val="32"/>
          <w:szCs w:val="32"/>
          <w:highlight w:val="none"/>
        </w:rPr>
        <w:br w:type="page"/>
      </w:r>
    </w:p>
    <w:p w14:paraId="01446E10">
      <w:pPr>
        <w:pStyle w:val="3"/>
        <w:shd w:val="clear" w:color="auto" w:fill="auto"/>
        <w:tabs>
          <w:tab w:val="left" w:pos="360"/>
        </w:tabs>
        <w:jc w:val="center"/>
        <w:rPr>
          <w:rFonts w:hint="eastAsia" w:asciiTheme="minorEastAsia" w:hAnsiTheme="minorEastAsia" w:eastAsiaTheme="minorEastAsia" w:cstheme="minorEastAsia"/>
          <w:color w:val="auto"/>
          <w:sz w:val="36"/>
          <w:szCs w:val="36"/>
          <w:highlight w:val="none"/>
        </w:rPr>
      </w:pPr>
      <w:bookmarkStart w:id="123" w:name="_Toc3512"/>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_Toc26756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36"/>
          <w:highlight w:val="none"/>
        </w:rPr>
        <w:t>第</w:t>
      </w:r>
      <w:r>
        <w:rPr>
          <w:rFonts w:hint="eastAsia" w:asciiTheme="minorEastAsia" w:hAnsiTheme="minorEastAsia" w:eastAsiaTheme="minorEastAsia" w:cstheme="minorEastAsia"/>
          <w:color w:val="auto"/>
          <w:sz w:val="36"/>
          <w:szCs w:val="36"/>
          <w:highlight w:val="none"/>
          <w:lang w:val="en-US" w:eastAsia="zh-CN"/>
        </w:rPr>
        <w:t>六</w:t>
      </w:r>
      <w:r>
        <w:rPr>
          <w:rFonts w:hint="eastAsia" w:asciiTheme="minorEastAsia" w:hAnsiTheme="minorEastAsia" w:eastAsiaTheme="minorEastAsia" w:cstheme="minorEastAsia"/>
          <w:color w:val="auto"/>
          <w:sz w:val="36"/>
          <w:szCs w:val="36"/>
          <w:highlight w:val="none"/>
        </w:rPr>
        <w:t>章 采购需求</w:t>
      </w:r>
      <w:r>
        <w:rPr>
          <w:rFonts w:hint="eastAsia" w:asciiTheme="minorEastAsia" w:hAnsiTheme="minorEastAsia" w:eastAsiaTheme="minorEastAsia" w:cstheme="minorEastAsia"/>
          <w:color w:val="auto"/>
          <w:sz w:val="36"/>
          <w:szCs w:val="36"/>
          <w:highlight w:val="none"/>
        </w:rPr>
        <w:fldChar w:fldCharType="end"/>
      </w:r>
      <w:bookmarkEnd w:id="121"/>
      <w:bookmarkEnd w:id="123"/>
    </w:p>
    <w:bookmarkEnd w:id="122"/>
    <w:p w14:paraId="2CF2E97F">
      <w:pPr>
        <w:pStyle w:val="11"/>
        <w:shd w:val="clear" w:color="auto" w:fill="auto"/>
        <w:spacing w:after="0" w:line="520" w:lineRule="exact"/>
        <w:ind w:firstLine="482" w:firstLineChars="200"/>
        <w:rPr>
          <w:rFonts w:hint="eastAsia" w:asciiTheme="minorEastAsia" w:hAnsiTheme="minorEastAsia" w:eastAsiaTheme="minorEastAsia" w:cstheme="minorEastAsia"/>
          <w:b/>
          <w:bCs/>
          <w:color w:val="auto"/>
          <w:sz w:val="24"/>
          <w:szCs w:val="24"/>
          <w:highlight w:val="none"/>
        </w:rPr>
      </w:pPr>
      <w:bookmarkStart w:id="124" w:name="_Toc11189"/>
      <w:r>
        <w:rPr>
          <w:rFonts w:hint="eastAsia" w:asciiTheme="minorEastAsia" w:hAnsiTheme="minorEastAsia" w:eastAsiaTheme="minorEastAsia" w:cstheme="minorEastAsia"/>
          <w:b/>
          <w:bCs/>
          <w:color w:val="auto"/>
          <w:sz w:val="24"/>
          <w:szCs w:val="24"/>
          <w:highlight w:val="none"/>
          <w:lang w:val="en-US" w:eastAsia="zh-CN"/>
        </w:rPr>
        <w:t>一、</w:t>
      </w:r>
      <w:r>
        <w:rPr>
          <w:rFonts w:hint="eastAsia" w:asciiTheme="minorEastAsia" w:hAnsiTheme="minorEastAsia" w:eastAsiaTheme="minorEastAsia" w:cstheme="minorEastAsia"/>
          <w:b/>
          <w:bCs/>
          <w:color w:val="auto"/>
          <w:sz w:val="24"/>
          <w:szCs w:val="24"/>
          <w:highlight w:val="none"/>
        </w:rPr>
        <w:t>采购内容</w:t>
      </w:r>
    </w:p>
    <w:p w14:paraId="7920A1A3">
      <w:pPr>
        <w:pStyle w:val="11"/>
        <w:shd w:val="clear" w:color="auto" w:fill="auto"/>
        <w:spacing w:after="0"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本次临沧市临翔区医共体医保智能风控系统项目采购内容如下表所示：</w:t>
      </w:r>
    </w:p>
    <w:tbl>
      <w:tblPr>
        <w:tblStyle w:val="24"/>
        <w:tblW w:w="50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383"/>
        <w:gridCol w:w="799"/>
        <w:gridCol w:w="758"/>
        <w:gridCol w:w="4809"/>
      </w:tblGrid>
      <w:tr w14:paraId="483A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5" w:type="pct"/>
            <w:tcBorders>
              <w:top w:val="single" w:color="auto" w:sz="4" w:space="0"/>
              <w:left w:val="single" w:color="auto" w:sz="4" w:space="0"/>
              <w:bottom w:val="single" w:color="auto" w:sz="4" w:space="0"/>
              <w:right w:val="single" w:color="auto" w:sz="4" w:space="0"/>
            </w:tcBorders>
            <w:noWrap w:val="0"/>
            <w:vAlign w:val="center"/>
          </w:tcPr>
          <w:p w14:paraId="5BDD6D8D">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序号</w:t>
            </w:r>
          </w:p>
        </w:tc>
        <w:tc>
          <w:tcPr>
            <w:tcW w:w="1273" w:type="pct"/>
            <w:tcBorders>
              <w:top w:val="single" w:color="auto" w:sz="4" w:space="0"/>
              <w:left w:val="single" w:color="auto" w:sz="4" w:space="0"/>
              <w:bottom w:val="single" w:color="auto" w:sz="4" w:space="0"/>
              <w:right w:val="single" w:color="auto" w:sz="4" w:space="0"/>
            </w:tcBorders>
            <w:noWrap w:val="0"/>
            <w:vAlign w:val="center"/>
          </w:tcPr>
          <w:p w14:paraId="1AC89868">
            <w:pPr>
              <w:pStyle w:val="11"/>
              <w:shd w:val="clear" w:color="auto" w:fill="auto"/>
              <w:spacing w:after="0" w:line="520" w:lineRule="exact"/>
              <w:ind w:firstLine="480" w:firstLineChars="20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采购内容</w:t>
            </w:r>
          </w:p>
        </w:tc>
        <w:tc>
          <w:tcPr>
            <w:tcW w:w="427" w:type="pct"/>
            <w:tcBorders>
              <w:top w:val="single" w:color="auto" w:sz="4" w:space="0"/>
              <w:left w:val="single" w:color="auto" w:sz="4" w:space="0"/>
              <w:bottom w:val="single" w:color="auto" w:sz="4" w:space="0"/>
              <w:right w:val="single" w:color="auto" w:sz="4" w:space="0"/>
            </w:tcBorders>
            <w:noWrap w:val="0"/>
            <w:vAlign w:val="center"/>
          </w:tcPr>
          <w:p w14:paraId="399A1C61">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数量</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01265DD1">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单位</w:t>
            </w:r>
          </w:p>
        </w:tc>
        <w:tc>
          <w:tcPr>
            <w:tcW w:w="2569" w:type="pct"/>
            <w:tcBorders>
              <w:top w:val="single" w:color="auto" w:sz="4" w:space="0"/>
              <w:left w:val="single" w:color="auto" w:sz="4" w:space="0"/>
              <w:bottom w:val="single" w:color="auto" w:sz="4" w:space="0"/>
              <w:right w:val="single" w:color="auto" w:sz="4" w:space="0"/>
            </w:tcBorders>
            <w:noWrap w:val="0"/>
            <w:vAlign w:val="center"/>
          </w:tcPr>
          <w:p w14:paraId="2BA892F3">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r>
      <w:tr w14:paraId="6BB8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25" w:type="pct"/>
            <w:tcBorders>
              <w:top w:val="single" w:color="auto" w:sz="4" w:space="0"/>
              <w:left w:val="single" w:color="auto" w:sz="4" w:space="0"/>
              <w:bottom w:val="single" w:color="auto" w:sz="4" w:space="0"/>
              <w:right w:val="single" w:color="auto" w:sz="4" w:space="0"/>
            </w:tcBorders>
            <w:noWrap w:val="0"/>
            <w:vAlign w:val="center"/>
          </w:tcPr>
          <w:p w14:paraId="5E17FA3E">
            <w:pPr>
              <w:pStyle w:val="11"/>
              <w:shd w:val="clear" w:color="auto" w:fill="auto"/>
              <w:spacing w:after="0" w:line="520" w:lineRule="exact"/>
              <w:ind w:firstLine="480" w:firstLineChars="200"/>
              <w:jc w:val="center"/>
              <w:rPr>
                <w:rFonts w:hint="eastAsia" w:asciiTheme="minorEastAsia" w:hAnsiTheme="minorEastAsia" w:eastAsiaTheme="minorEastAsia" w:cstheme="minorEastAsia"/>
                <w:color w:val="auto"/>
                <w:sz w:val="24"/>
                <w:szCs w:val="24"/>
                <w:highlight w:val="none"/>
                <w:lang w:val="en-US" w:eastAsia="zh-CN"/>
              </w:rPr>
            </w:pPr>
          </w:p>
        </w:tc>
        <w:tc>
          <w:tcPr>
            <w:tcW w:w="1273" w:type="pct"/>
            <w:tcBorders>
              <w:top w:val="single" w:color="auto" w:sz="4" w:space="0"/>
              <w:left w:val="single" w:color="auto" w:sz="4" w:space="0"/>
              <w:bottom w:val="single" w:color="auto" w:sz="4" w:space="0"/>
              <w:right w:val="single" w:color="auto" w:sz="4" w:space="0"/>
            </w:tcBorders>
            <w:noWrap w:val="0"/>
            <w:vAlign w:val="center"/>
          </w:tcPr>
          <w:p w14:paraId="2361C61F">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医保智能风控系统</w:t>
            </w:r>
          </w:p>
        </w:tc>
        <w:tc>
          <w:tcPr>
            <w:tcW w:w="427" w:type="pct"/>
            <w:tcBorders>
              <w:top w:val="single" w:color="auto" w:sz="4" w:space="0"/>
              <w:left w:val="single" w:color="auto" w:sz="4" w:space="0"/>
              <w:bottom w:val="single" w:color="auto" w:sz="4" w:space="0"/>
              <w:right w:val="single" w:color="auto" w:sz="4" w:space="0"/>
            </w:tcBorders>
            <w:noWrap w:val="0"/>
            <w:vAlign w:val="center"/>
          </w:tcPr>
          <w:p w14:paraId="15FF02B2">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0E820061">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套</w:t>
            </w:r>
          </w:p>
        </w:tc>
        <w:tc>
          <w:tcPr>
            <w:tcW w:w="2569" w:type="pct"/>
            <w:vMerge w:val="restart"/>
            <w:tcBorders>
              <w:top w:val="single" w:color="auto" w:sz="4" w:space="0"/>
              <w:left w:val="single" w:color="auto" w:sz="4" w:space="0"/>
              <w:right w:val="single" w:color="auto" w:sz="4" w:space="0"/>
            </w:tcBorders>
            <w:noWrap w:val="0"/>
            <w:vAlign w:val="center"/>
          </w:tcPr>
          <w:p w14:paraId="108800F2">
            <w:pPr>
              <w:pStyle w:val="11"/>
              <w:shd w:val="clear" w:color="auto" w:fill="auto"/>
              <w:spacing w:after="0" w:line="520" w:lineRule="exac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医共体成员单位统一部署一套，包括：临翔区人民医院、临翔区中医院、临翔区妇幼保健院及下辖10家卫生院/服务中心</w:t>
            </w:r>
          </w:p>
        </w:tc>
      </w:tr>
      <w:tr w14:paraId="02AA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25" w:type="pct"/>
            <w:tcBorders>
              <w:top w:val="single" w:color="auto" w:sz="4" w:space="0"/>
              <w:left w:val="single" w:color="auto" w:sz="4" w:space="0"/>
              <w:bottom w:val="single" w:color="auto" w:sz="4" w:space="0"/>
              <w:right w:val="single" w:color="auto" w:sz="4" w:space="0"/>
            </w:tcBorders>
            <w:noWrap w:val="0"/>
            <w:vAlign w:val="center"/>
          </w:tcPr>
          <w:p w14:paraId="036D1197">
            <w:pPr>
              <w:pStyle w:val="11"/>
              <w:shd w:val="clear" w:color="auto" w:fill="auto"/>
              <w:spacing w:after="0" w:line="520" w:lineRule="exact"/>
              <w:ind w:firstLine="480" w:firstLineChars="200"/>
              <w:jc w:val="center"/>
              <w:rPr>
                <w:rFonts w:hint="eastAsia" w:asciiTheme="minorEastAsia" w:hAnsiTheme="minorEastAsia" w:eastAsiaTheme="minorEastAsia" w:cstheme="minorEastAsia"/>
                <w:color w:val="auto"/>
                <w:sz w:val="24"/>
                <w:szCs w:val="24"/>
                <w:highlight w:val="none"/>
                <w:lang w:val="en-US" w:eastAsia="zh-CN"/>
              </w:rPr>
            </w:pPr>
          </w:p>
        </w:tc>
        <w:tc>
          <w:tcPr>
            <w:tcW w:w="1273" w:type="pct"/>
            <w:tcBorders>
              <w:top w:val="single" w:color="auto" w:sz="4" w:space="0"/>
              <w:left w:val="single" w:color="auto" w:sz="4" w:space="0"/>
              <w:bottom w:val="single" w:color="auto" w:sz="4" w:space="0"/>
              <w:right w:val="single" w:color="auto" w:sz="4" w:space="0"/>
            </w:tcBorders>
            <w:noWrap w:val="0"/>
            <w:vAlign w:val="center"/>
          </w:tcPr>
          <w:p w14:paraId="62C05ED8">
            <w:pPr>
              <w:pStyle w:val="11"/>
              <w:shd w:val="clear" w:color="auto" w:fill="auto"/>
              <w:spacing w:after="0" w:line="520" w:lineRule="exact"/>
              <w:ind w:firstLine="480" w:firstLineChars="20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硬件服务器</w:t>
            </w:r>
          </w:p>
        </w:tc>
        <w:tc>
          <w:tcPr>
            <w:tcW w:w="427" w:type="pct"/>
            <w:tcBorders>
              <w:top w:val="single" w:color="auto" w:sz="4" w:space="0"/>
              <w:left w:val="single" w:color="auto" w:sz="4" w:space="0"/>
              <w:bottom w:val="single" w:color="auto" w:sz="4" w:space="0"/>
              <w:right w:val="single" w:color="auto" w:sz="4" w:space="0"/>
            </w:tcBorders>
            <w:noWrap w:val="0"/>
            <w:vAlign w:val="center"/>
          </w:tcPr>
          <w:p w14:paraId="54D30D17">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2AC59EF4">
            <w:pPr>
              <w:pStyle w:val="11"/>
              <w:shd w:val="clear" w:color="auto" w:fill="auto"/>
              <w:spacing w:after="0" w:line="5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台</w:t>
            </w:r>
          </w:p>
        </w:tc>
        <w:tc>
          <w:tcPr>
            <w:tcW w:w="2569" w:type="pct"/>
            <w:vMerge w:val="continue"/>
            <w:tcBorders>
              <w:left w:val="single" w:color="auto" w:sz="4" w:space="0"/>
              <w:bottom w:val="single" w:color="auto" w:sz="4" w:space="0"/>
              <w:right w:val="single" w:color="auto" w:sz="4" w:space="0"/>
            </w:tcBorders>
            <w:noWrap w:val="0"/>
            <w:vAlign w:val="center"/>
          </w:tcPr>
          <w:p w14:paraId="7B5BF62E">
            <w:pPr>
              <w:pStyle w:val="11"/>
              <w:shd w:val="clear" w:color="auto" w:fill="auto"/>
              <w:spacing w:after="0" w:line="520" w:lineRule="exact"/>
              <w:ind w:firstLine="480" w:firstLineChars="200"/>
              <w:jc w:val="center"/>
              <w:rPr>
                <w:rFonts w:hint="eastAsia" w:asciiTheme="minorEastAsia" w:hAnsiTheme="minorEastAsia" w:eastAsiaTheme="minorEastAsia" w:cstheme="minorEastAsia"/>
                <w:color w:val="auto"/>
                <w:sz w:val="24"/>
                <w:szCs w:val="24"/>
                <w:highlight w:val="none"/>
                <w:lang w:val="en-US" w:eastAsia="zh-CN"/>
              </w:rPr>
            </w:pPr>
          </w:p>
        </w:tc>
      </w:tr>
    </w:tbl>
    <w:p w14:paraId="5E6A8FD0">
      <w:pPr>
        <w:pStyle w:val="11"/>
        <w:shd w:val="clear" w:color="auto" w:fill="auto"/>
        <w:spacing w:after="0" w:line="520" w:lineRule="exact"/>
        <w:ind w:firstLine="482"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二、技术参数要求</w:t>
      </w:r>
    </w:p>
    <w:tbl>
      <w:tblPr>
        <w:tblStyle w:val="24"/>
        <w:tblW w:w="506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85"/>
        <w:gridCol w:w="771"/>
        <w:gridCol w:w="1294"/>
        <w:gridCol w:w="5918"/>
      </w:tblGrid>
      <w:tr w14:paraId="1228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08CA1D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1521" w:type="pct"/>
            <w:gridSpan w:val="3"/>
            <w:tcBorders>
              <w:top w:val="single" w:color="auto" w:sz="4" w:space="0"/>
              <w:left w:val="single" w:color="auto" w:sz="4" w:space="0"/>
              <w:bottom w:val="single" w:color="auto" w:sz="4" w:space="0"/>
              <w:right w:val="single" w:color="auto" w:sz="4" w:space="0"/>
            </w:tcBorders>
            <w:noWrap w:val="0"/>
            <w:vAlign w:val="center"/>
          </w:tcPr>
          <w:p w14:paraId="71511F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sz w:val="24"/>
                <w:szCs w:val="24"/>
                <w:highlight w:val="none"/>
                <w:lang w:val="en-US"/>
              </w:rPr>
            </w:pPr>
            <w:r>
              <w:rPr>
                <w:rFonts w:hint="eastAsia" w:ascii="宋体" w:hAnsi="宋体" w:eastAsia="宋体" w:cs="宋体"/>
                <w:b/>
                <w:bCs/>
                <w:kern w:val="0"/>
                <w:sz w:val="24"/>
                <w:szCs w:val="24"/>
                <w:highlight w:val="none"/>
                <w:lang w:val="en-US" w:eastAsia="zh-CN" w:bidi="ar"/>
              </w:rPr>
              <w:t>系统名称</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001AB5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sz w:val="24"/>
                <w:szCs w:val="24"/>
                <w:highlight w:val="none"/>
                <w:lang w:val="en-US"/>
              </w:rPr>
            </w:pPr>
            <w:r>
              <w:rPr>
                <w:rFonts w:hint="eastAsia" w:ascii="宋体" w:hAnsi="宋体" w:eastAsia="宋体" w:cs="宋体"/>
                <w:b/>
                <w:bCs/>
                <w:kern w:val="0"/>
                <w:sz w:val="24"/>
                <w:szCs w:val="24"/>
                <w:highlight w:val="none"/>
                <w:lang w:val="en-US" w:eastAsia="zh-CN" w:bidi="ar"/>
              </w:rPr>
              <w:t>详细参数要求</w:t>
            </w:r>
          </w:p>
        </w:tc>
      </w:tr>
      <w:tr w14:paraId="09BF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5C5F9B3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w:t>
            </w:r>
          </w:p>
        </w:tc>
        <w:tc>
          <w:tcPr>
            <w:tcW w:w="418" w:type="pct"/>
            <w:vMerge w:val="restart"/>
            <w:tcBorders>
              <w:top w:val="single" w:color="auto" w:sz="4" w:space="0"/>
              <w:left w:val="single" w:color="auto" w:sz="4" w:space="0"/>
              <w:right w:val="single" w:color="auto" w:sz="4" w:space="0"/>
            </w:tcBorders>
            <w:noWrap w:val="0"/>
            <w:vAlign w:val="center"/>
          </w:tcPr>
          <w:p w14:paraId="7D5AB1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医保智能风控系统</w:t>
            </w:r>
          </w:p>
        </w:tc>
        <w:tc>
          <w:tcPr>
            <w:tcW w:w="411" w:type="pct"/>
            <w:tcBorders>
              <w:top w:val="single" w:color="auto" w:sz="4" w:space="0"/>
              <w:left w:val="single" w:color="auto" w:sz="4" w:space="0"/>
              <w:bottom w:val="single" w:color="auto" w:sz="4" w:space="0"/>
              <w:right w:val="single" w:color="auto" w:sz="4" w:space="0"/>
            </w:tcBorders>
            <w:noWrap w:val="0"/>
            <w:vAlign w:val="center"/>
          </w:tcPr>
          <w:p w14:paraId="5F67DF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AI能力平台</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7C766B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AI能力平台</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17EAB525">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基于全病历的内涵质控能力：可以通过自然语义识别、病历精细结构化能力、医学知识图谱等人工智能技术基于获取到的多章节病历数据提供内涵质控能力：结合全病历信息，进行主诊断选择合理性、主手术选择合理性、诊断/手术漏填、诊断多写等提示，针对错误部分进行正确内容的智能推荐并提示推荐依据。</w:t>
            </w:r>
            <w:r>
              <w:rPr>
                <w:rFonts w:hint="eastAsia" w:ascii="宋体" w:hAnsi="宋体" w:eastAsia="宋体" w:cs="宋体"/>
                <w:b/>
                <w:sz w:val="24"/>
                <w:szCs w:val="24"/>
                <w:highlight w:val="none"/>
              </w:rPr>
              <w:t>（提供软件界面截图）</w:t>
            </w:r>
          </w:p>
          <w:p w14:paraId="64DE3B4E">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基于全病历分组智能推荐能力：基于全病历进行主要诊断/主要手术推荐、漏填等，通过智能编码和DRG分组能力，自动推荐最合理的分组结果及其配套诊断及操作。</w:t>
            </w:r>
            <w:r>
              <w:rPr>
                <w:rFonts w:hint="eastAsia" w:ascii="宋体" w:hAnsi="宋体" w:eastAsia="宋体" w:cs="宋体"/>
                <w:b/>
                <w:sz w:val="24"/>
                <w:szCs w:val="24"/>
                <w:highlight w:val="none"/>
              </w:rPr>
              <w:t>（提供软件界面截图）</w:t>
            </w:r>
          </w:p>
          <w:p w14:paraId="15044C9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DRG监管能力：基于病历信息，进行DRG监管，如诊断高编、诊断低编、手术操作高编、手术操作低编、低标准入院、重复入院或分解入院等。</w:t>
            </w:r>
            <w:r>
              <w:rPr>
                <w:rFonts w:hint="eastAsia" w:ascii="宋体" w:hAnsi="宋体" w:eastAsia="宋体" w:cs="宋体"/>
                <w:b/>
                <w:sz w:val="24"/>
                <w:szCs w:val="24"/>
                <w:highlight w:val="none"/>
              </w:rPr>
              <w:t>（提供软件界面截图）</w:t>
            </w:r>
          </w:p>
          <w:p w14:paraId="2605367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（4）</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AI+医保合规性审核能力：区别于传统基于结算清单和费用明细等进行医保审核，构建基于入院记录、病程、医嘱、检查、检验、手术记录等全病历的医保审核，包括限适应症等等。</w:t>
            </w:r>
            <w:r>
              <w:rPr>
                <w:rFonts w:hint="eastAsia" w:ascii="宋体" w:hAnsi="宋体" w:eastAsia="宋体" w:cs="宋体"/>
                <w:b/>
                <w:sz w:val="24"/>
                <w:szCs w:val="24"/>
                <w:highlight w:val="none"/>
              </w:rPr>
              <w:t>（提供软件界面截图）</w:t>
            </w:r>
          </w:p>
        </w:tc>
      </w:tr>
      <w:tr w14:paraId="6326D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70730EE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2</w:t>
            </w:r>
          </w:p>
        </w:tc>
        <w:tc>
          <w:tcPr>
            <w:tcW w:w="418" w:type="pct"/>
            <w:vMerge w:val="continue"/>
            <w:tcBorders>
              <w:left w:val="single" w:color="auto" w:sz="4" w:space="0"/>
              <w:right w:val="single" w:color="auto" w:sz="4" w:space="0"/>
            </w:tcBorders>
            <w:noWrap w:val="0"/>
            <w:vAlign w:val="center"/>
          </w:tcPr>
          <w:p w14:paraId="4694A4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411" w:type="pct"/>
            <w:vMerge w:val="restart"/>
            <w:tcBorders>
              <w:top w:val="single" w:color="auto" w:sz="4" w:space="0"/>
              <w:left w:val="single" w:color="auto" w:sz="4" w:space="0"/>
              <w:right w:val="single" w:color="auto" w:sz="4" w:space="0"/>
            </w:tcBorders>
            <w:noWrap w:val="0"/>
            <w:vAlign w:val="center"/>
          </w:tcPr>
          <w:p w14:paraId="323EF7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DRG智能管理平台</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4EF066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预分组</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500FD51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医生端提供客户端集成方式，在医生填写首页时自动调用分组相关能力，在保存病案首页时根据医生填写的诊断及手术操作信息，自动展示分组结果及未入组原因。同时预测本次住院的支付标准、病例类型（如高低倍率病例等）、风险等级、结算盈亏等。支持依据标杆值进行标杆费用和实际费用结构的比对，方便定位到费用超标原因。</w:t>
            </w:r>
            <w:r>
              <w:rPr>
                <w:rFonts w:hint="eastAsia" w:ascii="宋体" w:hAnsi="宋体" w:eastAsia="宋体" w:cs="宋体"/>
                <w:b/>
                <w:sz w:val="24"/>
                <w:szCs w:val="24"/>
                <w:highlight w:val="none"/>
              </w:rPr>
              <w:t>（提供软件界面截图）</w:t>
            </w:r>
          </w:p>
        </w:tc>
      </w:tr>
      <w:tr w14:paraId="7BD94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6243E97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3</w:t>
            </w:r>
          </w:p>
        </w:tc>
        <w:tc>
          <w:tcPr>
            <w:tcW w:w="418" w:type="pct"/>
            <w:vMerge w:val="continue"/>
            <w:tcBorders>
              <w:left w:val="single" w:color="auto" w:sz="4" w:space="0"/>
              <w:right w:val="single" w:color="auto" w:sz="4" w:space="0"/>
            </w:tcBorders>
            <w:noWrap w:val="0"/>
            <w:vAlign w:val="center"/>
          </w:tcPr>
          <w:p w14:paraId="1D35C0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52BCB9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4FA92C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临床关键路径管理</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223F8D47">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依托医院历史数据，通过医学统计学以及大数据模型，针对高频亏损疾病的治疗提出参照标准，对结算病例进行费用剖析，结合医院内部管理小组论证结果线上进行手动设置及调整，用于过程费用管控；逐步建立符合本院特色的标准诊疗服务包。</w:t>
            </w:r>
          </w:p>
        </w:tc>
      </w:tr>
      <w:tr w14:paraId="764D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7A6731B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4</w:t>
            </w:r>
          </w:p>
        </w:tc>
        <w:tc>
          <w:tcPr>
            <w:tcW w:w="418" w:type="pct"/>
            <w:vMerge w:val="continue"/>
            <w:tcBorders>
              <w:left w:val="single" w:color="auto" w:sz="4" w:space="0"/>
              <w:right w:val="single" w:color="auto" w:sz="4" w:space="0"/>
            </w:tcBorders>
            <w:noWrap w:val="0"/>
            <w:vAlign w:val="center"/>
          </w:tcPr>
          <w:p w14:paraId="576A7E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1E42C1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A0BFC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诊中费用管理</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7DC4547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当已有预分组功能时，可从入院登记到填写出院记录过程中，中自动抽取诊断、操作和手术信息，进行动态预分组，并支持调整诊断及手术模拟分组来设定目标组。同时结合历史病例给出CC/MCC及其频次供参考来避免漏填。同时提示病组风险等级和病例类型。</w:t>
            </w:r>
          </w:p>
          <w:p w14:paraId="097D3F9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对有设定临床关键路径的病种，在患者就诊过程中按照患者所处的不同阶段，从不同的维度，建立目标分组数据与病例实时数据的对比提示，包括预计盈亏、总费用对比、标杆费用对比及阶段费用明细对比，让医生在医疗过程完整规范的情况下，有节奏的控制费用。</w:t>
            </w:r>
            <w:r>
              <w:rPr>
                <w:rFonts w:hint="eastAsia" w:ascii="宋体" w:hAnsi="宋体" w:eastAsia="宋体" w:cs="宋体"/>
                <w:b/>
                <w:sz w:val="24"/>
                <w:szCs w:val="24"/>
                <w:highlight w:val="none"/>
              </w:rPr>
              <w:t>（提供软件界面截图）</w:t>
            </w:r>
          </w:p>
        </w:tc>
      </w:tr>
      <w:tr w14:paraId="50B2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00125CA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5</w:t>
            </w:r>
          </w:p>
        </w:tc>
        <w:tc>
          <w:tcPr>
            <w:tcW w:w="418" w:type="pct"/>
            <w:vMerge w:val="continue"/>
            <w:tcBorders>
              <w:left w:val="single" w:color="auto" w:sz="4" w:space="0"/>
              <w:right w:val="single" w:color="auto" w:sz="4" w:space="0"/>
            </w:tcBorders>
            <w:noWrap w:val="0"/>
            <w:vAlign w:val="center"/>
          </w:tcPr>
          <w:p w14:paraId="0ABAC5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1A206E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60F2E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病案首页质控</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263D1D6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依据《住院病案首页数据填写质量规范》和ICD-10、ICD-9编码学提供如下两方面质控能力：</w:t>
            </w:r>
          </w:p>
          <w:p w14:paraId="0C0FD00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（1）基础质控：具有完整性、一致性、规范性、逻辑性以及数据上报接口规则判断标准。</w:t>
            </w:r>
          </w:p>
          <w:p w14:paraId="182FB9E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（2）编码规则质控：满足国际疾病分类及卫健委相关要求的ICD编码规则质控，包括诊断编码的逻辑判断、不能做主诊断的编码控制、合并编码、另编码、互斥编码规则等编码规则。</w:t>
            </w:r>
          </w:p>
          <w:p w14:paraId="754FD6B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在医生端保存病案首页时，调用质控能力，提供独立客户端展示质控结果，展示质控规则及描述、是否影响分组、是否扣分、严重程度。</w:t>
            </w:r>
          </w:p>
        </w:tc>
      </w:tr>
      <w:tr w14:paraId="5C31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38FBEB4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6</w:t>
            </w:r>
          </w:p>
        </w:tc>
        <w:tc>
          <w:tcPr>
            <w:tcW w:w="418" w:type="pct"/>
            <w:vMerge w:val="continue"/>
            <w:tcBorders>
              <w:left w:val="single" w:color="auto" w:sz="4" w:space="0"/>
              <w:right w:val="single" w:color="auto" w:sz="4" w:space="0"/>
            </w:tcBorders>
            <w:noWrap w:val="0"/>
            <w:vAlign w:val="center"/>
          </w:tcPr>
          <w:p w14:paraId="1CC8B8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4851F4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F09B6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医保结算清单质控</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0CB8ABF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依托《医疗保障基金结算清单填写规范》中的要求对清单进行校验：包括医保非编码规则，编码规则，主要诊断调整建议，其他诊断过滤建议及转码质控等问题排查。</w:t>
            </w:r>
          </w:p>
          <w:p w14:paraId="1BA6BF0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
              </w:rPr>
              <w:t>管理端：调用清单质控能力展示质控结果，展示质控规则及描述、是否影响分组、严重程度，并可以自动定位到质检字段。</w:t>
            </w:r>
            <w:r>
              <w:rPr>
                <w:rFonts w:hint="eastAsia" w:ascii="宋体" w:hAnsi="宋体" w:eastAsia="宋体" w:cs="宋体"/>
                <w:b/>
                <w:sz w:val="24"/>
                <w:szCs w:val="24"/>
                <w:highlight w:val="none"/>
              </w:rPr>
              <w:t>（提供软件界面截图）</w:t>
            </w:r>
          </w:p>
        </w:tc>
      </w:tr>
      <w:tr w14:paraId="7EF0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2DD771F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7</w:t>
            </w:r>
          </w:p>
        </w:tc>
        <w:tc>
          <w:tcPr>
            <w:tcW w:w="418" w:type="pct"/>
            <w:vMerge w:val="continue"/>
            <w:tcBorders>
              <w:left w:val="single" w:color="auto" w:sz="4" w:space="0"/>
              <w:right w:val="single" w:color="auto" w:sz="4" w:space="0"/>
            </w:tcBorders>
            <w:noWrap w:val="0"/>
            <w:vAlign w:val="center"/>
          </w:tcPr>
          <w:p w14:paraId="50EFCB5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bottom w:val="single" w:color="auto" w:sz="4" w:space="0"/>
              <w:right w:val="single" w:color="auto" w:sz="4" w:space="0"/>
            </w:tcBorders>
            <w:noWrap w:val="0"/>
            <w:vAlign w:val="center"/>
          </w:tcPr>
          <w:p w14:paraId="7D846DD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19541E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医保结算管理</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59D43CD1">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对于存在质控问题风险的清单，支持问题清单导出，便于处理之后查看处理前后质控结果。</w:t>
            </w:r>
          </w:p>
          <w:p w14:paraId="15AE3C9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系统支持分析不同时间段全数据出现过的问题，显示出现各类问题清单数，各问题类型错误数，科室问题数等一系列关键数据指标，系统支持展现问题列表准确定位质控问题。</w:t>
            </w:r>
          </w:p>
        </w:tc>
      </w:tr>
      <w:tr w14:paraId="1440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6D717EC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8</w:t>
            </w:r>
          </w:p>
        </w:tc>
        <w:tc>
          <w:tcPr>
            <w:tcW w:w="418" w:type="pct"/>
            <w:vMerge w:val="continue"/>
            <w:tcBorders>
              <w:left w:val="single" w:color="auto" w:sz="4" w:space="0"/>
              <w:right w:val="single" w:color="auto" w:sz="4" w:space="0"/>
            </w:tcBorders>
            <w:noWrap w:val="0"/>
            <w:vAlign w:val="center"/>
          </w:tcPr>
          <w:p w14:paraId="1D069C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411" w:type="pct"/>
            <w:vMerge w:val="restart"/>
            <w:tcBorders>
              <w:top w:val="single" w:color="auto" w:sz="4" w:space="0"/>
              <w:left w:val="single" w:color="auto" w:sz="4" w:space="0"/>
              <w:right w:val="single" w:color="auto" w:sz="4" w:space="0"/>
            </w:tcBorders>
            <w:noWrap w:val="0"/>
            <w:vAlign w:val="center"/>
          </w:tcPr>
          <w:p w14:paraId="4FB35D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医保智能审核平台</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07568B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处方提醒</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1FC3395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支持在医师开具门诊处方/门诊慢特病处方时自动对处方进行实时审核，根据诊断与用药、药品说明、医保限制条件，筛查出可疑违规项目后及时通过客户端提醒医师进行处理，提供申诉意见填写等处理方式。</w:t>
            </w:r>
          </w:p>
        </w:tc>
      </w:tr>
      <w:tr w14:paraId="779F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64592F2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9</w:t>
            </w:r>
          </w:p>
        </w:tc>
        <w:tc>
          <w:tcPr>
            <w:tcW w:w="418" w:type="pct"/>
            <w:vMerge w:val="continue"/>
            <w:tcBorders>
              <w:left w:val="single" w:color="auto" w:sz="4" w:space="0"/>
              <w:right w:val="single" w:color="auto" w:sz="4" w:space="0"/>
            </w:tcBorders>
            <w:noWrap w:val="0"/>
            <w:vAlign w:val="center"/>
          </w:tcPr>
          <w:p w14:paraId="73B9EC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75C992F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6207F59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医嘱提醒</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2BC0AEA0">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支持在医生诊疗过程中，结合医嘱信息、医保管理规定，调用常规医保合规性审核能力，将审核前置到医生端，实时提示违规。提供独立客户端展示疑似违规类型、说明、依据、涉及金额。提供申诉意见填写等处理方式。</w:t>
            </w:r>
          </w:p>
        </w:tc>
      </w:tr>
      <w:tr w14:paraId="19446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3D43934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10</w:t>
            </w:r>
          </w:p>
        </w:tc>
        <w:tc>
          <w:tcPr>
            <w:tcW w:w="418" w:type="pct"/>
            <w:vMerge w:val="continue"/>
            <w:tcBorders>
              <w:left w:val="single" w:color="auto" w:sz="4" w:space="0"/>
              <w:right w:val="single" w:color="auto" w:sz="4" w:space="0"/>
            </w:tcBorders>
            <w:noWrap w:val="0"/>
            <w:vAlign w:val="center"/>
          </w:tcPr>
          <w:p w14:paraId="55BE69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065D04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6FFDFE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在院预审</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71FFE70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支持每天定时从HIS中获取在院患者费用信息和全病历信息，调用基于全病历内涵的AI医保审核能力进行全方位审核，筛选出当前在院全部就诊数据的违规疑点，质检规则包括：医保超限用药、无指征检查检验、无医嘱收费，各种漏收费，在管理端展示问题病例列表，分数据权限给科主任、医保审核人员等。支持按病例展示疑似违规列表，包括患者电子病历信息、疑似规则类型、说明、涉及金额、依据和解释。医保科工作人员可以给医生推送提醒待办并可以补充略过原因。</w:t>
            </w:r>
          </w:p>
        </w:tc>
      </w:tr>
      <w:tr w14:paraId="0850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2960516C">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11</w:t>
            </w:r>
          </w:p>
        </w:tc>
        <w:tc>
          <w:tcPr>
            <w:tcW w:w="418" w:type="pct"/>
            <w:vMerge w:val="continue"/>
            <w:tcBorders>
              <w:left w:val="single" w:color="auto" w:sz="4" w:space="0"/>
              <w:right w:val="single" w:color="auto" w:sz="4" w:space="0"/>
            </w:tcBorders>
            <w:noWrap w:val="0"/>
            <w:vAlign w:val="center"/>
          </w:tcPr>
          <w:p w14:paraId="7EBE4A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75E3BF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FFA95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DRG/DIP结算风控</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2E5A537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支持在医保结算清单上报医保中心前，调用基于全病历的DRG分组关键信息监管对清单的低码高编、高码低编、分解住院、低标准收费、病史与DRG分组不符、DRG分组与诊疗路径不符等行为进行审核，并将审核结果展现给医保科工作人员。</w:t>
            </w:r>
          </w:p>
        </w:tc>
      </w:tr>
      <w:tr w14:paraId="6FA1F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62A6079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12</w:t>
            </w:r>
          </w:p>
        </w:tc>
        <w:tc>
          <w:tcPr>
            <w:tcW w:w="418" w:type="pct"/>
            <w:vMerge w:val="continue"/>
            <w:tcBorders>
              <w:left w:val="single" w:color="auto" w:sz="4" w:space="0"/>
              <w:right w:val="single" w:color="auto" w:sz="4" w:space="0"/>
            </w:tcBorders>
            <w:noWrap w:val="0"/>
            <w:vAlign w:val="center"/>
          </w:tcPr>
          <w:p w14:paraId="469C24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right w:val="single" w:color="auto" w:sz="4" w:space="0"/>
            </w:tcBorders>
            <w:noWrap w:val="0"/>
            <w:vAlign w:val="center"/>
          </w:tcPr>
          <w:p w14:paraId="7634989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0F9C9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疑点统计分析</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0CF8038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（1）疑似违规分析：按照患者维度展示智审结果，采用排名分析、趋势分析等方式，对违规情况进行监控和分析。可展示患者列表和智审详情，智审详情需要展示所有的智审明细，患者列表支持多维度查询。</w:t>
            </w:r>
          </w:p>
          <w:p w14:paraId="79FC8932">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（2）疑似违规总览：系统对疑似违规数据进行统计，并支持以图形化准确直观展现（含柱状图、饼状图、趋势图等）；主要包括：违规规则数、科室违规金额、违规项目数量、违规项目金额等维度</w:t>
            </w:r>
          </w:p>
          <w:p w14:paraId="4C265090">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（3）科室疑似违规统计：按科室维度统计违规次数、违规金额，计算同比及环比分析结果。</w:t>
            </w:r>
          </w:p>
          <w:p w14:paraId="0AF71BA1">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（4）医生疑似违规统计：按医生维度统计违规次数、违规金额，计算同比及环比分析结果。</w:t>
            </w:r>
          </w:p>
          <w:p w14:paraId="4F58A2CE">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（5）项目疑似违规统计：分析疑似违规诊疗项目的使用情况，统计药品、医疗服务、耗材的使用数量、金额、人次等，以及各科室的使用详情。</w:t>
            </w:r>
          </w:p>
          <w:p w14:paraId="66650D92">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（6）疑似违规类型统计：按规则类型-科室-医生-规则维度，展示疑似违规数据，可进行报表下钻，方便用户快速查看和分析疑似违规数据。</w:t>
            </w:r>
          </w:p>
        </w:tc>
      </w:tr>
      <w:tr w14:paraId="7B8D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022B1FA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13</w:t>
            </w:r>
          </w:p>
        </w:tc>
        <w:tc>
          <w:tcPr>
            <w:tcW w:w="418" w:type="pct"/>
            <w:vMerge w:val="continue"/>
            <w:tcBorders>
              <w:left w:val="single" w:color="auto" w:sz="4" w:space="0"/>
              <w:right w:val="single" w:color="auto" w:sz="4" w:space="0"/>
            </w:tcBorders>
            <w:noWrap w:val="0"/>
            <w:vAlign w:val="center"/>
          </w:tcPr>
          <w:p w14:paraId="5CA758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411" w:type="pct"/>
            <w:vMerge w:val="continue"/>
            <w:tcBorders>
              <w:left w:val="single" w:color="auto" w:sz="4" w:space="0"/>
              <w:bottom w:val="single" w:color="auto" w:sz="4" w:space="0"/>
              <w:right w:val="single" w:color="auto" w:sz="4" w:space="0"/>
            </w:tcBorders>
            <w:noWrap w:val="0"/>
            <w:vAlign w:val="center"/>
          </w:tcPr>
          <w:p w14:paraId="0AEB73C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CC6D8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知识库</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221A6057">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（1）医保药品/耗材目录管理：</w:t>
            </w:r>
            <w:r>
              <w:rPr>
                <w:rFonts w:hint="eastAsia" w:ascii="宋体" w:hAnsi="宋体" w:eastAsia="宋体" w:cs="宋体"/>
                <w:color w:val="000000"/>
                <w:kern w:val="2"/>
                <w:sz w:val="24"/>
                <w:szCs w:val="24"/>
                <w:highlight w:val="none"/>
                <w:lang w:val="en-US" w:eastAsia="zh-CN" w:bidi="ar"/>
              </w:rPr>
              <w:t>药品/耗材信息管理可以查询当地</w:t>
            </w:r>
            <w:r>
              <w:rPr>
                <w:rStyle w:val="51"/>
                <w:rFonts w:hint="eastAsia" w:ascii="宋体" w:hAnsi="宋体" w:eastAsia="宋体" w:cs="宋体"/>
                <w:color w:val="auto"/>
                <w:kern w:val="2"/>
                <w:sz w:val="24"/>
                <w:szCs w:val="24"/>
                <w:highlight w:val="none"/>
                <w:lang w:val="en-US" w:eastAsia="zh-CN" w:bidi="ar"/>
              </w:rPr>
              <w:t>医保药品目录</w:t>
            </w:r>
            <w:r>
              <w:rPr>
                <w:rFonts w:hint="eastAsia" w:ascii="宋体" w:hAnsi="宋体" w:eastAsia="宋体" w:cs="宋体"/>
                <w:color w:val="auto"/>
                <w:kern w:val="2"/>
                <w:sz w:val="24"/>
                <w:szCs w:val="24"/>
                <w:highlight w:val="none"/>
                <w:lang w:val="en-US" w:eastAsia="zh-CN" w:bidi="ar"/>
              </w:rPr>
              <w:t>的基本信息，包括药品编码，药品名称，收费类别，收费项目等级，限制支付条件，其中药品名称</w:t>
            </w:r>
            <w:r>
              <w:rPr>
                <w:rStyle w:val="51"/>
                <w:rFonts w:hint="eastAsia" w:ascii="宋体" w:hAnsi="宋体" w:eastAsia="宋体" w:cs="宋体"/>
                <w:color w:val="auto"/>
                <w:kern w:val="2"/>
                <w:sz w:val="24"/>
                <w:szCs w:val="24"/>
                <w:highlight w:val="none"/>
                <w:lang w:val="en-US" w:eastAsia="zh-CN" w:bidi="ar"/>
              </w:rPr>
              <w:t>和限制支付条件</w:t>
            </w:r>
            <w:r>
              <w:rPr>
                <w:rFonts w:hint="eastAsia" w:ascii="宋体" w:hAnsi="宋体" w:eastAsia="宋体" w:cs="宋体"/>
                <w:color w:val="000000"/>
                <w:kern w:val="2"/>
                <w:sz w:val="24"/>
                <w:szCs w:val="24"/>
                <w:highlight w:val="none"/>
                <w:lang w:val="en-US" w:eastAsia="zh-CN" w:bidi="ar"/>
              </w:rPr>
              <w:t>支持模糊查询。</w:t>
            </w:r>
          </w:p>
          <w:p w14:paraId="19C77F55">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（2）医保诊疗目录管理：</w:t>
            </w:r>
            <w:r>
              <w:rPr>
                <w:rFonts w:hint="eastAsia" w:ascii="宋体" w:hAnsi="宋体" w:eastAsia="宋体" w:cs="宋体"/>
                <w:color w:val="000000"/>
                <w:kern w:val="2"/>
                <w:sz w:val="24"/>
                <w:szCs w:val="24"/>
                <w:highlight w:val="none"/>
                <w:lang w:val="en-US" w:eastAsia="zh-CN" w:bidi="ar"/>
              </w:rPr>
              <w:t>诊疗项目信息管理可以查询当地医保诊疗项目的基本信息，包括项目编码，项目名称，收费类别，收费项目等级，限制支付条件，其中项目名称和限制支付条件支持模糊查询。</w:t>
            </w:r>
          </w:p>
          <w:p w14:paraId="46F7C1A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（3）医保诊断目录管理：病种信息管理可以查询当地医保疾病目录基本信息，包括疾病编码，疾病名称。疾病名称支持模糊查询。</w:t>
            </w:r>
          </w:p>
          <w:p w14:paraId="07D60538">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医师信息管理：医师信息管理查询本院医师信息，包括医师编号、姓名、身份证号、科室、医师类别、电话。支持手动新增医师信息，如果本院有新医生进入，可以在本模块维护一条新的医师信息，包括医师编号、姓名、身份证号、科室、医师类别、电话。支持修改及删除，对已经存在的医师信息，对其基础信息进行修改及删除。</w:t>
            </w:r>
          </w:p>
          <w:p w14:paraId="7B22BA2F">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40" w:lineRule="auto"/>
              <w:ind w:leftChars="0" w:right="0" w:rightChars="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（5）飞检案例库管理：建立飞检案例库，展示案例来源、通报日期、单位及其具体违规行为、金额，为智能审核提供参考依据。</w:t>
            </w:r>
          </w:p>
        </w:tc>
      </w:tr>
      <w:tr w14:paraId="4F17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23863CE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14</w:t>
            </w:r>
          </w:p>
        </w:tc>
        <w:tc>
          <w:tcPr>
            <w:tcW w:w="418" w:type="pct"/>
            <w:vMerge w:val="continue"/>
            <w:tcBorders>
              <w:left w:val="single" w:color="auto" w:sz="4" w:space="0"/>
              <w:right w:val="single" w:color="auto" w:sz="4" w:space="0"/>
            </w:tcBorders>
            <w:noWrap w:val="0"/>
            <w:vAlign w:val="center"/>
          </w:tcPr>
          <w:p w14:paraId="6F0119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7AA935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运营分析平台</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370A5B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运营分析</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34FFBFF7">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（1）盈亏分析：按时间维度图表结合展示：</w:t>
            </w:r>
          </w:p>
          <w:p w14:paraId="03E01CB1">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1）整体盈亏分析：全院和各科室总体人次、总医疗费用、盈亏额、医保支付额度、药品耗材费及同比变化。</w:t>
            </w:r>
          </w:p>
          <w:p w14:paraId="4B6CCCA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科室盈亏分析：结合CMI和盈亏额通过象限图确定优势科室、劣势科室、潜力科室等。可查看各科室的盈亏明细情况，包含次均盈亏金额、例均住院天数、次均检验检查费、次均药品费、次均材料费、药耗占比等指标值。</w:t>
            </w:r>
          </w:p>
          <w:p w14:paraId="6A56AF00">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3）医生盈亏分析：从科室可以查看各医生诊疗病历的盈亏明细情况， 包含次均盈亏金额、例均住院天数、五类费用金额及占比等指标值。</w:t>
            </w:r>
          </w:p>
          <w:p w14:paraId="0A47817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4）病组盈亏分析：按照盈亏情况展示优势病组和劣势病组详情，包括各DRG组编码、名称、权重/点数、盈亏、每万元盈亏等。支持按科室或医生查看各病组盈亏情况。</w:t>
            </w:r>
          </w:p>
          <w:p w14:paraId="747D2382">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5）支持联动展示病例盈亏明细，支持查看病例详情。</w:t>
            </w:r>
          </w:p>
          <w:p w14:paraId="57E3C00C">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（2）DRG绩效评价：按时间维度图表结合展示：</w:t>
            </w:r>
          </w:p>
          <w:p w14:paraId="50EF1EB2">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1）从全院、科室维度进行医疗质量、效率、能力等方面进行分析，包括：入组率、总权重、DRG组数、平均住院日、次均住院费用、时间消耗指数、费用消耗指数、人次人头比、低风险组死亡率等等关键指标。</w:t>
            </w:r>
          </w:p>
          <w:p w14:paraId="2BD32581">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2）支持从全院、科室等维度进行DRG组分析，统计各DRG组病例数、DRG组核心指标、五类费用均值等。</w:t>
            </w:r>
          </w:p>
          <w:p w14:paraId="79FE0E74">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3）支持查看病例详情。</w:t>
            </w:r>
          </w:p>
          <w:p w14:paraId="1B9F6DD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（3）疑难病例分析：分析权重值较大的病例所占总分析病例的比例，分析各个RW值段的病例比例。</w:t>
            </w:r>
          </w:p>
          <w:p w14:paraId="595BBF7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（4）手术能力分析：</w:t>
            </w:r>
          </w:p>
          <w:p w14:paraId="333D162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1）实现手术分级标准可配置、可调整，参考国家或地区手术分级标准，形成本院手术分级标准。</w:t>
            </w:r>
          </w:p>
          <w:p w14:paraId="3507196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2）分析医院的三四级手术比例，代表外科能力的强弱。包含以下指标：出院人数、手术人次、三级手术、四级手术、三四级手术合计及比，同时提供报表导出功能。</w:t>
            </w:r>
          </w:p>
          <w:p w14:paraId="2C1372F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3）支持查看相关病例及病例详情。</w:t>
            </w:r>
          </w:p>
          <w:p w14:paraId="05ABD712">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（5）特殊病组分析：支持高频病组、高值病组、高结余病组、高亏损病组等异常病组的统计和分析。</w:t>
            </w:r>
          </w:p>
        </w:tc>
      </w:tr>
      <w:tr w14:paraId="0791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0E22374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15</w:t>
            </w:r>
          </w:p>
        </w:tc>
        <w:tc>
          <w:tcPr>
            <w:tcW w:w="418" w:type="pct"/>
            <w:vMerge w:val="continue"/>
            <w:tcBorders>
              <w:left w:val="single" w:color="auto" w:sz="4" w:space="0"/>
              <w:right w:val="single" w:color="auto" w:sz="4" w:space="0"/>
            </w:tcBorders>
            <w:noWrap w:val="0"/>
            <w:vAlign w:val="center"/>
          </w:tcPr>
          <w:p w14:paraId="5DFE53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602CAD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等级医院院内应用</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01E6E0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3家二级医院的软件应用：客户端、管理系统等</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0F1EAAFD">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以上能力平台所提供功能在终端接入的具体应用。</w:t>
            </w:r>
          </w:p>
        </w:tc>
      </w:tr>
      <w:tr w14:paraId="2D18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23427A1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16</w:t>
            </w:r>
          </w:p>
        </w:tc>
        <w:tc>
          <w:tcPr>
            <w:tcW w:w="418" w:type="pct"/>
            <w:vMerge w:val="continue"/>
            <w:tcBorders>
              <w:left w:val="single" w:color="auto" w:sz="4" w:space="0"/>
              <w:right w:val="single" w:color="auto" w:sz="4" w:space="0"/>
            </w:tcBorders>
            <w:noWrap w:val="0"/>
            <w:vAlign w:val="center"/>
          </w:tcPr>
          <w:p w14:paraId="78D67C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378B09A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基层院内应用</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278BF80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10家基层的软件应用：客户端、管理系统等</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3F97405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以上能力平台所提供功能在终端接入的具体应用。</w:t>
            </w:r>
          </w:p>
        </w:tc>
      </w:tr>
      <w:tr w14:paraId="1577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320" w:type="pct"/>
            <w:tcBorders>
              <w:top w:val="single" w:color="auto" w:sz="4" w:space="0"/>
              <w:left w:val="single" w:color="auto" w:sz="4" w:space="0"/>
              <w:bottom w:val="single" w:color="auto" w:sz="4" w:space="0"/>
              <w:right w:val="single" w:color="auto" w:sz="4" w:space="0"/>
            </w:tcBorders>
            <w:noWrap w:val="0"/>
            <w:vAlign w:val="center"/>
          </w:tcPr>
          <w:p w14:paraId="273E951B">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17</w:t>
            </w:r>
          </w:p>
        </w:tc>
        <w:tc>
          <w:tcPr>
            <w:tcW w:w="418" w:type="pct"/>
            <w:vMerge w:val="continue"/>
            <w:tcBorders>
              <w:left w:val="single" w:color="auto" w:sz="4" w:space="0"/>
              <w:bottom w:val="single" w:color="auto" w:sz="4" w:space="0"/>
              <w:right w:val="single" w:color="auto" w:sz="4" w:space="0"/>
            </w:tcBorders>
            <w:noWrap w:val="0"/>
            <w:vAlign w:val="center"/>
          </w:tcPr>
          <w:p w14:paraId="2EF871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1102" w:type="pct"/>
            <w:gridSpan w:val="2"/>
            <w:tcBorders>
              <w:top w:val="single" w:color="auto" w:sz="4" w:space="0"/>
              <w:left w:val="single" w:color="auto" w:sz="4" w:space="0"/>
              <w:bottom w:val="single" w:color="auto" w:sz="4" w:space="0"/>
              <w:right w:val="single" w:color="auto" w:sz="4" w:space="0"/>
            </w:tcBorders>
            <w:noWrap w:val="0"/>
            <w:vAlign w:val="center"/>
          </w:tcPr>
          <w:p w14:paraId="67D003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接口改造</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334D7B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提供配套本系统接口开发服务，如涉及与医院现有业务系统改造产生的费用，需供应商承担。</w:t>
            </w:r>
          </w:p>
        </w:tc>
      </w:tr>
      <w:tr w14:paraId="58AA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320" w:type="pct"/>
            <w:vMerge w:val="restart"/>
            <w:tcBorders>
              <w:top w:val="single" w:color="auto" w:sz="4" w:space="0"/>
              <w:left w:val="single" w:color="auto" w:sz="4" w:space="0"/>
              <w:right w:val="single" w:color="auto" w:sz="4" w:space="0"/>
            </w:tcBorders>
            <w:noWrap w:val="0"/>
            <w:vAlign w:val="center"/>
          </w:tcPr>
          <w:p w14:paraId="13733E0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18</w:t>
            </w:r>
          </w:p>
        </w:tc>
        <w:tc>
          <w:tcPr>
            <w:tcW w:w="418" w:type="pct"/>
            <w:vMerge w:val="restart"/>
            <w:tcBorders>
              <w:top w:val="single" w:color="auto" w:sz="4" w:space="0"/>
              <w:left w:val="single" w:color="auto" w:sz="4" w:space="0"/>
              <w:right w:val="single" w:color="auto" w:sz="4" w:space="0"/>
            </w:tcBorders>
            <w:noWrap w:val="0"/>
            <w:vAlign w:val="center"/>
          </w:tcPr>
          <w:p w14:paraId="735CFEE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硬件服务器</w:t>
            </w:r>
          </w:p>
        </w:tc>
        <w:tc>
          <w:tcPr>
            <w:tcW w:w="1102" w:type="pct"/>
            <w:gridSpan w:val="2"/>
            <w:tcBorders>
              <w:top w:val="single" w:color="auto" w:sz="4" w:space="0"/>
              <w:left w:val="single" w:color="auto" w:sz="4" w:space="0"/>
              <w:bottom w:val="single" w:color="auto" w:sz="4" w:space="0"/>
              <w:right w:val="single" w:color="auto" w:sz="4" w:space="0"/>
            </w:tcBorders>
            <w:noWrap w:val="0"/>
            <w:vAlign w:val="center"/>
          </w:tcPr>
          <w:p w14:paraId="6FA883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硬件服务器1</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691105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1.品牌：国产品牌</w:t>
            </w:r>
          </w:p>
          <w:p w14:paraId="6BDA947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2.CPU：Gold 5218*1;</w:t>
            </w:r>
          </w:p>
          <w:p w14:paraId="7EE6FD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3.内存：128G(DDR4 16G*2)；</w:t>
            </w:r>
          </w:p>
          <w:p w14:paraId="20F51B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4.硬盘：480GB SSD*2，4x4TB机械硬盘；</w:t>
            </w:r>
          </w:p>
          <w:p w14:paraId="01914D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5.网卡：1Gbps；</w:t>
            </w:r>
          </w:p>
          <w:p w14:paraId="4405BA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6.RAID卡：RAID控制器（0/1/10/5/6，2G缓存）带电池或电容保护；</w:t>
            </w:r>
          </w:p>
          <w:p w14:paraId="552B0F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7.预留PCIe：PCIe v3@16X速率≥1</w:t>
            </w:r>
          </w:p>
          <w:p w14:paraId="300050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8.双冗余电源、双导轨,满配风扇</w:t>
            </w:r>
          </w:p>
          <w:p w14:paraId="1DFF6A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9.企业级IPMI*1、支持KVMoIP；支持基于浏览器的远程登录、管理、ISO镜像挂载、操作系统部署及管理软件永久授权。</w:t>
            </w:r>
          </w:p>
          <w:p w14:paraId="022A2F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10、硬盘背板：所有供货服务器满配置硬盘背板。</w:t>
            </w:r>
          </w:p>
        </w:tc>
      </w:tr>
      <w:tr w14:paraId="2384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320" w:type="pct"/>
            <w:vMerge w:val="continue"/>
            <w:tcBorders>
              <w:left w:val="single" w:color="auto" w:sz="4" w:space="0"/>
              <w:bottom w:val="single" w:color="auto" w:sz="4" w:space="0"/>
              <w:right w:val="single" w:color="auto" w:sz="4" w:space="0"/>
            </w:tcBorders>
            <w:noWrap w:val="0"/>
            <w:vAlign w:val="center"/>
          </w:tcPr>
          <w:p w14:paraId="5E81CE1A">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Chars="0" w:right="0" w:rightChars="0"/>
              <w:jc w:val="center"/>
              <w:textAlignment w:val="auto"/>
              <w:rPr>
                <w:rFonts w:hint="eastAsia" w:ascii="宋体" w:hAnsi="宋体" w:eastAsia="宋体" w:cs="宋体"/>
                <w:kern w:val="0"/>
                <w:sz w:val="24"/>
                <w:szCs w:val="24"/>
                <w:highlight w:val="none"/>
                <w:lang w:val="en-US" w:eastAsia="zh-CN" w:bidi="ar"/>
              </w:rPr>
            </w:pPr>
          </w:p>
        </w:tc>
        <w:tc>
          <w:tcPr>
            <w:tcW w:w="418" w:type="pct"/>
            <w:vMerge w:val="continue"/>
            <w:tcBorders>
              <w:left w:val="single" w:color="auto" w:sz="4" w:space="0"/>
              <w:right w:val="single" w:color="auto" w:sz="4" w:space="0"/>
            </w:tcBorders>
            <w:noWrap w:val="0"/>
            <w:vAlign w:val="center"/>
          </w:tcPr>
          <w:p w14:paraId="7CC8B2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kern w:val="0"/>
                <w:sz w:val="24"/>
                <w:szCs w:val="24"/>
                <w:highlight w:val="none"/>
                <w:lang w:val="en-US" w:eastAsia="zh-CN" w:bidi="ar"/>
              </w:rPr>
            </w:pPr>
          </w:p>
        </w:tc>
        <w:tc>
          <w:tcPr>
            <w:tcW w:w="1102" w:type="pct"/>
            <w:gridSpan w:val="2"/>
            <w:tcBorders>
              <w:top w:val="single" w:color="auto" w:sz="4" w:space="0"/>
              <w:left w:val="single" w:color="auto" w:sz="4" w:space="0"/>
              <w:bottom w:val="single" w:color="auto" w:sz="4" w:space="0"/>
              <w:right w:val="single" w:color="auto" w:sz="4" w:space="0"/>
            </w:tcBorders>
            <w:noWrap w:val="0"/>
            <w:vAlign w:val="center"/>
          </w:tcPr>
          <w:p w14:paraId="02045D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硬件服务器2</w:t>
            </w:r>
          </w:p>
        </w:tc>
        <w:tc>
          <w:tcPr>
            <w:tcW w:w="3158" w:type="pct"/>
            <w:tcBorders>
              <w:top w:val="single" w:color="auto" w:sz="4" w:space="0"/>
              <w:left w:val="single" w:color="auto" w:sz="4" w:space="0"/>
              <w:bottom w:val="single" w:color="auto" w:sz="4" w:space="0"/>
              <w:right w:val="single" w:color="auto" w:sz="4" w:space="0"/>
            </w:tcBorders>
            <w:noWrap w:val="0"/>
            <w:vAlign w:val="center"/>
          </w:tcPr>
          <w:p w14:paraId="2A2AD1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1.品牌：国产品牌</w:t>
            </w:r>
          </w:p>
          <w:p w14:paraId="5AC1E23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2.CPU：Gold 5218*2;</w:t>
            </w:r>
          </w:p>
          <w:p w14:paraId="1541B1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3.内存：128G(DDR4 16G*2)；</w:t>
            </w:r>
          </w:p>
          <w:p w14:paraId="7E9483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4.硬盘：960GB SSD*1，2x8TB机械硬盘；</w:t>
            </w:r>
          </w:p>
          <w:p w14:paraId="68B163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5.网卡：1Gbps；</w:t>
            </w:r>
          </w:p>
          <w:p w14:paraId="2E9CDF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6.RAID卡：RAID控制器（0/1/10/5/6，2G缓存）带电池或电容保护；</w:t>
            </w:r>
          </w:p>
          <w:p w14:paraId="37CFAB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7.预留PCIe：PCIe v3@16X速率≥1</w:t>
            </w:r>
          </w:p>
          <w:p w14:paraId="19CAB9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8.双冗余电源、双导轨,满配风扇</w:t>
            </w:r>
          </w:p>
          <w:p w14:paraId="7D2B706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9.企业级IPMI*1、支持KVMoIP；支持基于浏览器的远程登录、管理、ISO镜像挂载、操作系统部署及管理软件永久授权。</w:t>
            </w:r>
          </w:p>
          <w:p w14:paraId="2D2E0F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10、硬盘背板：所有供货服务器满配置硬盘背板。</w:t>
            </w:r>
          </w:p>
        </w:tc>
      </w:tr>
    </w:tbl>
    <w:p w14:paraId="687C5688">
      <w:pPr>
        <w:numPr>
          <w:ilvl w:val="0"/>
          <w:numId w:val="0"/>
        </w:numPr>
        <w:bidi w:val="0"/>
        <w:ind w:left="0" w:leftChars="0" w:firstLine="0" w:firstLineChars="0"/>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三、</w:t>
      </w:r>
      <w:r>
        <w:rPr>
          <w:rFonts w:hint="eastAsia" w:ascii="宋体" w:hAnsi="宋体" w:eastAsia="宋体" w:cs="宋体"/>
          <w:b/>
          <w:bCs/>
          <w:sz w:val="28"/>
          <w:szCs w:val="28"/>
          <w:lang w:val="en-US" w:eastAsia="zh-CN"/>
        </w:rPr>
        <w:t>技术服务</w:t>
      </w:r>
      <w:r>
        <w:rPr>
          <w:rFonts w:hint="eastAsia" w:ascii="宋体" w:hAnsi="宋体" w:eastAsia="宋体" w:cs="宋体"/>
          <w:b/>
          <w:bCs/>
          <w:sz w:val="28"/>
          <w:szCs w:val="28"/>
        </w:rPr>
        <w:t>要求</w:t>
      </w:r>
    </w:p>
    <w:p w14:paraId="478CBCDD">
      <w:pPr>
        <w:keepNext w:val="0"/>
        <w:keepLines w:val="0"/>
        <w:pageBreakBefore w:val="0"/>
        <w:widowControl w:val="0"/>
        <w:numPr>
          <w:ilvl w:val="0"/>
          <w:numId w:val="0"/>
        </w:numPr>
        <w:kinsoku/>
        <w:wordWrap/>
        <w:overflowPunct/>
        <w:topLinePunct w:val="0"/>
        <w:autoSpaceDE/>
        <w:autoSpaceDN/>
        <w:bidi w:val="0"/>
        <w:adjustRightInd/>
        <w:snapToGrid/>
        <w:spacing w:before="206" w:beforeLines="50" w:after="206" w:afterLines="50" w:line="24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 项目实施要求</w:t>
      </w:r>
    </w:p>
    <w:p w14:paraId="65124CF3">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left"/>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val="en-US" w:eastAsia="zh-CN" w:bidi="ar"/>
        </w:rPr>
        <w:t>（1）项目管理与进度要求</w:t>
      </w:r>
    </w:p>
    <w:p w14:paraId="4272DEB1">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投标人需在签订合同后5个月内完成项目建设。</w:t>
      </w:r>
    </w:p>
    <w:p w14:paraId="34DBAA09">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投标人需要提供完善、合理的实施进度计划，并通过完善的项目实施保障措施，保证本项目顺利上线，并配合招标人根据项目实际情况进行建设范围及进度计划调整。</w:t>
      </w:r>
    </w:p>
    <w:p w14:paraId="39494463">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left"/>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val="en-US" w:eastAsia="zh-CN" w:bidi="ar"/>
        </w:rPr>
        <w:t>（2）人员培训要求</w:t>
      </w:r>
    </w:p>
    <w:p w14:paraId="330A663B">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以本项目部署的医疗卫生单位能够掌握系统各项功能的应用为前提，中标方提供相应的应用软件技术和系统操作等方面的培训，提供培训教材，培训应该在本期项目验收完成前进行。</w:t>
      </w:r>
    </w:p>
    <w:p w14:paraId="3D8A0505">
      <w:pPr>
        <w:keepNext w:val="0"/>
        <w:keepLines w:val="0"/>
        <w:pageBreakBefore w:val="0"/>
        <w:widowControl w:val="0"/>
        <w:numPr>
          <w:ilvl w:val="0"/>
          <w:numId w:val="0"/>
        </w:numPr>
        <w:kinsoku/>
        <w:wordWrap/>
        <w:overflowPunct/>
        <w:topLinePunct w:val="0"/>
        <w:autoSpaceDE/>
        <w:autoSpaceDN/>
        <w:bidi w:val="0"/>
        <w:adjustRightInd/>
        <w:snapToGrid/>
        <w:spacing w:before="206" w:beforeLines="50" w:after="206" w:afterLines="50" w:line="24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3.2 售后服务要求</w:t>
      </w:r>
    </w:p>
    <w:p w14:paraId="099FCEED">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（1）投标人应有良好的服务理念和完善的售后服务体系，包括售后服务方式、售后服务体系、售后服务人员安排等。</w:t>
      </w:r>
    </w:p>
    <w:p w14:paraId="528CCDD7">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default"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2）针对本项目，提出完整而切实可行的服务方案。其中，至少应提供7×24小时热线电话、远程网络等服务方式。热线电话和远程网络提供技术咨询和即时服务，2小时内给予明确的响应并解决；重大故障到现场排查处理。</w:t>
      </w:r>
    </w:p>
    <w:p w14:paraId="4BD184AB">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3）免费系统运维（质保期）：自项目验收后，提供3年免费运维，质量保证期内，服务内容包括：协助采购人完成日常系统及应用的维护工作，保证系统的稳定正常运行；问题、故障的诊断与排除，系统配置和辅助应用系统部署与维护；软件版本的升级、调试。</w:t>
      </w:r>
    </w:p>
    <w:p w14:paraId="0DACAA25">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4）运维期过后，维护费为不高于本项目合同额的10%。维护费用包含软件系统的日常运营维护、系统升级等，具体由采购人和中标方通过维保合同或协议商定。投标人在投标方案中应提供详细的售后服务内容、措施、响应时间等内容。</w:t>
      </w:r>
    </w:p>
    <w:p w14:paraId="11E6D64B">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交货时间：签订合同后5个月内</w:t>
      </w:r>
    </w:p>
    <w:p w14:paraId="71399AF2">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交货地点：甲方指定地点</w:t>
      </w:r>
    </w:p>
    <w:p w14:paraId="5A5B6037">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免费质保期：项目通过验收后3年</w:t>
      </w:r>
    </w:p>
    <w:p w14:paraId="0F014352">
      <w:pPr>
        <w:keepNext w:val="0"/>
        <w:keepLines w:val="0"/>
        <w:pageBreakBefore w:val="0"/>
        <w:widowControl w:val="0"/>
        <w:numPr>
          <w:ilvl w:val="0"/>
          <w:numId w:val="0"/>
        </w:numPr>
        <w:kinsoku/>
        <w:wordWrap/>
        <w:overflowPunct/>
        <w:topLinePunct w:val="0"/>
        <w:autoSpaceDE/>
        <w:autoSpaceDN/>
        <w:bidi w:val="0"/>
        <w:adjustRightInd/>
        <w:snapToGrid/>
        <w:spacing w:before="206" w:beforeLines="50" w:after="206" w:afterLines="50" w:line="24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3.3 项目付款要求</w:t>
      </w:r>
    </w:p>
    <w:p w14:paraId="4CFE0949">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default"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项目</w:t>
      </w:r>
      <w:r>
        <w:rPr>
          <w:rFonts w:hint="default" w:ascii="宋体" w:hAnsi="宋体" w:eastAsia="宋体" w:cs="宋体"/>
          <w:color w:val="000000"/>
          <w:kern w:val="2"/>
          <w:sz w:val="24"/>
          <w:szCs w:val="24"/>
          <w:lang w:val="en-US" w:eastAsia="zh-CN" w:bidi="ar"/>
        </w:rPr>
        <w:t>签订合同后</w:t>
      </w:r>
      <w:r>
        <w:rPr>
          <w:rFonts w:hint="eastAsia" w:ascii="宋体" w:hAnsi="宋体" w:eastAsia="宋体" w:cs="宋体"/>
          <w:color w:val="000000"/>
          <w:kern w:val="2"/>
          <w:sz w:val="24"/>
          <w:szCs w:val="24"/>
          <w:lang w:val="en-US" w:eastAsia="zh-CN" w:bidi="ar"/>
        </w:rPr>
        <w:t>，30</w:t>
      </w:r>
      <w:r>
        <w:rPr>
          <w:rFonts w:hint="default" w:ascii="宋体" w:hAnsi="宋体" w:eastAsia="宋体" w:cs="宋体"/>
          <w:color w:val="000000"/>
          <w:kern w:val="2"/>
          <w:sz w:val="24"/>
          <w:szCs w:val="24"/>
          <w:lang w:val="en-US" w:eastAsia="zh-CN" w:bidi="ar"/>
        </w:rPr>
        <w:t>个工作日内甲方应向乙方支付合同总价的</w:t>
      </w:r>
      <w:r>
        <w:rPr>
          <w:rFonts w:hint="eastAsia" w:ascii="宋体" w:hAnsi="宋体" w:eastAsia="宋体" w:cs="宋体"/>
          <w:color w:val="000000"/>
          <w:kern w:val="2"/>
          <w:sz w:val="24"/>
          <w:szCs w:val="24"/>
          <w:lang w:val="en-US" w:eastAsia="zh-CN" w:bidi="ar"/>
        </w:rPr>
        <w:t>3</w:t>
      </w:r>
      <w:r>
        <w:rPr>
          <w:rFonts w:hint="default" w:ascii="宋体" w:hAnsi="宋体" w:eastAsia="宋体" w:cs="宋体"/>
          <w:color w:val="000000"/>
          <w:kern w:val="2"/>
          <w:sz w:val="24"/>
          <w:szCs w:val="24"/>
          <w:lang w:val="en-US" w:eastAsia="zh-CN" w:bidi="ar"/>
        </w:rPr>
        <w:t>0％作为预付款</w:t>
      </w:r>
      <w:r>
        <w:rPr>
          <w:rFonts w:hint="eastAsia" w:ascii="宋体" w:hAnsi="宋体" w:eastAsia="宋体" w:cs="宋体"/>
          <w:color w:val="000000"/>
          <w:kern w:val="2"/>
          <w:sz w:val="24"/>
          <w:szCs w:val="24"/>
          <w:lang w:val="en-US" w:eastAsia="zh-CN" w:bidi="ar"/>
        </w:rPr>
        <w:t>；项目</w:t>
      </w:r>
      <w:r>
        <w:rPr>
          <w:rFonts w:hint="default" w:ascii="宋体" w:hAnsi="宋体" w:eastAsia="宋体" w:cs="宋体"/>
          <w:color w:val="000000"/>
          <w:kern w:val="2"/>
          <w:sz w:val="24"/>
          <w:szCs w:val="24"/>
          <w:lang w:val="en-US" w:eastAsia="zh-CN" w:bidi="ar"/>
        </w:rPr>
        <w:t>验收合格后</w:t>
      </w:r>
      <w:r>
        <w:rPr>
          <w:rFonts w:hint="eastAsia" w:ascii="宋体" w:hAnsi="宋体" w:eastAsia="宋体" w:cs="宋体"/>
          <w:color w:val="000000"/>
          <w:kern w:val="2"/>
          <w:sz w:val="24"/>
          <w:szCs w:val="24"/>
          <w:lang w:val="en-US" w:eastAsia="zh-CN" w:bidi="ar"/>
        </w:rPr>
        <w:t>，60</w:t>
      </w:r>
      <w:r>
        <w:rPr>
          <w:rFonts w:hint="default" w:ascii="宋体" w:hAnsi="宋体" w:eastAsia="宋体" w:cs="宋体"/>
          <w:color w:val="000000"/>
          <w:kern w:val="2"/>
          <w:sz w:val="24"/>
          <w:szCs w:val="24"/>
          <w:lang w:val="en-US" w:eastAsia="zh-CN" w:bidi="ar"/>
        </w:rPr>
        <w:t>个工作日内甲方应向乙方支付合同总价的6</w:t>
      </w:r>
      <w:r>
        <w:rPr>
          <w:rFonts w:hint="eastAsia" w:ascii="宋体" w:hAnsi="宋体" w:eastAsia="宋体" w:cs="宋体"/>
          <w:color w:val="000000"/>
          <w:kern w:val="2"/>
          <w:sz w:val="24"/>
          <w:szCs w:val="24"/>
          <w:lang w:val="en-US" w:eastAsia="zh-CN" w:bidi="ar"/>
        </w:rPr>
        <w:t>0</w:t>
      </w:r>
      <w:r>
        <w:rPr>
          <w:rFonts w:hint="default" w:ascii="宋体" w:hAnsi="宋体" w:eastAsia="宋体" w:cs="宋体"/>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作为验收款；项目免费质保期过后，30个工作日内</w:t>
      </w:r>
      <w:r>
        <w:rPr>
          <w:rFonts w:hint="default" w:ascii="宋体" w:hAnsi="宋体" w:eastAsia="宋体" w:cs="宋体"/>
          <w:color w:val="000000"/>
          <w:kern w:val="2"/>
          <w:sz w:val="24"/>
          <w:szCs w:val="24"/>
          <w:lang w:val="en-US" w:eastAsia="zh-CN" w:bidi="ar"/>
        </w:rPr>
        <w:t>甲方应向乙方支付</w:t>
      </w:r>
      <w:r>
        <w:rPr>
          <w:rFonts w:hint="eastAsia" w:ascii="宋体" w:hAnsi="宋体" w:eastAsia="宋体" w:cs="宋体"/>
          <w:color w:val="000000"/>
          <w:kern w:val="2"/>
          <w:sz w:val="24"/>
          <w:szCs w:val="24"/>
          <w:lang w:val="en-US" w:eastAsia="zh-CN" w:bidi="ar"/>
        </w:rPr>
        <w:t>剩余</w:t>
      </w:r>
      <w:r>
        <w:rPr>
          <w:rFonts w:hint="default" w:ascii="宋体" w:hAnsi="宋体" w:eastAsia="宋体" w:cs="宋体"/>
          <w:color w:val="000000"/>
          <w:kern w:val="2"/>
          <w:sz w:val="24"/>
          <w:szCs w:val="24"/>
          <w:lang w:val="en-US" w:eastAsia="zh-CN" w:bidi="ar"/>
        </w:rPr>
        <w:t>合同总价的</w:t>
      </w:r>
      <w:r>
        <w:rPr>
          <w:rFonts w:hint="eastAsia" w:ascii="宋体" w:hAnsi="宋体" w:eastAsia="宋体" w:cs="宋体"/>
          <w:color w:val="000000"/>
          <w:kern w:val="2"/>
          <w:sz w:val="24"/>
          <w:szCs w:val="24"/>
          <w:lang w:val="en-US" w:eastAsia="zh-CN" w:bidi="ar"/>
        </w:rPr>
        <w:t>10</w:t>
      </w:r>
      <w:r>
        <w:rPr>
          <w:rFonts w:hint="default" w:ascii="宋体" w:hAnsi="宋体" w:eastAsia="宋体" w:cs="宋体"/>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w:t>
      </w:r>
    </w:p>
    <w:p w14:paraId="31AE7EC9">
      <w:pPr>
        <w:pStyle w:val="23"/>
        <w:rPr>
          <w:rFonts w:hint="eastAsia" w:asciiTheme="minorEastAsia" w:hAnsiTheme="minorEastAsia" w:eastAsiaTheme="minorEastAsia" w:cstheme="minorEastAsia"/>
          <w:b w:val="0"/>
          <w:bCs w:val="0"/>
          <w:color w:val="auto"/>
          <w:sz w:val="24"/>
          <w:szCs w:val="24"/>
          <w:highlight w:val="none"/>
        </w:rPr>
      </w:pPr>
    </w:p>
    <w:bookmarkEnd w:id="124"/>
    <w:p w14:paraId="0316462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p>
    <w:sectPr>
      <w:headerReference r:id="rId12" w:type="default"/>
      <w:footerReference r:id="rId13" w:type="default"/>
      <w:pgSz w:w="11906" w:h="16838"/>
      <w:pgMar w:top="1080" w:right="1440" w:bottom="1080" w:left="1440" w:header="850" w:footer="992" w:gutter="0"/>
      <w:pgNumType w:fmt="decimal"/>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02B">
    <w:pPr>
      <w:pStyle w:val="15"/>
      <w:ind w:right="360"/>
      <w:jc w:val="both"/>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3148">
    <w:pPr>
      <w:pStyle w:val="15"/>
      <w:framePr w:wrap="around" w:vAnchor="text" w:hAnchor="margin" w:xAlign="center" w:y="1"/>
      <w:rPr>
        <w:rStyle w:val="28"/>
      </w:rPr>
    </w:pPr>
    <w:r>
      <w:fldChar w:fldCharType="begin"/>
    </w:r>
    <w:r>
      <w:rPr>
        <w:rStyle w:val="28"/>
      </w:rPr>
      <w:instrText xml:space="preserve">PAGE  </w:instrText>
    </w:r>
    <w:r>
      <w:fldChar w:fldCharType="separate"/>
    </w:r>
    <w:r>
      <w:rPr>
        <w:rStyle w:val="28"/>
      </w:rPr>
      <w:t>39</w:t>
    </w:r>
    <w:r>
      <w:fldChar w:fldCharType="end"/>
    </w:r>
  </w:p>
  <w:p w14:paraId="25BB54E7">
    <w:pPr>
      <w:pStyle w:val="15"/>
      <w:ind w:right="360"/>
      <w:rPr>
        <w:sz w:val="21"/>
      </w:rPr>
    </w:pPr>
    <w:r>
      <mc:AlternateContent>
        <mc:Choice Requires="wps">
          <w:drawing>
            <wp:anchor distT="0" distB="0" distL="0" distR="0" simplePos="0" relativeHeight="251659264" behindDoc="0" locked="0" layoutInCell="1" allowOverlap="1">
              <wp:simplePos x="0" y="0"/>
              <wp:positionH relativeFrom="margin">
                <wp:posOffset>0</wp:posOffset>
              </wp:positionH>
              <wp:positionV relativeFrom="paragraph">
                <wp:posOffset>0</wp:posOffset>
              </wp:positionV>
              <wp:extent cx="66675" cy="17272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6C63E339">
                          <w:pPr>
                            <w:pStyle w:val="15"/>
                            <w:rPr>
                              <w:rStyle w:val="28"/>
                              <w:sz w:val="21"/>
                            </w:rPr>
                          </w:pPr>
                          <w:r>
                            <w:rPr>
                              <w:sz w:val="21"/>
                            </w:rPr>
                            <w:fldChar w:fldCharType="begin"/>
                          </w:r>
                          <w:r>
                            <w:rPr>
                              <w:rStyle w:val="28"/>
                              <w:sz w:val="21"/>
                            </w:rPr>
                            <w:instrText xml:space="preserve">Page</w:instrText>
                          </w:r>
                          <w:r>
                            <w:rPr>
                              <w:sz w:val="21"/>
                            </w:rPr>
                            <w:fldChar w:fldCharType="separate"/>
                          </w:r>
                          <w:r>
                            <w:rPr>
                              <w:rStyle w:val="28"/>
                              <w:sz w:val="21"/>
                            </w:rPr>
                            <w:t>40</w:t>
                          </w:r>
                          <w:r>
                            <w:rPr>
                              <w:sz w:val="21"/>
                            </w:rPr>
                            <w:fldChar w:fldCharType="end"/>
                          </w:r>
                        </w:p>
                      </w:txbxContent>
                    </wps:txbx>
                    <wps:bodyPr lIns="0" tIns="0" rIns="0" bIns="0" upright="1"/>
                  </wps:wsp>
                </a:graphicData>
              </a:graphic>
            </wp:anchor>
          </w:drawing>
        </mc:Choice>
        <mc:Fallback>
          <w:pict>
            <v:shape id="_x0000_s1026" o:spid="_x0000_s1026" o:spt="202" type="#_x0000_t202" style="position:absolute;left:0pt;margin-left:0pt;margin-top:0pt;height:13.6pt;width:5.25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0n7CvTAAAAAwEAAA8AAAAAAAAAAQAgAAAAIgAAAGRycy9kb3ducmV2&#10;LnhtbFBLAQIUABQAAAAIAIdO4kA+noRJyAEAAIcDAAAOAAAAAAAAAAEAIAAAACIBAABkcnMvZTJv&#10;RG9jLnhtbFBLBQYAAAAABgAGAFkBAABcBQAAAAA=&#10;">
              <v:fill on="f" focussize="0,0"/>
              <v:stroke on="f"/>
              <v:imagedata o:title=""/>
              <o:lock v:ext="edit" aspectratio="f"/>
              <v:textbox inset="0mm,0mm,0mm,0mm">
                <w:txbxContent>
                  <w:p w14:paraId="6C63E339">
                    <w:pPr>
                      <w:pStyle w:val="15"/>
                      <w:rPr>
                        <w:rStyle w:val="28"/>
                        <w:sz w:val="21"/>
                      </w:rPr>
                    </w:pPr>
                    <w:r>
                      <w:rPr>
                        <w:sz w:val="21"/>
                      </w:rPr>
                      <w:fldChar w:fldCharType="begin"/>
                    </w:r>
                    <w:r>
                      <w:rPr>
                        <w:rStyle w:val="28"/>
                        <w:sz w:val="21"/>
                      </w:rPr>
                      <w:instrText xml:space="preserve">Page</w:instrText>
                    </w:r>
                    <w:r>
                      <w:rPr>
                        <w:sz w:val="21"/>
                      </w:rPr>
                      <w:fldChar w:fldCharType="separate"/>
                    </w:r>
                    <w:r>
                      <w:rPr>
                        <w:rStyle w:val="28"/>
                        <w:sz w:val="21"/>
                      </w:rPr>
                      <w:t>40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A3D20">
    <w:pPr>
      <w:pStyle w:val="15"/>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62468">
    <w:pPr>
      <w:pStyle w:val="15"/>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54627">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1354627">
                    <w:pPr>
                      <w:pStyle w:val="1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D214D">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B472B">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A6B472B">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89B23">
    <w:pPr>
      <w:pStyle w:val="16"/>
      <w:pBdr>
        <w:bottom w:val="none" w:color="auto" w:sz="0" w:space="0"/>
      </w:pBdr>
      <w:jc w:val="left"/>
      <w:rPr>
        <w:rFonts w:hint="default" w:eastAsia="宋体"/>
        <w:sz w:val="21"/>
        <w:szCs w:val="32"/>
        <w:u w:val="single"/>
        <w:lang w:val="en-US" w:eastAsia="zh-CN"/>
      </w:rPr>
    </w:pPr>
    <w:r>
      <w:rPr>
        <w:rFonts w:hint="eastAsia"/>
        <w:sz w:val="21"/>
        <w:szCs w:val="32"/>
        <w:u w:val="single"/>
        <w:lang w:eastAsia="zh-CN"/>
      </w:rPr>
      <w:t>临沧市临翔区医共体医保智能风控系统软件</w:t>
    </w:r>
    <w:r>
      <w:rPr>
        <w:rFonts w:hint="eastAsia"/>
        <w:sz w:val="21"/>
        <w:szCs w:val="32"/>
        <w:u w:val="single"/>
        <w:lang w:val="en-US" w:eastAsia="zh-CN"/>
      </w:rPr>
      <w:t xml:space="preserve">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626ED">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3BDA9">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68B89">
    <w:pPr>
      <w:pStyle w:val="16"/>
      <w:jc w:val="both"/>
      <w:rPr>
        <w:rFonts w:hint="eastAsia"/>
      </w:rPr>
    </w:pPr>
    <w:r>
      <w:rPr>
        <w:rFonts w:hint="eastAsia" w:ascii="宋体"/>
        <w:lang w:val="en-GB" w:eastAsia="zh-CN"/>
      </w:rPr>
      <w:t>临沧市临翔区医共体医保智能风控系统软件</w:t>
    </w:r>
    <w:r>
      <w:rPr>
        <w:rFonts w:hint="eastAsia" w:ascii="宋体"/>
        <w:lang w:val="en-GB"/>
      </w:rPr>
      <w:t xml:space="preserve">                                </w:t>
    </w:r>
    <w:r>
      <w:rPr>
        <w:rFonts w:hint="eastAsia" w:ascii="宋体"/>
      </w:rPr>
      <w:t xml:space="preserve">                                           招标编号：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2F8FC">
    <w:pPr>
      <w:pStyle w:val="16"/>
      <w:pBdr>
        <w:bottom w:val="none" w:color="auto" w:sz="0" w:space="0"/>
      </w:pBdr>
      <w:jc w:val="left"/>
    </w:pPr>
    <w:r>
      <w:rPr>
        <w:rFonts w:hint="eastAsia"/>
        <w:sz w:val="21"/>
        <w:szCs w:val="32"/>
        <w:u w:val="single"/>
        <w:lang w:eastAsia="zh-CN"/>
      </w:rPr>
      <w:t>临沧市临翔区医共体医保智能风控系统软件</w:t>
    </w:r>
    <w:r>
      <w:rPr>
        <w:rFonts w:hint="eastAsia"/>
        <w:sz w:val="21"/>
        <w:szCs w:val="32"/>
        <w:u w:val="single"/>
        <w:lang w:val="en-US" w:eastAsia="zh-CN"/>
      </w:rPr>
      <w:t xml:space="preserve">                                         招标文件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1DF16">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60EF81"/>
    <w:multiLevelType w:val="multilevel"/>
    <w:tmpl w:val="C560EF81"/>
    <w:lvl w:ilvl="0" w:tentative="0">
      <w:start w:val="1"/>
      <w:numFmt w:val="decimal"/>
      <w:suff w:val="nothing"/>
      <w:lvlText w:val="%1."/>
      <w:lvlJc w:val="left"/>
      <w:pPr>
        <w:ind w:left="420" w:hanging="420"/>
      </w:pPr>
      <w:rPr>
        <w:rFonts w:hint="eastAsia" w:ascii="宋体" w:hAnsi="宋体" w:eastAsia="宋体" w:cs="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210"/>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D0518"/>
    <w:rsid w:val="001A64C4"/>
    <w:rsid w:val="001E40CA"/>
    <w:rsid w:val="00207D7F"/>
    <w:rsid w:val="002235CA"/>
    <w:rsid w:val="00247343"/>
    <w:rsid w:val="002B1744"/>
    <w:rsid w:val="00345998"/>
    <w:rsid w:val="00351550"/>
    <w:rsid w:val="00384B9C"/>
    <w:rsid w:val="003A4DB8"/>
    <w:rsid w:val="003C6099"/>
    <w:rsid w:val="003D73DB"/>
    <w:rsid w:val="003F42F4"/>
    <w:rsid w:val="00494346"/>
    <w:rsid w:val="004C7274"/>
    <w:rsid w:val="00502AA2"/>
    <w:rsid w:val="005216AE"/>
    <w:rsid w:val="0053718B"/>
    <w:rsid w:val="005D60AC"/>
    <w:rsid w:val="005E0AA6"/>
    <w:rsid w:val="005F65CD"/>
    <w:rsid w:val="006836D3"/>
    <w:rsid w:val="006B7639"/>
    <w:rsid w:val="006D4931"/>
    <w:rsid w:val="00854261"/>
    <w:rsid w:val="00867708"/>
    <w:rsid w:val="008C6C96"/>
    <w:rsid w:val="009444C8"/>
    <w:rsid w:val="009A37BE"/>
    <w:rsid w:val="009B646F"/>
    <w:rsid w:val="009C15CF"/>
    <w:rsid w:val="009D66E9"/>
    <w:rsid w:val="00A53833"/>
    <w:rsid w:val="00A66EA3"/>
    <w:rsid w:val="00A9146D"/>
    <w:rsid w:val="00AD558A"/>
    <w:rsid w:val="00C46C1F"/>
    <w:rsid w:val="00C621A8"/>
    <w:rsid w:val="00D2781B"/>
    <w:rsid w:val="00D97299"/>
    <w:rsid w:val="00E80370"/>
    <w:rsid w:val="00EB1C0E"/>
    <w:rsid w:val="00EB7E60"/>
    <w:rsid w:val="00F46D15"/>
    <w:rsid w:val="00F841D9"/>
    <w:rsid w:val="01001B5E"/>
    <w:rsid w:val="010325AD"/>
    <w:rsid w:val="01070785"/>
    <w:rsid w:val="011B62C9"/>
    <w:rsid w:val="011E5D1D"/>
    <w:rsid w:val="0123417D"/>
    <w:rsid w:val="01242E93"/>
    <w:rsid w:val="012E3662"/>
    <w:rsid w:val="012E506E"/>
    <w:rsid w:val="0132783D"/>
    <w:rsid w:val="013D4B60"/>
    <w:rsid w:val="01415CD2"/>
    <w:rsid w:val="01521C8D"/>
    <w:rsid w:val="015977B8"/>
    <w:rsid w:val="015B4987"/>
    <w:rsid w:val="0160564A"/>
    <w:rsid w:val="01687703"/>
    <w:rsid w:val="016E5167"/>
    <w:rsid w:val="016F0A91"/>
    <w:rsid w:val="016F6AE2"/>
    <w:rsid w:val="01761E20"/>
    <w:rsid w:val="017B2ECF"/>
    <w:rsid w:val="017E2CDF"/>
    <w:rsid w:val="017E6F26"/>
    <w:rsid w:val="017F0574"/>
    <w:rsid w:val="01822579"/>
    <w:rsid w:val="01877B89"/>
    <w:rsid w:val="018A642C"/>
    <w:rsid w:val="018A7679"/>
    <w:rsid w:val="018E0F64"/>
    <w:rsid w:val="01981D96"/>
    <w:rsid w:val="019C7431"/>
    <w:rsid w:val="01A06E9D"/>
    <w:rsid w:val="01A7278B"/>
    <w:rsid w:val="01AC75F0"/>
    <w:rsid w:val="01B0383C"/>
    <w:rsid w:val="01C41A91"/>
    <w:rsid w:val="01C928D7"/>
    <w:rsid w:val="01D60109"/>
    <w:rsid w:val="01DD59FB"/>
    <w:rsid w:val="01E274B5"/>
    <w:rsid w:val="01E55C7F"/>
    <w:rsid w:val="01FA0599"/>
    <w:rsid w:val="02045F07"/>
    <w:rsid w:val="02054F52"/>
    <w:rsid w:val="020E57A9"/>
    <w:rsid w:val="02225B04"/>
    <w:rsid w:val="02261BE3"/>
    <w:rsid w:val="02345366"/>
    <w:rsid w:val="023B2552"/>
    <w:rsid w:val="02430DFA"/>
    <w:rsid w:val="02493090"/>
    <w:rsid w:val="024E26D4"/>
    <w:rsid w:val="024E4B4B"/>
    <w:rsid w:val="0250441F"/>
    <w:rsid w:val="02587C53"/>
    <w:rsid w:val="025D214D"/>
    <w:rsid w:val="025E1380"/>
    <w:rsid w:val="025F4662"/>
    <w:rsid w:val="02631013"/>
    <w:rsid w:val="026709FD"/>
    <w:rsid w:val="02694D8D"/>
    <w:rsid w:val="026954E1"/>
    <w:rsid w:val="026E18F2"/>
    <w:rsid w:val="0270061D"/>
    <w:rsid w:val="027579AB"/>
    <w:rsid w:val="027C4EF2"/>
    <w:rsid w:val="02877081"/>
    <w:rsid w:val="028B36A9"/>
    <w:rsid w:val="028C0922"/>
    <w:rsid w:val="028E4F47"/>
    <w:rsid w:val="029167E5"/>
    <w:rsid w:val="0297204E"/>
    <w:rsid w:val="02972CE9"/>
    <w:rsid w:val="02A00385"/>
    <w:rsid w:val="02A8331F"/>
    <w:rsid w:val="02B50726"/>
    <w:rsid w:val="02B9675D"/>
    <w:rsid w:val="02BA2A3B"/>
    <w:rsid w:val="02BC2FB5"/>
    <w:rsid w:val="02BC588C"/>
    <w:rsid w:val="02BD75DA"/>
    <w:rsid w:val="02BF15A4"/>
    <w:rsid w:val="02C66262"/>
    <w:rsid w:val="02D405AB"/>
    <w:rsid w:val="02DC2156"/>
    <w:rsid w:val="02E122B3"/>
    <w:rsid w:val="02EB777A"/>
    <w:rsid w:val="02F235B8"/>
    <w:rsid w:val="02F661CE"/>
    <w:rsid w:val="02FB392D"/>
    <w:rsid w:val="030516AD"/>
    <w:rsid w:val="03084CFA"/>
    <w:rsid w:val="030F35FF"/>
    <w:rsid w:val="03123DCA"/>
    <w:rsid w:val="03127926"/>
    <w:rsid w:val="031439CE"/>
    <w:rsid w:val="031C26D3"/>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64A9C"/>
    <w:rsid w:val="036C107F"/>
    <w:rsid w:val="036C34DA"/>
    <w:rsid w:val="036F3782"/>
    <w:rsid w:val="038344F3"/>
    <w:rsid w:val="038832EC"/>
    <w:rsid w:val="038C58AA"/>
    <w:rsid w:val="03962305"/>
    <w:rsid w:val="03A46726"/>
    <w:rsid w:val="03B10EED"/>
    <w:rsid w:val="03B12C38"/>
    <w:rsid w:val="03BE7AAE"/>
    <w:rsid w:val="03C230FA"/>
    <w:rsid w:val="03C26546"/>
    <w:rsid w:val="03C875B9"/>
    <w:rsid w:val="03D1158F"/>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8330A"/>
    <w:rsid w:val="043A3225"/>
    <w:rsid w:val="043B546A"/>
    <w:rsid w:val="04483DB9"/>
    <w:rsid w:val="044E42B9"/>
    <w:rsid w:val="045170D8"/>
    <w:rsid w:val="045B0D13"/>
    <w:rsid w:val="045B1761"/>
    <w:rsid w:val="045E28E6"/>
    <w:rsid w:val="046409CB"/>
    <w:rsid w:val="046B7FE6"/>
    <w:rsid w:val="046D526E"/>
    <w:rsid w:val="047343F5"/>
    <w:rsid w:val="04792DA9"/>
    <w:rsid w:val="047D7C58"/>
    <w:rsid w:val="047F2D99"/>
    <w:rsid w:val="048C1C6F"/>
    <w:rsid w:val="04936FD0"/>
    <w:rsid w:val="049E3BEA"/>
    <w:rsid w:val="04A7716F"/>
    <w:rsid w:val="04BA09AD"/>
    <w:rsid w:val="04BB7EC7"/>
    <w:rsid w:val="04BC08B4"/>
    <w:rsid w:val="04C17856"/>
    <w:rsid w:val="04C6507D"/>
    <w:rsid w:val="04D566C2"/>
    <w:rsid w:val="04D76CB9"/>
    <w:rsid w:val="04D90435"/>
    <w:rsid w:val="04DF01B0"/>
    <w:rsid w:val="04E06B6F"/>
    <w:rsid w:val="04E22F90"/>
    <w:rsid w:val="04EB042F"/>
    <w:rsid w:val="04F52115"/>
    <w:rsid w:val="04F74489"/>
    <w:rsid w:val="04FA68C4"/>
    <w:rsid w:val="05012311"/>
    <w:rsid w:val="05094D59"/>
    <w:rsid w:val="050A505C"/>
    <w:rsid w:val="051060E7"/>
    <w:rsid w:val="05297B69"/>
    <w:rsid w:val="053578FC"/>
    <w:rsid w:val="053973EC"/>
    <w:rsid w:val="05400FE8"/>
    <w:rsid w:val="05432019"/>
    <w:rsid w:val="05455862"/>
    <w:rsid w:val="05455DAE"/>
    <w:rsid w:val="05471C86"/>
    <w:rsid w:val="054C45FF"/>
    <w:rsid w:val="05504736"/>
    <w:rsid w:val="055802F1"/>
    <w:rsid w:val="05663F59"/>
    <w:rsid w:val="056E08C6"/>
    <w:rsid w:val="05701DE5"/>
    <w:rsid w:val="057551AC"/>
    <w:rsid w:val="057E7A3A"/>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313AC"/>
    <w:rsid w:val="05CD1002"/>
    <w:rsid w:val="05D610DF"/>
    <w:rsid w:val="05D67816"/>
    <w:rsid w:val="05D81EC4"/>
    <w:rsid w:val="05D961F6"/>
    <w:rsid w:val="05DB1844"/>
    <w:rsid w:val="05DB66F5"/>
    <w:rsid w:val="05E337FC"/>
    <w:rsid w:val="05E36C9D"/>
    <w:rsid w:val="05E76509"/>
    <w:rsid w:val="05E946BE"/>
    <w:rsid w:val="05FC437C"/>
    <w:rsid w:val="06007F0A"/>
    <w:rsid w:val="060B1FE2"/>
    <w:rsid w:val="0621228B"/>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E36D3"/>
    <w:rsid w:val="068B011B"/>
    <w:rsid w:val="06927A7D"/>
    <w:rsid w:val="06986941"/>
    <w:rsid w:val="06B119B0"/>
    <w:rsid w:val="06B331CE"/>
    <w:rsid w:val="06B807E5"/>
    <w:rsid w:val="06B85547"/>
    <w:rsid w:val="06BF7DC5"/>
    <w:rsid w:val="06C07699"/>
    <w:rsid w:val="06C23C64"/>
    <w:rsid w:val="06C62F02"/>
    <w:rsid w:val="06C71910"/>
    <w:rsid w:val="06CA6D2B"/>
    <w:rsid w:val="06D85CEA"/>
    <w:rsid w:val="06DF3FC3"/>
    <w:rsid w:val="06E31D05"/>
    <w:rsid w:val="06F4329F"/>
    <w:rsid w:val="07044E92"/>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B55A3"/>
    <w:rsid w:val="073F2CB4"/>
    <w:rsid w:val="074107DA"/>
    <w:rsid w:val="07487DBA"/>
    <w:rsid w:val="074958E1"/>
    <w:rsid w:val="074F69AE"/>
    <w:rsid w:val="07503F44"/>
    <w:rsid w:val="07562564"/>
    <w:rsid w:val="07591FC8"/>
    <w:rsid w:val="07603356"/>
    <w:rsid w:val="076646E5"/>
    <w:rsid w:val="07783EDF"/>
    <w:rsid w:val="077A3CEC"/>
    <w:rsid w:val="07901266"/>
    <w:rsid w:val="07973FC4"/>
    <w:rsid w:val="0797664C"/>
    <w:rsid w:val="07985882"/>
    <w:rsid w:val="079D1F14"/>
    <w:rsid w:val="07A528A7"/>
    <w:rsid w:val="07A859AB"/>
    <w:rsid w:val="07AA20DF"/>
    <w:rsid w:val="07AB0349"/>
    <w:rsid w:val="07AB18D9"/>
    <w:rsid w:val="07AD6D60"/>
    <w:rsid w:val="07B92A66"/>
    <w:rsid w:val="07BB3768"/>
    <w:rsid w:val="07BD69FF"/>
    <w:rsid w:val="07C11C3C"/>
    <w:rsid w:val="07C531B9"/>
    <w:rsid w:val="07CF534D"/>
    <w:rsid w:val="07D02006"/>
    <w:rsid w:val="07D22F80"/>
    <w:rsid w:val="07EA47F3"/>
    <w:rsid w:val="07ED23B2"/>
    <w:rsid w:val="07F47710"/>
    <w:rsid w:val="07F61294"/>
    <w:rsid w:val="08006D71"/>
    <w:rsid w:val="0808579C"/>
    <w:rsid w:val="0808754A"/>
    <w:rsid w:val="080F0D90"/>
    <w:rsid w:val="08147C9D"/>
    <w:rsid w:val="08183E10"/>
    <w:rsid w:val="081C5097"/>
    <w:rsid w:val="08266B3E"/>
    <w:rsid w:val="08297BEC"/>
    <w:rsid w:val="082C148A"/>
    <w:rsid w:val="0842185D"/>
    <w:rsid w:val="084F09BE"/>
    <w:rsid w:val="086200D7"/>
    <w:rsid w:val="08626C5A"/>
    <w:rsid w:val="087072EB"/>
    <w:rsid w:val="088704C3"/>
    <w:rsid w:val="0895702F"/>
    <w:rsid w:val="08A317B5"/>
    <w:rsid w:val="08AF3BBC"/>
    <w:rsid w:val="08B60832"/>
    <w:rsid w:val="08BF358B"/>
    <w:rsid w:val="08D132F7"/>
    <w:rsid w:val="08D56A1B"/>
    <w:rsid w:val="08DC4C5E"/>
    <w:rsid w:val="08E1680C"/>
    <w:rsid w:val="08E7666C"/>
    <w:rsid w:val="08F61060"/>
    <w:rsid w:val="09023F99"/>
    <w:rsid w:val="09074C75"/>
    <w:rsid w:val="09093579"/>
    <w:rsid w:val="09163859"/>
    <w:rsid w:val="091C32AD"/>
    <w:rsid w:val="091F2D9D"/>
    <w:rsid w:val="0925575C"/>
    <w:rsid w:val="09297778"/>
    <w:rsid w:val="092D730D"/>
    <w:rsid w:val="093E3B30"/>
    <w:rsid w:val="0946657C"/>
    <w:rsid w:val="0949375A"/>
    <w:rsid w:val="094D790A"/>
    <w:rsid w:val="09526A84"/>
    <w:rsid w:val="096B0217"/>
    <w:rsid w:val="096C4EC0"/>
    <w:rsid w:val="09771CFC"/>
    <w:rsid w:val="097924AD"/>
    <w:rsid w:val="097E749C"/>
    <w:rsid w:val="0987349A"/>
    <w:rsid w:val="098826F0"/>
    <w:rsid w:val="098A13E9"/>
    <w:rsid w:val="098D3783"/>
    <w:rsid w:val="098D7D07"/>
    <w:rsid w:val="098F7AE7"/>
    <w:rsid w:val="099512B1"/>
    <w:rsid w:val="09971131"/>
    <w:rsid w:val="09972BED"/>
    <w:rsid w:val="099E1F14"/>
    <w:rsid w:val="09A62A40"/>
    <w:rsid w:val="09AB2883"/>
    <w:rsid w:val="09BC05EC"/>
    <w:rsid w:val="09BE6112"/>
    <w:rsid w:val="09C6146A"/>
    <w:rsid w:val="09D0027E"/>
    <w:rsid w:val="09D43B87"/>
    <w:rsid w:val="09DC0C8E"/>
    <w:rsid w:val="09DE7F38"/>
    <w:rsid w:val="09E22693"/>
    <w:rsid w:val="09E85885"/>
    <w:rsid w:val="09EA33AB"/>
    <w:rsid w:val="09EA59EB"/>
    <w:rsid w:val="09ED69F7"/>
    <w:rsid w:val="09EF4731"/>
    <w:rsid w:val="09F27FE0"/>
    <w:rsid w:val="09FE29B2"/>
    <w:rsid w:val="09FF78B8"/>
    <w:rsid w:val="0A014251"/>
    <w:rsid w:val="0A0564C8"/>
    <w:rsid w:val="0A104E7E"/>
    <w:rsid w:val="0A153E7D"/>
    <w:rsid w:val="0A217932"/>
    <w:rsid w:val="0A23052D"/>
    <w:rsid w:val="0A24284B"/>
    <w:rsid w:val="0A27015B"/>
    <w:rsid w:val="0A2C755F"/>
    <w:rsid w:val="0A300975"/>
    <w:rsid w:val="0A3D21C6"/>
    <w:rsid w:val="0A3E7253"/>
    <w:rsid w:val="0A415285"/>
    <w:rsid w:val="0A5C7AF9"/>
    <w:rsid w:val="0A617AEE"/>
    <w:rsid w:val="0A6749FB"/>
    <w:rsid w:val="0A6842D0"/>
    <w:rsid w:val="0A71382C"/>
    <w:rsid w:val="0A7333A0"/>
    <w:rsid w:val="0A74450F"/>
    <w:rsid w:val="0A74648F"/>
    <w:rsid w:val="0A777866"/>
    <w:rsid w:val="0A7B2255"/>
    <w:rsid w:val="0A7D35EF"/>
    <w:rsid w:val="0A7E1D45"/>
    <w:rsid w:val="0A821187"/>
    <w:rsid w:val="0A8455AD"/>
    <w:rsid w:val="0A8B6D96"/>
    <w:rsid w:val="0A917CCA"/>
    <w:rsid w:val="0A934F20"/>
    <w:rsid w:val="0A947BC6"/>
    <w:rsid w:val="0A96708F"/>
    <w:rsid w:val="0A9B28F7"/>
    <w:rsid w:val="0A9D21CB"/>
    <w:rsid w:val="0AA172D2"/>
    <w:rsid w:val="0AA25A34"/>
    <w:rsid w:val="0AA479FE"/>
    <w:rsid w:val="0AA7304A"/>
    <w:rsid w:val="0AB12031"/>
    <w:rsid w:val="0AB13EC9"/>
    <w:rsid w:val="0AB35B63"/>
    <w:rsid w:val="0AB614DF"/>
    <w:rsid w:val="0AB6722B"/>
    <w:rsid w:val="0ABD461B"/>
    <w:rsid w:val="0AC37D72"/>
    <w:rsid w:val="0AC43BFC"/>
    <w:rsid w:val="0AC736EC"/>
    <w:rsid w:val="0AC90BC7"/>
    <w:rsid w:val="0AC95124"/>
    <w:rsid w:val="0ACD3A48"/>
    <w:rsid w:val="0AD674DD"/>
    <w:rsid w:val="0ADF422C"/>
    <w:rsid w:val="0AE55920"/>
    <w:rsid w:val="0AEC4D3F"/>
    <w:rsid w:val="0AEC4F01"/>
    <w:rsid w:val="0AF51214"/>
    <w:rsid w:val="0AFD2C6A"/>
    <w:rsid w:val="0B001553"/>
    <w:rsid w:val="0B0C10FF"/>
    <w:rsid w:val="0B0F145C"/>
    <w:rsid w:val="0B102511"/>
    <w:rsid w:val="0B1256F9"/>
    <w:rsid w:val="0B183F48"/>
    <w:rsid w:val="0B226B74"/>
    <w:rsid w:val="0B25175A"/>
    <w:rsid w:val="0B2529AE"/>
    <w:rsid w:val="0B287211"/>
    <w:rsid w:val="0B2B436C"/>
    <w:rsid w:val="0B3222C4"/>
    <w:rsid w:val="0B3443F6"/>
    <w:rsid w:val="0B424B21"/>
    <w:rsid w:val="0B4A55A2"/>
    <w:rsid w:val="0B4B1C27"/>
    <w:rsid w:val="0B561748"/>
    <w:rsid w:val="0B584344"/>
    <w:rsid w:val="0B5A379F"/>
    <w:rsid w:val="0B5B704A"/>
    <w:rsid w:val="0B5C1203"/>
    <w:rsid w:val="0B667B80"/>
    <w:rsid w:val="0B765A72"/>
    <w:rsid w:val="0B771B39"/>
    <w:rsid w:val="0B786794"/>
    <w:rsid w:val="0B7F7B23"/>
    <w:rsid w:val="0B805722"/>
    <w:rsid w:val="0B867103"/>
    <w:rsid w:val="0B884C29"/>
    <w:rsid w:val="0B886B49"/>
    <w:rsid w:val="0B896BF3"/>
    <w:rsid w:val="0B8B471A"/>
    <w:rsid w:val="0B8E420A"/>
    <w:rsid w:val="0B921F8C"/>
    <w:rsid w:val="0B972ACE"/>
    <w:rsid w:val="0B9F01C5"/>
    <w:rsid w:val="0B9F54A0"/>
    <w:rsid w:val="0BA23811"/>
    <w:rsid w:val="0BAB4DBC"/>
    <w:rsid w:val="0BB27EF8"/>
    <w:rsid w:val="0BB61EAD"/>
    <w:rsid w:val="0BBC5C62"/>
    <w:rsid w:val="0BC65752"/>
    <w:rsid w:val="0BD0714E"/>
    <w:rsid w:val="0BE66B6F"/>
    <w:rsid w:val="0BE81B6C"/>
    <w:rsid w:val="0BEF4CA9"/>
    <w:rsid w:val="0BF91ACF"/>
    <w:rsid w:val="0BFD5D61"/>
    <w:rsid w:val="0C1069CD"/>
    <w:rsid w:val="0C110C8D"/>
    <w:rsid w:val="0C140B52"/>
    <w:rsid w:val="0C187159"/>
    <w:rsid w:val="0C197BB6"/>
    <w:rsid w:val="0C1A522D"/>
    <w:rsid w:val="0C1B4F42"/>
    <w:rsid w:val="0C222A29"/>
    <w:rsid w:val="0C245BFC"/>
    <w:rsid w:val="0C347C0D"/>
    <w:rsid w:val="0C387C9E"/>
    <w:rsid w:val="0C4072B2"/>
    <w:rsid w:val="0C48406D"/>
    <w:rsid w:val="0C4E7499"/>
    <w:rsid w:val="0C517711"/>
    <w:rsid w:val="0C541788"/>
    <w:rsid w:val="0C594C5D"/>
    <w:rsid w:val="0C5C1C12"/>
    <w:rsid w:val="0C60667A"/>
    <w:rsid w:val="0C6369FF"/>
    <w:rsid w:val="0C803AD1"/>
    <w:rsid w:val="0C830CA3"/>
    <w:rsid w:val="0C851169"/>
    <w:rsid w:val="0C9007FB"/>
    <w:rsid w:val="0C994C14"/>
    <w:rsid w:val="0CA81BE3"/>
    <w:rsid w:val="0CB17A6B"/>
    <w:rsid w:val="0CBD18CD"/>
    <w:rsid w:val="0CD02D66"/>
    <w:rsid w:val="0CD67C16"/>
    <w:rsid w:val="0CD87887"/>
    <w:rsid w:val="0CDB522D"/>
    <w:rsid w:val="0CE720A9"/>
    <w:rsid w:val="0CEB63A8"/>
    <w:rsid w:val="0CEC568C"/>
    <w:rsid w:val="0CEF3D60"/>
    <w:rsid w:val="0CF03BD5"/>
    <w:rsid w:val="0CF307C8"/>
    <w:rsid w:val="0CF46AD6"/>
    <w:rsid w:val="0CF5680A"/>
    <w:rsid w:val="0CF62067"/>
    <w:rsid w:val="0CF743EB"/>
    <w:rsid w:val="0CF87B8D"/>
    <w:rsid w:val="0CFA6EF3"/>
    <w:rsid w:val="0CFB142B"/>
    <w:rsid w:val="0D004C93"/>
    <w:rsid w:val="0D0562CD"/>
    <w:rsid w:val="0D091FF5"/>
    <w:rsid w:val="0D1349C7"/>
    <w:rsid w:val="0D1A3FA7"/>
    <w:rsid w:val="0D1D43CB"/>
    <w:rsid w:val="0D20150E"/>
    <w:rsid w:val="0D293B3A"/>
    <w:rsid w:val="0D2A7E55"/>
    <w:rsid w:val="0D2C3CDA"/>
    <w:rsid w:val="0D38267F"/>
    <w:rsid w:val="0D3A6CDB"/>
    <w:rsid w:val="0D3B4742"/>
    <w:rsid w:val="0D3C2A09"/>
    <w:rsid w:val="0D464F9D"/>
    <w:rsid w:val="0D4970FC"/>
    <w:rsid w:val="0D585B80"/>
    <w:rsid w:val="0D6267B2"/>
    <w:rsid w:val="0D650A0F"/>
    <w:rsid w:val="0D8238FA"/>
    <w:rsid w:val="0D887163"/>
    <w:rsid w:val="0D8D15B7"/>
    <w:rsid w:val="0D953C0B"/>
    <w:rsid w:val="0D96694A"/>
    <w:rsid w:val="0DA536DA"/>
    <w:rsid w:val="0DBA174B"/>
    <w:rsid w:val="0DBC5B20"/>
    <w:rsid w:val="0DBE0DD6"/>
    <w:rsid w:val="0DC20725"/>
    <w:rsid w:val="0DC65EDD"/>
    <w:rsid w:val="0DCD668D"/>
    <w:rsid w:val="0DCE6B40"/>
    <w:rsid w:val="0DD56120"/>
    <w:rsid w:val="0DD57ECE"/>
    <w:rsid w:val="0DDB4F21"/>
    <w:rsid w:val="0DDE1BA7"/>
    <w:rsid w:val="0DE011D7"/>
    <w:rsid w:val="0DE369B9"/>
    <w:rsid w:val="0DE46E7A"/>
    <w:rsid w:val="0DE80AB1"/>
    <w:rsid w:val="0DEB033A"/>
    <w:rsid w:val="0DF02F5A"/>
    <w:rsid w:val="0DF21E3B"/>
    <w:rsid w:val="0DF843DB"/>
    <w:rsid w:val="0E0802A4"/>
    <w:rsid w:val="0E15651D"/>
    <w:rsid w:val="0E1924B1"/>
    <w:rsid w:val="0E19425F"/>
    <w:rsid w:val="0E286250"/>
    <w:rsid w:val="0E294B7B"/>
    <w:rsid w:val="0E2E37DD"/>
    <w:rsid w:val="0E321116"/>
    <w:rsid w:val="0E387414"/>
    <w:rsid w:val="0E3B2427"/>
    <w:rsid w:val="0E437229"/>
    <w:rsid w:val="0E4C283F"/>
    <w:rsid w:val="0E50509D"/>
    <w:rsid w:val="0E5C414B"/>
    <w:rsid w:val="0E5D23AC"/>
    <w:rsid w:val="0E602098"/>
    <w:rsid w:val="0E6422B8"/>
    <w:rsid w:val="0E64514C"/>
    <w:rsid w:val="0E666D78"/>
    <w:rsid w:val="0E675A50"/>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04A83"/>
    <w:rsid w:val="0EEA6891"/>
    <w:rsid w:val="0EED16E8"/>
    <w:rsid w:val="0EED27D6"/>
    <w:rsid w:val="0EF454A3"/>
    <w:rsid w:val="0EF5121A"/>
    <w:rsid w:val="0EF62849"/>
    <w:rsid w:val="0EF75CA5"/>
    <w:rsid w:val="0EF83E74"/>
    <w:rsid w:val="0EFF16A6"/>
    <w:rsid w:val="0F013807"/>
    <w:rsid w:val="0F024CF3"/>
    <w:rsid w:val="0F052A35"/>
    <w:rsid w:val="0F070785"/>
    <w:rsid w:val="0F0D4F28"/>
    <w:rsid w:val="0F0E3698"/>
    <w:rsid w:val="0F0E4E69"/>
    <w:rsid w:val="0F0E7B3C"/>
    <w:rsid w:val="0F256C33"/>
    <w:rsid w:val="0F297BE7"/>
    <w:rsid w:val="0F2E2C5F"/>
    <w:rsid w:val="0F3330FE"/>
    <w:rsid w:val="0F346E76"/>
    <w:rsid w:val="0F3A27FF"/>
    <w:rsid w:val="0F44355D"/>
    <w:rsid w:val="0F467718"/>
    <w:rsid w:val="0F495631"/>
    <w:rsid w:val="0F5C08A7"/>
    <w:rsid w:val="0F5F5CA1"/>
    <w:rsid w:val="0F635443"/>
    <w:rsid w:val="0F643300"/>
    <w:rsid w:val="0F657030"/>
    <w:rsid w:val="0F7021B0"/>
    <w:rsid w:val="0F732EF4"/>
    <w:rsid w:val="0F7E015F"/>
    <w:rsid w:val="0F807D73"/>
    <w:rsid w:val="0F895414"/>
    <w:rsid w:val="0F8B4CE8"/>
    <w:rsid w:val="0F8C1048"/>
    <w:rsid w:val="0F8D22CE"/>
    <w:rsid w:val="0F8E6586"/>
    <w:rsid w:val="0F9242C9"/>
    <w:rsid w:val="0F98542E"/>
    <w:rsid w:val="0FA47D57"/>
    <w:rsid w:val="0FA933C0"/>
    <w:rsid w:val="0FB26719"/>
    <w:rsid w:val="0FB56209"/>
    <w:rsid w:val="0FB85B95"/>
    <w:rsid w:val="0FB87AA7"/>
    <w:rsid w:val="0FBD0627"/>
    <w:rsid w:val="0FBD6E6C"/>
    <w:rsid w:val="0FC14BAE"/>
    <w:rsid w:val="0FCA3CAF"/>
    <w:rsid w:val="0FEF171B"/>
    <w:rsid w:val="0FF52C8D"/>
    <w:rsid w:val="0FF7412C"/>
    <w:rsid w:val="0FFF1232"/>
    <w:rsid w:val="10061C28"/>
    <w:rsid w:val="100D7DF3"/>
    <w:rsid w:val="10100C41"/>
    <w:rsid w:val="10131F62"/>
    <w:rsid w:val="101733B6"/>
    <w:rsid w:val="101E5B5C"/>
    <w:rsid w:val="10305890"/>
    <w:rsid w:val="10321608"/>
    <w:rsid w:val="103A6EA6"/>
    <w:rsid w:val="103C3F59"/>
    <w:rsid w:val="1044448D"/>
    <w:rsid w:val="1049590D"/>
    <w:rsid w:val="104B03D7"/>
    <w:rsid w:val="1057219D"/>
    <w:rsid w:val="1058689E"/>
    <w:rsid w:val="106339EB"/>
    <w:rsid w:val="106D2640"/>
    <w:rsid w:val="10710382"/>
    <w:rsid w:val="10741C20"/>
    <w:rsid w:val="10801761"/>
    <w:rsid w:val="10802FF2"/>
    <w:rsid w:val="108A0770"/>
    <w:rsid w:val="10945DC8"/>
    <w:rsid w:val="10A32505"/>
    <w:rsid w:val="10B84EDA"/>
    <w:rsid w:val="10BE2E9B"/>
    <w:rsid w:val="10C86279"/>
    <w:rsid w:val="10CD513B"/>
    <w:rsid w:val="10D03686"/>
    <w:rsid w:val="10D0681E"/>
    <w:rsid w:val="10D91A83"/>
    <w:rsid w:val="10E741A0"/>
    <w:rsid w:val="10F13271"/>
    <w:rsid w:val="10F845FF"/>
    <w:rsid w:val="10FA2FC0"/>
    <w:rsid w:val="11001706"/>
    <w:rsid w:val="11123588"/>
    <w:rsid w:val="11125D8C"/>
    <w:rsid w:val="11147D5E"/>
    <w:rsid w:val="111768B2"/>
    <w:rsid w:val="1118788E"/>
    <w:rsid w:val="111D2270"/>
    <w:rsid w:val="111F3C92"/>
    <w:rsid w:val="112A3006"/>
    <w:rsid w:val="11335637"/>
    <w:rsid w:val="11365128"/>
    <w:rsid w:val="11494E5B"/>
    <w:rsid w:val="114E06C3"/>
    <w:rsid w:val="11500029"/>
    <w:rsid w:val="115B693C"/>
    <w:rsid w:val="116021A5"/>
    <w:rsid w:val="1160370D"/>
    <w:rsid w:val="11610532"/>
    <w:rsid w:val="11624F4F"/>
    <w:rsid w:val="116752E1"/>
    <w:rsid w:val="116A1760"/>
    <w:rsid w:val="11757319"/>
    <w:rsid w:val="117B4142"/>
    <w:rsid w:val="117B6E98"/>
    <w:rsid w:val="117C6279"/>
    <w:rsid w:val="11834761"/>
    <w:rsid w:val="118D3E53"/>
    <w:rsid w:val="1197540C"/>
    <w:rsid w:val="11A86494"/>
    <w:rsid w:val="11AC53EA"/>
    <w:rsid w:val="11BD4E2C"/>
    <w:rsid w:val="11BF336F"/>
    <w:rsid w:val="11C24C0D"/>
    <w:rsid w:val="11C42733"/>
    <w:rsid w:val="11CE35B2"/>
    <w:rsid w:val="11D42D5F"/>
    <w:rsid w:val="11D434DF"/>
    <w:rsid w:val="11D61772"/>
    <w:rsid w:val="11DF1879"/>
    <w:rsid w:val="11E22BBA"/>
    <w:rsid w:val="11ED2CA9"/>
    <w:rsid w:val="11EF16CB"/>
    <w:rsid w:val="11F03528"/>
    <w:rsid w:val="11F254F3"/>
    <w:rsid w:val="11F5472A"/>
    <w:rsid w:val="11F70371"/>
    <w:rsid w:val="11F72B09"/>
    <w:rsid w:val="12080872"/>
    <w:rsid w:val="12096398"/>
    <w:rsid w:val="120C1635"/>
    <w:rsid w:val="12173068"/>
    <w:rsid w:val="121C60CC"/>
    <w:rsid w:val="12232B93"/>
    <w:rsid w:val="122370C7"/>
    <w:rsid w:val="122B1980"/>
    <w:rsid w:val="122F22A3"/>
    <w:rsid w:val="1230027E"/>
    <w:rsid w:val="12353ADA"/>
    <w:rsid w:val="123553DF"/>
    <w:rsid w:val="123E12D1"/>
    <w:rsid w:val="124B069E"/>
    <w:rsid w:val="124B075F"/>
    <w:rsid w:val="1255486C"/>
    <w:rsid w:val="125C155C"/>
    <w:rsid w:val="12601DC6"/>
    <w:rsid w:val="12617F82"/>
    <w:rsid w:val="12631F4C"/>
    <w:rsid w:val="12635AA8"/>
    <w:rsid w:val="12696E37"/>
    <w:rsid w:val="126B0C62"/>
    <w:rsid w:val="12706417"/>
    <w:rsid w:val="12751FBA"/>
    <w:rsid w:val="12752030"/>
    <w:rsid w:val="12753A2E"/>
    <w:rsid w:val="127C30F0"/>
    <w:rsid w:val="128633D3"/>
    <w:rsid w:val="12865C3B"/>
    <w:rsid w:val="128A572B"/>
    <w:rsid w:val="128B60CC"/>
    <w:rsid w:val="128C7765"/>
    <w:rsid w:val="12950A7E"/>
    <w:rsid w:val="129A3494"/>
    <w:rsid w:val="129B7938"/>
    <w:rsid w:val="129C00E6"/>
    <w:rsid w:val="129E11D6"/>
    <w:rsid w:val="12A83E03"/>
    <w:rsid w:val="12B47372"/>
    <w:rsid w:val="12B72298"/>
    <w:rsid w:val="12BE53D5"/>
    <w:rsid w:val="12C43900"/>
    <w:rsid w:val="12C549B5"/>
    <w:rsid w:val="12C72A04"/>
    <w:rsid w:val="12D009A7"/>
    <w:rsid w:val="12E27EED"/>
    <w:rsid w:val="12E400DB"/>
    <w:rsid w:val="12E806A4"/>
    <w:rsid w:val="12E81133"/>
    <w:rsid w:val="12E82452"/>
    <w:rsid w:val="12EA441C"/>
    <w:rsid w:val="12EF7D0F"/>
    <w:rsid w:val="12F17558"/>
    <w:rsid w:val="12F44960"/>
    <w:rsid w:val="12F9273B"/>
    <w:rsid w:val="12F9465F"/>
    <w:rsid w:val="12FA4A1A"/>
    <w:rsid w:val="12FA5784"/>
    <w:rsid w:val="12FF557F"/>
    <w:rsid w:val="13046A01"/>
    <w:rsid w:val="13051255"/>
    <w:rsid w:val="13087DEF"/>
    <w:rsid w:val="13124E77"/>
    <w:rsid w:val="13152ADC"/>
    <w:rsid w:val="13182014"/>
    <w:rsid w:val="132711CC"/>
    <w:rsid w:val="13356BC5"/>
    <w:rsid w:val="13370CE3"/>
    <w:rsid w:val="133B434D"/>
    <w:rsid w:val="13403660"/>
    <w:rsid w:val="134753CA"/>
    <w:rsid w:val="134D6F18"/>
    <w:rsid w:val="13531FC1"/>
    <w:rsid w:val="1356385F"/>
    <w:rsid w:val="135F0966"/>
    <w:rsid w:val="13611AA6"/>
    <w:rsid w:val="13682D04"/>
    <w:rsid w:val="136E1102"/>
    <w:rsid w:val="136E24E0"/>
    <w:rsid w:val="13712447"/>
    <w:rsid w:val="13727C87"/>
    <w:rsid w:val="13743CE5"/>
    <w:rsid w:val="137B5074"/>
    <w:rsid w:val="13857CA0"/>
    <w:rsid w:val="138B7DB4"/>
    <w:rsid w:val="13904FC3"/>
    <w:rsid w:val="13A520F1"/>
    <w:rsid w:val="13A8239B"/>
    <w:rsid w:val="13AF2F6F"/>
    <w:rsid w:val="13B02153"/>
    <w:rsid w:val="13B15CBD"/>
    <w:rsid w:val="13B73E39"/>
    <w:rsid w:val="13C832D3"/>
    <w:rsid w:val="13DD6D1E"/>
    <w:rsid w:val="13EB044B"/>
    <w:rsid w:val="13ED16DB"/>
    <w:rsid w:val="13F56BD4"/>
    <w:rsid w:val="13FC61B5"/>
    <w:rsid w:val="140A76A8"/>
    <w:rsid w:val="1415077C"/>
    <w:rsid w:val="141C06B6"/>
    <w:rsid w:val="141F1EA3"/>
    <w:rsid w:val="14202FA1"/>
    <w:rsid w:val="14294AD0"/>
    <w:rsid w:val="142C45C0"/>
    <w:rsid w:val="142E0338"/>
    <w:rsid w:val="143756AB"/>
    <w:rsid w:val="143A6CDD"/>
    <w:rsid w:val="143C0CA7"/>
    <w:rsid w:val="143F0095"/>
    <w:rsid w:val="1444190A"/>
    <w:rsid w:val="144E6358"/>
    <w:rsid w:val="14525350"/>
    <w:rsid w:val="145478AB"/>
    <w:rsid w:val="14553B17"/>
    <w:rsid w:val="146A0866"/>
    <w:rsid w:val="14750D5A"/>
    <w:rsid w:val="1478068F"/>
    <w:rsid w:val="147E1869"/>
    <w:rsid w:val="1481490C"/>
    <w:rsid w:val="148443FC"/>
    <w:rsid w:val="1489218F"/>
    <w:rsid w:val="148F7C8A"/>
    <w:rsid w:val="149731AD"/>
    <w:rsid w:val="14A34882"/>
    <w:rsid w:val="14BC3B96"/>
    <w:rsid w:val="14C430D3"/>
    <w:rsid w:val="14C91E0F"/>
    <w:rsid w:val="14DA401C"/>
    <w:rsid w:val="14DE5E10"/>
    <w:rsid w:val="14EE54EC"/>
    <w:rsid w:val="14F060C1"/>
    <w:rsid w:val="14FC21E4"/>
    <w:rsid w:val="15064D30"/>
    <w:rsid w:val="1511012C"/>
    <w:rsid w:val="15172299"/>
    <w:rsid w:val="1519567E"/>
    <w:rsid w:val="151B71F4"/>
    <w:rsid w:val="151F31F3"/>
    <w:rsid w:val="1528650F"/>
    <w:rsid w:val="152B0338"/>
    <w:rsid w:val="153206E0"/>
    <w:rsid w:val="153B2D0D"/>
    <w:rsid w:val="153B4ABB"/>
    <w:rsid w:val="154020D1"/>
    <w:rsid w:val="154232FD"/>
    <w:rsid w:val="15463159"/>
    <w:rsid w:val="15482C5E"/>
    <w:rsid w:val="154E0EDE"/>
    <w:rsid w:val="15513403"/>
    <w:rsid w:val="155C4C26"/>
    <w:rsid w:val="15645A11"/>
    <w:rsid w:val="15645AE1"/>
    <w:rsid w:val="1565422D"/>
    <w:rsid w:val="15741F45"/>
    <w:rsid w:val="15743252"/>
    <w:rsid w:val="15797052"/>
    <w:rsid w:val="15810EA3"/>
    <w:rsid w:val="15883A78"/>
    <w:rsid w:val="15A00DC2"/>
    <w:rsid w:val="15A233FE"/>
    <w:rsid w:val="15A563D8"/>
    <w:rsid w:val="15AA1C40"/>
    <w:rsid w:val="15B825AF"/>
    <w:rsid w:val="15BE53E8"/>
    <w:rsid w:val="15CE3B81"/>
    <w:rsid w:val="15D15DC8"/>
    <w:rsid w:val="15D46CBD"/>
    <w:rsid w:val="15D773B8"/>
    <w:rsid w:val="15EA0595"/>
    <w:rsid w:val="15EC04AB"/>
    <w:rsid w:val="15EE21AD"/>
    <w:rsid w:val="15F7493E"/>
    <w:rsid w:val="15F97149"/>
    <w:rsid w:val="15FA2BC8"/>
    <w:rsid w:val="15FB3CF2"/>
    <w:rsid w:val="15FC63E5"/>
    <w:rsid w:val="16043E5F"/>
    <w:rsid w:val="160A4F1B"/>
    <w:rsid w:val="161E02A6"/>
    <w:rsid w:val="161E6396"/>
    <w:rsid w:val="16290DB7"/>
    <w:rsid w:val="162C099A"/>
    <w:rsid w:val="162C3563"/>
    <w:rsid w:val="162E2871"/>
    <w:rsid w:val="1633426F"/>
    <w:rsid w:val="163360DA"/>
    <w:rsid w:val="1635775C"/>
    <w:rsid w:val="163634D4"/>
    <w:rsid w:val="16377803"/>
    <w:rsid w:val="1638324F"/>
    <w:rsid w:val="1639583E"/>
    <w:rsid w:val="163E26E0"/>
    <w:rsid w:val="163F50B6"/>
    <w:rsid w:val="16492A93"/>
    <w:rsid w:val="16571DC8"/>
    <w:rsid w:val="16585E87"/>
    <w:rsid w:val="165A18B8"/>
    <w:rsid w:val="165C118C"/>
    <w:rsid w:val="16606763"/>
    <w:rsid w:val="16646757"/>
    <w:rsid w:val="16683587"/>
    <w:rsid w:val="166D339A"/>
    <w:rsid w:val="167069E6"/>
    <w:rsid w:val="167C41DB"/>
    <w:rsid w:val="167E55A7"/>
    <w:rsid w:val="167F4B15"/>
    <w:rsid w:val="16824ABA"/>
    <w:rsid w:val="16830CBD"/>
    <w:rsid w:val="1683496B"/>
    <w:rsid w:val="16870D8E"/>
    <w:rsid w:val="168B3820"/>
    <w:rsid w:val="16946B78"/>
    <w:rsid w:val="1699418F"/>
    <w:rsid w:val="169C77DB"/>
    <w:rsid w:val="169D2733"/>
    <w:rsid w:val="16A4694B"/>
    <w:rsid w:val="16AD32E4"/>
    <w:rsid w:val="16AE07B1"/>
    <w:rsid w:val="16B32726"/>
    <w:rsid w:val="16B40C20"/>
    <w:rsid w:val="16BA5EB3"/>
    <w:rsid w:val="16BC1C2B"/>
    <w:rsid w:val="16BE1E47"/>
    <w:rsid w:val="16C466DE"/>
    <w:rsid w:val="16D37E65"/>
    <w:rsid w:val="16D542A9"/>
    <w:rsid w:val="16D8458B"/>
    <w:rsid w:val="16DB76B1"/>
    <w:rsid w:val="16DD23A4"/>
    <w:rsid w:val="16E24AC6"/>
    <w:rsid w:val="16E47ABF"/>
    <w:rsid w:val="16F90D5A"/>
    <w:rsid w:val="17033DF0"/>
    <w:rsid w:val="17073119"/>
    <w:rsid w:val="170D692B"/>
    <w:rsid w:val="17125CEF"/>
    <w:rsid w:val="17195DAB"/>
    <w:rsid w:val="171D7580"/>
    <w:rsid w:val="17253C74"/>
    <w:rsid w:val="172E4032"/>
    <w:rsid w:val="172F064F"/>
    <w:rsid w:val="173A725A"/>
    <w:rsid w:val="173B6FF4"/>
    <w:rsid w:val="17400EC1"/>
    <w:rsid w:val="174173FA"/>
    <w:rsid w:val="174242AE"/>
    <w:rsid w:val="174340FA"/>
    <w:rsid w:val="174936DB"/>
    <w:rsid w:val="1749452C"/>
    <w:rsid w:val="174D24DD"/>
    <w:rsid w:val="174F2A9F"/>
    <w:rsid w:val="17542EC3"/>
    <w:rsid w:val="17544559"/>
    <w:rsid w:val="175B488E"/>
    <w:rsid w:val="175E2CE2"/>
    <w:rsid w:val="176522C3"/>
    <w:rsid w:val="17680005"/>
    <w:rsid w:val="176B20D9"/>
    <w:rsid w:val="176F4EEF"/>
    <w:rsid w:val="177048A0"/>
    <w:rsid w:val="1776002C"/>
    <w:rsid w:val="178A4CCC"/>
    <w:rsid w:val="179761F4"/>
    <w:rsid w:val="17A50911"/>
    <w:rsid w:val="17A82169"/>
    <w:rsid w:val="17AD77C6"/>
    <w:rsid w:val="17B9616B"/>
    <w:rsid w:val="17BD20FF"/>
    <w:rsid w:val="17BD3EAD"/>
    <w:rsid w:val="17C101CD"/>
    <w:rsid w:val="17C23271"/>
    <w:rsid w:val="17D26ACD"/>
    <w:rsid w:val="17E256C1"/>
    <w:rsid w:val="17E94CA2"/>
    <w:rsid w:val="17F16160"/>
    <w:rsid w:val="17F8256E"/>
    <w:rsid w:val="17FB6783"/>
    <w:rsid w:val="17FD1308"/>
    <w:rsid w:val="17FE7DB3"/>
    <w:rsid w:val="18025D64"/>
    <w:rsid w:val="1802759E"/>
    <w:rsid w:val="180C2FB2"/>
    <w:rsid w:val="1816180F"/>
    <w:rsid w:val="181D2B9D"/>
    <w:rsid w:val="1821268E"/>
    <w:rsid w:val="182201B4"/>
    <w:rsid w:val="182E0907"/>
    <w:rsid w:val="18335F1D"/>
    <w:rsid w:val="18392AEF"/>
    <w:rsid w:val="183D3240"/>
    <w:rsid w:val="185540E5"/>
    <w:rsid w:val="185B674A"/>
    <w:rsid w:val="185F1661"/>
    <w:rsid w:val="186500A0"/>
    <w:rsid w:val="18731E2A"/>
    <w:rsid w:val="188873F9"/>
    <w:rsid w:val="188974FF"/>
    <w:rsid w:val="188C2500"/>
    <w:rsid w:val="1890336F"/>
    <w:rsid w:val="189C2603"/>
    <w:rsid w:val="189C3E54"/>
    <w:rsid w:val="189F2A53"/>
    <w:rsid w:val="18AB63FB"/>
    <w:rsid w:val="18B647EB"/>
    <w:rsid w:val="18B76B4E"/>
    <w:rsid w:val="18B87908"/>
    <w:rsid w:val="18C87744"/>
    <w:rsid w:val="18C94AD3"/>
    <w:rsid w:val="18CF42C0"/>
    <w:rsid w:val="18D539DE"/>
    <w:rsid w:val="18DD2922"/>
    <w:rsid w:val="18E13BCB"/>
    <w:rsid w:val="18E5280D"/>
    <w:rsid w:val="18E66902"/>
    <w:rsid w:val="18EB32E8"/>
    <w:rsid w:val="18EF453A"/>
    <w:rsid w:val="18F048F8"/>
    <w:rsid w:val="18FC77C6"/>
    <w:rsid w:val="18FE2EED"/>
    <w:rsid w:val="19037FE5"/>
    <w:rsid w:val="1912647A"/>
    <w:rsid w:val="19163B16"/>
    <w:rsid w:val="191731C4"/>
    <w:rsid w:val="19175B5B"/>
    <w:rsid w:val="19211322"/>
    <w:rsid w:val="19272AC9"/>
    <w:rsid w:val="19282B95"/>
    <w:rsid w:val="192A74E4"/>
    <w:rsid w:val="1939497F"/>
    <w:rsid w:val="193E2B61"/>
    <w:rsid w:val="19404D95"/>
    <w:rsid w:val="1940617A"/>
    <w:rsid w:val="19495369"/>
    <w:rsid w:val="194D58C8"/>
    <w:rsid w:val="19555B47"/>
    <w:rsid w:val="196138D0"/>
    <w:rsid w:val="19650358"/>
    <w:rsid w:val="196E32E1"/>
    <w:rsid w:val="196E7FD0"/>
    <w:rsid w:val="19745D87"/>
    <w:rsid w:val="197832BB"/>
    <w:rsid w:val="197A6AB8"/>
    <w:rsid w:val="197B1B58"/>
    <w:rsid w:val="198D017B"/>
    <w:rsid w:val="198F3627"/>
    <w:rsid w:val="19921C44"/>
    <w:rsid w:val="19923117"/>
    <w:rsid w:val="19996254"/>
    <w:rsid w:val="19A3296E"/>
    <w:rsid w:val="19BB08C0"/>
    <w:rsid w:val="19BB266E"/>
    <w:rsid w:val="19BE0EDD"/>
    <w:rsid w:val="19BE34F7"/>
    <w:rsid w:val="19C75DFE"/>
    <w:rsid w:val="19D159ED"/>
    <w:rsid w:val="19D6555A"/>
    <w:rsid w:val="19E03858"/>
    <w:rsid w:val="19E07505"/>
    <w:rsid w:val="19E44366"/>
    <w:rsid w:val="19E87F27"/>
    <w:rsid w:val="19F605BF"/>
    <w:rsid w:val="19FB6838"/>
    <w:rsid w:val="1A187AC0"/>
    <w:rsid w:val="1A1D693D"/>
    <w:rsid w:val="1A246465"/>
    <w:rsid w:val="1A2E1092"/>
    <w:rsid w:val="1A362C80"/>
    <w:rsid w:val="1A4077C6"/>
    <w:rsid w:val="1A444411"/>
    <w:rsid w:val="1A4771FE"/>
    <w:rsid w:val="1A4A3BD0"/>
    <w:rsid w:val="1A4C32C6"/>
    <w:rsid w:val="1A547B77"/>
    <w:rsid w:val="1A57266E"/>
    <w:rsid w:val="1A584361"/>
    <w:rsid w:val="1A6709DF"/>
    <w:rsid w:val="1A6E23B6"/>
    <w:rsid w:val="1A703458"/>
    <w:rsid w:val="1A705206"/>
    <w:rsid w:val="1A7B1A7D"/>
    <w:rsid w:val="1A930EF5"/>
    <w:rsid w:val="1A98686C"/>
    <w:rsid w:val="1A9C4A79"/>
    <w:rsid w:val="1A9F19C8"/>
    <w:rsid w:val="1AA21AC2"/>
    <w:rsid w:val="1AA50C28"/>
    <w:rsid w:val="1AA816CE"/>
    <w:rsid w:val="1AB40989"/>
    <w:rsid w:val="1AB45C98"/>
    <w:rsid w:val="1ABC07FF"/>
    <w:rsid w:val="1AC21DD8"/>
    <w:rsid w:val="1AC67940"/>
    <w:rsid w:val="1AC90DBB"/>
    <w:rsid w:val="1AE45BF4"/>
    <w:rsid w:val="1AF520D1"/>
    <w:rsid w:val="1AF672AD"/>
    <w:rsid w:val="1B0B3181"/>
    <w:rsid w:val="1B0D5496"/>
    <w:rsid w:val="1B111794"/>
    <w:rsid w:val="1B122762"/>
    <w:rsid w:val="1B167D23"/>
    <w:rsid w:val="1B186D78"/>
    <w:rsid w:val="1B1C541C"/>
    <w:rsid w:val="1B1E0F38"/>
    <w:rsid w:val="1B31079C"/>
    <w:rsid w:val="1B487F31"/>
    <w:rsid w:val="1B684130"/>
    <w:rsid w:val="1B711136"/>
    <w:rsid w:val="1B8233E1"/>
    <w:rsid w:val="1B823D27"/>
    <w:rsid w:val="1B862808"/>
    <w:rsid w:val="1B9237D6"/>
    <w:rsid w:val="1B994819"/>
    <w:rsid w:val="1B9E15EF"/>
    <w:rsid w:val="1B9F1411"/>
    <w:rsid w:val="1B9F7C16"/>
    <w:rsid w:val="1BA710FC"/>
    <w:rsid w:val="1BBB4BA7"/>
    <w:rsid w:val="1BC17CE4"/>
    <w:rsid w:val="1BC81072"/>
    <w:rsid w:val="1BD01938"/>
    <w:rsid w:val="1BDB6FF7"/>
    <w:rsid w:val="1BEC52B7"/>
    <w:rsid w:val="1BEF34FD"/>
    <w:rsid w:val="1BF202DD"/>
    <w:rsid w:val="1BF91BD9"/>
    <w:rsid w:val="1BFC3B26"/>
    <w:rsid w:val="1C014BF4"/>
    <w:rsid w:val="1C054074"/>
    <w:rsid w:val="1C0A3439"/>
    <w:rsid w:val="1C122FC8"/>
    <w:rsid w:val="1C135BC8"/>
    <w:rsid w:val="1C1445D2"/>
    <w:rsid w:val="1C1877B0"/>
    <w:rsid w:val="1C192405"/>
    <w:rsid w:val="1C1A65E4"/>
    <w:rsid w:val="1C1F36B0"/>
    <w:rsid w:val="1C253B27"/>
    <w:rsid w:val="1C295FB5"/>
    <w:rsid w:val="1C2C3B80"/>
    <w:rsid w:val="1C2E5379"/>
    <w:rsid w:val="1C3070C2"/>
    <w:rsid w:val="1C33298F"/>
    <w:rsid w:val="1C365A2C"/>
    <w:rsid w:val="1C3C2680"/>
    <w:rsid w:val="1C3C27B6"/>
    <w:rsid w:val="1C4077DC"/>
    <w:rsid w:val="1C427A2B"/>
    <w:rsid w:val="1C484FB8"/>
    <w:rsid w:val="1C4A5F2B"/>
    <w:rsid w:val="1C577A1E"/>
    <w:rsid w:val="1C5A0CA0"/>
    <w:rsid w:val="1C6173F7"/>
    <w:rsid w:val="1C657E51"/>
    <w:rsid w:val="1C6C22C0"/>
    <w:rsid w:val="1C6D5116"/>
    <w:rsid w:val="1C746976"/>
    <w:rsid w:val="1C89505A"/>
    <w:rsid w:val="1C940F54"/>
    <w:rsid w:val="1C972642"/>
    <w:rsid w:val="1C9E5823"/>
    <w:rsid w:val="1CA90B4D"/>
    <w:rsid w:val="1CAF1D78"/>
    <w:rsid w:val="1CB03FE0"/>
    <w:rsid w:val="1CB669F1"/>
    <w:rsid w:val="1CBD4603"/>
    <w:rsid w:val="1CC45CDD"/>
    <w:rsid w:val="1CC730D8"/>
    <w:rsid w:val="1CCE14B3"/>
    <w:rsid w:val="1CD22F7D"/>
    <w:rsid w:val="1CDF53F1"/>
    <w:rsid w:val="1CE65C54"/>
    <w:rsid w:val="1CEB5018"/>
    <w:rsid w:val="1CEC5DFD"/>
    <w:rsid w:val="1CED0A04"/>
    <w:rsid w:val="1CF3211F"/>
    <w:rsid w:val="1CF42602"/>
    <w:rsid w:val="1CF643E7"/>
    <w:rsid w:val="1CFA525B"/>
    <w:rsid w:val="1CFD4D4B"/>
    <w:rsid w:val="1CFE1AAE"/>
    <w:rsid w:val="1CFF1291"/>
    <w:rsid w:val="1D000EB9"/>
    <w:rsid w:val="1D047531"/>
    <w:rsid w:val="1D0C4B86"/>
    <w:rsid w:val="1D11694F"/>
    <w:rsid w:val="1D167BBB"/>
    <w:rsid w:val="1D1861C0"/>
    <w:rsid w:val="1D2528A0"/>
    <w:rsid w:val="1D2648F3"/>
    <w:rsid w:val="1D2779F7"/>
    <w:rsid w:val="1D282061"/>
    <w:rsid w:val="1D331268"/>
    <w:rsid w:val="1D367D12"/>
    <w:rsid w:val="1D46666D"/>
    <w:rsid w:val="1D4806BC"/>
    <w:rsid w:val="1D483B5E"/>
    <w:rsid w:val="1D484219"/>
    <w:rsid w:val="1D4D4DFF"/>
    <w:rsid w:val="1D594678"/>
    <w:rsid w:val="1D5A03F0"/>
    <w:rsid w:val="1D5A219E"/>
    <w:rsid w:val="1D5C5F16"/>
    <w:rsid w:val="1D5D57EA"/>
    <w:rsid w:val="1D6946C0"/>
    <w:rsid w:val="1D71198C"/>
    <w:rsid w:val="1D726B9D"/>
    <w:rsid w:val="1D743279"/>
    <w:rsid w:val="1D770F9F"/>
    <w:rsid w:val="1D7B733D"/>
    <w:rsid w:val="1D840434"/>
    <w:rsid w:val="1D8B2357"/>
    <w:rsid w:val="1D907783"/>
    <w:rsid w:val="1DBC650F"/>
    <w:rsid w:val="1DC35F95"/>
    <w:rsid w:val="1DCF0496"/>
    <w:rsid w:val="1DD37785"/>
    <w:rsid w:val="1DD54DD1"/>
    <w:rsid w:val="1DD7245C"/>
    <w:rsid w:val="1DD8129D"/>
    <w:rsid w:val="1DD86BC6"/>
    <w:rsid w:val="1DE74CEC"/>
    <w:rsid w:val="1DEE0019"/>
    <w:rsid w:val="1DF42687"/>
    <w:rsid w:val="1DF47EFC"/>
    <w:rsid w:val="1DFF3CCB"/>
    <w:rsid w:val="1E116E56"/>
    <w:rsid w:val="1E1366E4"/>
    <w:rsid w:val="1E1660C5"/>
    <w:rsid w:val="1E1B44E3"/>
    <w:rsid w:val="1E295151"/>
    <w:rsid w:val="1E380731"/>
    <w:rsid w:val="1E392382"/>
    <w:rsid w:val="1E3F5433"/>
    <w:rsid w:val="1E424C60"/>
    <w:rsid w:val="1E550CDA"/>
    <w:rsid w:val="1E57048B"/>
    <w:rsid w:val="1E5B0724"/>
    <w:rsid w:val="1E6071B4"/>
    <w:rsid w:val="1E62130A"/>
    <w:rsid w:val="1E65704C"/>
    <w:rsid w:val="1E672DC4"/>
    <w:rsid w:val="1E6A2707"/>
    <w:rsid w:val="1E7F0E72"/>
    <w:rsid w:val="1E805C34"/>
    <w:rsid w:val="1E816A2F"/>
    <w:rsid w:val="1E8976CC"/>
    <w:rsid w:val="1E9539DF"/>
    <w:rsid w:val="1EAA11AA"/>
    <w:rsid w:val="1EAC7DF3"/>
    <w:rsid w:val="1EB27A1A"/>
    <w:rsid w:val="1EBF1697"/>
    <w:rsid w:val="1EC51899"/>
    <w:rsid w:val="1EC655A7"/>
    <w:rsid w:val="1ECC0E79"/>
    <w:rsid w:val="1ECE074D"/>
    <w:rsid w:val="1ED0096A"/>
    <w:rsid w:val="1ED1023E"/>
    <w:rsid w:val="1ED65854"/>
    <w:rsid w:val="1EDB74D8"/>
    <w:rsid w:val="1EE07B63"/>
    <w:rsid w:val="1EE11ECD"/>
    <w:rsid w:val="1EE47B84"/>
    <w:rsid w:val="1EEC5078"/>
    <w:rsid w:val="1EFA7794"/>
    <w:rsid w:val="1F0C74C8"/>
    <w:rsid w:val="1F1E704E"/>
    <w:rsid w:val="1F1F369F"/>
    <w:rsid w:val="1F234F3D"/>
    <w:rsid w:val="1F2B2044"/>
    <w:rsid w:val="1F2C4884"/>
    <w:rsid w:val="1F3233D2"/>
    <w:rsid w:val="1F330EF8"/>
    <w:rsid w:val="1F361D86"/>
    <w:rsid w:val="1F3A40D9"/>
    <w:rsid w:val="1F3D6657"/>
    <w:rsid w:val="1F435398"/>
    <w:rsid w:val="1F446843"/>
    <w:rsid w:val="1F446C62"/>
    <w:rsid w:val="1F4A3D1F"/>
    <w:rsid w:val="1F4A708A"/>
    <w:rsid w:val="1F521969"/>
    <w:rsid w:val="1F545625"/>
    <w:rsid w:val="1F572E39"/>
    <w:rsid w:val="1F63358C"/>
    <w:rsid w:val="1F6D4C9B"/>
    <w:rsid w:val="1F813A12"/>
    <w:rsid w:val="1F851DDD"/>
    <w:rsid w:val="1F8A4FBC"/>
    <w:rsid w:val="1F8D383C"/>
    <w:rsid w:val="1F8E730E"/>
    <w:rsid w:val="1F911FE7"/>
    <w:rsid w:val="1F925C1F"/>
    <w:rsid w:val="1F936766"/>
    <w:rsid w:val="1F953AC5"/>
    <w:rsid w:val="1F9A2D26"/>
    <w:rsid w:val="1FA264A3"/>
    <w:rsid w:val="1FA923BC"/>
    <w:rsid w:val="1FAA1CAD"/>
    <w:rsid w:val="1FB37A64"/>
    <w:rsid w:val="1FB45DF0"/>
    <w:rsid w:val="1FC72E9A"/>
    <w:rsid w:val="1FCF29CF"/>
    <w:rsid w:val="1FD7645F"/>
    <w:rsid w:val="1FDD0B17"/>
    <w:rsid w:val="1FE1598A"/>
    <w:rsid w:val="1FE32951"/>
    <w:rsid w:val="1FEF4E1F"/>
    <w:rsid w:val="1FF24910"/>
    <w:rsid w:val="1FF3380D"/>
    <w:rsid w:val="200007DF"/>
    <w:rsid w:val="20011AFD"/>
    <w:rsid w:val="200239BE"/>
    <w:rsid w:val="2009466C"/>
    <w:rsid w:val="200F101E"/>
    <w:rsid w:val="20154252"/>
    <w:rsid w:val="201B3E66"/>
    <w:rsid w:val="201E5705"/>
    <w:rsid w:val="20334ED2"/>
    <w:rsid w:val="203B62B7"/>
    <w:rsid w:val="203C2CA3"/>
    <w:rsid w:val="2040567B"/>
    <w:rsid w:val="20420E63"/>
    <w:rsid w:val="205254D7"/>
    <w:rsid w:val="205630F0"/>
    <w:rsid w:val="20582A63"/>
    <w:rsid w:val="20585715"/>
    <w:rsid w:val="20592BE1"/>
    <w:rsid w:val="206F5F60"/>
    <w:rsid w:val="2071222D"/>
    <w:rsid w:val="207329B3"/>
    <w:rsid w:val="208B2A2D"/>
    <w:rsid w:val="208E12B4"/>
    <w:rsid w:val="20924301"/>
    <w:rsid w:val="20972794"/>
    <w:rsid w:val="209E23A2"/>
    <w:rsid w:val="209E6186"/>
    <w:rsid w:val="209F0117"/>
    <w:rsid w:val="209F27F3"/>
    <w:rsid w:val="20A025BE"/>
    <w:rsid w:val="20A51982"/>
    <w:rsid w:val="20AC109E"/>
    <w:rsid w:val="20B10327"/>
    <w:rsid w:val="20B221AC"/>
    <w:rsid w:val="20B931EF"/>
    <w:rsid w:val="20BB1436"/>
    <w:rsid w:val="20BF4D39"/>
    <w:rsid w:val="20D109C9"/>
    <w:rsid w:val="20D32238"/>
    <w:rsid w:val="20D641EF"/>
    <w:rsid w:val="20D85D57"/>
    <w:rsid w:val="20DA32B1"/>
    <w:rsid w:val="20DF0DF0"/>
    <w:rsid w:val="20E72B5B"/>
    <w:rsid w:val="20E77269"/>
    <w:rsid w:val="20EB01B3"/>
    <w:rsid w:val="20EC7F87"/>
    <w:rsid w:val="20EE03F2"/>
    <w:rsid w:val="20EF28CE"/>
    <w:rsid w:val="20F61EF1"/>
    <w:rsid w:val="20FD17BE"/>
    <w:rsid w:val="211014F1"/>
    <w:rsid w:val="21145639"/>
    <w:rsid w:val="211D2B53"/>
    <w:rsid w:val="211D3A51"/>
    <w:rsid w:val="21246D4B"/>
    <w:rsid w:val="21267608"/>
    <w:rsid w:val="21271BF9"/>
    <w:rsid w:val="21294738"/>
    <w:rsid w:val="213547AB"/>
    <w:rsid w:val="213A47C0"/>
    <w:rsid w:val="21423539"/>
    <w:rsid w:val="21425423"/>
    <w:rsid w:val="2144119B"/>
    <w:rsid w:val="21483217"/>
    <w:rsid w:val="214E7994"/>
    <w:rsid w:val="215869F4"/>
    <w:rsid w:val="215A09BE"/>
    <w:rsid w:val="215B3E95"/>
    <w:rsid w:val="215E1D16"/>
    <w:rsid w:val="216058A9"/>
    <w:rsid w:val="21654660"/>
    <w:rsid w:val="216B6728"/>
    <w:rsid w:val="216F5573"/>
    <w:rsid w:val="217D0A1F"/>
    <w:rsid w:val="217D1886"/>
    <w:rsid w:val="218216ED"/>
    <w:rsid w:val="21906E45"/>
    <w:rsid w:val="21914F6E"/>
    <w:rsid w:val="21941EA4"/>
    <w:rsid w:val="21A41C3A"/>
    <w:rsid w:val="21A909CB"/>
    <w:rsid w:val="21B20311"/>
    <w:rsid w:val="21B41795"/>
    <w:rsid w:val="21B76009"/>
    <w:rsid w:val="21C05D7A"/>
    <w:rsid w:val="21C127EB"/>
    <w:rsid w:val="21C935D6"/>
    <w:rsid w:val="21CC25FB"/>
    <w:rsid w:val="21CE2FEC"/>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F26D7"/>
    <w:rsid w:val="22201DA0"/>
    <w:rsid w:val="222861B1"/>
    <w:rsid w:val="222D60D3"/>
    <w:rsid w:val="223630DF"/>
    <w:rsid w:val="223B07F0"/>
    <w:rsid w:val="223E3280"/>
    <w:rsid w:val="2249336E"/>
    <w:rsid w:val="224C4068"/>
    <w:rsid w:val="224F6049"/>
    <w:rsid w:val="225E14CB"/>
    <w:rsid w:val="226B2949"/>
    <w:rsid w:val="226C44AE"/>
    <w:rsid w:val="226F4002"/>
    <w:rsid w:val="2273177B"/>
    <w:rsid w:val="227710FC"/>
    <w:rsid w:val="227E0004"/>
    <w:rsid w:val="228B5773"/>
    <w:rsid w:val="229161B4"/>
    <w:rsid w:val="2295732F"/>
    <w:rsid w:val="2298179E"/>
    <w:rsid w:val="22A531AF"/>
    <w:rsid w:val="22A6395F"/>
    <w:rsid w:val="22AA14D2"/>
    <w:rsid w:val="22B440FE"/>
    <w:rsid w:val="22BB44F7"/>
    <w:rsid w:val="22BB6551"/>
    <w:rsid w:val="22C0341B"/>
    <w:rsid w:val="22CC769A"/>
    <w:rsid w:val="22CF0F38"/>
    <w:rsid w:val="22D14CB0"/>
    <w:rsid w:val="22D351CD"/>
    <w:rsid w:val="22D95913"/>
    <w:rsid w:val="22DB00E0"/>
    <w:rsid w:val="22DF0D93"/>
    <w:rsid w:val="22E26EBD"/>
    <w:rsid w:val="22E5075C"/>
    <w:rsid w:val="22E85AEC"/>
    <w:rsid w:val="22EE11B0"/>
    <w:rsid w:val="22F377CF"/>
    <w:rsid w:val="22F5344F"/>
    <w:rsid w:val="22F77C76"/>
    <w:rsid w:val="22F90444"/>
    <w:rsid w:val="23007E1A"/>
    <w:rsid w:val="230A3855"/>
    <w:rsid w:val="232060BC"/>
    <w:rsid w:val="23247061"/>
    <w:rsid w:val="23250B58"/>
    <w:rsid w:val="23270D74"/>
    <w:rsid w:val="23290648"/>
    <w:rsid w:val="232B2612"/>
    <w:rsid w:val="23404830"/>
    <w:rsid w:val="23405992"/>
    <w:rsid w:val="234146EB"/>
    <w:rsid w:val="2341673D"/>
    <w:rsid w:val="23445482"/>
    <w:rsid w:val="234731C4"/>
    <w:rsid w:val="23476D20"/>
    <w:rsid w:val="2357561B"/>
    <w:rsid w:val="23582CDC"/>
    <w:rsid w:val="236E3686"/>
    <w:rsid w:val="236E4509"/>
    <w:rsid w:val="23710D16"/>
    <w:rsid w:val="237A4FBB"/>
    <w:rsid w:val="237C4C1C"/>
    <w:rsid w:val="237D3DBF"/>
    <w:rsid w:val="238031A0"/>
    <w:rsid w:val="23831236"/>
    <w:rsid w:val="238E492C"/>
    <w:rsid w:val="23A106E1"/>
    <w:rsid w:val="23B3363E"/>
    <w:rsid w:val="23B7025B"/>
    <w:rsid w:val="23B91E96"/>
    <w:rsid w:val="23DA14B2"/>
    <w:rsid w:val="23DC0185"/>
    <w:rsid w:val="23E376B2"/>
    <w:rsid w:val="23F22AA6"/>
    <w:rsid w:val="23F60DC5"/>
    <w:rsid w:val="23F72E72"/>
    <w:rsid w:val="240D651C"/>
    <w:rsid w:val="24107A5A"/>
    <w:rsid w:val="2412732E"/>
    <w:rsid w:val="241C63FF"/>
    <w:rsid w:val="241F0EFF"/>
    <w:rsid w:val="24287767"/>
    <w:rsid w:val="243B6A2B"/>
    <w:rsid w:val="243C2BA2"/>
    <w:rsid w:val="243F5C4A"/>
    <w:rsid w:val="244514B2"/>
    <w:rsid w:val="244558F0"/>
    <w:rsid w:val="244A2F6C"/>
    <w:rsid w:val="244D0366"/>
    <w:rsid w:val="245401AE"/>
    <w:rsid w:val="2457589F"/>
    <w:rsid w:val="245904E1"/>
    <w:rsid w:val="24675324"/>
    <w:rsid w:val="246A35DA"/>
    <w:rsid w:val="246C6D95"/>
    <w:rsid w:val="24766D97"/>
    <w:rsid w:val="24772744"/>
    <w:rsid w:val="247C6164"/>
    <w:rsid w:val="248D2E59"/>
    <w:rsid w:val="248D7A6F"/>
    <w:rsid w:val="24912949"/>
    <w:rsid w:val="24A700B1"/>
    <w:rsid w:val="24AD4960"/>
    <w:rsid w:val="24AF3C23"/>
    <w:rsid w:val="24B1038E"/>
    <w:rsid w:val="24B71C84"/>
    <w:rsid w:val="24BD6371"/>
    <w:rsid w:val="24BF33A4"/>
    <w:rsid w:val="24BF7404"/>
    <w:rsid w:val="24C543A1"/>
    <w:rsid w:val="24C70119"/>
    <w:rsid w:val="24CF7171"/>
    <w:rsid w:val="24D606C4"/>
    <w:rsid w:val="24DB2630"/>
    <w:rsid w:val="24DD20F9"/>
    <w:rsid w:val="24E707BB"/>
    <w:rsid w:val="24E9041A"/>
    <w:rsid w:val="24F13C4E"/>
    <w:rsid w:val="2500362B"/>
    <w:rsid w:val="25021151"/>
    <w:rsid w:val="250C4542"/>
    <w:rsid w:val="250F386E"/>
    <w:rsid w:val="25155759"/>
    <w:rsid w:val="251610A0"/>
    <w:rsid w:val="25205A7B"/>
    <w:rsid w:val="252A3087"/>
    <w:rsid w:val="252B4B4C"/>
    <w:rsid w:val="252D4FBC"/>
    <w:rsid w:val="2531393D"/>
    <w:rsid w:val="25340B7A"/>
    <w:rsid w:val="253908EB"/>
    <w:rsid w:val="254C45D5"/>
    <w:rsid w:val="2552474A"/>
    <w:rsid w:val="25584143"/>
    <w:rsid w:val="2565318A"/>
    <w:rsid w:val="256D74C3"/>
    <w:rsid w:val="256F237E"/>
    <w:rsid w:val="257C1D6A"/>
    <w:rsid w:val="25871828"/>
    <w:rsid w:val="25893620"/>
    <w:rsid w:val="25910727"/>
    <w:rsid w:val="25954889"/>
    <w:rsid w:val="2598079C"/>
    <w:rsid w:val="259C7089"/>
    <w:rsid w:val="25A27518"/>
    <w:rsid w:val="25A530AD"/>
    <w:rsid w:val="25A95DFD"/>
    <w:rsid w:val="25AD1201"/>
    <w:rsid w:val="25B12B77"/>
    <w:rsid w:val="25B3069D"/>
    <w:rsid w:val="25B439D5"/>
    <w:rsid w:val="25B63FD2"/>
    <w:rsid w:val="25B97089"/>
    <w:rsid w:val="25BA28AD"/>
    <w:rsid w:val="25BA3610"/>
    <w:rsid w:val="25BF34E6"/>
    <w:rsid w:val="25C55B68"/>
    <w:rsid w:val="25C72F98"/>
    <w:rsid w:val="25CD5C03"/>
    <w:rsid w:val="25CE54D7"/>
    <w:rsid w:val="25D36F91"/>
    <w:rsid w:val="25D424CD"/>
    <w:rsid w:val="25D7087A"/>
    <w:rsid w:val="25D725DE"/>
    <w:rsid w:val="25DA0320"/>
    <w:rsid w:val="25DC7BF4"/>
    <w:rsid w:val="25E20BC6"/>
    <w:rsid w:val="25EE4C55"/>
    <w:rsid w:val="25EE7927"/>
    <w:rsid w:val="25F27417"/>
    <w:rsid w:val="25FA62CC"/>
    <w:rsid w:val="25FD5DBC"/>
    <w:rsid w:val="25FF1B34"/>
    <w:rsid w:val="26031625"/>
    <w:rsid w:val="260962C3"/>
    <w:rsid w:val="26105AEF"/>
    <w:rsid w:val="26221B3A"/>
    <w:rsid w:val="26230F52"/>
    <w:rsid w:val="26313096"/>
    <w:rsid w:val="263A2B6C"/>
    <w:rsid w:val="26543C2E"/>
    <w:rsid w:val="26577CD2"/>
    <w:rsid w:val="26591839"/>
    <w:rsid w:val="265C6F87"/>
    <w:rsid w:val="265E5112"/>
    <w:rsid w:val="26625EB7"/>
    <w:rsid w:val="266C3044"/>
    <w:rsid w:val="267800C9"/>
    <w:rsid w:val="26797B39"/>
    <w:rsid w:val="26857A82"/>
    <w:rsid w:val="26865DB2"/>
    <w:rsid w:val="26881B30"/>
    <w:rsid w:val="269C5635"/>
    <w:rsid w:val="26A55390"/>
    <w:rsid w:val="26AC0B28"/>
    <w:rsid w:val="26AE073F"/>
    <w:rsid w:val="26B4291F"/>
    <w:rsid w:val="26B8583B"/>
    <w:rsid w:val="26BE5C77"/>
    <w:rsid w:val="26C64400"/>
    <w:rsid w:val="26C850AD"/>
    <w:rsid w:val="26D134D1"/>
    <w:rsid w:val="26DB0100"/>
    <w:rsid w:val="26DE174A"/>
    <w:rsid w:val="26E10EAE"/>
    <w:rsid w:val="26F15921"/>
    <w:rsid w:val="26F94FC8"/>
    <w:rsid w:val="26FC754D"/>
    <w:rsid w:val="26FE3B9A"/>
    <w:rsid w:val="270311B0"/>
    <w:rsid w:val="27042DFE"/>
    <w:rsid w:val="27050B37"/>
    <w:rsid w:val="27117D71"/>
    <w:rsid w:val="271E248E"/>
    <w:rsid w:val="27206996"/>
    <w:rsid w:val="2722776F"/>
    <w:rsid w:val="272279FF"/>
    <w:rsid w:val="272368F5"/>
    <w:rsid w:val="27262CF7"/>
    <w:rsid w:val="27277595"/>
    <w:rsid w:val="272B7ED2"/>
    <w:rsid w:val="27354FCE"/>
    <w:rsid w:val="27361586"/>
    <w:rsid w:val="273D6578"/>
    <w:rsid w:val="274D0515"/>
    <w:rsid w:val="275859A0"/>
    <w:rsid w:val="275A0439"/>
    <w:rsid w:val="27644D1D"/>
    <w:rsid w:val="276F6846"/>
    <w:rsid w:val="277125BE"/>
    <w:rsid w:val="277167D7"/>
    <w:rsid w:val="27736336"/>
    <w:rsid w:val="277919F8"/>
    <w:rsid w:val="277B343D"/>
    <w:rsid w:val="27845E80"/>
    <w:rsid w:val="27892B16"/>
    <w:rsid w:val="278B7B24"/>
    <w:rsid w:val="27930786"/>
    <w:rsid w:val="27A05D4F"/>
    <w:rsid w:val="27A64A64"/>
    <w:rsid w:val="27AE5F4B"/>
    <w:rsid w:val="27B17280"/>
    <w:rsid w:val="27B22553"/>
    <w:rsid w:val="27CD64A0"/>
    <w:rsid w:val="27CD765E"/>
    <w:rsid w:val="27D070D0"/>
    <w:rsid w:val="27D522F3"/>
    <w:rsid w:val="27D57BA0"/>
    <w:rsid w:val="27D6111F"/>
    <w:rsid w:val="27DF40A6"/>
    <w:rsid w:val="27E05BDB"/>
    <w:rsid w:val="27E34F95"/>
    <w:rsid w:val="27E4002A"/>
    <w:rsid w:val="27E5181C"/>
    <w:rsid w:val="27F36E8A"/>
    <w:rsid w:val="27F714EE"/>
    <w:rsid w:val="27FC3FE7"/>
    <w:rsid w:val="28017DE6"/>
    <w:rsid w:val="280478D6"/>
    <w:rsid w:val="280653FC"/>
    <w:rsid w:val="28094EEC"/>
    <w:rsid w:val="280A408E"/>
    <w:rsid w:val="281333B4"/>
    <w:rsid w:val="28240B7A"/>
    <w:rsid w:val="282671A9"/>
    <w:rsid w:val="28336664"/>
    <w:rsid w:val="283D04C3"/>
    <w:rsid w:val="284B2E0F"/>
    <w:rsid w:val="284B72B3"/>
    <w:rsid w:val="284D6B87"/>
    <w:rsid w:val="285048C9"/>
    <w:rsid w:val="28540164"/>
    <w:rsid w:val="2858552C"/>
    <w:rsid w:val="285C326E"/>
    <w:rsid w:val="28663CBB"/>
    <w:rsid w:val="286D2EB7"/>
    <w:rsid w:val="28722A91"/>
    <w:rsid w:val="287405B8"/>
    <w:rsid w:val="2879266B"/>
    <w:rsid w:val="288527C5"/>
    <w:rsid w:val="288D3427"/>
    <w:rsid w:val="288F53F1"/>
    <w:rsid w:val="2890116A"/>
    <w:rsid w:val="28940C5A"/>
    <w:rsid w:val="2894468D"/>
    <w:rsid w:val="289742A6"/>
    <w:rsid w:val="28980BDC"/>
    <w:rsid w:val="289C5DE6"/>
    <w:rsid w:val="289F5451"/>
    <w:rsid w:val="28A864B3"/>
    <w:rsid w:val="28A95D87"/>
    <w:rsid w:val="28AF1112"/>
    <w:rsid w:val="28B5308F"/>
    <w:rsid w:val="28BE5CD7"/>
    <w:rsid w:val="28C332ED"/>
    <w:rsid w:val="28D15A0A"/>
    <w:rsid w:val="28D42E04"/>
    <w:rsid w:val="28D56B7C"/>
    <w:rsid w:val="28D92DB9"/>
    <w:rsid w:val="28DC58C4"/>
    <w:rsid w:val="28DF1D1C"/>
    <w:rsid w:val="28E4149E"/>
    <w:rsid w:val="28E929B8"/>
    <w:rsid w:val="28EB63A0"/>
    <w:rsid w:val="28ED3EC6"/>
    <w:rsid w:val="28F00706"/>
    <w:rsid w:val="28F2772E"/>
    <w:rsid w:val="28F33BD2"/>
    <w:rsid w:val="28FD6A48"/>
    <w:rsid w:val="29015BC3"/>
    <w:rsid w:val="290556B4"/>
    <w:rsid w:val="29086F52"/>
    <w:rsid w:val="29087613"/>
    <w:rsid w:val="29192F0D"/>
    <w:rsid w:val="29312005"/>
    <w:rsid w:val="293146FB"/>
    <w:rsid w:val="29332371"/>
    <w:rsid w:val="293A3683"/>
    <w:rsid w:val="29453338"/>
    <w:rsid w:val="295959FF"/>
    <w:rsid w:val="296039E3"/>
    <w:rsid w:val="2960729B"/>
    <w:rsid w:val="29625064"/>
    <w:rsid w:val="29687BF4"/>
    <w:rsid w:val="296C2DD1"/>
    <w:rsid w:val="29746395"/>
    <w:rsid w:val="29847D1D"/>
    <w:rsid w:val="29915199"/>
    <w:rsid w:val="299F0B8C"/>
    <w:rsid w:val="29AE292F"/>
    <w:rsid w:val="29B11398"/>
    <w:rsid w:val="29B37588"/>
    <w:rsid w:val="29B82726"/>
    <w:rsid w:val="29B859EE"/>
    <w:rsid w:val="29C36E98"/>
    <w:rsid w:val="29D46E34"/>
    <w:rsid w:val="29D95510"/>
    <w:rsid w:val="29F4303F"/>
    <w:rsid w:val="29F673AC"/>
    <w:rsid w:val="29FD638B"/>
    <w:rsid w:val="2A067935"/>
    <w:rsid w:val="2A092018"/>
    <w:rsid w:val="2A1A518F"/>
    <w:rsid w:val="2A2238F8"/>
    <w:rsid w:val="2A224043"/>
    <w:rsid w:val="2A28197F"/>
    <w:rsid w:val="2A3534D2"/>
    <w:rsid w:val="2A353D77"/>
    <w:rsid w:val="2A3704DA"/>
    <w:rsid w:val="2A3C4980"/>
    <w:rsid w:val="2A3C5105"/>
    <w:rsid w:val="2A4144C9"/>
    <w:rsid w:val="2A4A4417"/>
    <w:rsid w:val="2A4C1771"/>
    <w:rsid w:val="2A4F6767"/>
    <w:rsid w:val="2A5364DD"/>
    <w:rsid w:val="2A557F75"/>
    <w:rsid w:val="2A5F0C10"/>
    <w:rsid w:val="2A662182"/>
    <w:rsid w:val="2A7D74CC"/>
    <w:rsid w:val="2A8C57DF"/>
    <w:rsid w:val="2A903CB0"/>
    <w:rsid w:val="2AA348B7"/>
    <w:rsid w:val="2AA720D9"/>
    <w:rsid w:val="2AAF1A65"/>
    <w:rsid w:val="2AAF55F1"/>
    <w:rsid w:val="2AB0164F"/>
    <w:rsid w:val="2AB062C3"/>
    <w:rsid w:val="2AB51EB1"/>
    <w:rsid w:val="2AB670B6"/>
    <w:rsid w:val="2AB72A98"/>
    <w:rsid w:val="2AB90504"/>
    <w:rsid w:val="2AC450FA"/>
    <w:rsid w:val="2AC61C8E"/>
    <w:rsid w:val="2ACE106F"/>
    <w:rsid w:val="2ACF535F"/>
    <w:rsid w:val="2AE00F03"/>
    <w:rsid w:val="2AE82B97"/>
    <w:rsid w:val="2AED28A3"/>
    <w:rsid w:val="2AFC6642"/>
    <w:rsid w:val="2B012333"/>
    <w:rsid w:val="2B037BB5"/>
    <w:rsid w:val="2B177920"/>
    <w:rsid w:val="2B192F19"/>
    <w:rsid w:val="2B193698"/>
    <w:rsid w:val="2B204A27"/>
    <w:rsid w:val="2B275DB5"/>
    <w:rsid w:val="2B29500D"/>
    <w:rsid w:val="2B2C686F"/>
    <w:rsid w:val="2B2C778D"/>
    <w:rsid w:val="2B3362BD"/>
    <w:rsid w:val="2B344A2B"/>
    <w:rsid w:val="2B3B360F"/>
    <w:rsid w:val="2B4B3FF4"/>
    <w:rsid w:val="2B51698E"/>
    <w:rsid w:val="2B5C4A35"/>
    <w:rsid w:val="2B5E10AB"/>
    <w:rsid w:val="2B6111BC"/>
    <w:rsid w:val="2B6D725E"/>
    <w:rsid w:val="2B726905"/>
    <w:rsid w:val="2B735935"/>
    <w:rsid w:val="2B7B0E55"/>
    <w:rsid w:val="2B8378E0"/>
    <w:rsid w:val="2B8613CE"/>
    <w:rsid w:val="2B8A2A44"/>
    <w:rsid w:val="2B8E4B26"/>
    <w:rsid w:val="2B8F21F0"/>
    <w:rsid w:val="2B8F395A"/>
    <w:rsid w:val="2B916B5A"/>
    <w:rsid w:val="2B946D50"/>
    <w:rsid w:val="2BA016C4"/>
    <w:rsid w:val="2BAC1E16"/>
    <w:rsid w:val="2BAE6890"/>
    <w:rsid w:val="2BB005EE"/>
    <w:rsid w:val="2BBC3B7F"/>
    <w:rsid w:val="2BC532A9"/>
    <w:rsid w:val="2BCE6231"/>
    <w:rsid w:val="2BDC10FF"/>
    <w:rsid w:val="2BE27F2E"/>
    <w:rsid w:val="2BE34303"/>
    <w:rsid w:val="2BE54A9D"/>
    <w:rsid w:val="2BE55328"/>
    <w:rsid w:val="2BEC66B7"/>
    <w:rsid w:val="2BEE6D21"/>
    <w:rsid w:val="2BF119AC"/>
    <w:rsid w:val="2BF91A78"/>
    <w:rsid w:val="2BFF4F65"/>
    <w:rsid w:val="2C033294"/>
    <w:rsid w:val="2C0C4FAB"/>
    <w:rsid w:val="2C0C6D59"/>
    <w:rsid w:val="2C106849"/>
    <w:rsid w:val="2C126937"/>
    <w:rsid w:val="2C231518"/>
    <w:rsid w:val="2C235595"/>
    <w:rsid w:val="2C2726DF"/>
    <w:rsid w:val="2C2B1C60"/>
    <w:rsid w:val="2C334863"/>
    <w:rsid w:val="2C377AC1"/>
    <w:rsid w:val="2C3D3AC9"/>
    <w:rsid w:val="2C4B5AD3"/>
    <w:rsid w:val="2C5014F1"/>
    <w:rsid w:val="2C5030EA"/>
    <w:rsid w:val="2C520ABA"/>
    <w:rsid w:val="2C526E62"/>
    <w:rsid w:val="2C575892"/>
    <w:rsid w:val="2C591B76"/>
    <w:rsid w:val="2C6907A2"/>
    <w:rsid w:val="2C7072E8"/>
    <w:rsid w:val="2C781ABD"/>
    <w:rsid w:val="2C7D37B3"/>
    <w:rsid w:val="2C8B4122"/>
    <w:rsid w:val="2CA1345F"/>
    <w:rsid w:val="2CA95888"/>
    <w:rsid w:val="2CAE7E10"/>
    <w:rsid w:val="2CB03B88"/>
    <w:rsid w:val="2CB335FE"/>
    <w:rsid w:val="2CBA2CC2"/>
    <w:rsid w:val="2CC01D80"/>
    <w:rsid w:val="2CC24F06"/>
    <w:rsid w:val="2CC82C80"/>
    <w:rsid w:val="2CD47E0C"/>
    <w:rsid w:val="2CD812B0"/>
    <w:rsid w:val="2CD95759"/>
    <w:rsid w:val="2CDD35CF"/>
    <w:rsid w:val="2CDF6D6E"/>
    <w:rsid w:val="2CEF215B"/>
    <w:rsid w:val="2D012673"/>
    <w:rsid w:val="2D017400"/>
    <w:rsid w:val="2D0A3299"/>
    <w:rsid w:val="2D0D4B37"/>
    <w:rsid w:val="2D0F08AF"/>
    <w:rsid w:val="2D205BB7"/>
    <w:rsid w:val="2D241B62"/>
    <w:rsid w:val="2D4730D3"/>
    <w:rsid w:val="2D497F94"/>
    <w:rsid w:val="2D4A5D8B"/>
    <w:rsid w:val="2D4B0D1B"/>
    <w:rsid w:val="2D551498"/>
    <w:rsid w:val="2D597D7C"/>
    <w:rsid w:val="2D654973"/>
    <w:rsid w:val="2D666D38"/>
    <w:rsid w:val="2D6B02E7"/>
    <w:rsid w:val="2D6C3F53"/>
    <w:rsid w:val="2D6E40A6"/>
    <w:rsid w:val="2D7141F4"/>
    <w:rsid w:val="2D74205C"/>
    <w:rsid w:val="2D76092E"/>
    <w:rsid w:val="2D766B80"/>
    <w:rsid w:val="2D7F56FD"/>
    <w:rsid w:val="2D811081"/>
    <w:rsid w:val="2D847281"/>
    <w:rsid w:val="2D8654A1"/>
    <w:rsid w:val="2D88240F"/>
    <w:rsid w:val="2D9F106A"/>
    <w:rsid w:val="2DA25926"/>
    <w:rsid w:val="2DA7653E"/>
    <w:rsid w:val="2DAA1B06"/>
    <w:rsid w:val="2DAA40D8"/>
    <w:rsid w:val="2DB11B2B"/>
    <w:rsid w:val="2DB80F46"/>
    <w:rsid w:val="2DBB4352"/>
    <w:rsid w:val="2DC859A1"/>
    <w:rsid w:val="2DCB1889"/>
    <w:rsid w:val="2DD21B9F"/>
    <w:rsid w:val="2DD23BAC"/>
    <w:rsid w:val="2DD35D80"/>
    <w:rsid w:val="2DD36C12"/>
    <w:rsid w:val="2DD815E9"/>
    <w:rsid w:val="2DDD09AD"/>
    <w:rsid w:val="2DEDD77C"/>
    <w:rsid w:val="2DF04B3D"/>
    <w:rsid w:val="2DF61A6F"/>
    <w:rsid w:val="2DFF6B75"/>
    <w:rsid w:val="2E0065CE"/>
    <w:rsid w:val="2E077C93"/>
    <w:rsid w:val="2E204BEF"/>
    <w:rsid w:val="2E217873"/>
    <w:rsid w:val="2E263B66"/>
    <w:rsid w:val="2E277E7A"/>
    <w:rsid w:val="2E2E2FB7"/>
    <w:rsid w:val="2E300356"/>
    <w:rsid w:val="2E3413C6"/>
    <w:rsid w:val="2E354E3E"/>
    <w:rsid w:val="2E3B7332"/>
    <w:rsid w:val="2E4176CE"/>
    <w:rsid w:val="2E485D7D"/>
    <w:rsid w:val="2E53443E"/>
    <w:rsid w:val="2E580034"/>
    <w:rsid w:val="2E593A13"/>
    <w:rsid w:val="2E5B7B24"/>
    <w:rsid w:val="2E620224"/>
    <w:rsid w:val="2E627104"/>
    <w:rsid w:val="2E6C5AAD"/>
    <w:rsid w:val="2E6D7F83"/>
    <w:rsid w:val="2E7330BF"/>
    <w:rsid w:val="2E763918"/>
    <w:rsid w:val="2E825366"/>
    <w:rsid w:val="2E8A24CD"/>
    <w:rsid w:val="2E903C71"/>
    <w:rsid w:val="2E921785"/>
    <w:rsid w:val="2E9372BE"/>
    <w:rsid w:val="2E976DAE"/>
    <w:rsid w:val="2E9A77AF"/>
    <w:rsid w:val="2EA7310E"/>
    <w:rsid w:val="2EA83663"/>
    <w:rsid w:val="2EAB387A"/>
    <w:rsid w:val="2EBC05C2"/>
    <w:rsid w:val="2EC52085"/>
    <w:rsid w:val="2EC52D69"/>
    <w:rsid w:val="2EC658E5"/>
    <w:rsid w:val="2EC67693"/>
    <w:rsid w:val="2EC87765"/>
    <w:rsid w:val="2ECB4CA9"/>
    <w:rsid w:val="2ECB4FE2"/>
    <w:rsid w:val="2ECF07FE"/>
    <w:rsid w:val="2ED7364E"/>
    <w:rsid w:val="2EE10029"/>
    <w:rsid w:val="2EE81E5B"/>
    <w:rsid w:val="2EF05A04"/>
    <w:rsid w:val="2EF9007F"/>
    <w:rsid w:val="2EFC1390"/>
    <w:rsid w:val="2F000DF7"/>
    <w:rsid w:val="2F0C35AE"/>
    <w:rsid w:val="2F0E5ECE"/>
    <w:rsid w:val="2F120B2A"/>
    <w:rsid w:val="2F177EEF"/>
    <w:rsid w:val="2F1B08DB"/>
    <w:rsid w:val="2F1F6DA3"/>
    <w:rsid w:val="2F2D14C0"/>
    <w:rsid w:val="2F2F55AF"/>
    <w:rsid w:val="2F45118A"/>
    <w:rsid w:val="2F4773E5"/>
    <w:rsid w:val="2F4A4EE0"/>
    <w:rsid w:val="2F570024"/>
    <w:rsid w:val="2F570B40"/>
    <w:rsid w:val="2F57653D"/>
    <w:rsid w:val="2F594B25"/>
    <w:rsid w:val="2F595531"/>
    <w:rsid w:val="2F601896"/>
    <w:rsid w:val="2F640AC9"/>
    <w:rsid w:val="2F693540"/>
    <w:rsid w:val="2F6D3FB3"/>
    <w:rsid w:val="2F6D5D61"/>
    <w:rsid w:val="2F6F7878"/>
    <w:rsid w:val="2F7075FF"/>
    <w:rsid w:val="2F730857"/>
    <w:rsid w:val="2F7E1D1C"/>
    <w:rsid w:val="2F8F5946"/>
    <w:rsid w:val="2F920F9E"/>
    <w:rsid w:val="2F9669C2"/>
    <w:rsid w:val="2FAC6B25"/>
    <w:rsid w:val="2FAF78CE"/>
    <w:rsid w:val="2FB965CA"/>
    <w:rsid w:val="2FCC0CD9"/>
    <w:rsid w:val="2FCD4A51"/>
    <w:rsid w:val="2FD430BA"/>
    <w:rsid w:val="2FDB0F1C"/>
    <w:rsid w:val="2FDE6C5E"/>
    <w:rsid w:val="2FE51C60"/>
    <w:rsid w:val="2FE7755C"/>
    <w:rsid w:val="2FE778C1"/>
    <w:rsid w:val="2FEA115F"/>
    <w:rsid w:val="2FEC3129"/>
    <w:rsid w:val="2FF67B04"/>
    <w:rsid w:val="2FF904AC"/>
    <w:rsid w:val="2FFA6DF5"/>
    <w:rsid w:val="2FFE090E"/>
    <w:rsid w:val="300246FB"/>
    <w:rsid w:val="300E24C9"/>
    <w:rsid w:val="30190DFD"/>
    <w:rsid w:val="301B57BD"/>
    <w:rsid w:val="301D32E3"/>
    <w:rsid w:val="301F601F"/>
    <w:rsid w:val="30261DE9"/>
    <w:rsid w:val="30420F9B"/>
    <w:rsid w:val="3049232A"/>
    <w:rsid w:val="304D1595"/>
    <w:rsid w:val="304E7CB0"/>
    <w:rsid w:val="30536D05"/>
    <w:rsid w:val="30562A38"/>
    <w:rsid w:val="305F7D9F"/>
    <w:rsid w:val="306233EC"/>
    <w:rsid w:val="3066300C"/>
    <w:rsid w:val="30676C54"/>
    <w:rsid w:val="306B115D"/>
    <w:rsid w:val="306F34BD"/>
    <w:rsid w:val="306F6B65"/>
    <w:rsid w:val="30760C45"/>
    <w:rsid w:val="30847806"/>
    <w:rsid w:val="3086532C"/>
    <w:rsid w:val="308B22B5"/>
    <w:rsid w:val="3091782D"/>
    <w:rsid w:val="30944FF9"/>
    <w:rsid w:val="30987C52"/>
    <w:rsid w:val="30A43A04"/>
    <w:rsid w:val="30A62585"/>
    <w:rsid w:val="30A82846"/>
    <w:rsid w:val="30A9768F"/>
    <w:rsid w:val="30AB1586"/>
    <w:rsid w:val="30AB1A5E"/>
    <w:rsid w:val="30AD0B0B"/>
    <w:rsid w:val="30B04157"/>
    <w:rsid w:val="30B17964"/>
    <w:rsid w:val="30B8125D"/>
    <w:rsid w:val="30B93464"/>
    <w:rsid w:val="30BF083E"/>
    <w:rsid w:val="30D034A2"/>
    <w:rsid w:val="30E24E48"/>
    <w:rsid w:val="30E9688F"/>
    <w:rsid w:val="30F55EC1"/>
    <w:rsid w:val="30FF0C3A"/>
    <w:rsid w:val="30FF50DE"/>
    <w:rsid w:val="31020EF0"/>
    <w:rsid w:val="310532C2"/>
    <w:rsid w:val="3116114F"/>
    <w:rsid w:val="311961A0"/>
    <w:rsid w:val="311C64BD"/>
    <w:rsid w:val="311C67FF"/>
    <w:rsid w:val="311E37B6"/>
    <w:rsid w:val="311E5564"/>
    <w:rsid w:val="31277BD3"/>
    <w:rsid w:val="312863E3"/>
    <w:rsid w:val="31305298"/>
    <w:rsid w:val="31351D5F"/>
    <w:rsid w:val="313A6116"/>
    <w:rsid w:val="313C1E8F"/>
    <w:rsid w:val="313F372D"/>
    <w:rsid w:val="314239BA"/>
    <w:rsid w:val="31436D79"/>
    <w:rsid w:val="31556AAC"/>
    <w:rsid w:val="31602DEA"/>
    <w:rsid w:val="31650EAE"/>
    <w:rsid w:val="316513E5"/>
    <w:rsid w:val="31694DC5"/>
    <w:rsid w:val="316A1E7D"/>
    <w:rsid w:val="31705EE7"/>
    <w:rsid w:val="31853836"/>
    <w:rsid w:val="31857392"/>
    <w:rsid w:val="31877F1B"/>
    <w:rsid w:val="318B24CE"/>
    <w:rsid w:val="31921AAF"/>
    <w:rsid w:val="31975317"/>
    <w:rsid w:val="319D1C3B"/>
    <w:rsid w:val="31A16195"/>
    <w:rsid w:val="31A36B64"/>
    <w:rsid w:val="31A70F2E"/>
    <w:rsid w:val="31A7168E"/>
    <w:rsid w:val="31A765F5"/>
    <w:rsid w:val="31AF08B2"/>
    <w:rsid w:val="31B13D0E"/>
    <w:rsid w:val="31B71515"/>
    <w:rsid w:val="31C205E6"/>
    <w:rsid w:val="31CA3FFA"/>
    <w:rsid w:val="31CA4B31"/>
    <w:rsid w:val="31CC4000"/>
    <w:rsid w:val="31CF3CF6"/>
    <w:rsid w:val="31D04385"/>
    <w:rsid w:val="31DB09AB"/>
    <w:rsid w:val="31DF2096"/>
    <w:rsid w:val="31E0281A"/>
    <w:rsid w:val="31E02EF6"/>
    <w:rsid w:val="31E53335"/>
    <w:rsid w:val="31E77834"/>
    <w:rsid w:val="31EA3699"/>
    <w:rsid w:val="31F167D5"/>
    <w:rsid w:val="31F31802"/>
    <w:rsid w:val="31F943F2"/>
    <w:rsid w:val="32081D71"/>
    <w:rsid w:val="320F30FF"/>
    <w:rsid w:val="3210751C"/>
    <w:rsid w:val="32252D1E"/>
    <w:rsid w:val="32270449"/>
    <w:rsid w:val="322A618B"/>
    <w:rsid w:val="323136BD"/>
    <w:rsid w:val="323668DE"/>
    <w:rsid w:val="3239017C"/>
    <w:rsid w:val="323963CE"/>
    <w:rsid w:val="323B0398"/>
    <w:rsid w:val="323D5EBE"/>
    <w:rsid w:val="32417CB4"/>
    <w:rsid w:val="32442198"/>
    <w:rsid w:val="32456B21"/>
    <w:rsid w:val="325925CC"/>
    <w:rsid w:val="325F136A"/>
    <w:rsid w:val="325F5E39"/>
    <w:rsid w:val="32627314"/>
    <w:rsid w:val="32655415"/>
    <w:rsid w:val="32710AE6"/>
    <w:rsid w:val="32785148"/>
    <w:rsid w:val="327A0EC0"/>
    <w:rsid w:val="327B181C"/>
    <w:rsid w:val="327D275F"/>
    <w:rsid w:val="328A09D8"/>
    <w:rsid w:val="328B2DE8"/>
    <w:rsid w:val="329C7B7B"/>
    <w:rsid w:val="32AB5AC6"/>
    <w:rsid w:val="32AE7C54"/>
    <w:rsid w:val="32BD6FFF"/>
    <w:rsid w:val="32C043F9"/>
    <w:rsid w:val="32D74B5F"/>
    <w:rsid w:val="32E15616"/>
    <w:rsid w:val="32E60304"/>
    <w:rsid w:val="32EA1D95"/>
    <w:rsid w:val="32EE65C5"/>
    <w:rsid w:val="32F036B4"/>
    <w:rsid w:val="32F80037"/>
    <w:rsid w:val="32FC7B27"/>
    <w:rsid w:val="33064502"/>
    <w:rsid w:val="331210F9"/>
    <w:rsid w:val="33122EA7"/>
    <w:rsid w:val="331473FF"/>
    <w:rsid w:val="33150BE9"/>
    <w:rsid w:val="331704BD"/>
    <w:rsid w:val="33196C24"/>
    <w:rsid w:val="33230261"/>
    <w:rsid w:val="332350B4"/>
    <w:rsid w:val="33301130"/>
    <w:rsid w:val="3337030F"/>
    <w:rsid w:val="3337290D"/>
    <w:rsid w:val="333A4D44"/>
    <w:rsid w:val="334119DE"/>
    <w:rsid w:val="334E5DC6"/>
    <w:rsid w:val="3352118A"/>
    <w:rsid w:val="33550FE6"/>
    <w:rsid w:val="335602FC"/>
    <w:rsid w:val="335A2AA0"/>
    <w:rsid w:val="335E1ACB"/>
    <w:rsid w:val="33632873"/>
    <w:rsid w:val="336372A0"/>
    <w:rsid w:val="336819E3"/>
    <w:rsid w:val="33696AEA"/>
    <w:rsid w:val="336D27D3"/>
    <w:rsid w:val="336F654B"/>
    <w:rsid w:val="337B7169"/>
    <w:rsid w:val="337E3FFB"/>
    <w:rsid w:val="33892417"/>
    <w:rsid w:val="3393505B"/>
    <w:rsid w:val="33A100AA"/>
    <w:rsid w:val="33A1247D"/>
    <w:rsid w:val="33A55B75"/>
    <w:rsid w:val="33AA1331"/>
    <w:rsid w:val="33AC346D"/>
    <w:rsid w:val="33AD0C6F"/>
    <w:rsid w:val="33AD0E22"/>
    <w:rsid w:val="33AE6EFE"/>
    <w:rsid w:val="33BA369E"/>
    <w:rsid w:val="33CD6DCE"/>
    <w:rsid w:val="33D04B10"/>
    <w:rsid w:val="33DE722D"/>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56C0A"/>
    <w:rsid w:val="342D5ABF"/>
    <w:rsid w:val="34362BC5"/>
    <w:rsid w:val="344254CB"/>
    <w:rsid w:val="34535D1B"/>
    <w:rsid w:val="34582047"/>
    <w:rsid w:val="34621C0C"/>
    <w:rsid w:val="346258FD"/>
    <w:rsid w:val="346C65E7"/>
    <w:rsid w:val="346D6A14"/>
    <w:rsid w:val="34732836"/>
    <w:rsid w:val="34735BC7"/>
    <w:rsid w:val="34741917"/>
    <w:rsid w:val="34761214"/>
    <w:rsid w:val="347B137B"/>
    <w:rsid w:val="347C419D"/>
    <w:rsid w:val="347D6A46"/>
    <w:rsid w:val="348214A6"/>
    <w:rsid w:val="34823063"/>
    <w:rsid w:val="34863867"/>
    <w:rsid w:val="348D1F9A"/>
    <w:rsid w:val="34A50280"/>
    <w:rsid w:val="34AB5591"/>
    <w:rsid w:val="34B15A2E"/>
    <w:rsid w:val="34B61205"/>
    <w:rsid w:val="34BA1A48"/>
    <w:rsid w:val="34BF0E0C"/>
    <w:rsid w:val="34C16318"/>
    <w:rsid w:val="34C5335C"/>
    <w:rsid w:val="34CF1DAC"/>
    <w:rsid w:val="34D10B40"/>
    <w:rsid w:val="34DD74E5"/>
    <w:rsid w:val="34EE16F2"/>
    <w:rsid w:val="34F10F51"/>
    <w:rsid w:val="34F23AD3"/>
    <w:rsid w:val="34FE2963"/>
    <w:rsid w:val="35042533"/>
    <w:rsid w:val="35092088"/>
    <w:rsid w:val="35111896"/>
    <w:rsid w:val="351138D5"/>
    <w:rsid w:val="351275CF"/>
    <w:rsid w:val="351A7555"/>
    <w:rsid w:val="351D29EB"/>
    <w:rsid w:val="35230286"/>
    <w:rsid w:val="35262E10"/>
    <w:rsid w:val="352B0250"/>
    <w:rsid w:val="352C329C"/>
    <w:rsid w:val="3538296D"/>
    <w:rsid w:val="353A3CDC"/>
    <w:rsid w:val="353A4937"/>
    <w:rsid w:val="353D2B19"/>
    <w:rsid w:val="35405374"/>
    <w:rsid w:val="3546508A"/>
    <w:rsid w:val="354721FC"/>
    <w:rsid w:val="35507CB7"/>
    <w:rsid w:val="35527ED3"/>
    <w:rsid w:val="355827D3"/>
    <w:rsid w:val="35584DBD"/>
    <w:rsid w:val="355902E2"/>
    <w:rsid w:val="355A0B35"/>
    <w:rsid w:val="35676CEF"/>
    <w:rsid w:val="356B7E6A"/>
    <w:rsid w:val="35832670"/>
    <w:rsid w:val="3583298C"/>
    <w:rsid w:val="35847960"/>
    <w:rsid w:val="359E4EC6"/>
    <w:rsid w:val="359F39D4"/>
    <w:rsid w:val="35A57B52"/>
    <w:rsid w:val="35A65B28"/>
    <w:rsid w:val="35A77DEC"/>
    <w:rsid w:val="35AB75E3"/>
    <w:rsid w:val="35AF428F"/>
    <w:rsid w:val="35B86D60"/>
    <w:rsid w:val="35BF6BEA"/>
    <w:rsid w:val="35CB6B83"/>
    <w:rsid w:val="35CE4807"/>
    <w:rsid w:val="35D07B67"/>
    <w:rsid w:val="35D77D86"/>
    <w:rsid w:val="35DC6B72"/>
    <w:rsid w:val="35DF3832"/>
    <w:rsid w:val="35E33EF8"/>
    <w:rsid w:val="35E46651"/>
    <w:rsid w:val="35E77E4F"/>
    <w:rsid w:val="35EA0A28"/>
    <w:rsid w:val="35EB79DF"/>
    <w:rsid w:val="35F42120"/>
    <w:rsid w:val="35F66AB0"/>
    <w:rsid w:val="35FC1BEC"/>
    <w:rsid w:val="35FC399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3E2205"/>
    <w:rsid w:val="364165D0"/>
    <w:rsid w:val="364671D3"/>
    <w:rsid w:val="365732C7"/>
    <w:rsid w:val="367D0F7F"/>
    <w:rsid w:val="367D6E01"/>
    <w:rsid w:val="368220F2"/>
    <w:rsid w:val="36835E6A"/>
    <w:rsid w:val="36883480"/>
    <w:rsid w:val="368A544A"/>
    <w:rsid w:val="368D4E24"/>
    <w:rsid w:val="36A04C6E"/>
    <w:rsid w:val="36A225C5"/>
    <w:rsid w:val="36AC3612"/>
    <w:rsid w:val="36AF0874"/>
    <w:rsid w:val="36B13C9C"/>
    <w:rsid w:val="36B65C3C"/>
    <w:rsid w:val="36B83D65"/>
    <w:rsid w:val="36BB4DA2"/>
    <w:rsid w:val="36BC0EA5"/>
    <w:rsid w:val="36BD75CE"/>
    <w:rsid w:val="36CD22AA"/>
    <w:rsid w:val="36D16B63"/>
    <w:rsid w:val="36D22AC4"/>
    <w:rsid w:val="36D35D0D"/>
    <w:rsid w:val="36D6068F"/>
    <w:rsid w:val="36DA1F2E"/>
    <w:rsid w:val="36E006C5"/>
    <w:rsid w:val="36E0150E"/>
    <w:rsid w:val="36E0506A"/>
    <w:rsid w:val="36E61590"/>
    <w:rsid w:val="36F10B70"/>
    <w:rsid w:val="36F81861"/>
    <w:rsid w:val="37074CED"/>
    <w:rsid w:val="370C07C0"/>
    <w:rsid w:val="37116D42"/>
    <w:rsid w:val="37180CA8"/>
    <w:rsid w:val="37215DAE"/>
    <w:rsid w:val="372572D3"/>
    <w:rsid w:val="372A7860"/>
    <w:rsid w:val="372E4027"/>
    <w:rsid w:val="37314DB7"/>
    <w:rsid w:val="3734577F"/>
    <w:rsid w:val="373732D2"/>
    <w:rsid w:val="373A0C1E"/>
    <w:rsid w:val="373D432A"/>
    <w:rsid w:val="37421C4F"/>
    <w:rsid w:val="37425D25"/>
    <w:rsid w:val="374C26CA"/>
    <w:rsid w:val="375B2943"/>
    <w:rsid w:val="375F041E"/>
    <w:rsid w:val="37624BA8"/>
    <w:rsid w:val="37702892"/>
    <w:rsid w:val="37757EA8"/>
    <w:rsid w:val="377D0B0B"/>
    <w:rsid w:val="37825AA8"/>
    <w:rsid w:val="379245B6"/>
    <w:rsid w:val="37954E2F"/>
    <w:rsid w:val="37A20571"/>
    <w:rsid w:val="37AD13F0"/>
    <w:rsid w:val="37AE6F16"/>
    <w:rsid w:val="37AE71C3"/>
    <w:rsid w:val="37B6137A"/>
    <w:rsid w:val="37B7226F"/>
    <w:rsid w:val="37B73322"/>
    <w:rsid w:val="37B747BB"/>
    <w:rsid w:val="37C624B2"/>
    <w:rsid w:val="37CE7E2C"/>
    <w:rsid w:val="37CF2114"/>
    <w:rsid w:val="37D74FE0"/>
    <w:rsid w:val="37E82428"/>
    <w:rsid w:val="37ED5C91"/>
    <w:rsid w:val="37F21C57"/>
    <w:rsid w:val="37F772FC"/>
    <w:rsid w:val="38011815"/>
    <w:rsid w:val="38044D88"/>
    <w:rsid w:val="380A30F5"/>
    <w:rsid w:val="380B69DF"/>
    <w:rsid w:val="38140CB7"/>
    <w:rsid w:val="3818066F"/>
    <w:rsid w:val="38190C12"/>
    <w:rsid w:val="381A3528"/>
    <w:rsid w:val="381A4E20"/>
    <w:rsid w:val="382764DF"/>
    <w:rsid w:val="382C6A40"/>
    <w:rsid w:val="382F44FB"/>
    <w:rsid w:val="382F62A9"/>
    <w:rsid w:val="3834566E"/>
    <w:rsid w:val="383C5906"/>
    <w:rsid w:val="38412005"/>
    <w:rsid w:val="3843483E"/>
    <w:rsid w:val="384635F3"/>
    <w:rsid w:val="38543F62"/>
    <w:rsid w:val="385C26A0"/>
    <w:rsid w:val="38606463"/>
    <w:rsid w:val="38613F89"/>
    <w:rsid w:val="38653A79"/>
    <w:rsid w:val="386540D4"/>
    <w:rsid w:val="38675A43"/>
    <w:rsid w:val="38691813"/>
    <w:rsid w:val="386B1C84"/>
    <w:rsid w:val="386B544F"/>
    <w:rsid w:val="386D5023"/>
    <w:rsid w:val="387241DF"/>
    <w:rsid w:val="38776449"/>
    <w:rsid w:val="387802D1"/>
    <w:rsid w:val="3885236D"/>
    <w:rsid w:val="388815A4"/>
    <w:rsid w:val="388D3CBA"/>
    <w:rsid w:val="388E7474"/>
    <w:rsid w:val="389C3213"/>
    <w:rsid w:val="38A00F55"/>
    <w:rsid w:val="38A65E3F"/>
    <w:rsid w:val="38B01D9A"/>
    <w:rsid w:val="38B21F68"/>
    <w:rsid w:val="38C04C49"/>
    <w:rsid w:val="38C369F1"/>
    <w:rsid w:val="38C42E95"/>
    <w:rsid w:val="38CF0D23"/>
    <w:rsid w:val="38D21249"/>
    <w:rsid w:val="38D75AB2"/>
    <w:rsid w:val="38D94467"/>
    <w:rsid w:val="38E31C93"/>
    <w:rsid w:val="38E35E11"/>
    <w:rsid w:val="38F31085"/>
    <w:rsid w:val="38F512A1"/>
    <w:rsid w:val="38F848ED"/>
    <w:rsid w:val="3905700A"/>
    <w:rsid w:val="3906101F"/>
    <w:rsid w:val="39092E0A"/>
    <w:rsid w:val="390E5EBF"/>
    <w:rsid w:val="39162FC5"/>
    <w:rsid w:val="39221A5F"/>
    <w:rsid w:val="3927464D"/>
    <w:rsid w:val="392A6A70"/>
    <w:rsid w:val="39396CB4"/>
    <w:rsid w:val="395064D7"/>
    <w:rsid w:val="39513FFD"/>
    <w:rsid w:val="39581582"/>
    <w:rsid w:val="395D0BF4"/>
    <w:rsid w:val="3962620A"/>
    <w:rsid w:val="396401D4"/>
    <w:rsid w:val="39646C55"/>
    <w:rsid w:val="39676EA5"/>
    <w:rsid w:val="397274A7"/>
    <w:rsid w:val="39763A64"/>
    <w:rsid w:val="397B72CC"/>
    <w:rsid w:val="397C0ED4"/>
    <w:rsid w:val="39831C60"/>
    <w:rsid w:val="398518F2"/>
    <w:rsid w:val="39870D17"/>
    <w:rsid w:val="398879CF"/>
    <w:rsid w:val="3989775B"/>
    <w:rsid w:val="39993D83"/>
    <w:rsid w:val="39A71E6F"/>
    <w:rsid w:val="39B414EE"/>
    <w:rsid w:val="39B527DE"/>
    <w:rsid w:val="39BA3CAC"/>
    <w:rsid w:val="39BA4298"/>
    <w:rsid w:val="39CA0222"/>
    <w:rsid w:val="39D1036D"/>
    <w:rsid w:val="39D1578E"/>
    <w:rsid w:val="39DC4084"/>
    <w:rsid w:val="39DC7D6B"/>
    <w:rsid w:val="39DD2AE2"/>
    <w:rsid w:val="39E74223"/>
    <w:rsid w:val="39ED01CA"/>
    <w:rsid w:val="39ED0DB9"/>
    <w:rsid w:val="39FD5F33"/>
    <w:rsid w:val="3A00576A"/>
    <w:rsid w:val="3A045513"/>
    <w:rsid w:val="3A06134D"/>
    <w:rsid w:val="3A12378C"/>
    <w:rsid w:val="3A15327D"/>
    <w:rsid w:val="3A166389"/>
    <w:rsid w:val="3A1936CB"/>
    <w:rsid w:val="3A282FB0"/>
    <w:rsid w:val="3A2A31CC"/>
    <w:rsid w:val="3A2B7996"/>
    <w:rsid w:val="3A330B56"/>
    <w:rsid w:val="3A4122C4"/>
    <w:rsid w:val="3A476BFD"/>
    <w:rsid w:val="3A476E05"/>
    <w:rsid w:val="3A4D1D3F"/>
    <w:rsid w:val="3A5A3BC6"/>
    <w:rsid w:val="3A5F274A"/>
    <w:rsid w:val="3A686A7E"/>
    <w:rsid w:val="3A6F3410"/>
    <w:rsid w:val="3A727F87"/>
    <w:rsid w:val="3A76122C"/>
    <w:rsid w:val="3A7626D5"/>
    <w:rsid w:val="3A77477F"/>
    <w:rsid w:val="3A777A93"/>
    <w:rsid w:val="3A8328DC"/>
    <w:rsid w:val="3A836438"/>
    <w:rsid w:val="3A853CFC"/>
    <w:rsid w:val="3A887EF3"/>
    <w:rsid w:val="3A922B1F"/>
    <w:rsid w:val="3A9643BE"/>
    <w:rsid w:val="3A992100"/>
    <w:rsid w:val="3A9B586C"/>
    <w:rsid w:val="3A9C399E"/>
    <w:rsid w:val="3A9E55CB"/>
    <w:rsid w:val="3AA10350"/>
    <w:rsid w:val="3AA12D62"/>
    <w:rsid w:val="3AA30888"/>
    <w:rsid w:val="3AAA1C17"/>
    <w:rsid w:val="3AB97A67"/>
    <w:rsid w:val="3ABF2659"/>
    <w:rsid w:val="3AC05766"/>
    <w:rsid w:val="3AC27F71"/>
    <w:rsid w:val="3AC54698"/>
    <w:rsid w:val="3AC70A1B"/>
    <w:rsid w:val="3AC84793"/>
    <w:rsid w:val="3ACC7DDF"/>
    <w:rsid w:val="3ADF57BD"/>
    <w:rsid w:val="3AEA64B7"/>
    <w:rsid w:val="3AEE244B"/>
    <w:rsid w:val="3AF3358A"/>
    <w:rsid w:val="3AFB06C4"/>
    <w:rsid w:val="3B084B8F"/>
    <w:rsid w:val="3B0B2724"/>
    <w:rsid w:val="3B0E42A9"/>
    <w:rsid w:val="3B101CF1"/>
    <w:rsid w:val="3B196D9D"/>
    <w:rsid w:val="3B1B01D6"/>
    <w:rsid w:val="3B225C51"/>
    <w:rsid w:val="3B2C4D22"/>
    <w:rsid w:val="3B3A631B"/>
    <w:rsid w:val="3B3D2C57"/>
    <w:rsid w:val="3B3F449C"/>
    <w:rsid w:val="3B4B0D42"/>
    <w:rsid w:val="3B4E0C94"/>
    <w:rsid w:val="3B583526"/>
    <w:rsid w:val="3B5D325E"/>
    <w:rsid w:val="3B6444BC"/>
    <w:rsid w:val="3B66527F"/>
    <w:rsid w:val="3B693880"/>
    <w:rsid w:val="3B7F4E52"/>
    <w:rsid w:val="3B822B94"/>
    <w:rsid w:val="3B8D00BE"/>
    <w:rsid w:val="3B8E17F9"/>
    <w:rsid w:val="3B96663F"/>
    <w:rsid w:val="3B985F13"/>
    <w:rsid w:val="3B9878E7"/>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8119C"/>
    <w:rsid w:val="3C0417FB"/>
    <w:rsid w:val="3C047A4D"/>
    <w:rsid w:val="3C070B8D"/>
    <w:rsid w:val="3C0802CE"/>
    <w:rsid w:val="3C0D1174"/>
    <w:rsid w:val="3C0E2679"/>
    <w:rsid w:val="3C0E4427"/>
    <w:rsid w:val="3C101EF8"/>
    <w:rsid w:val="3C1A2C1F"/>
    <w:rsid w:val="3C291261"/>
    <w:rsid w:val="3C29483E"/>
    <w:rsid w:val="3C355E58"/>
    <w:rsid w:val="3C395396"/>
    <w:rsid w:val="3C3B0AF7"/>
    <w:rsid w:val="3C406CD7"/>
    <w:rsid w:val="3C4340D1"/>
    <w:rsid w:val="3C4D4F50"/>
    <w:rsid w:val="3C4E6795"/>
    <w:rsid w:val="3C56625B"/>
    <w:rsid w:val="3C65056D"/>
    <w:rsid w:val="3C65139C"/>
    <w:rsid w:val="3C6E4EC6"/>
    <w:rsid w:val="3C794497"/>
    <w:rsid w:val="3C797AF3"/>
    <w:rsid w:val="3C7B6540"/>
    <w:rsid w:val="3C834E15"/>
    <w:rsid w:val="3C86610F"/>
    <w:rsid w:val="3C8666B4"/>
    <w:rsid w:val="3C923AA1"/>
    <w:rsid w:val="3C940547"/>
    <w:rsid w:val="3C9568F7"/>
    <w:rsid w:val="3CA408E8"/>
    <w:rsid w:val="3CA52FDE"/>
    <w:rsid w:val="3CA8662A"/>
    <w:rsid w:val="3CB3037C"/>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B5180"/>
    <w:rsid w:val="3D0B6828"/>
    <w:rsid w:val="3D0E0B83"/>
    <w:rsid w:val="3D163594"/>
    <w:rsid w:val="3D1729DA"/>
    <w:rsid w:val="3D1837B0"/>
    <w:rsid w:val="3D1B607F"/>
    <w:rsid w:val="3D242F26"/>
    <w:rsid w:val="3D315477"/>
    <w:rsid w:val="3D3404E4"/>
    <w:rsid w:val="3D4103E4"/>
    <w:rsid w:val="3D4F2F6F"/>
    <w:rsid w:val="3D4F538F"/>
    <w:rsid w:val="3D574DF0"/>
    <w:rsid w:val="3D5B111A"/>
    <w:rsid w:val="3D6D0770"/>
    <w:rsid w:val="3D7529B0"/>
    <w:rsid w:val="3D7824A0"/>
    <w:rsid w:val="3D842AB7"/>
    <w:rsid w:val="3D873749"/>
    <w:rsid w:val="3D891FB8"/>
    <w:rsid w:val="3D8E52AA"/>
    <w:rsid w:val="3D917A02"/>
    <w:rsid w:val="3D934BE4"/>
    <w:rsid w:val="3D9372DA"/>
    <w:rsid w:val="3D9F78E8"/>
    <w:rsid w:val="3DA6700D"/>
    <w:rsid w:val="3DAF5796"/>
    <w:rsid w:val="3DB15560"/>
    <w:rsid w:val="3DB42DAD"/>
    <w:rsid w:val="3DBA6615"/>
    <w:rsid w:val="3DC94978"/>
    <w:rsid w:val="3DCE49C4"/>
    <w:rsid w:val="3DD671C7"/>
    <w:rsid w:val="3DDD4C72"/>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735B"/>
    <w:rsid w:val="3E1C6301"/>
    <w:rsid w:val="3E247F32"/>
    <w:rsid w:val="3E2579B5"/>
    <w:rsid w:val="3E306B73"/>
    <w:rsid w:val="3E33483D"/>
    <w:rsid w:val="3E361BB6"/>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B5A1B"/>
    <w:rsid w:val="3E704F26"/>
    <w:rsid w:val="3E790570"/>
    <w:rsid w:val="3E7964D0"/>
    <w:rsid w:val="3E8567C1"/>
    <w:rsid w:val="3E8D48FA"/>
    <w:rsid w:val="3E9055C8"/>
    <w:rsid w:val="3E9949B0"/>
    <w:rsid w:val="3E9D053F"/>
    <w:rsid w:val="3EA01CAF"/>
    <w:rsid w:val="3EA60687"/>
    <w:rsid w:val="3EAD1CD6"/>
    <w:rsid w:val="3EAF73F5"/>
    <w:rsid w:val="3EB37B0C"/>
    <w:rsid w:val="3EC62D97"/>
    <w:rsid w:val="3EC87D98"/>
    <w:rsid w:val="3EC924E2"/>
    <w:rsid w:val="3ECB79D6"/>
    <w:rsid w:val="3ED43706"/>
    <w:rsid w:val="3ED834A3"/>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C3542"/>
    <w:rsid w:val="3F360DD8"/>
    <w:rsid w:val="3F3C2875"/>
    <w:rsid w:val="3F4168C2"/>
    <w:rsid w:val="3F43088C"/>
    <w:rsid w:val="3F4A39D4"/>
    <w:rsid w:val="3F4E11BA"/>
    <w:rsid w:val="3F52287D"/>
    <w:rsid w:val="3F532126"/>
    <w:rsid w:val="3F535C5C"/>
    <w:rsid w:val="3F584337"/>
    <w:rsid w:val="3F59020D"/>
    <w:rsid w:val="3F5E56C6"/>
    <w:rsid w:val="3F6324C8"/>
    <w:rsid w:val="3F636838"/>
    <w:rsid w:val="3F6668EF"/>
    <w:rsid w:val="3F770427"/>
    <w:rsid w:val="3F795547"/>
    <w:rsid w:val="3F9678E8"/>
    <w:rsid w:val="3F9A4950"/>
    <w:rsid w:val="3F9B2DCE"/>
    <w:rsid w:val="3FA255B3"/>
    <w:rsid w:val="3FA37043"/>
    <w:rsid w:val="3FA4132B"/>
    <w:rsid w:val="3FA56C74"/>
    <w:rsid w:val="3FAF4029"/>
    <w:rsid w:val="3FB24FAB"/>
    <w:rsid w:val="3FB94E95"/>
    <w:rsid w:val="3FC56627"/>
    <w:rsid w:val="3FE45BCB"/>
    <w:rsid w:val="3FF004C9"/>
    <w:rsid w:val="3FFA0F4B"/>
    <w:rsid w:val="3FFE3893"/>
    <w:rsid w:val="40026051"/>
    <w:rsid w:val="4010076E"/>
    <w:rsid w:val="4021297B"/>
    <w:rsid w:val="40324FDC"/>
    <w:rsid w:val="40364F60"/>
    <w:rsid w:val="40381640"/>
    <w:rsid w:val="40396812"/>
    <w:rsid w:val="403C539B"/>
    <w:rsid w:val="4041567A"/>
    <w:rsid w:val="40464190"/>
    <w:rsid w:val="404F5C36"/>
    <w:rsid w:val="40503261"/>
    <w:rsid w:val="40520EC7"/>
    <w:rsid w:val="4061721C"/>
    <w:rsid w:val="406960D0"/>
    <w:rsid w:val="40771090"/>
    <w:rsid w:val="40866C82"/>
    <w:rsid w:val="408C3EDA"/>
    <w:rsid w:val="4093314D"/>
    <w:rsid w:val="40A9471F"/>
    <w:rsid w:val="40B43E6A"/>
    <w:rsid w:val="40B90E06"/>
    <w:rsid w:val="40BE641C"/>
    <w:rsid w:val="40C854ED"/>
    <w:rsid w:val="40D03A0C"/>
    <w:rsid w:val="40D519B8"/>
    <w:rsid w:val="40D5458F"/>
    <w:rsid w:val="40E045E4"/>
    <w:rsid w:val="40E62000"/>
    <w:rsid w:val="40F00849"/>
    <w:rsid w:val="40FE0FE1"/>
    <w:rsid w:val="410D1152"/>
    <w:rsid w:val="411132BD"/>
    <w:rsid w:val="41287D39"/>
    <w:rsid w:val="41384420"/>
    <w:rsid w:val="41456B3D"/>
    <w:rsid w:val="414601C0"/>
    <w:rsid w:val="41474664"/>
    <w:rsid w:val="414972FD"/>
    <w:rsid w:val="414B7C26"/>
    <w:rsid w:val="414F176A"/>
    <w:rsid w:val="41541F12"/>
    <w:rsid w:val="41546D80"/>
    <w:rsid w:val="415E73D5"/>
    <w:rsid w:val="41605419"/>
    <w:rsid w:val="416173C4"/>
    <w:rsid w:val="41625218"/>
    <w:rsid w:val="41656898"/>
    <w:rsid w:val="416D399E"/>
    <w:rsid w:val="41764BB4"/>
    <w:rsid w:val="417F4B94"/>
    <w:rsid w:val="41892E5E"/>
    <w:rsid w:val="418F600A"/>
    <w:rsid w:val="41990C37"/>
    <w:rsid w:val="419F32CD"/>
    <w:rsid w:val="41A5138A"/>
    <w:rsid w:val="41B31CF9"/>
    <w:rsid w:val="41B53D89"/>
    <w:rsid w:val="41B82522"/>
    <w:rsid w:val="41BA21D5"/>
    <w:rsid w:val="41C05B83"/>
    <w:rsid w:val="41C349E0"/>
    <w:rsid w:val="41C35E9B"/>
    <w:rsid w:val="41C440BF"/>
    <w:rsid w:val="41C47422"/>
    <w:rsid w:val="41C836BC"/>
    <w:rsid w:val="41D659E7"/>
    <w:rsid w:val="41DA2951"/>
    <w:rsid w:val="41DD54EE"/>
    <w:rsid w:val="41E41EB2"/>
    <w:rsid w:val="41E9396D"/>
    <w:rsid w:val="41EE0F83"/>
    <w:rsid w:val="41F67393"/>
    <w:rsid w:val="41F83BB0"/>
    <w:rsid w:val="41F8593B"/>
    <w:rsid w:val="4200138B"/>
    <w:rsid w:val="42022339"/>
    <w:rsid w:val="42072045"/>
    <w:rsid w:val="42092942"/>
    <w:rsid w:val="42095582"/>
    <w:rsid w:val="420A743F"/>
    <w:rsid w:val="420F2CA7"/>
    <w:rsid w:val="420F6AF5"/>
    <w:rsid w:val="421107CE"/>
    <w:rsid w:val="42220C2D"/>
    <w:rsid w:val="422932C0"/>
    <w:rsid w:val="422B5D33"/>
    <w:rsid w:val="422E40B0"/>
    <w:rsid w:val="42336996"/>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05B96"/>
    <w:rsid w:val="42950144"/>
    <w:rsid w:val="429549D9"/>
    <w:rsid w:val="429733C9"/>
    <w:rsid w:val="42976F25"/>
    <w:rsid w:val="42984A4B"/>
    <w:rsid w:val="42A27D35"/>
    <w:rsid w:val="42AE20D4"/>
    <w:rsid w:val="42B211EC"/>
    <w:rsid w:val="42B86E9B"/>
    <w:rsid w:val="42BA0E65"/>
    <w:rsid w:val="42BF4BC0"/>
    <w:rsid w:val="42C526A4"/>
    <w:rsid w:val="42D177DE"/>
    <w:rsid w:val="42D17F20"/>
    <w:rsid w:val="42D40179"/>
    <w:rsid w:val="42D75573"/>
    <w:rsid w:val="42DD6902"/>
    <w:rsid w:val="42DE4B54"/>
    <w:rsid w:val="42E41D08"/>
    <w:rsid w:val="42F13381"/>
    <w:rsid w:val="42F9316C"/>
    <w:rsid w:val="42F97FB9"/>
    <w:rsid w:val="42FE6FA4"/>
    <w:rsid w:val="43080135"/>
    <w:rsid w:val="43085C34"/>
    <w:rsid w:val="43106CD7"/>
    <w:rsid w:val="43134D1D"/>
    <w:rsid w:val="431B5A0C"/>
    <w:rsid w:val="43226128"/>
    <w:rsid w:val="432D59B5"/>
    <w:rsid w:val="433771D7"/>
    <w:rsid w:val="433D44BC"/>
    <w:rsid w:val="433E7E99"/>
    <w:rsid w:val="434768FE"/>
    <w:rsid w:val="434C41B3"/>
    <w:rsid w:val="435272F0"/>
    <w:rsid w:val="4353028E"/>
    <w:rsid w:val="435A6F40"/>
    <w:rsid w:val="435D4C1C"/>
    <w:rsid w:val="435E3EE6"/>
    <w:rsid w:val="43606AC5"/>
    <w:rsid w:val="43607C5E"/>
    <w:rsid w:val="43635059"/>
    <w:rsid w:val="43652B30"/>
    <w:rsid w:val="43664B49"/>
    <w:rsid w:val="436721C3"/>
    <w:rsid w:val="436D243D"/>
    <w:rsid w:val="43780C2C"/>
    <w:rsid w:val="43817561"/>
    <w:rsid w:val="43851473"/>
    <w:rsid w:val="43995B7E"/>
    <w:rsid w:val="43A2436B"/>
    <w:rsid w:val="43A55671"/>
    <w:rsid w:val="43B027A5"/>
    <w:rsid w:val="43B753A5"/>
    <w:rsid w:val="43BB6827"/>
    <w:rsid w:val="43C31F9B"/>
    <w:rsid w:val="43C92CBE"/>
    <w:rsid w:val="43CE47D0"/>
    <w:rsid w:val="43D15585"/>
    <w:rsid w:val="43D441A9"/>
    <w:rsid w:val="43D63A7D"/>
    <w:rsid w:val="43DE0B83"/>
    <w:rsid w:val="43EA146E"/>
    <w:rsid w:val="43EA6644"/>
    <w:rsid w:val="43F03412"/>
    <w:rsid w:val="43F33DE5"/>
    <w:rsid w:val="44036616"/>
    <w:rsid w:val="44044A8E"/>
    <w:rsid w:val="44071E88"/>
    <w:rsid w:val="440F482D"/>
    <w:rsid w:val="44163079"/>
    <w:rsid w:val="4416656F"/>
    <w:rsid w:val="44273BE5"/>
    <w:rsid w:val="442B2615"/>
    <w:rsid w:val="442E38B9"/>
    <w:rsid w:val="44327DA0"/>
    <w:rsid w:val="443D549C"/>
    <w:rsid w:val="44417989"/>
    <w:rsid w:val="444949C5"/>
    <w:rsid w:val="444A7498"/>
    <w:rsid w:val="44550E45"/>
    <w:rsid w:val="44592E59"/>
    <w:rsid w:val="445F10EC"/>
    <w:rsid w:val="44742CA9"/>
    <w:rsid w:val="44745536"/>
    <w:rsid w:val="44806045"/>
    <w:rsid w:val="44837AB8"/>
    <w:rsid w:val="4484172B"/>
    <w:rsid w:val="448535BE"/>
    <w:rsid w:val="44916CC1"/>
    <w:rsid w:val="4492209A"/>
    <w:rsid w:val="44953CD6"/>
    <w:rsid w:val="449D537A"/>
    <w:rsid w:val="44A21BB1"/>
    <w:rsid w:val="44A44004"/>
    <w:rsid w:val="44B10046"/>
    <w:rsid w:val="44B40F84"/>
    <w:rsid w:val="44B41888"/>
    <w:rsid w:val="44BA3D81"/>
    <w:rsid w:val="44C22253"/>
    <w:rsid w:val="44CC0583"/>
    <w:rsid w:val="44CE6E4A"/>
    <w:rsid w:val="44D202E1"/>
    <w:rsid w:val="44D41A85"/>
    <w:rsid w:val="44D65552"/>
    <w:rsid w:val="44DC1567"/>
    <w:rsid w:val="44DD0E3B"/>
    <w:rsid w:val="44E645A9"/>
    <w:rsid w:val="44E70298"/>
    <w:rsid w:val="44E73A68"/>
    <w:rsid w:val="44ED5522"/>
    <w:rsid w:val="44EE06A6"/>
    <w:rsid w:val="44EF26F9"/>
    <w:rsid w:val="44F85EE6"/>
    <w:rsid w:val="44FE21F3"/>
    <w:rsid w:val="450F36EA"/>
    <w:rsid w:val="451505D5"/>
    <w:rsid w:val="4515141C"/>
    <w:rsid w:val="45154A79"/>
    <w:rsid w:val="4519716D"/>
    <w:rsid w:val="451B7394"/>
    <w:rsid w:val="451E1374"/>
    <w:rsid w:val="452A335C"/>
    <w:rsid w:val="45387C09"/>
    <w:rsid w:val="453C3DB3"/>
    <w:rsid w:val="454113CA"/>
    <w:rsid w:val="454D5006"/>
    <w:rsid w:val="455040E6"/>
    <w:rsid w:val="4557044F"/>
    <w:rsid w:val="45582520"/>
    <w:rsid w:val="45667282"/>
    <w:rsid w:val="45677177"/>
    <w:rsid w:val="456978F4"/>
    <w:rsid w:val="457E43CC"/>
    <w:rsid w:val="457E4CC3"/>
    <w:rsid w:val="45800144"/>
    <w:rsid w:val="45844552"/>
    <w:rsid w:val="45855547"/>
    <w:rsid w:val="4585575A"/>
    <w:rsid w:val="458A221C"/>
    <w:rsid w:val="458B4C95"/>
    <w:rsid w:val="458D5981"/>
    <w:rsid w:val="4590612B"/>
    <w:rsid w:val="45912351"/>
    <w:rsid w:val="4599434E"/>
    <w:rsid w:val="45A55B9B"/>
    <w:rsid w:val="45A858ED"/>
    <w:rsid w:val="45BC676B"/>
    <w:rsid w:val="45D55761"/>
    <w:rsid w:val="45D85A64"/>
    <w:rsid w:val="45DD7344"/>
    <w:rsid w:val="45E053CB"/>
    <w:rsid w:val="45E306D3"/>
    <w:rsid w:val="45EA7CB3"/>
    <w:rsid w:val="45EC21FE"/>
    <w:rsid w:val="45F14B9E"/>
    <w:rsid w:val="45F6394A"/>
    <w:rsid w:val="45F702D3"/>
    <w:rsid w:val="460147BD"/>
    <w:rsid w:val="46081EE8"/>
    <w:rsid w:val="46131F38"/>
    <w:rsid w:val="46144D30"/>
    <w:rsid w:val="461A2060"/>
    <w:rsid w:val="461F6271"/>
    <w:rsid w:val="462E487B"/>
    <w:rsid w:val="46366A55"/>
    <w:rsid w:val="4655708C"/>
    <w:rsid w:val="46592743"/>
    <w:rsid w:val="465E57CF"/>
    <w:rsid w:val="46653CEC"/>
    <w:rsid w:val="46671304"/>
    <w:rsid w:val="466F7DC4"/>
    <w:rsid w:val="467C1271"/>
    <w:rsid w:val="467D0B27"/>
    <w:rsid w:val="467D43D1"/>
    <w:rsid w:val="46804174"/>
    <w:rsid w:val="468377A8"/>
    <w:rsid w:val="46932667"/>
    <w:rsid w:val="469F5593"/>
    <w:rsid w:val="46A41C10"/>
    <w:rsid w:val="46A475BE"/>
    <w:rsid w:val="46A71700"/>
    <w:rsid w:val="46AB2E40"/>
    <w:rsid w:val="46B11DF1"/>
    <w:rsid w:val="46B16FCD"/>
    <w:rsid w:val="46BA1434"/>
    <w:rsid w:val="46D1677D"/>
    <w:rsid w:val="46EC3A4E"/>
    <w:rsid w:val="46FB04BB"/>
    <w:rsid w:val="46FC1A4C"/>
    <w:rsid w:val="46FC4D11"/>
    <w:rsid w:val="47003C8C"/>
    <w:rsid w:val="47004189"/>
    <w:rsid w:val="470C3AC9"/>
    <w:rsid w:val="470E59CC"/>
    <w:rsid w:val="471833A7"/>
    <w:rsid w:val="471A45C8"/>
    <w:rsid w:val="471C20EE"/>
    <w:rsid w:val="471E2247"/>
    <w:rsid w:val="47215957"/>
    <w:rsid w:val="472A1DE0"/>
    <w:rsid w:val="472D42FC"/>
    <w:rsid w:val="473016F6"/>
    <w:rsid w:val="473860EE"/>
    <w:rsid w:val="473F5DDD"/>
    <w:rsid w:val="474332E3"/>
    <w:rsid w:val="47456CD0"/>
    <w:rsid w:val="475140C4"/>
    <w:rsid w:val="4755115C"/>
    <w:rsid w:val="47633879"/>
    <w:rsid w:val="476C6422"/>
    <w:rsid w:val="476D25D3"/>
    <w:rsid w:val="47721D0E"/>
    <w:rsid w:val="477A6E15"/>
    <w:rsid w:val="47863A0C"/>
    <w:rsid w:val="478657BA"/>
    <w:rsid w:val="478D6B48"/>
    <w:rsid w:val="478F28C0"/>
    <w:rsid w:val="47AB54F0"/>
    <w:rsid w:val="47B83B92"/>
    <w:rsid w:val="47C3256A"/>
    <w:rsid w:val="47D6229D"/>
    <w:rsid w:val="47DB5B06"/>
    <w:rsid w:val="47DE1152"/>
    <w:rsid w:val="47E26E94"/>
    <w:rsid w:val="47E744AA"/>
    <w:rsid w:val="47EA3F9B"/>
    <w:rsid w:val="47F66AEE"/>
    <w:rsid w:val="47F870D9"/>
    <w:rsid w:val="47FB1D04"/>
    <w:rsid w:val="47FE17F4"/>
    <w:rsid w:val="47FE37AF"/>
    <w:rsid w:val="47FF4BB8"/>
    <w:rsid w:val="48002054"/>
    <w:rsid w:val="4800419B"/>
    <w:rsid w:val="48073570"/>
    <w:rsid w:val="48081689"/>
    <w:rsid w:val="48082673"/>
    <w:rsid w:val="480D4102"/>
    <w:rsid w:val="480F755D"/>
    <w:rsid w:val="4818290E"/>
    <w:rsid w:val="48184892"/>
    <w:rsid w:val="4820176A"/>
    <w:rsid w:val="48254FD3"/>
    <w:rsid w:val="48263C6E"/>
    <w:rsid w:val="48362D3C"/>
    <w:rsid w:val="48401E0D"/>
    <w:rsid w:val="484441E1"/>
    <w:rsid w:val="48511B4B"/>
    <w:rsid w:val="48580F04"/>
    <w:rsid w:val="485C74FB"/>
    <w:rsid w:val="48634DB6"/>
    <w:rsid w:val="486D24D6"/>
    <w:rsid w:val="486D5676"/>
    <w:rsid w:val="4872278C"/>
    <w:rsid w:val="48732184"/>
    <w:rsid w:val="48740B49"/>
    <w:rsid w:val="487F2935"/>
    <w:rsid w:val="488258B7"/>
    <w:rsid w:val="48831CF9"/>
    <w:rsid w:val="48855A71"/>
    <w:rsid w:val="488D6822"/>
    <w:rsid w:val="488E1949"/>
    <w:rsid w:val="48981C49"/>
    <w:rsid w:val="489D725F"/>
    <w:rsid w:val="48A42E12"/>
    <w:rsid w:val="48A87A57"/>
    <w:rsid w:val="48A91760"/>
    <w:rsid w:val="48B93B23"/>
    <w:rsid w:val="48C742DC"/>
    <w:rsid w:val="48D5496B"/>
    <w:rsid w:val="48D93A13"/>
    <w:rsid w:val="48DB38E3"/>
    <w:rsid w:val="48DC6BB8"/>
    <w:rsid w:val="48E257A9"/>
    <w:rsid w:val="48F36ECE"/>
    <w:rsid w:val="48FF75D2"/>
    <w:rsid w:val="49033877"/>
    <w:rsid w:val="49064E04"/>
    <w:rsid w:val="4907054C"/>
    <w:rsid w:val="49113EE5"/>
    <w:rsid w:val="4913307D"/>
    <w:rsid w:val="4919199A"/>
    <w:rsid w:val="49264CFE"/>
    <w:rsid w:val="492B6619"/>
    <w:rsid w:val="493B39EC"/>
    <w:rsid w:val="493D0735"/>
    <w:rsid w:val="49431BB4"/>
    <w:rsid w:val="494633B0"/>
    <w:rsid w:val="4947157F"/>
    <w:rsid w:val="49490E9D"/>
    <w:rsid w:val="494971A9"/>
    <w:rsid w:val="4954017C"/>
    <w:rsid w:val="49544782"/>
    <w:rsid w:val="495A5D3D"/>
    <w:rsid w:val="4962490E"/>
    <w:rsid w:val="49632A67"/>
    <w:rsid w:val="49635DB3"/>
    <w:rsid w:val="49652C7D"/>
    <w:rsid w:val="49696660"/>
    <w:rsid w:val="49705551"/>
    <w:rsid w:val="49724248"/>
    <w:rsid w:val="49777F90"/>
    <w:rsid w:val="497C0DC1"/>
    <w:rsid w:val="49845D29"/>
    <w:rsid w:val="4989380B"/>
    <w:rsid w:val="498C5DCF"/>
    <w:rsid w:val="4995680C"/>
    <w:rsid w:val="499C0B00"/>
    <w:rsid w:val="499C7517"/>
    <w:rsid w:val="499F0DB5"/>
    <w:rsid w:val="49A81A17"/>
    <w:rsid w:val="49A95790"/>
    <w:rsid w:val="49AB5596"/>
    <w:rsid w:val="49B303BC"/>
    <w:rsid w:val="49B316E8"/>
    <w:rsid w:val="49B74350"/>
    <w:rsid w:val="49B9577F"/>
    <w:rsid w:val="49C0578E"/>
    <w:rsid w:val="49C4058B"/>
    <w:rsid w:val="49C425C9"/>
    <w:rsid w:val="49CA4084"/>
    <w:rsid w:val="49CE379C"/>
    <w:rsid w:val="49E36EF3"/>
    <w:rsid w:val="49E50EBD"/>
    <w:rsid w:val="49E54986"/>
    <w:rsid w:val="49F51014"/>
    <w:rsid w:val="4A0D3F70"/>
    <w:rsid w:val="4A221A4A"/>
    <w:rsid w:val="4A2424EA"/>
    <w:rsid w:val="4A2E53C5"/>
    <w:rsid w:val="4A3278A2"/>
    <w:rsid w:val="4A38723F"/>
    <w:rsid w:val="4A392FB7"/>
    <w:rsid w:val="4A3B1EE9"/>
    <w:rsid w:val="4A3F367E"/>
    <w:rsid w:val="4A4020E8"/>
    <w:rsid w:val="4A4431E9"/>
    <w:rsid w:val="4A45378A"/>
    <w:rsid w:val="4A5278E5"/>
    <w:rsid w:val="4A53089A"/>
    <w:rsid w:val="4A5B1180"/>
    <w:rsid w:val="4A5E657A"/>
    <w:rsid w:val="4A6B3B6F"/>
    <w:rsid w:val="4A712751"/>
    <w:rsid w:val="4A742241"/>
    <w:rsid w:val="4A78588E"/>
    <w:rsid w:val="4A813CF9"/>
    <w:rsid w:val="4A832664"/>
    <w:rsid w:val="4A86272A"/>
    <w:rsid w:val="4A8A43CC"/>
    <w:rsid w:val="4A8D6256"/>
    <w:rsid w:val="4A9067B3"/>
    <w:rsid w:val="4A991E77"/>
    <w:rsid w:val="4A9B5A20"/>
    <w:rsid w:val="4A9F106C"/>
    <w:rsid w:val="4AA20B5D"/>
    <w:rsid w:val="4AA21D66"/>
    <w:rsid w:val="4AA5064D"/>
    <w:rsid w:val="4AA93C99"/>
    <w:rsid w:val="4AAD4C08"/>
    <w:rsid w:val="4AAF6A1F"/>
    <w:rsid w:val="4AB12B4E"/>
    <w:rsid w:val="4AB20B2A"/>
    <w:rsid w:val="4AB6597F"/>
    <w:rsid w:val="4AB663B6"/>
    <w:rsid w:val="4ABB65DC"/>
    <w:rsid w:val="4AC13A05"/>
    <w:rsid w:val="4AC35380"/>
    <w:rsid w:val="4ACB66A6"/>
    <w:rsid w:val="4AD134FA"/>
    <w:rsid w:val="4AD3008D"/>
    <w:rsid w:val="4AE10C24"/>
    <w:rsid w:val="4AE201A2"/>
    <w:rsid w:val="4AF33403"/>
    <w:rsid w:val="4B030D93"/>
    <w:rsid w:val="4B06150B"/>
    <w:rsid w:val="4B09762A"/>
    <w:rsid w:val="4B10675D"/>
    <w:rsid w:val="4B146D2F"/>
    <w:rsid w:val="4B182FD3"/>
    <w:rsid w:val="4B244232"/>
    <w:rsid w:val="4B29302C"/>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C3D81"/>
    <w:rsid w:val="4B6D741D"/>
    <w:rsid w:val="4B721E8C"/>
    <w:rsid w:val="4B766BB2"/>
    <w:rsid w:val="4B78366B"/>
    <w:rsid w:val="4B7E5126"/>
    <w:rsid w:val="4B8547A4"/>
    <w:rsid w:val="4B9C1A50"/>
    <w:rsid w:val="4BAB7265"/>
    <w:rsid w:val="4BB94F3A"/>
    <w:rsid w:val="4BC13264"/>
    <w:rsid w:val="4BC468B1"/>
    <w:rsid w:val="4BCB747A"/>
    <w:rsid w:val="4BCD4365"/>
    <w:rsid w:val="4BCE156F"/>
    <w:rsid w:val="4BE17463"/>
    <w:rsid w:val="4BE3142D"/>
    <w:rsid w:val="4BEE392E"/>
    <w:rsid w:val="4BEE7C6E"/>
    <w:rsid w:val="4BEF4C0C"/>
    <w:rsid w:val="4BF34481"/>
    <w:rsid w:val="4BF707D3"/>
    <w:rsid w:val="4BF929FE"/>
    <w:rsid w:val="4C08454D"/>
    <w:rsid w:val="4C0A69B9"/>
    <w:rsid w:val="4C0A6BA1"/>
    <w:rsid w:val="4C0C0983"/>
    <w:rsid w:val="4C152FE5"/>
    <w:rsid w:val="4C1827E3"/>
    <w:rsid w:val="4C196BFC"/>
    <w:rsid w:val="4C1C66ED"/>
    <w:rsid w:val="4C1D63CF"/>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6319D"/>
    <w:rsid w:val="4C971FC1"/>
    <w:rsid w:val="4C975D73"/>
    <w:rsid w:val="4CA13785"/>
    <w:rsid w:val="4CAF130F"/>
    <w:rsid w:val="4CB24C66"/>
    <w:rsid w:val="4CBA03DF"/>
    <w:rsid w:val="4CBD1D79"/>
    <w:rsid w:val="4CC2732C"/>
    <w:rsid w:val="4CC449DC"/>
    <w:rsid w:val="4CD16930"/>
    <w:rsid w:val="4CD477BD"/>
    <w:rsid w:val="4CD76542"/>
    <w:rsid w:val="4CDF5113"/>
    <w:rsid w:val="4CEF02DA"/>
    <w:rsid w:val="4CF07121"/>
    <w:rsid w:val="4CF105EB"/>
    <w:rsid w:val="4CF136D5"/>
    <w:rsid w:val="4CF220C5"/>
    <w:rsid w:val="4CFD4B48"/>
    <w:rsid w:val="4D0258E3"/>
    <w:rsid w:val="4D0A29E9"/>
    <w:rsid w:val="4D0B1AD9"/>
    <w:rsid w:val="4D1241E0"/>
    <w:rsid w:val="4D1B38DC"/>
    <w:rsid w:val="4D1D44CA"/>
    <w:rsid w:val="4D1F46E6"/>
    <w:rsid w:val="4D2717ED"/>
    <w:rsid w:val="4D31441A"/>
    <w:rsid w:val="4D352FBB"/>
    <w:rsid w:val="4D36558C"/>
    <w:rsid w:val="4D3A507C"/>
    <w:rsid w:val="4D3B0DF4"/>
    <w:rsid w:val="4D4B1038"/>
    <w:rsid w:val="4D534390"/>
    <w:rsid w:val="4D573E80"/>
    <w:rsid w:val="4D5A26ED"/>
    <w:rsid w:val="4D671BE9"/>
    <w:rsid w:val="4D7D31BB"/>
    <w:rsid w:val="4D7F313C"/>
    <w:rsid w:val="4D814A59"/>
    <w:rsid w:val="4D826A23"/>
    <w:rsid w:val="4D8A7D75"/>
    <w:rsid w:val="4D8C21E4"/>
    <w:rsid w:val="4D9609C0"/>
    <w:rsid w:val="4D970BDA"/>
    <w:rsid w:val="4D9A5F44"/>
    <w:rsid w:val="4D9C5D37"/>
    <w:rsid w:val="4D9C7AE5"/>
    <w:rsid w:val="4DA0086E"/>
    <w:rsid w:val="4DB120F1"/>
    <w:rsid w:val="4DB97EEA"/>
    <w:rsid w:val="4DBA55D7"/>
    <w:rsid w:val="4DBF5ADD"/>
    <w:rsid w:val="4DCD2784"/>
    <w:rsid w:val="4DD3433F"/>
    <w:rsid w:val="4DD70B1D"/>
    <w:rsid w:val="4DD83673"/>
    <w:rsid w:val="4DD84F19"/>
    <w:rsid w:val="4DDA23BB"/>
    <w:rsid w:val="4DED405F"/>
    <w:rsid w:val="4DFC4A28"/>
    <w:rsid w:val="4DFE100B"/>
    <w:rsid w:val="4DFF3A26"/>
    <w:rsid w:val="4E0518BE"/>
    <w:rsid w:val="4E094A4F"/>
    <w:rsid w:val="4E141D71"/>
    <w:rsid w:val="4E154438"/>
    <w:rsid w:val="4E173610"/>
    <w:rsid w:val="4E1C36B2"/>
    <w:rsid w:val="4E1F5D76"/>
    <w:rsid w:val="4E283CCC"/>
    <w:rsid w:val="4E2C7CEC"/>
    <w:rsid w:val="4E2E44B5"/>
    <w:rsid w:val="4E437F61"/>
    <w:rsid w:val="4E472EFD"/>
    <w:rsid w:val="4E487C6D"/>
    <w:rsid w:val="4E4D5283"/>
    <w:rsid w:val="4E50182D"/>
    <w:rsid w:val="4E573A0C"/>
    <w:rsid w:val="4E591146"/>
    <w:rsid w:val="4E5A0417"/>
    <w:rsid w:val="4E5E0644"/>
    <w:rsid w:val="4E5E4D9B"/>
    <w:rsid w:val="4E613247"/>
    <w:rsid w:val="4E676345"/>
    <w:rsid w:val="4E6A78E3"/>
    <w:rsid w:val="4E6D76D3"/>
    <w:rsid w:val="4E7F1E16"/>
    <w:rsid w:val="4E832A53"/>
    <w:rsid w:val="4E84409D"/>
    <w:rsid w:val="4E864E4A"/>
    <w:rsid w:val="4E8A2033"/>
    <w:rsid w:val="4E8A391E"/>
    <w:rsid w:val="4E916F1E"/>
    <w:rsid w:val="4E9A33F8"/>
    <w:rsid w:val="4E9D675B"/>
    <w:rsid w:val="4E9E788D"/>
    <w:rsid w:val="4EA604F0"/>
    <w:rsid w:val="4EA60AE2"/>
    <w:rsid w:val="4EA824BA"/>
    <w:rsid w:val="4EAE7D34"/>
    <w:rsid w:val="4EB23A37"/>
    <w:rsid w:val="4EB70D01"/>
    <w:rsid w:val="4EB943FF"/>
    <w:rsid w:val="4EBE7F2F"/>
    <w:rsid w:val="4EC42650"/>
    <w:rsid w:val="4EC866B8"/>
    <w:rsid w:val="4ED137BE"/>
    <w:rsid w:val="4ED80FF1"/>
    <w:rsid w:val="4EEE35FC"/>
    <w:rsid w:val="4EEE3858"/>
    <w:rsid w:val="4EEE4670"/>
    <w:rsid w:val="4EFA642B"/>
    <w:rsid w:val="4EFD0A57"/>
    <w:rsid w:val="4EFE1926"/>
    <w:rsid w:val="4F082F58"/>
    <w:rsid w:val="4F0911AA"/>
    <w:rsid w:val="4F0B3174"/>
    <w:rsid w:val="4F1B0EDE"/>
    <w:rsid w:val="4F2204BE"/>
    <w:rsid w:val="4F22226C"/>
    <w:rsid w:val="4F2550A7"/>
    <w:rsid w:val="4F271630"/>
    <w:rsid w:val="4F29644A"/>
    <w:rsid w:val="4F2F71CE"/>
    <w:rsid w:val="4F351F9F"/>
    <w:rsid w:val="4F3673B2"/>
    <w:rsid w:val="4F3A5808"/>
    <w:rsid w:val="4F42736E"/>
    <w:rsid w:val="4F455F5A"/>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25169"/>
    <w:rsid w:val="4FE57280"/>
    <w:rsid w:val="4FE74643"/>
    <w:rsid w:val="4FE92D8A"/>
    <w:rsid w:val="4FEE03A0"/>
    <w:rsid w:val="4FEE214E"/>
    <w:rsid w:val="500534E4"/>
    <w:rsid w:val="500B0F52"/>
    <w:rsid w:val="501B6702"/>
    <w:rsid w:val="5023004A"/>
    <w:rsid w:val="5028057C"/>
    <w:rsid w:val="50283464"/>
    <w:rsid w:val="502913D8"/>
    <w:rsid w:val="502D711A"/>
    <w:rsid w:val="50360CF1"/>
    <w:rsid w:val="50373AF5"/>
    <w:rsid w:val="503B4D47"/>
    <w:rsid w:val="503C55AF"/>
    <w:rsid w:val="503D78E7"/>
    <w:rsid w:val="50454464"/>
    <w:rsid w:val="50463D38"/>
    <w:rsid w:val="504B75A0"/>
    <w:rsid w:val="504D156B"/>
    <w:rsid w:val="505446A7"/>
    <w:rsid w:val="505508C7"/>
    <w:rsid w:val="5066378B"/>
    <w:rsid w:val="506B7C43"/>
    <w:rsid w:val="507718E7"/>
    <w:rsid w:val="5088616F"/>
    <w:rsid w:val="508A78F6"/>
    <w:rsid w:val="50935E3E"/>
    <w:rsid w:val="50964CC0"/>
    <w:rsid w:val="509B4084"/>
    <w:rsid w:val="509E35B3"/>
    <w:rsid w:val="509E6042"/>
    <w:rsid w:val="50A834F9"/>
    <w:rsid w:val="50A867A1"/>
    <w:rsid w:val="50BC0A37"/>
    <w:rsid w:val="50C86E43"/>
    <w:rsid w:val="50CA1482"/>
    <w:rsid w:val="50D91050"/>
    <w:rsid w:val="50DA1EA9"/>
    <w:rsid w:val="50E64204"/>
    <w:rsid w:val="50F10148"/>
    <w:rsid w:val="50F62A03"/>
    <w:rsid w:val="50F6575E"/>
    <w:rsid w:val="51052F88"/>
    <w:rsid w:val="51071719"/>
    <w:rsid w:val="510812ED"/>
    <w:rsid w:val="510F05CE"/>
    <w:rsid w:val="51102E68"/>
    <w:rsid w:val="511E1C85"/>
    <w:rsid w:val="51237D1B"/>
    <w:rsid w:val="51273B6A"/>
    <w:rsid w:val="5135416D"/>
    <w:rsid w:val="51354F21"/>
    <w:rsid w:val="5139389D"/>
    <w:rsid w:val="51450494"/>
    <w:rsid w:val="5148635A"/>
    <w:rsid w:val="514A2BEA"/>
    <w:rsid w:val="51570E30"/>
    <w:rsid w:val="515A3F3F"/>
    <w:rsid w:val="515B3813"/>
    <w:rsid w:val="515E35EA"/>
    <w:rsid w:val="5165265C"/>
    <w:rsid w:val="51660C4E"/>
    <w:rsid w:val="517B5543"/>
    <w:rsid w:val="51814FF7"/>
    <w:rsid w:val="51870F9F"/>
    <w:rsid w:val="51890380"/>
    <w:rsid w:val="51905BB3"/>
    <w:rsid w:val="51932B62"/>
    <w:rsid w:val="5193320B"/>
    <w:rsid w:val="5197340C"/>
    <w:rsid w:val="51A52CE0"/>
    <w:rsid w:val="51A56620"/>
    <w:rsid w:val="51A6769A"/>
    <w:rsid w:val="51B1657A"/>
    <w:rsid w:val="51B24883"/>
    <w:rsid w:val="51B573C7"/>
    <w:rsid w:val="51C4760A"/>
    <w:rsid w:val="51C963A9"/>
    <w:rsid w:val="51D84F57"/>
    <w:rsid w:val="51DA47E6"/>
    <w:rsid w:val="51DB6702"/>
    <w:rsid w:val="51DC2BA6"/>
    <w:rsid w:val="51DF2696"/>
    <w:rsid w:val="51E44D95"/>
    <w:rsid w:val="51E63A25"/>
    <w:rsid w:val="51E67581"/>
    <w:rsid w:val="51EC3196"/>
    <w:rsid w:val="51ED6AE7"/>
    <w:rsid w:val="51EE6435"/>
    <w:rsid w:val="51F55A16"/>
    <w:rsid w:val="51F7178E"/>
    <w:rsid w:val="51F872B4"/>
    <w:rsid w:val="51FE1078"/>
    <w:rsid w:val="5208140D"/>
    <w:rsid w:val="5209326F"/>
    <w:rsid w:val="52121225"/>
    <w:rsid w:val="52124677"/>
    <w:rsid w:val="52131388"/>
    <w:rsid w:val="52132340"/>
    <w:rsid w:val="5219128C"/>
    <w:rsid w:val="521A09E9"/>
    <w:rsid w:val="521C11F4"/>
    <w:rsid w:val="521F0E9F"/>
    <w:rsid w:val="521F2A93"/>
    <w:rsid w:val="52215EB7"/>
    <w:rsid w:val="52293911"/>
    <w:rsid w:val="522C1839"/>
    <w:rsid w:val="52365E7C"/>
    <w:rsid w:val="523D061E"/>
    <w:rsid w:val="523D2BA6"/>
    <w:rsid w:val="52410C5B"/>
    <w:rsid w:val="5241571A"/>
    <w:rsid w:val="5247502A"/>
    <w:rsid w:val="524810FD"/>
    <w:rsid w:val="524A1D12"/>
    <w:rsid w:val="524F0F10"/>
    <w:rsid w:val="525724B6"/>
    <w:rsid w:val="525E49D2"/>
    <w:rsid w:val="52604D9A"/>
    <w:rsid w:val="52635075"/>
    <w:rsid w:val="52647E18"/>
    <w:rsid w:val="52650DED"/>
    <w:rsid w:val="52713EA2"/>
    <w:rsid w:val="52721487"/>
    <w:rsid w:val="5273095F"/>
    <w:rsid w:val="527479A1"/>
    <w:rsid w:val="527E104E"/>
    <w:rsid w:val="528562D1"/>
    <w:rsid w:val="5287270C"/>
    <w:rsid w:val="528743F2"/>
    <w:rsid w:val="528B0128"/>
    <w:rsid w:val="528D1497"/>
    <w:rsid w:val="529B29C3"/>
    <w:rsid w:val="529C0587"/>
    <w:rsid w:val="52A5743C"/>
    <w:rsid w:val="52A7285B"/>
    <w:rsid w:val="52AD62F0"/>
    <w:rsid w:val="52AE4D91"/>
    <w:rsid w:val="52B56FC4"/>
    <w:rsid w:val="52BD2BB7"/>
    <w:rsid w:val="52C11D9C"/>
    <w:rsid w:val="52CD6993"/>
    <w:rsid w:val="52D12EE6"/>
    <w:rsid w:val="52D25057"/>
    <w:rsid w:val="52D40323"/>
    <w:rsid w:val="52D93896"/>
    <w:rsid w:val="52DE08E5"/>
    <w:rsid w:val="52DE3D21"/>
    <w:rsid w:val="52EB2845"/>
    <w:rsid w:val="52FA7D19"/>
    <w:rsid w:val="52FF1A0D"/>
    <w:rsid w:val="53071EA5"/>
    <w:rsid w:val="530F19CD"/>
    <w:rsid w:val="530F48B5"/>
    <w:rsid w:val="531279FD"/>
    <w:rsid w:val="531E71EE"/>
    <w:rsid w:val="532B497C"/>
    <w:rsid w:val="532E6CBF"/>
    <w:rsid w:val="533345A7"/>
    <w:rsid w:val="53446C55"/>
    <w:rsid w:val="534D53DE"/>
    <w:rsid w:val="534E1882"/>
    <w:rsid w:val="53517035"/>
    <w:rsid w:val="53542C10"/>
    <w:rsid w:val="53591FD4"/>
    <w:rsid w:val="536760AB"/>
    <w:rsid w:val="536820F1"/>
    <w:rsid w:val="536C1D08"/>
    <w:rsid w:val="53841959"/>
    <w:rsid w:val="538B76B7"/>
    <w:rsid w:val="538D450E"/>
    <w:rsid w:val="539D57CC"/>
    <w:rsid w:val="53B22D76"/>
    <w:rsid w:val="53BA12AA"/>
    <w:rsid w:val="53BC2E44"/>
    <w:rsid w:val="53BF05EA"/>
    <w:rsid w:val="53BF62DB"/>
    <w:rsid w:val="53C47D96"/>
    <w:rsid w:val="53CB1124"/>
    <w:rsid w:val="53DB1AFB"/>
    <w:rsid w:val="53E73A84"/>
    <w:rsid w:val="53E93358"/>
    <w:rsid w:val="53EA42FA"/>
    <w:rsid w:val="53FB3968"/>
    <w:rsid w:val="54041F40"/>
    <w:rsid w:val="54120B01"/>
    <w:rsid w:val="541250CE"/>
    <w:rsid w:val="54164915"/>
    <w:rsid w:val="541C1CA1"/>
    <w:rsid w:val="544762D1"/>
    <w:rsid w:val="544B5DC1"/>
    <w:rsid w:val="54584EB6"/>
    <w:rsid w:val="54596D50"/>
    <w:rsid w:val="545F25C6"/>
    <w:rsid w:val="5463135D"/>
    <w:rsid w:val="54686973"/>
    <w:rsid w:val="547A0454"/>
    <w:rsid w:val="547B1550"/>
    <w:rsid w:val="54801E0A"/>
    <w:rsid w:val="548A51C4"/>
    <w:rsid w:val="54913B60"/>
    <w:rsid w:val="549412E0"/>
    <w:rsid w:val="549A4653"/>
    <w:rsid w:val="54A92AE8"/>
    <w:rsid w:val="54A947EB"/>
    <w:rsid w:val="54AB7258"/>
    <w:rsid w:val="54AD082A"/>
    <w:rsid w:val="54AE00FE"/>
    <w:rsid w:val="54B43966"/>
    <w:rsid w:val="54B5148C"/>
    <w:rsid w:val="54C17E31"/>
    <w:rsid w:val="54C65448"/>
    <w:rsid w:val="54C96B57"/>
    <w:rsid w:val="54D050DC"/>
    <w:rsid w:val="54D264E2"/>
    <w:rsid w:val="54D33113"/>
    <w:rsid w:val="54DF6509"/>
    <w:rsid w:val="54E04A17"/>
    <w:rsid w:val="54E405A7"/>
    <w:rsid w:val="54E44CA2"/>
    <w:rsid w:val="54F55D2D"/>
    <w:rsid w:val="54F57475"/>
    <w:rsid w:val="54F6391C"/>
    <w:rsid w:val="54FC70BB"/>
    <w:rsid w:val="54FD6B73"/>
    <w:rsid w:val="55006BAB"/>
    <w:rsid w:val="5503449C"/>
    <w:rsid w:val="5518601D"/>
    <w:rsid w:val="55216B22"/>
    <w:rsid w:val="55225714"/>
    <w:rsid w:val="55276B2C"/>
    <w:rsid w:val="55281597"/>
    <w:rsid w:val="553C69B2"/>
    <w:rsid w:val="55400FE4"/>
    <w:rsid w:val="5543118E"/>
    <w:rsid w:val="55473A9D"/>
    <w:rsid w:val="554E0454"/>
    <w:rsid w:val="554F368F"/>
    <w:rsid w:val="55517407"/>
    <w:rsid w:val="5555007B"/>
    <w:rsid w:val="555714B5"/>
    <w:rsid w:val="55676E3B"/>
    <w:rsid w:val="556E620B"/>
    <w:rsid w:val="556E7630"/>
    <w:rsid w:val="55744268"/>
    <w:rsid w:val="55780E38"/>
    <w:rsid w:val="5580322B"/>
    <w:rsid w:val="55825812"/>
    <w:rsid w:val="55827531"/>
    <w:rsid w:val="5583514A"/>
    <w:rsid w:val="55886BA1"/>
    <w:rsid w:val="558A69EE"/>
    <w:rsid w:val="559E0611"/>
    <w:rsid w:val="55A44845"/>
    <w:rsid w:val="55A93125"/>
    <w:rsid w:val="55BE4C30"/>
    <w:rsid w:val="55C367C2"/>
    <w:rsid w:val="55C617FA"/>
    <w:rsid w:val="55CA71B9"/>
    <w:rsid w:val="55CB6E0A"/>
    <w:rsid w:val="55CD4BC0"/>
    <w:rsid w:val="55D14D5F"/>
    <w:rsid w:val="55D1679A"/>
    <w:rsid w:val="55E243C4"/>
    <w:rsid w:val="55EC2C79"/>
    <w:rsid w:val="55EE2EA8"/>
    <w:rsid w:val="55F61D5C"/>
    <w:rsid w:val="560256B0"/>
    <w:rsid w:val="560908AB"/>
    <w:rsid w:val="56093396"/>
    <w:rsid w:val="56116B96"/>
    <w:rsid w:val="561D553B"/>
    <w:rsid w:val="56264966"/>
    <w:rsid w:val="56283049"/>
    <w:rsid w:val="562E610E"/>
    <w:rsid w:val="56310FE7"/>
    <w:rsid w:val="563665FD"/>
    <w:rsid w:val="564C5E20"/>
    <w:rsid w:val="564C7BCE"/>
    <w:rsid w:val="564E1B99"/>
    <w:rsid w:val="56521689"/>
    <w:rsid w:val="565D5647"/>
    <w:rsid w:val="5664616C"/>
    <w:rsid w:val="56665134"/>
    <w:rsid w:val="566B3616"/>
    <w:rsid w:val="566C5776"/>
    <w:rsid w:val="566E184F"/>
    <w:rsid w:val="566E3FE9"/>
    <w:rsid w:val="5671018D"/>
    <w:rsid w:val="567315FF"/>
    <w:rsid w:val="5675239F"/>
    <w:rsid w:val="56763AC6"/>
    <w:rsid w:val="56834F0D"/>
    <w:rsid w:val="56884DC7"/>
    <w:rsid w:val="56916F31"/>
    <w:rsid w:val="5697709C"/>
    <w:rsid w:val="56A05E3F"/>
    <w:rsid w:val="56A731E6"/>
    <w:rsid w:val="56A8574D"/>
    <w:rsid w:val="56AA0510"/>
    <w:rsid w:val="56C42B77"/>
    <w:rsid w:val="56D0330B"/>
    <w:rsid w:val="56D24DB9"/>
    <w:rsid w:val="56D33179"/>
    <w:rsid w:val="56DE2CEF"/>
    <w:rsid w:val="56E8798C"/>
    <w:rsid w:val="56EE21B9"/>
    <w:rsid w:val="56F23EB5"/>
    <w:rsid w:val="57056FEA"/>
    <w:rsid w:val="57064F84"/>
    <w:rsid w:val="571C6B19"/>
    <w:rsid w:val="5726160C"/>
    <w:rsid w:val="572B2E52"/>
    <w:rsid w:val="57312FF3"/>
    <w:rsid w:val="57323081"/>
    <w:rsid w:val="57354828"/>
    <w:rsid w:val="57403E9E"/>
    <w:rsid w:val="57480FB9"/>
    <w:rsid w:val="574F3973"/>
    <w:rsid w:val="5755458A"/>
    <w:rsid w:val="57555A3D"/>
    <w:rsid w:val="575753AE"/>
    <w:rsid w:val="575C2093"/>
    <w:rsid w:val="57604227"/>
    <w:rsid w:val="57672F12"/>
    <w:rsid w:val="576942DD"/>
    <w:rsid w:val="57697B57"/>
    <w:rsid w:val="576B0DA0"/>
    <w:rsid w:val="577332BA"/>
    <w:rsid w:val="57783371"/>
    <w:rsid w:val="57791C46"/>
    <w:rsid w:val="577B33D6"/>
    <w:rsid w:val="57833AC4"/>
    <w:rsid w:val="578C6155"/>
    <w:rsid w:val="578F0028"/>
    <w:rsid w:val="578F4217"/>
    <w:rsid w:val="57917F8F"/>
    <w:rsid w:val="57953B57"/>
    <w:rsid w:val="57983560"/>
    <w:rsid w:val="579A524A"/>
    <w:rsid w:val="579D7124"/>
    <w:rsid w:val="579E445A"/>
    <w:rsid w:val="57A51C8C"/>
    <w:rsid w:val="57AE4CCA"/>
    <w:rsid w:val="57B22417"/>
    <w:rsid w:val="57B3383E"/>
    <w:rsid w:val="57BB500C"/>
    <w:rsid w:val="57C00874"/>
    <w:rsid w:val="57C749E0"/>
    <w:rsid w:val="57C927A7"/>
    <w:rsid w:val="57CB25AC"/>
    <w:rsid w:val="57CB45C0"/>
    <w:rsid w:val="57D6077A"/>
    <w:rsid w:val="57E31C08"/>
    <w:rsid w:val="57E502DB"/>
    <w:rsid w:val="57E83927"/>
    <w:rsid w:val="57E866C9"/>
    <w:rsid w:val="57EE3633"/>
    <w:rsid w:val="57F0234F"/>
    <w:rsid w:val="57F03FAE"/>
    <w:rsid w:val="57F66044"/>
    <w:rsid w:val="57FA3D86"/>
    <w:rsid w:val="580469B3"/>
    <w:rsid w:val="580544D9"/>
    <w:rsid w:val="580F0297"/>
    <w:rsid w:val="582232DD"/>
    <w:rsid w:val="58227637"/>
    <w:rsid w:val="583628E4"/>
    <w:rsid w:val="58376A76"/>
    <w:rsid w:val="584A6390"/>
    <w:rsid w:val="585C3C2E"/>
    <w:rsid w:val="585F1E3B"/>
    <w:rsid w:val="586966C6"/>
    <w:rsid w:val="586B764B"/>
    <w:rsid w:val="58754A86"/>
    <w:rsid w:val="58782EFD"/>
    <w:rsid w:val="58787F0A"/>
    <w:rsid w:val="5886709C"/>
    <w:rsid w:val="588840E5"/>
    <w:rsid w:val="58893856"/>
    <w:rsid w:val="588A1893"/>
    <w:rsid w:val="588B0E82"/>
    <w:rsid w:val="588F1D73"/>
    <w:rsid w:val="58913FBE"/>
    <w:rsid w:val="58937D37"/>
    <w:rsid w:val="589406EF"/>
    <w:rsid w:val="58977AC0"/>
    <w:rsid w:val="589C6BEB"/>
    <w:rsid w:val="589F0489"/>
    <w:rsid w:val="58A401B3"/>
    <w:rsid w:val="58A65CBC"/>
    <w:rsid w:val="58AC2BA6"/>
    <w:rsid w:val="58B02697"/>
    <w:rsid w:val="58B06B3A"/>
    <w:rsid w:val="58B40D71"/>
    <w:rsid w:val="58C85C32"/>
    <w:rsid w:val="58CA7BFC"/>
    <w:rsid w:val="58CD492B"/>
    <w:rsid w:val="58D04AE7"/>
    <w:rsid w:val="58D14644"/>
    <w:rsid w:val="58DD0FB2"/>
    <w:rsid w:val="58DF11CE"/>
    <w:rsid w:val="58DF1F01"/>
    <w:rsid w:val="58E16CF4"/>
    <w:rsid w:val="58F52598"/>
    <w:rsid w:val="58F72073"/>
    <w:rsid w:val="59026E45"/>
    <w:rsid w:val="59044790"/>
    <w:rsid w:val="590645DA"/>
    <w:rsid w:val="59107818"/>
    <w:rsid w:val="59172716"/>
    <w:rsid w:val="591E5852"/>
    <w:rsid w:val="591F15CA"/>
    <w:rsid w:val="59247DA9"/>
    <w:rsid w:val="59295D87"/>
    <w:rsid w:val="593212FE"/>
    <w:rsid w:val="593705EE"/>
    <w:rsid w:val="593F279A"/>
    <w:rsid w:val="59457283"/>
    <w:rsid w:val="594A2253"/>
    <w:rsid w:val="59594959"/>
    <w:rsid w:val="595F4F33"/>
    <w:rsid w:val="59611522"/>
    <w:rsid w:val="59622119"/>
    <w:rsid w:val="597569E8"/>
    <w:rsid w:val="5980662B"/>
    <w:rsid w:val="598F6750"/>
    <w:rsid w:val="59973856"/>
    <w:rsid w:val="599C0E6D"/>
    <w:rsid w:val="599C6D5A"/>
    <w:rsid w:val="599E145F"/>
    <w:rsid w:val="59A0270B"/>
    <w:rsid w:val="59A05551"/>
    <w:rsid w:val="59A26483"/>
    <w:rsid w:val="59A77780"/>
    <w:rsid w:val="59B63CDD"/>
    <w:rsid w:val="59C74AA1"/>
    <w:rsid w:val="59C94DFC"/>
    <w:rsid w:val="59CC0CC5"/>
    <w:rsid w:val="59D800F7"/>
    <w:rsid w:val="59DD205E"/>
    <w:rsid w:val="59E22D24"/>
    <w:rsid w:val="59E52814"/>
    <w:rsid w:val="59E62A83"/>
    <w:rsid w:val="59E655B4"/>
    <w:rsid w:val="59E81184"/>
    <w:rsid w:val="59EF5441"/>
    <w:rsid w:val="59F033A8"/>
    <w:rsid w:val="59F34F31"/>
    <w:rsid w:val="59F9006D"/>
    <w:rsid w:val="5A001125"/>
    <w:rsid w:val="5A094754"/>
    <w:rsid w:val="5A127C5A"/>
    <w:rsid w:val="5A18742D"/>
    <w:rsid w:val="5A230CE7"/>
    <w:rsid w:val="5A366373"/>
    <w:rsid w:val="5A3A1404"/>
    <w:rsid w:val="5A3A2B60"/>
    <w:rsid w:val="5A3B5F77"/>
    <w:rsid w:val="5A405CDC"/>
    <w:rsid w:val="5A470DD9"/>
    <w:rsid w:val="5A4E2167"/>
    <w:rsid w:val="5A532C1D"/>
    <w:rsid w:val="5A567D10"/>
    <w:rsid w:val="5A582FE6"/>
    <w:rsid w:val="5A59655A"/>
    <w:rsid w:val="5A5B4884"/>
    <w:rsid w:val="5A5C0554"/>
    <w:rsid w:val="5A61633E"/>
    <w:rsid w:val="5A663955"/>
    <w:rsid w:val="5A771D26"/>
    <w:rsid w:val="5A7A7400"/>
    <w:rsid w:val="5A7C027A"/>
    <w:rsid w:val="5A800A58"/>
    <w:rsid w:val="5A805270"/>
    <w:rsid w:val="5A8941AD"/>
    <w:rsid w:val="5A8C4D66"/>
    <w:rsid w:val="5A8D38C7"/>
    <w:rsid w:val="5A90452E"/>
    <w:rsid w:val="5A9B1124"/>
    <w:rsid w:val="5AA65849"/>
    <w:rsid w:val="5AAE0E58"/>
    <w:rsid w:val="5AB45570"/>
    <w:rsid w:val="5AB6080C"/>
    <w:rsid w:val="5AB946B3"/>
    <w:rsid w:val="5ABA5A4E"/>
    <w:rsid w:val="5ABA77FD"/>
    <w:rsid w:val="5AC01B9F"/>
    <w:rsid w:val="5ACB1A0A"/>
    <w:rsid w:val="5ACD73E4"/>
    <w:rsid w:val="5AD92379"/>
    <w:rsid w:val="5AE12973"/>
    <w:rsid w:val="5AEE1C72"/>
    <w:rsid w:val="5AEE56F8"/>
    <w:rsid w:val="5AF30D97"/>
    <w:rsid w:val="5AF656AC"/>
    <w:rsid w:val="5AF80325"/>
    <w:rsid w:val="5B013B70"/>
    <w:rsid w:val="5B0865DE"/>
    <w:rsid w:val="5B0867BA"/>
    <w:rsid w:val="5B092532"/>
    <w:rsid w:val="5B0E0F0F"/>
    <w:rsid w:val="5B10566E"/>
    <w:rsid w:val="5B13515F"/>
    <w:rsid w:val="5B174C4F"/>
    <w:rsid w:val="5B215CCF"/>
    <w:rsid w:val="5B250C85"/>
    <w:rsid w:val="5B2E2399"/>
    <w:rsid w:val="5B2E29E9"/>
    <w:rsid w:val="5B313258"/>
    <w:rsid w:val="5B321A89"/>
    <w:rsid w:val="5B3D5BBC"/>
    <w:rsid w:val="5B3D5C55"/>
    <w:rsid w:val="5B411AA7"/>
    <w:rsid w:val="5B445318"/>
    <w:rsid w:val="5B5075BB"/>
    <w:rsid w:val="5B56652C"/>
    <w:rsid w:val="5B591312"/>
    <w:rsid w:val="5B6360E6"/>
    <w:rsid w:val="5B651126"/>
    <w:rsid w:val="5B7A1F69"/>
    <w:rsid w:val="5B7E704A"/>
    <w:rsid w:val="5B876AF2"/>
    <w:rsid w:val="5B8D3163"/>
    <w:rsid w:val="5B8D3C5B"/>
    <w:rsid w:val="5B98227D"/>
    <w:rsid w:val="5B9F6CF3"/>
    <w:rsid w:val="5BA92D4B"/>
    <w:rsid w:val="5BB4164A"/>
    <w:rsid w:val="5BD3501A"/>
    <w:rsid w:val="5BD4669C"/>
    <w:rsid w:val="5BD710E2"/>
    <w:rsid w:val="5BD90156"/>
    <w:rsid w:val="5BD90F85"/>
    <w:rsid w:val="5BDE751B"/>
    <w:rsid w:val="5BE30FD5"/>
    <w:rsid w:val="5BE70AC5"/>
    <w:rsid w:val="5BE74621"/>
    <w:rsid w:val="5BF67C29"/>
    <w:rsid w:val="5BF907F8"/>
    <w:rsid w:val="5BFE7BBD"/>
    <w:rsid w:val="5C034C57"/>
    <w:rsid w:val="5C035904"/>
    <w:rsid w:val="5C071628"/>
    <w:rsid w:val="5C074CC3"/>
    <w:rsid w:val="5C090374"/>
    <w:rsid w:val="5C1413D9"/>
    <w:rsid w:val="5C1E2373"/>
    <w:rsid w:val="5C1E3DBB"/>
    <w:rsid w:val="5C2C7992"/>
    <w:rsid w:val="5C311D40"/>
    <w:rsid w:val="5C361105"/>
    <w:rsid w:val="5C3D2493"/>
    <w:rsid w:val="5C3D41F1"/>
    <w:rsid w:val="5C3D6E97"/>
    <w:rsid w:val="5C5B500F"/>
    <w:rsid w:val="5C5D48E3"/>
    <w:rsid w:val="5C5F065B"/>
    <w:rsid w:val="5C635083"/>
    <w:rsid w:val="5C69772C"/>
    <w:rsid w:val="5C6F0828"/>
    <w:rsid w:val="5C743C9D"/>
    <w:rsid w:val="5C7D5F8B"/>
    <w:rsid w:val="5C871960"/>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D65F8E"/>
    <w:rsid w:val="5CD70F3A"/>
    <w:rsid w:val="5CD821BC"/>
    <w:rsid w:val="5CDA3F26"/>
    <w:rsid w:val="5CDB3C64"/>
    <w:rsid w:val="5CDD2041"/>
    <w:rsid w:val="5CDD33AE"/>
    <w:rsid w:val="5CE34071"/>
    <w:rsid w:val="5CED210B"/>
    <w:rsid w:val="5CF0446B"/>
    <w:rsid w:val="5CF52D6E"/>
    <w:rsid w:val="5CF54B1C"/>
    <w:rsid w:val="5CF80AB0"/>
    <w:rsid w:val="5D02030B"/>
    <w:rsid w:val="5D084E39"/>
    <w:rsid w:val="5D0964D7"/>
    <w:rsid w:val="5D105CF8"/>
    <w:rsid w:val="5D210677"/>
    <w:rsid w:val="5D2A4D65"/>
    <w:rsid w:val="5D2C42B6"/>
    <w:rsid w:val="5D331AE8"/>
    <w:rsid w:val="5D3851D3"/>
    <w:rsid w:val="5D423AD9"/>
    <w:rsid w:val="5D4D63B1"/>
    <w:rsid w:val="5D4E06D0"/>
    <w:rsid w:val="5D502E32"/>
    <w:rsid w:val="5D585F07"/>
    <w:rsid w:val="5D6A27A8"/>
    <w:rsid w:val="5D752101"/>
    <w:rsid w:val="5D75259B"/>
    <w:rsid w:val="5D861BCD"/>
    <w:rsid w:val="5D88074A"/>
    <w:rsid w:val="5D985696"/>
    <w:rsid w:val="5D9869B0"/>
    <w:rsid w:val="5D9D6994"/>
    <w:rsid w:val="5DA14CA4"/>
    <w:rsid w:val="5DA6050C"/>
    <w:rsid w:val="5DA64068"/>
    <w:rsid w:val="5DAB78D0"/>
    <w:rsid w:val="5DAD3E49"/>
    <w:rsid w:val="5DAE2321"/>
    <w:rsid w:val="5DBC5ECC"/>
    <w:rsid w:val="5DC32E6C"/>
    <w:rsid w:val="5DC343F9"/>
    <w:rsid w:val="5DC35E00"/>
    <w:rsid w:val="5DD07AF4"/>
    <w:rsid w:val="5DE2248A"/>
    <w:rsid w:val="5DE54B90"/>
    <w:rsid w:val="5DEA4642"/>
    <w:rsid w:val="5DEE0041"/>
    <w:rsid w:val="5E0016D0"/>
    <w:rsid w:val="5E0A6536"/>
    <w:rsid w:val="5E0F7E5F"/>
    <w:rsid w:val="5E1324AC"/>
    <w:rsid w:val="5E162F9C"/>
    <w:rsid w:val="5E1B1BA1"/>
    <w:rsid w:val="5E1D74C3"/>
    <w:rsid w:val="5E1E4546"/>
    <w:rsid w:val="5E1F63A1"/>
    <w:rsid w:val="5E231B5D"/>
    <w:rsid w:val="5E2356B9"/>
    <w:rsid w:val="5E246C69"/>
    <w:rsid w:val="5E2A529A"/>
    <w:rsid w:val="5E3476C9"/>
    <w:rsid w:val="5E361890"/>
    <w:rsid w:val="5E36363E"/>
    <w:rsid w:val="5E3D224D"/>
    <w:rsid w:val="5E3E7882"/>
    <w:rsid w:val="5E4E4E2C"/>
    <w:rsid w:val="5E4E6BDA"/>
    <w:rsid w:val="5E4F1664"/>
    <w:rsid w:val="5E4F64AE"/>
    <w:rsid w:val="5E5D4D99"/>
    <w:rsid w:val="5E6A153A"/>
    <w:rsid w:val="5E7E6701"/>
    <w:rsid w:val="5E841E57"/>
    <w:rsid w:val="5E8545C5"/>
    <w:rsid w:val="5E856373"/>
    <w:rsid w:val="5E9219AA"/>
    <w:rsid w:val="5E954808"/>
    <w:rsid w:val="5E9640DD"/>
    <w:rsid w:val="5E97383C"/>
    <w:rsid w:val="5EA42C9D"/>
    <w:rsid w:val="5EA507C4"/>
    <w:rsid w:val="5EB2004A"/>
    <w:rsid w:val="5EB32EE1"/>
    <w:rsid w:val="5EC46929"/>
    <w:rsid w:val="5ED35331"/>
    <w:rsid w:val="5ED52E57"/>
    <w:rsid w:val="5EDF5A84"/>
    <w:rsid w:val="5EE94B54"/>
    <w:rsid w:val="5EF05EE3"/>
    <w:rsid w:val="5EF57137"/>
    <w:rsid w:val="5EFE6E42"/>
    <w:rsid w:val="5F054FBD"/>
    <w:rsid w:val="5F0B3395"/>
    <w:rsid w:val="5F107AA7"/>
    <w:rsid w:val="5F1B3A4B"/>
    <w:rsid w:val="5F1D035A"/>
    <w:rsid w:val="5F240F6E"/>
    <w:rsid w:val="5F25151C"/>
    <w:rsid w:val="5F2F2747"/>
    <w:rsid w:val="5F304531"/>
    <w:rsid w:val="5F3131CD"/>
    <w:rsid w:val="5F335DCF"/>
    <w:rsid w:val="5F354FCC"/>
    <w:rsid w:val="5F381638"/>
    <w:rsid w:val="5F3A715E"/>
    <w:rsid w:val="5F46146B"/>
    <w:rsid w:val="5F4D50E3"/>
    <w:rsid w:val="5F50560B"/>
    <w:rsid w:val="5F5A480F"/>
    <w:rsid w:val="5F5A7800"/>
    <w:rsid w:val="5F5D3CF6"/>
    <w:rsid w:val="5F6212EE"/>
    <w:rsid w:val="5F641494"/>
    <w:rsid w:val="5F663652"/>
    <w:rsid w:val="5F6706E3"/>
    <w:rsid w:val="5F6847A5"/>
    <w:rsid w:val="5F6A74F3"/>
    <w:rsid w:val="5F702B80"/>
    <w:rsid w:val="5F734DD2"/>
    <w:rsid w:val="5F747CBB"/>
    <w:rsid w:val="5F7603BF"/>
    <w:rsid w:val="5F781A34"/>
    <w:rsid w:val="5F7B7494"/>
    <w:rsid w:val="5F821204"/>
    <w:rsid w:val="5F8672E6"/>
    <w:rsid w:val="5F903222"/>
    <w:rsid w:val="5FA32F55"/>
    <w:rsid w:val="5FA37CAF"/>
    <w:rsid w:val="5FA4174E"/>
    <w:rsid w:val="5FA62DEE"/>
    <w:rsid w:val="5FAC5FA5"/>
    <w:rsid w:val="5FB045E7"/>
    <w:rsid w:val="5FB707AE"/>
    <w:rsid w:val="5FB7255D"/>
    <w:rsid w:val="5FB91456"/>
    <w:rsid w:val="5FBC5A2C"/>
    <w:rsid w:val="5FBD4480"/>
    <w:rsid w:val="5FC93D7A"/>
    <w:rsid w:val="5FD2225B"/>
    <w:rsid w:val="5FDC1FC3"/>
    <w:rsid w:val="5FDD7B11"/>
    <w:rsid w:val="5FE01A64"/>
    <w:rsid w:val="5FE01AB3"/>
    <w:rsid w:val="5FE01C28"/>
    <w:rsid w:val="5FE570CA"/>
    <w:rsid w:val="5FE62E42"/>
    <w:rsid w:val="5FE80968"/>
    <w:rsid w:val="5FE938A5"/>
    <w:rsid w:val="5FEA0B84"/>
    <w:rsid w:val="5FFA7637"/>
    <w:rsid w:val="5FFC38E9"/>
    <w:rsid w:val="600914DE"/>
    <w:rsid w:val="600A090D"/>
    <w:rsid w:val="600D03CE"/>
    <w:rsid w:val="60144BDF"/>
    <w:rsid w:val="60145C01"/>
    <w:rsid w:val="6018063D"/>
    <w:rsid w:val="601A3622"/>
    <w:rsid w:val="602F1F75"/>
    <w:rsid w:val="60331A5C"/>
    <w:rsid w:val="60367589"/>
    <w:rsid w:val="60397415"/>
    <w:rsid w:val="603C28E6"/>
    <w:rsid w:val="603C6C42"/>
    <w:rsid w:val="603D527B"/>
    <w:rsid w:val="603F3A23"/>
    <w:rsid w:val="604007A4"/>
    <w:rsid w:val="60405A0D"/>
    <w:rsid w:val="604638E0"/>
    <w:rsid w:val="60511079"/>
    <w:rsid w:val="60597AB8"/>
    <w:rsid w:val="60653243"/>
    <w:rsid w:val="60681AA9"/>
    <w:rsid w:val="606C2ECA"/>
    <w:rsid w:val="607B445F"/>
    <w:rsid w:val="60824919"/>
    <w:rsid w:val="60886391"/>
    <w:rsid w:val="608A7C71"/>
    <w:rsid w:val="608D263A"/>
    <w:rsid w:val="609168F9"/>
    <w:rsid w:val="609371CC"/>
    <w:rsid w:val="60956D42"/>
    <w:rsid w:val="60A93E60"/>
    <w:rsid w:val="60B116A2"/>
    <w:rsid w:val="60B438B3"/>
    <w:rsid w:val="60B6122B"/>
    <w:rsid w:val="60BB42CE"/>
    <w:rsid w:val="60D16514"/>
    <w:rsid w:val="60D5551B"/>
    <w:rsid w:val="60D801D1"/>
    <w:rsid w:val="60D8398C"/>
    <w:rsid w:val="60E121F5"/>
    <w:rsid w:val="60F048A3"/>
    <w:rsid w:val="60F95222"/>
    <w:rsid w:val="610E79D9"/>
    <w:rsid w:val="612E2CF2"/>
    <w:rsid w:val="61302DBD"/>
    <w:rsid w:val="61333E65"/>
    <w:rsid w:val="613936FA"/>
    <w:rsid w:val="614147D4"/>
    <w:rsid w:val="61472254"/>
    <w:rsid w:val="61527A3D"/>
    <w:rsid w:val="615618D2"/>
    <w:rsid w:val="61574EC1"/>
    <w:rsid w:val="615A41CF"/>
    <w:rsid w:val="61630BEE"/>
    <w:rsid w:val="6165067D"/>
    <w:rsid w:val="61700C15"/>
    <w:rsid w:val="617028A6"/>
    <w:rsid w:val="617649CA"/>
    <w:rsid w:val="61796953"/>
    <w:rsid w:val="617E51EA"/>
    <w:rsid w:val="618042CE"/>
    <w:rsid w:val="61842912"/>
    <w:rsid w:val="618648DC"/>
    <w:rsid w:val="61867CBA"/>
    <w:rsid w:val="618860C5"/>
    <w:rsid w:val="618928AC"/>
    <w:rsid w:val="61913C09"/>
    <w:rsid w:val="619E1C26"/>
    <w:rsid w:val="61A94127"/>
    <w:rsid w:val="61A9504A"/>
    <w:rsid w:val="61AB60F1"/>
    <w:rsid w:val="61B60BBE"/>
    <w:rsid w:val="61BA5B6C"/>
    <w:rsid w:val="61BE553D"/>
    <w:rsid w:val="61BF5B0C"/>
    <w:rsid w:val="61D03DA9"/>
    <w:rsid w:val="61D6397A"/>
    <w:rsid w:val="61D76EE6"/>
    <w:rsid w:val="61DB6A4D"/>
    <w:rsid w:val="61E04AD9"/>
    <w:rsid w:val="61F555BE"/>
    <w:rsid w:val="6201775B"/>
    <w:rsid w:val="620D71A2"/>
    <w:rsid w:val="620F042E"/>
    <w:rsid w:val="62106035"/>
    <w:rsid w:val="621670CB"/>
    <w:rsid w:val="62172B4C"/>
    <w:rsid w:val="621E7D7A"/>
    <w:rsid w:val="62320319"/>
    <w:rsid w:val="62361A2E"/>
    <w:rsid w:val="6238312F"/>
    <w:rsid w:val="623920A5"/>
    <w:rsid w:val="62397BA1"/>
    <w:rsid w:val="623A36A7"/>
    <w:rsid w:val="623A61B6"/>
    <w:rsid w:val="623B6840"/>
    <w:rsid w:val="624D0F56"/>
    <w:rsid w:val="624E5AC5"/>
    <w:rsid w:val="625F6A4A"/>
    <w:rsid w:val="626C278F"/>
    <w:rsid w:val="62740596"/>
    <w:rsid w:val="6280553C"/>
    <w:rsid w:val="628232F6"/>
    <w:rsid w:val="628C499D"/>
    <w:rsid w:val="629D15BD"/>
    <w:rsid w:val="62A414BE"/>
    <w:rsid w:val="62AF7540"/>
    <w:rsid w:val="62B6362D"/>
    <w:rsid w:val="62B65BDA"/>
    <w:rsid w:val="62BD432E"/>
    <w:rsid w:val="62C21944"/>
    <w:rsid w:val="62CA6252"/>
    <w:rsid w:val="62D179A7"/>
    <w:rsid w:val="62D535D8"/>
    <w:rsid w:val="62DA07C5"/>
    <w:rsid w:val="62DA7DAA"/>
    <w:rsid w:val="62DB0217"/>
    <w:rsid w:val="62DD530F"/>
    <w:rsid w:val="62EF025F"/>
    <w:rsid w:val="62F82F7B"/>
    <w:rsid w:val="62FF4946"/>
    <w:rsid w:val="63041F5D"/>
    <w:rsid w:val="630C3F88"/>
    <w:rsid w:val="63116428"/>
    <w:rsid w:val="63131C60"/>
    <w:rsid w:val="632223E3"/>
    <w:rsid w:val="632473E0"/>
    <w:rsid w:val="632945F8"/>
    <w:rsid w:val="632F112F"/>
    <w:rsid w:val="633329E6"/>
    <w:rsid w:val="63347148"/>
    <w:rsid w:val="634379A6"/>
    <w:rsid w:val="63512CC8"/>
    <w:rsid w:val="635527B8"/>
    <w:rsid w:val="635822A8"/>
    <w:rsid w:val="636649C5"/>
    <w:rsid w:val="6367429A"/>
    <w:rsid w:val="636D38E3"/>
    <w:rsid w:val="636F2CBC"/>
    <w:rsid w:val="6372336A"/>
    <w:rsid w:val="63730E90"/>
    <w:rsid w:val="63A66B70"/>
    <w:rsid w:val="63AB4186"/>
    <w:rsid w:val="63AD6150"/>
    <w:rsid w:val="63B35BE5"/>
    <w:rsid w:val="63B573FB"/>
    <w:rsid w:val="63BC7619"/>
    <w:rsid w:val="63C86E42"/>
    <w:rsid w:val="63CE60C7"/>
    <w:rsid w:val="63CF256B"/>
    <w:rsid w:val="63D77671"/>
    <w:rsid w:val="63E61222"/>
    <w:rsid w:val="63FF035D"/>
    <w:rsid w:val="64016C68"/>
    <w:rsid w:val="64025D70"/>
    <w:rsid w:val="64041ABE"/>
    <w:rsid w:val="64061D04"/>
    <w:rsid w:val="64070C3A"/>
    <w:rsid w:val="640A2E5C"/>
    <w:rsid w:val="640B4E4E"/>
    <w:rsid w:val="6416213F"/>
    <w:rsid w:val="641E704E"/>
    <w:rsid w:val="64252409"/>
    <w:rsid w:val="64277EAD"/>
    <w:rsid w:val="642908B4"/>
    <w:rsid w:val="642D103F"/>
    <w:rsid w:val="642F125B"/>
    <w:rsid w:val="643527F9"/>
    <w:rsid w:val="643F585C"/>
    <w:rsid w:val="64477D24"/>
    <w:rsid w:val="644B7C6E"/>
    <w:rsid w:val="645E744B"/>
    <w:rsid w:val="645F1659"/>
    <w:rsid w:val="64607667"/>
    <w:rsid w:val="646A6EA6"/>
    <w:rsid w:val="64722EF6"/>
    <w:rsid w:val="64740A1C"/>
    <w:rsid w:val="64746C6E"/>
    <w:rsid w:val="647E5BE3"/>
    <w:rsid w:val="648C74E3"/>
    <w:rsid w:val="64933B65"/>
    <w:rsid w:val="64987D89"/>
    <w:rsid w:val="649D7C7E"/>
    <w:rsid w:val="649F4289"/>
    <w:rsid w:val="64A4627B"/>
    <w:rsid w:val="64A6641F"/>
    <w:rsid w:val="64A758F9"/>
    <w:rsid w:val="64AC28AC"/>
    <w:rsid w:val="64AC6408"/>
    <w:rsid w:val="64B17EC2"/>
    <w:rsid w:val="64B25D57"/>
    <w:rsid w:val="64BA03AB"/>
    <w:rsid w:val="64C64FF0"/>
    <w:rsid w:val="64C9520C"/>
    <w:rsid w:val="64CC6AAA"/>
    <w:rsid w:val="64DA5E0B"/>
    <w:rsid w:val="64DB6CED"/>
    <w:rsid w:val="64DE67DD"/>
    <w:rsid w:val="64E2758F"/>
    <w:rsid w:val="64E732AE"/>
    <w:rsid w:val="64EB797F"/>
    <w:rsid w:val="64F105C1"/>
    <w:rsid w:val="64F6539B"/>
    <w:rsid w:val="651641C9"/>
    <w:rsid w:val="652228B0"/>
    <w:rsid w:val="65244DE3"/>
    <w:rsid w:val="65292CF6"/>
    <w:rsid w:val="652B08B5"/>
    <w:rsid w:val="652B723C"/>
    <w:rsid w:val="6534385F"/>
    <w:rsid w:val="65392928"/>
    <w:rsid w:val="653B778C"/>
    <w:rsid w:val="653E0329"/>
    <w:rsid w:val="654674C5"/>
    <w:rsid w:val="65484A48"/>
    <w:rsid w:val="65491EA9"/>
    <w:rsid w:val="65530F79"/>
    <w:rsid w:val="65566374"/>
    <w:rsid w:val="655A5E64"/>
    <w:rsid w:val="655B398A"/>
    <w:rsid w:val="656206A5"/>
    <w:rsid w:val="65623600"/>
    <w:rsid w:val="656976B0"/>
    <w:rsid w:val="656A57C4"/>
    <w:rsid w:val="656D408F"/>
    <w:rsid w:val="656E5DB3"/>
    <w:rsid w:val="6570115F"/>
    <w:rsid w:val="65707DEA"/>
    <w:rsid w:val="65765E72"/>
    <w:rsid w:val="657F58CB"/>
    <w:rsid w:val="65817895"/>
    <w:rsid w:val="65896749"/>
    <w:rsid w:val="658B3C23"/>
    <w:rsid w:val="658D036C"/>
    <w:rsid w:val="65901116"/>
    <w:rsid w:val="659908BE"/>
    <w:rsid w:val="659A0956"/>
    <w:rsid w:val="65A447B7"/>
    <w:rsid w:val="65A52645"/>
    <w:rsid w:val="65AA660F"/>
    <w:rsid w:val="65B01973"/>
    <w:rsid w:val="65BE21B3"/>
    <w:rsid w:val="65BE264A"/>
    <w:rsid w:val="65C634F9"/>
    <w:rsid w:val="65D1317E"/>
    <w:rsid w:val="65D73958"/>
    <w:rsid w:val="65E059A3"/>
    <w:rsid w:val="65E51816"/>
    <w:rsid w:val="65E575C2"/>
    <w:rsid w:val="65F660A6"/>
    <w:rsid w:val="65FB4FFA"/>
    <w:rsid w:val="66134265"/>
    <w:rsid w:val="661C5E23"/>
    <w:rsid w:val="663B4FEF"/>
    <w:rsid w:val="663B6ADC"/>
    <w:rsid w:val="663D1F2D"/>
    <w:rsid w:val="66432D9C"/>
    <w:rsid w:val="664B1C51"/>
    <w:rsid w:val="664D6B97"/>
    <w:rsid w:val="66551508"/>
    <w:rsid w:val="66552ACF"/>
    <w:rsid w:val="6657649E"/>
    <w:rsid w:val="6659436D"/>
    <w:rsid w:val="665C34BE"/>
    <w:rsid w:val="665F74AA"/>
    <w:rsid w:val="666845B1"/>
    <w:rsid w:val="6669068F"/>
    <w:rsid w:val="66703465"/>
    <w:rsid w:val="66707909"/>
    <w:rsid w:val="6672542F"/>
    <w:rsid w:val="66794A10"/>
    <w:rsid w:val="667C62AE"/>
    <w:rsid w:val="66805D9E"/>
    <w:rsid w:val="668263D9"/>
    <w:rsid w:val="66826704"/>
    <w:rsid w:val="668A2779"/>
    <w:rsid w:val="668C6F35"/>
    <w:rsid w:val="668F7D8F"/>
    <w:rsid w:val="66903B07"/>
    <w:rsid w:val="66914861"/>
    <w:rsid w:val="66954650"/>
    <w:rsid w:val="66990550"/>
    <w:rsid w:val="669971F6"/>
    <w:rsid w:val="66A11F66"/>
    <w:rsid w:val="66A51361"/>
    <w:rsid w:val="66A54030"/>
    <w:rsid w:val="66AF4903"/>
    <w:rsid w:val="66B31CC5"/>
    <w:rsid w:val="66B612EF"/>
    <w:rsid w:val="66BB5028"/>
    <w:rsid w:val="66BC3299"/>
    <w:rsid w:val="66D71736"/>
    <w:rsid w:val="66D87988"/>
    <w:rsid w:val="66DB14FC"/>
    <w:rsid w:val="66E83943"/>
    <w:rsid w:val="66EA4BFD"/>
    <w:rsid w:val="66ED4AB6"/>
    <w:rsid w:val="66F26C83"/>
    <w:rsid w:val="66FD119D"/>
    <w:rsid w:val="67024A05"/>
    <w:rsid w:val="670C33CD"/>
    <w:rsid w:val="670F0ED0"/>
    <w:rsid w:val="670F2C7E"/>
    <w:rsid w:val="671102C9"/>
    <w:rsid w:val="671D35ED"/>
    <w:rsid w:val="6727016E"/>
    <w:rsid w:val="67302D72"/>
    <w:rsid w:val="67367BDE"/>
    <w:rsid w:val="67383895"/>
    <w:rsid w:val="673C3F4D"/>
    <w:rsid w:val="673D6C8E"/>
    <w:rsid w:val="67401089"/>
    <w:rsid w:val="674072DB"/>
    <w:rsid w:val="67515045"/>
    <w:rsid w:val="675E7762"/>
    <w:rsid w:val="676034DA"/>
    <w:rsid w:val="67620795"/>
    <w:rsid w:val="67650AA1"/>
    <w:rsid w:val="676B3D88"/>
    <w:rsid w:val="678C7972"/>
    <w:rsid w:val="67901824"/>
    <w:rsid w:val="67910EA4"/>
    <w:rsid w:val="679B538E"/>
    <w:rsid w:val="67A03B90"/>
    <w:rsid w:val="67A535E2"/>
    <w:rsid w:val="67A7735B"/>
    <w:rsid w:val="67AD6FA5"/>
    <w:rsid w:val="67B46B65"/>
    <w:rsid w:val="67B64405"/>
    <w:rsid w:val="67B6759E"/>
    <w:rsid w:val="67B825EE"/>
    <w:rsid w:val="67BA4365"/>
    <w:rsid w:val="67C21C75"/>
    <w:rsid w:val="67C65A33"/>
    <w:rsid w:val="67C73559"/>
    <w:rsid w:val="67CE6F06"/>
    <w:rsid w:val="67D068B1"/>
    <w:rsid w:val="67DF6AF4"/>
    <w:rsid w:val="67DF71BB"/>
    <w:rsid w:val="67E4410B"/>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3299C"/>
    <w:rsid w:val="68352BB8"/>
    <w:rsid w:val="6838340B"/>
    <w:rsid w:val="683B72BC"/>
    <w:rsid w:val="6845021D"/>
    <w:rsid w:val="684C483A"/>
    <w:rsid w:val="68537E16"/>
    <w:rsid w:val="685B4079"/>
    <w:rsid w:val="6867275C"/>
    <w:rsid w:val="68694610"/>
    <w:rsid w:val="686B0388"/>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A5B4D"/>
    <w:rsid w:val="68B161D3"/>
    <w:rsid w:val="68B30CED"/>
    <w:rsid w:val="68B3402F"/>
    <w:rsid w:val="68BC680B"/>
    <w:rsid w:val="68C006D4"/>
    <w:rsid w:val="68C55A28"/>
    <w:rsid w:val="68C61A62"/>
    <w:rsid w:val="68C656C9"/>
    <w:rsid w:val="68C667CC"/>
    <w:rsid w:val="68C857DA"/>
    <w:rsid w:val="68C93813"/>
    <w:rsid w:val="68CA50AF"/>
    <w:rsid w:val="68CF0917"/>
    <w:rsid w:val="68F63A6F"/>
    <w:rsid w:val="68F93BE6"/>
    <w:rsid w:val="68FC5484"/>
    <w:rsid w:val="69011A03"/>
    <w:rsid w:val="69036813"/>
    <w:rsid w:val="691427CE"/>
    <w:rsid w:val="69194FE4"/>
    <w:rsid w:val="69201173"/>
    <w:rsid w:val="692C087F"/>
    <w:rsid w:val="692F585A"/>
    <w:rsid w:val="69325074"/>
    <w:rsid w:val="693B3D95"/>
    <w:rsid w:val="693E5A9D"/>
    <w:rsid w:val="6940200D"/>
    <w:rsid w:val="69470DF5"/>
    <w:rsid w:val="695E7C81"/>
    <w:rsid w:val="696230A8"/>
    <w:rsid w:val="69636512"/>
    <w:rsid w:val="696D1EDE"/>
    <w:rsid w:val="696E697F"/>
    <w:rsid w:val="69700315"/>
    <w:rsid w:val="69703A94"/>
    <w:rsid w:val="697414BE"/>
    <w:rsid w:val="69766FE4"/>
    <w:rsid w:val="697B45FB"/>
    <w:rsid w:val="697F233D"/>
    <w:rsid w:val="6982764E"/>
    <w:rsid w:val="698A1782"/>
    <w:rsid w:val="698C2CAC"/>
    <w:rsid w:val="6994390F"/>
    <w:rsid w:val="69981651"/>
    <w:rsid w:val="699B6A4B"/>
    <w:rsid w:val="69A41DA4"/>
    <w:rsid w:val="69AC6EAA"/>
    <w:rsid w:val="69B30239"/>
    <w:rsid w:val="69BE09A8"/>
    <w:rsid w:val="69CE0BCF"/>
    <w:rsid w:val="69D16A9C"/>
    <w:rsid w:val="69DC2584"/>
    <w:rsid w:val="69E06B54"/>
    <w:rsid w:val="6A0B3BD1"/>
    <w:rsid w:val="6A0B4DA2"/>
    <w:rsid w:val="6A0D4CED"/>
    <w:rsid w:val="6A1C4030"/>
    <w:rsid w:val="6A2133F4"/>
    <w:rsid w:val="6A2151A2"/>
    <w:rsid w:val="6A3430A0"/>
    <w:rsid w:val="6A3C571E"/>
    <w:rsid w:val="6A3F1ACC"/>
    <w:rsid w:val="6A452BC9"/>
    <w:rsid w:val="6A482602"/>
    <w:rsid w:val="6A4E1D0F"/>
    <w:rsid w:val="6A521800"/>
    <w:rsid w:val="6A623F41"/>
    <w:rsid w:val="6A6908F7"/>
    <w:rsid w:val="6A6B570C"/>
    <w:rsid w:val="6A6E5F0E"/>
    <w:rsid w:val="6A7554EE"/>
    <w:rsid w:val="6A837C0B"/>
    <w:rsid w:val="6A877213"/>
    <w:rsid w:val="6A8B520E"/>
    <w:rsid w:val="6A8D0A8A"/>
    <w:rsid w:val="6A9D12E5"/>
    <w:rsid w:val="6AA54025"/>
    <w:rsid w:val="6AA778F8"/>
    <w:rsid w:val="6AAB2D00"/>
    <w:rsid w:val="6ABB5326"/>
    <w:rsid w:val="6AC27C99"/>
    <w:rsid w:val="6AC703D4"/>
    <w:rsid w:val="6AC87D14"/>
    <w:rsid w:val="6ACC63C3"/>
    <w:rsid w:val="6AD14E1A"/>
    <w:rsid w:val="6AE6658B"/>
    <w:rsid w:val="6AEA1A38"/>
    <w:rsid w:val="6AED32D6"/>
    <w:rsid w:val="6AF01018"/>
    <w:rsid w:val="6B014FD4"/>
    <w:rsid w:val="6B040620"/>
    <w:rsid w:val="6B0546BF"/>
    <w:rsid w:val="6B140A94"/>
    <w:rsid w:val="6B1765A5"/>
    <w:rsid w:val="6B1E5B86"/>
    <w:rsid w:val="6B225676"/>
    <w:rsid w:val="6B2A0DD1"/>
    <w:rsid w:val="6B2A62D8"/>
    <w:rsid w:val="6B3123E5"/>
    <w:rsid w:val="6B3928DE"/>
    <w:rsid w:val="6B3A571B"/>
    <w:rsid w:val="6B3D24B0"/>
    <w:rsid w:val="6B3E1D84"/>
    <w:rsid w:val="6B421874"/>
    <w:rsid w:val="6B433182"/>
    <w:rsid w:val="6B454EC0"/>
    <w:rsid w:val="6B4D6993"/>
    <w:rsid w:val="6B4E304B"/>
    <w:rsid w:val="6B515E8F"/>
    <w:rsid w:val="6B594E10"/>
    <w:rsid w:val="6B5B6012"/>
    <w:rsid w:val="6B680BAF"/>
    <w:rsid w:val="6B6905B2"/>
    <w:rsid w:val="6B715CB5"/>
    <w:rsid w:val="6B7B6CF5"/>
    <w:rsid w:val="6B8C2AEF"/>
    <w:rsid w:val="6B8D6867"/>
    <w:rsid w:val="6B9120BE"/>
    <w:rsid w:val="6B942D3D"/>
    <w:rsid w:val="6B980468"/>
    <w:rsid w:val="6B9A0316"/>
    <w:rsid w:val="6BA22B89"/>
    <w:rsid w:val="6BA37769"/>
    <w:rsid w:val="6BA56514"/>
    <w:rsid w:val="6BB7760B"/>
    <w:rsid w:val="6BB8600B"/>
    <w:rsid w:val="6BB93481"/>
    <w:rsid w:val="6BB95D93"/>
    <w:rsid w:val="6BC15C2B"/>
    <w:rsid w:val="6BC4672D"/>
    <w:rsid w:val="6BC530A7"/>
    <w:rsid w:val="6BCB7ABB"/>
    <w:rsid w:val="6BCC7390"/>
    <w:rsid w:val="6BD24A28"/>
    <w:rsid w:val="6BD46244"/>
    <w:rsid w:val="6BD6020E"/>
    <w:rsid w:val="6BD66471"/>
    <w:rsid w:val="6BE22552"/>
    <w:rsid w:val="6BE7241B"/>
    <w:rsid w:val="6BEE4FC6"/>
    <w:rsid w:val="6BF52DE2"/>
    <w:rsid w:val="6BF863D7"/>
    <w:rsid w:val="6BFB3638"/>
    <w:rsid w:val="6C107BF8"/>
    <w:rsid w:val="6C1D78D9"/>
    <w:rsid w:val="6C1E7857"/>
    <w:rsid w:val="6C2101A9"/>
    <w:rsid w:val="6C2B5B16"/>
    <w:rsid w:val="6C302ABE"/>
    <w:rsid w:val="6C3073D8"/>
    <w:rsid w:val="6C33669E"/>
    <w:rsid w:val="6C494E84"/>
    <w:rsid w:val="6C4B4758"/>
    <w:rsid w:val="6C532B1A"/>
    <w:rsid w:val="6C5630FD"/>
    <w:rsid w:val="6C5A499B"/>
    <w:rsid w:val="6C63290C"/>
    <w:rsid w:val="6C7066C8"/>
    <w:rsid w:val="6C716E95"/>
    <w:rsid w:val="6C77554D"/>
    <w:rsid w:val="6C8726F7"/>
    <w:rsid w:val="6C8A0385"/>
    <w:rsid w:val="6C9C6D62"/>
    <w:rsid w:val="6CA7022C"/>
    <w:rsid w:val="6CAB1B96"/>
    <w:rsid w:val="6CB2643C"/>
    <w:rsid w:val="6CB319F4"/>
    <w:rsid w:val="6CB775D6"/>
    <w:rsid w:val="6CBC783E"/>
    <w:rsid w:val="6CBF2773"/>
    <w:rsid w:val="6CC369E5"/>
    <w:rsid w:val="6CC4275D"/>
    <w:rsid w:val="6CC462B9"/>
    <w:rsid w:val="6CDE55CC"/>
    <w:rsid w:val="6CDF1345"/>
    <w:rsid w:val="6CE54BAD"/>
    <w:rsid w:val="6CEA21C3"/>
    <w:rsid w:val="6CEB1A97"/>
    <w:rsid w:val="6CEB70AA"/>
    <w:rsid w:val="6CF05300"/>
    <w:rsid w:val="6CF22E26"/>
    <w:rsid w:val="6CF34F90"/>
    <w:rsid w:val="6CF43042"/>
    <w:rsid w:val="6CF76761"/>
    <w:rsid w:val="6CFA66BC"/>
    <w:rsid w:val="6D093C1F"/>
    <w:rsid w:val="6D147240"/>
    <w:rsid w:val="6D1C1338"/>
    <w:rsid w:val="6D1E3C1B"/>
    <w:rsid w:val="6D241DD6"/>
    <w:rsid w:val="6D261FE2"/>
    <w:rsid w:val="6D3A2C36"/>
    <w:rsid w:val="6D3B47CD"/>
    <w:rsid w:val="6D4C4C2C"/>
    <w:rsid w:val="6D4D62AE"/>
    <w:rsid w:val="6D5263BD"/>
    <w:rsid w:val="6D567859"/>
    <w:rsid w:val="6D5923AE"/>
    <w:rsid w:val="6D5B4E6F"/>
    <w:rsid w:val="6D657A9C"/>
    <w:rsid w:val="6D6B4CAD"/>
    <w:rsid w:val="6D714693"/>
    <w:rsid w:val="6D72274B"/>
    <w:rsid w:val="6D7418F5"/>
    <w:rsid w:val="6D754438"/>
    <w:rsid w:val="6D7C458B"/>
    <w:rsid w:val="6D7D3D2A"/>
    <w:rsid w:val="6D8141AA"/>
    <w:rsid w:val="6D853C9A"/>
    <w:rsid w:val="6D87328B"/>
    <w:rsid w:val="6D877A12"/>
    <w:rsid w:val="6D8C026B"/>
    <w:rsid w:val="6D8C1837"/>
    <w:rsid w:val="6D901B30"/>
    <w:rsid w:val="6D98498E"/>
    <w:rsid w:val="6D99628D"/>
    <w:rsid w:val="6D9B5D37"/>
    <w:rsid w:val="6D9D5378"/>
    <w:rsid w:val="6DA0000F"/>
    <w:rsid w:val="6DA06D26"/>
    <w:rsid w:val="6DA700B4"/>
    <w:rsid w:val="6DB30807"/>
    <w:rsid w:val="6DB620A5"/>
    <w:rsid w:val="6DB73718"/>
    <w:rsid w:val="6DB77BCC"/>
    <w:rsid w:val="6DBB76BC"/>
    <w:rsid w:val="6DC01870"/>
    <w:rsid w:val="6DC26C9C"/>
    <w:rsid w:val="6DCE632D"/>
    <w:rsid w:val="6DD469CF"/>
    <w:rsid w:val="6DD87EEB"/>
    <w:rsid w:val="6DDB7D5E"/>
    <w:rsid w:val="6DE06A16"/>
    <w:rsid w:val="6DED20C4"/>
    <w:rsid w:val="6DEE7A91"/>
    <w:rsid w:val="6DF9597F"/>
    <w:rsid w:val="6DFB36A6"/>
    <w:rsid w:val="6DFD7CD4"/>
    <w:rsid w:val="6E0861F9"/>
    <w:rsid w:val="6E0F421C"/>
    <w:rsid w:val="6E0F7A08"/>
    <w:rsid w:val="6E11552E"/>
    <w:rsid w:val="6E1814DE"/>
    <w:rsid w:val="6E1F5E9D"/>
    <w:rsid w:val="6E2141BB"/>
    <w:rsid w:val="6E314C1B"/>
    <w:rsid w:val="6E3D33F0"/>
    <w:rsid w:val="6E42797D"/>
    <w:rsid w:val="6E511D65"/>
    <w:rsid w:val="6E526272"/>
    <w:rsid w:val="6E563D5E"/>
    <w:rsid w:val="6E5773E2"/>
    <w:rsid w:val="6E5D0773"/>
    <w:rsid w:val="6E5E5C3B"/>
    <w:rsid w:val="6E602332"/>
    <w:rsid w:val="6E6040B1"/>
    <w:rsid w:val="6E6B2E90"/>
    <w:rsid w:val="6E786C73"/>
    <w:rsid w:val="6E8362CB"/>
    <w:rsid w:val="6E8607DF"/>
    <w:rsid w:val="6E8C5574"/>
    <w:rsid w:val="6E8E6B7E"/>
    <w:rsid w:val="6E900B48"/>
    <w:rsid w:val="6E9323E7"/>
    <w:rsid w:val="6E95110E"/>
    <w:rsid w:val="6E971216"/>
    <w:rsid w:val="6E9F5AF8"/>
    <w:rsid w:val="6EA662E7"/>
    <w:rsid w:val="6EC2024B"/>
    <w:rsid w:val="6ED400FB"/>
    <w:rsid w:val="6EE37AB3"/>
    <w:rsid w:val="6EE44D45"/>
    <w:rsid w:val="6EEC71C0"/>
    <w:rsid w:val="6EED60BF"/>
    <w:rsid w:val="6EF353C5"/>
    <w:rsid w:val="6EF52D06"/>
    <w:rsid w:val="6EFA3169"/>
    <w:rsid w:val="6F273C43"/>
    <w:rsid w:val="6F2F65B3"/>
    <w:rsid w:val="6F3410B3"/>
    <w:rsid w:val="6F392F8E"/>
    <w:rsid w:val="6F40256E"/>
    <w:rsid w:val="6F417668"/>
    <w:rsid w:val="6F452BFB"/>
    <w:rsid w:val="6F457B85"/>
    <w:rsid w:val="6F4B0F13"/>
    <w:rsid w:val="6F4E4E29"/>
    <w:rsid w:val="6F526915"/>
    <w:rsid w:val="6F543924"/>
    <w:rsid w:val="6F5759DB"/>
    <w:rsid w:val="6F5A1B67"/>
    <w:rsid w:val="6F5A2F04"/>
    <w:rsid w:val="6F5D70EC"/>
    <w:rsid w:val="6F6B5112"/>
    <w:rsid w:val="6F6D0E8A"/>
    <w:rsid w:val="6F712A12"/>
    <w:rsid w:val="6F72024E"/>
    <w:rsid w:val="6F773AB6"/>
    <w:rsid w:val="6F810491"/>
    <w:rsid w:val="6F8545BB"/>
    <w:rsid w:val="6F897868"/>
    <w:rsid w:val="6F926B42"/>
    <w:rsid w:val="6F991C7F"/>
    <w:rsid w:val="6FAF4FFE"/>
    <w:rsid w:val="6FB22D40"/>
    <w:rsid w:val="6FB22E23"/>
    <w:rsid w:val="6FB357E3"/>
    <w:rsid w:val="6FB63ED1"/>
    <w:rsid w:val="6FBB37E8"/>
    <w:rsid w:val="6FBD7A2F"/>
    <w:rsid w:val="6FC325D7"/>
    <w:rsid w:val="6FCC5BB0"/>
    <w:rsid w:val="6FCD2ECB"/>
    <w:rsid w:val="6FD03BBF"/>
    <w:rsid w:val="6FD44A65"/>
    <w:rsid w:val="6FE06948"/>
    <w:rsid w:val="6FE86762"/>
    <w:rsid w:val="6FEA4497"/>
    <w:rsid w:val="6FEC31DF"/>
    <w:rsid w:val="6FEE6936"/>
    <w:rsid w:val="7000463E"/>
    <w:rsid w:val="7000585A"/>
    <w:rsid w:val="7008021A"/>
    <w:rsid w:val="700C41FF"/>
    <w:rsid w:val="70197B71"/>
    <w:rsid w:val="701D453F"/>
    <w:rsid w:val="701D6A70"/>
    <w:rsid w:val="70223A22"/>
    <w:rsid w:val="70225B6A"/>
    <w:rsid w:val="70231548"/>
    <w:rsid w:val="70247FB9"/>
    <w:rsid w:val="70254AB1"/>
    <w:rsid w:val="70275718"/>
    <w:rsid w:val="702811CF"/>
    <w:rsid w:val="70293112"/>
    <w:rsid w:val="702F640E"/>
    <w:rsid w:val="703665E2"/>
    <w:rsid w:val="70384FF4"/>
    <w:rsid w:val="703D260A"/>
    <w:rsid w:val="70411F4E"/>
    <w:rsid w:val="7045295A"/>
    <w:rsid w:val="704C6CF1"/>
    <w:rsid w:val="704E0CBB"/>
    <w:rsid w:val="705171D8"/>
    <w:rsid w:val="70521BC1"/>
    <w:rsid w:val="705C2D66"/>
    <w:rsid w:val="705D2CAC"/>
    <w:rsid w:val="706752A1"/>
    <w:rsid w:val="70730722"/>
    <w:rsid w:val="70787AE6"/>
    <w:rsid w:val="70790109"/>
    <w:rsid w:val="707B1384"/>
    <w:rsid w:val="708446DD"/>
    <w:rsid w:val="70860455"/>
    <w:rsid w:val="708E757A"/>
    <w:rsid w:val="70936354"/>
    <w:rsid w:val="709366CE"/>
    <w:rsid w:val="70954D22"/>
    <w:rsid w:val="709D70DA"/>
    <w:rsid w:val="709D754D"/>
    <w:rsid w:val="709F1517"/>
    <w:rsid w:val="70A5697A"/>
    <w:rsid w:val="70AC0354"/>
    <w:rsid w:val="70AD3C34"/>
    <w:rsid w:val="70C66EAD"/>
    <w:rsid w:val="70CA22A0"/>
    <w:rsid w:val="70CB3C99"/>
    <w:rsid w:val="70CC15AD"/>
    <w:rsid w:val="70D25448"/>
    <w:rsid w:val="70D95624"/>
    <w:rsid w:val="70DE203F"/>
    <w:rsid w:val="70E60EF4"/>
    <w:rsid w:val="70E81A42"/>
    <w:rsid w:val="70E87D2E"/>
    <w:rsid w:val="70EF0726"/>
    <w:rsid w:val="70EF120B"/>
    <w:rsid w:val="70F54131"/>
    <w:rsid w:val="70FD13AF"/>
    <w:rsid w:val="70FF3D63"/>
    <w:rsid w:val="71007D30"/>
    <w:rsid w:val="7102506A"/>
    <w:rsid w:val="71035C4A"/>
    <w:rsid w:val="710B095A"/>
    <w:rsid w:val="710D1811"/>
    <w:rsid w:val="710D5338"/>
    <w:rsid w:val="71153587"/>
    <w:rsid w:val="711A50E8"/>
    <w:rsid w:val="711B76F1"/>
    <w:rsid w:val="711C2B67"/>
    <w:rsid w:val="711E678E"/>
    <w:rsid w:val="71220EF5"/>
    <w:rsid w:val="71237A52"/>
    <w:rsid w:val="71245815"/>
    <w:rsid w:val="71382182"/>
    <w:rsid w:val="71384BB7"/>
    <w:rsid w:val="71397275"/>
    <w:rsid w:val="7141437C"/>
    <w:rsid w:val="71436104"/>
    <w:rsid w:val="71694942"/>
    <w:rsid w:val="716C4B94"/>
    <w:rsid w:val="71710218"/>
    <w:rsid w:val="717F485B"/>
    <w:rsid w:val="71881F4A"/>
    <w:rsid w:val="718A7AD1"/>
    <w:rsid w:val="718B55F7"/>
    <w:rsid w:val="71926986"/>
    <w:rsid w:val="719641E7"/>
    <w:rsid w:val="71982C53"/>
    <w:rsid w:val="719C15B2"/>
    <w:rsid w:val="71A8020C"/>
    <w:rsid w:val="71AD47A1"/>
    <w:rsid w:val="71B27C0E"/>
    <w:rsid w:val="71B700C0"/>
    <w:rsid w:val="71BE59CD"/>
    <w:rsid w:val="71C402FF"/>
    <w:rsid w:val="71CB3EE2"/>
    <w:rsid w:val="71CC79D6"/>
    <w:rsid w:val="71CE64B7"/>
    <w:rsid w:val="71CF3736"/>
    <w:rsid w:val="71CF611B"/>
    <w:rsid w:val="71D451F0"/>
    <w:rsid w:val="71D64AC4"/>
    <w:rsid w:val="71D8720E"/>
    <w:rsid w:val="71D92806"/>
    <w:rsid w:val="71DC4440"/>
    <w:rsid w:val="71DD06C6"/>
    <w:rsid w:val="71DD4BB7"/>
    <w:rsid w:val="71E52F59"/>
    <w:rsid w:val="71EF4549"/>
    <w:rsid w:val="71EF7BAE"/>
    <w:rsid w:val="71F65166"/>
    <w:rsid w:val="71FD64F5"/>
    <w:rsid w:val="72001C62"/>
    <w:rsid w:val="7203542C"/>
    <w:rsid w:val="720535FB"/>
    <w:rsid w:val="720C6738"/>
    <w:rsid w:val="72113D4E"/>
    <w:rsid w:val="72165B9A"/>
    <w:rsid w:val="721D186F"/>
    <w:rsid w:val="72247F25"/>
    <w:rsid w:val="72253C9E"/>
    <w:rsid w:val="722C6DDA"/>
    <w:rsid w:val="723010BB"/>
    <w:rsid w:val="723143F0"/>
    <w:rsid w:val="7237488A"/>
    <w:rsid w:val="723D0FE7"/>
    <w:rsid w:val="723F1631"/>
    <w:rsid w:val="723F4635"/>
    <w:rsid w:val="72494180"/>
    <w:rsid w:val="724A0B97"/>
    <w:rsid w:val="724E763A"/>
    <w:rsid w:val="7250699E"/>
    <w:rsid w:val="72516841"/>
    <w:rsid w:val="72600832"/>
    <w:rsid w:val="726F7E37"/>
    <w:rsid w:val="72785B7B"/>
    <w:rsid w:val="727B3360"/>
    <w:rsid w:val="727D7636"/>
    <w:rsid w:val="72936F84"/>
    <w:rsid w:val="7294037B"/>
    <w:rsid w:val="72AD5867"/>
    <w:rsid w:val="72B33216"/>
    <w:rsid w:val="72B50B7E"/>
    <w:rsid w:val="72C41B88"/>
    <w:rsid w:val="72C664D9"/>
    <w:rsid w:val="72CD4767"/>
    <w:rsid w:val="72CE0B34"/>
    <w:rsid w:val="72D4412C"/>
    <w:rsid w:val="72D85B7E"/>
    <w:rsid w:val="72D942B7"/>
    <w:rsid w:val="72E10121"/>
    <w:rsid w:val="72EB0A43"/>
    <w:rsid w:val="72F13B80"/>
    <w:rsid w:val="72F5398F"/>
    <w:rsid w:val="72FB0ADD"/>
    <w:rsid w:val="72FF67ED"/>
    <w:rsid w:val="73005B71"/>
    <w:rsid w:val="73063BC5"/>
    <w:rsid w:val="73064C79"/>
    <w:rsid w:val="7307181B"/>
    <w:rsid w:val="73190326"/>
    <w:rsid w:val="73263829"/>
    <w:rsid w:val="732857F3"/>
    <w:rsid w:val="7329156C"/>
    <w:rsid w:val="733028FA"/>
    <w:rsid w:val="73307239"/>
    <w:rsid w:val="73320420"/>
    <w:rsid w:val="7344628D"/>
    <w:rsid w:val="734737A0"/>
    <w:rsid w:val="734A27AC"/>
    <w:rsid w:val="734B59A2"/>
    <w:rsid w:val="73520AC2"/>
    <w:rsid w:val="73650000"/>
    <w:rsid w:val="73665063"/>
    <w:rsid w:val="73740A39"/>
    <w:rsid w:val="737E18B7"/>
    <w:rsid w:val="7386076C"/>
    <w:rsid w:val="738D5656"/>
    <w:rsid w:val="73924709"/>
    <w:rsid w:val="73933958"/>
    <w:rsid w:val="73971924"/>
    <w:rsid w:val="739B2CF3"/>
    <w:rsid w:val="73A2095B"/>
    <w:rsid w:val="73A37F13"/>
    <w:rsid w:val="73A715FF"/>
    <w:rsid w:val="73A9597C"/>
    <w:rsid w:val="73AB3D2F"/>
    <w:rsid w:val="73AE6FC2"/>
    <w:rsid w:val="73AF381F"/>
    <w:rsid w:val="73B13A3B"/>
    <w:rsid w:val="73B34F06"/>
    <w:rsid w:val="73D414D7"/>
    <w:rsid w:val="73E13BF4"/>
    <w:rsid w:val="73E159A2"/>
    <w:rsid w:val="73F43927"/>
    <w:rsid w:val="73FA511F"/>
    <w:rsid w:val="73FB2F08"/>
    <w:rsid w:val="73FE4F2A"/>
    <w:rsid w:val="7405767D"/>
    <w:rsid w:val="740626E6"/>
    <w:rsid w:val="740F3DF9"/>
    <w:rsid w:val="740F42BD"/>
    <w:rsid w:val="74122000"/>
    <w:rsid w:val="74147B26"/>
    <w:rsid w:val="7419513C"/>
    <w:rsid w:val="741C69DA"/>
    <w:rsid w:val="7428537F"/>
    <w:rsid w:val="74297262"/>
    <w:rsid w:val="742C4357"/>
    <w:rsid w:val="74337816"/>
    <w:rsid w:val="7434641A"/>
    <w:rsid w:val="74373814"/>
    <w:rsid w:val="743D707D"/>
    <w:rsid w:val="74420E29"/>
    <w:rsid w:val="7443040B"/>
    <w:rsid w:val="744A3547"/>
    <w:rsid w:val="744D11B3"/>
    <w:rsid w:val="744D4DE6"/>
    <w:rsid w:val="744E128A"/>
    <w:rsid w:val="744F7EB4"/>
    <w:rsid w:val="745109A1"/>
    <w:rsid w:val="74546174"/>
    <w:rsid w:val="74650604"/>
    <w:rsid w:val="74686F6C"/>
    <w:rsid w:val="746960C4"/>
    <w:rsid w:val="746F4A04"/>
    <w:rsid w:val="746F4CA9"/>
    <w:rsid w:val="7472182D"/>
    <w:rsid w:val="74760217"/>
    <w:rsid w:val="7478586B"/>
    <w:rsid w:val="747B7BA5"/>
    <w:rsid w:val="74844CAB"/>
    <w:rsid w:val="748A7A37"/>
    <w:rsid w:val="748E5B2A"/>
    <w:rsid w:val="749520B2"/>
    <w:rsid w:val="749A44CF"/>
    <w:rsid w:val="749D4A3B"/>
    <w:rsid w:val="74A23383"/>
    <w:rsid w:val="74B77C7F"/>
    <w:rsid w:val="74B9247B"/>
    <w:rsid w:val="74BD01BD"/>
    <w:rsid w:val="74C50E20"/>
    <w:rsid w:val="74C97804"/>
    <w:rsid w:val="74CE4179"/>
    <w:rsid w:val="74D02A9C"/>
    <w:rsid w:val="74E018B9"/>
    <w:rsid w:val="74E724EC"/>
    <w:rsid w:val="74E7348C"/>
    <w:rsid w:val="74E76FE8"/>
    <w:rsid w:val="74EA0887"/>
    <w:rsid w:val="74F8076B"/>
    <w:rsid w:val="74F811F5"/>
    <w:rsid w:val="74F86FE9"/>
    <w:rsid w:val="74FC15EE"/>
    <w:rsid w:val="75031FCE"/>
    <w:rsid w:val="750F5290"/>
    <w:rsid w:val="7514495A"/>
    <w:rsid w:val="75144CBB"/>
    <w:rsid w:val="75147228"/>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D2492"/>
    <w:rsid w:val="75884CD1"/>
    <w:rsid w:val="758F0CAF"/>
    <w:rsid w:val="75953BB6"/>
    <w:rsid w:val="759B1ACD"/>
    <w:rsid w:val="75A510B6"/>
    <w:rsid w:val="75A629FF"/>
    <w:rsid w:val="75A6486C"/>
    <w:rsid w:val="75AC0834"/>
    <w:rsid w:val="75AE25D4"/>
    <w:rsid w:val="75BA4D4F"/>
    <w:rsid w:val="75BC76D1"/>
    <w:rsid w:val="75BE5F9B"/>
    <w:rsid w:val="75C8506C"/>
    <w:rsid w:val="75D532E5"/>
    <w:rsid w:val="75EF43A6"/>
    <w:rsid w:val="75F02645"/>
    <w:rsid w:val="75F74182"/>
    <w:rsid w:val="75F85CE9"/>
    <w:rsid w:val="76034F0D"/>
    <w:rsid w:val="76040FE2"/>
    <w:rsid w:val="760429DC"/>
    <w:rsid w:val="760C0509"/>
    <w:rsid w:val="760D6F22"/>
    <w:rsid w:val="760F2C9B"/>
    <w:rsid w:val="7614205F"/>
    <w:rsid w:val="76191155"/>
    <w:rsid w:val="76197675"/>
    <w:rsid w:val="762A53DF"/>
    <w:rsid w:val="762F092F"/>
    <w:rsid w:val="763B6BB8"/>
    <w:rsid w:val="763E532E"/>
    <w:rsid w:val="76452218"/>
    <w:rsid w:val="7646530C"/>
    <w:rsid w:val="764A58FE"/>
    <w:rsid w:val="76530DD9"/>
    <w:rsid w:val="76550D87"/>
    <w:rsid w:val="76632DD8"/>
    <w:rsid w:val="766338BB"/>
    <w:rsid w:val="768E1E11"/>
    <w:rsid w:val="769136B0"/>
    <w:rsid w:val="7693567A"/>
    <w:rsid w:val="76966F18"/>
    <w:rsid w:val="769E7691"/>
    <w:rsid w:val="769F401E"/>
    <w:rsid w:val="76A21419"/>
    <w:rsid w:val="76A2218F"/>
    <w:rsid w:val="76AF3B36"/>
    <w:rsid w:val="76B63116"/>
    <w:rsid w:val="76BB24DB"/>
    <w:rsid w:val="76BD26F7"/>
    <w:rsid w:val="76C23869"/>
    <w:rsid w:val="76C75323"/>
    <w:rsid w:val="76CE66B2"/>
    <w:rsid w:val="76D0133D"/>
    <w:rsid w:val="76D35A76"/>
    <w:rsid w:val="76D4037D"/>
    <w:rsid w:val="76D65876"/>
    <w:rsid w:val="76D95E5B"/>
    <w:rsid w:val="76DB737B"/>
    <w:rsid w:val="76E71522"/>
    <w:rsid w:val="76E9087B"/>
    <w:rsid w:val="76EA2DC0"/>
    <w:rsid w:val="76EB45B4"/>
    <w:rsid w:val="76EC2FDC"/>
    <w:rsid w:val="76ED0DC3"/>
    <w:rsid w:val="76EE044E"/>
    <w:rsid w:val="76F93003"/>
    <w:rsid w:val="76FD790B"/>
    <w:rsid w:val="7705172F"/>
    <w:rsid w:val="770A7A13"/>
    <w:rsid w:val="770E6AAE"/>
    <w:rsid w:val="770F1CA5"/>
    <w:rsid w:val="771146FB"/>
    <w:rsid w:val="77147E3D"/>
    <w:rsid w:val="771A5453"/>
    <w:rsid w:val="77253DF8"/>
    <w:rsid w:val="772A140E"/>
    <w:rsid w:val="772C33D8"/>
    <w:rsid w:val="772E53A2"/>
    <w:rsid w:val="772E58B5"/>
    <w:rsid w:val="773553C0"/>
    <w:rsid w:val="773D57FB"/>
    <w:rsid w:val="773E455F"/>
    <w:rsid w:val="773E756E"/>
    <w:rsid w:val="77400C32"/>
    <w:rsid w:val="774150D6"/>
    <w:rsid w:val="7745051E"/>
    <w:rsid w:val="77483836"/>
    <w:rsid w:val="7749680F"/>
    <w:rsid w:val="774C75D7"/>
    <w:rsid w:val="774F2D1B"/>
    <w:rsid w:val="7758241F"/>
    <w:rsid w:val="776345B3"/>
    <w:rsid w:val="77664B3C"/>
    <w:rsid w:val="777032C5"/>
    <w:rsid w:val="777127A0"/>
    <w:rsid w:val="777668F4"/>
    <w:rsid w:val="778154D2"/>
    <w:rsid w:val="77844405"/>
    <w:rsid w:val="77862AE9"/>
    <w:rsid w:val="77880CC9"/>
    <w:rsid w:val="77903967"/>
    <w:rsid w:val="779C230C"/>
    <w:rsid w:val="77A06F50"/>
    <w:rsid w:val="77A80CB1"/>
    <w:rsid w:val="77AE0291"/>
    <w:rsid w:val="77B346BB"/>
    <w:rsid w:val="77B47CCC"/>
    <w:rsid w:val="77B91110"/>
    <w:rsid w:val="77BA3D96"/>
    <w:rsid w:val="77BC650A"/>
    <w:rsid w:val="77C07A9F"/>
    <w:rsid w:val="77C11D73"/>
    <w:rsid w:val="77C26F8A"/>
    <w:rsid w:val="77C90C27"/>
    <w:rsid w:val="77CE623E"/>
    <w:rsid w:val="77D53A70"/>
    <w:rsid w:val="77D918E6"/>
    <w:rsid w:val="77DA6F0C"/>
    <w:rsid w:val="77DA78FE"/>
    <w:rsid w:val="77DD4321"/>
    <w:rsid w:val="77DF669D"/>
    <w:rsid w:val="77E141C3"/>
    <w:rsid w:val="77E17919"/>
    <w:rsid w:val="77E6589D"/>
    <w:rsid w:val="77ED2B68"/>
    <w:rsid w:val="77F04406"/>
    <w:rsid w:val="77F0629C"/>
    <w:rsid w:val="77F3229C"/>
    <w:rsid w:val="77F41075"/>
    <w:rsid w:val="77FA73B0"/>
    <w:rsid w:val="78047EB1"/>
    <w:rsid w:val="78084CF2"/>
    <w:rsid w:val="780A196C"/>
    <w:rsid w:val="780A28F0"/>
    <w:rsid w:val="780A4000"/>
    <w:rsid w:val="780B324D"/>
    <w:rsid w:val="780F37DF"/>
    <w:rsid w:val="780F40A3"/>
    <w:rsid w:val="781A76D5"/>
    <w:rsid w:val="781D0955"/>
    <w:rsid w:val="782A3DBC"/>
    <w:rsid w:val="78303AC8"/>
    <w:rsid w:val="783119C3"/>
    <w:rsid w:val="78341C0A"/>
    <w:rsid w:val="78353E77"/>
    <w:rsid w:val="783C3AEF"/>
    <w:rsid w:val="78480A2C"/>
    <w:rsid w:val="78542BE7"/>
    <w:rsid w:val="7857340C"/>
    <w:rsid w:val="78574485"/>
    <w:rsid w:val="785E00D6"/>
    <w:rsid w:val="78623556"/>
    <w:rsid w:val="786372CE"/>
    <w:rsid w:val="786F7A21"/>
    <w:rsid w:val="78776303"/>
    <w:rsid w:val="78787071"/>
    <w:rsid w:val="787A6483"/>
    <w:rsid w:val="78852DA0"/>
    <w:rsid w:val="788A1513"/>
    <w:rsid w:val="788F4888"/>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81581"/>
    <w:rsid w:val="78EC66B9"/>
    <w:rsid w:val="78EE16A1"/>
    <w:rsid w:val="78F341AE"/>
    <w:rsid w:val="78F61EF0"/>
    <w:rsid w:val="78FB12B4"/>
    <w:rsid w:val="78FE2B52"/>
    <w:rsid w:val="79004B1D"/>
    <w:rsid w:val="790463BB"/>
    <w:rsid w:val="790939D1"/>
    <w:rsid w:val="791A3E30"/>
    <w:rsid w:val="79230922"/>
    <w:rsid w:val="79246AEA"/>
    <w:rsid w:val="792702FB"/>
    <w:rsid w:val="79347FE5"/>
    <w:rsid w:val="7936673D"/>
    <w:rsid w:val="793A6280"/>
    <w:rsid w:val="793D1589"/>
    <w:rsid w:val="79464C25"/>
    <w:rsid w:val="794E7636"/>
    <w:rsid w:val="79584959"/>
    <w:rsid w:val="795A422D"/>
    <w:rsid w:val="795B1D53"/>
    <w:rsid w:val="795D33AB"/>
    <w:rsid w:val="79674631"/>
    <w:rsid w:val="796927C3"/>
    <w:rsid w:val="79722641"/>
    <w:rsid w:val="797352EE"/>
    <w:rsid w:val="79775734"/>
    <w:rsid w:val="797F76B6"/>
    <w:rsid w:val="798017B9"/>
    <w:rsid w:val="79856DD0"/>
    <w:rsid w:val="798C15A3"/>
    <w:rsid w:val="799106C2"/>
    <w:rsid w:val="7997722F"/>
    <w:rsid w:val="79A06D15"/>
    <w:rsid w:val="79A90D10"/>
    <w:rsid w:val="79AB2CDA"/>
    <w:rsid w:val="79AB4A88"/>
    <w:rsid w:val="79AE6327"/>
    <w:rsid w:val="79AF6D5B"/>
    <w:rsid w:val="79B14B03"/>
    <w:rsid w:val="79B3185B"/>
    <w:rsid w:val="79B37261"/>
    <w:rsid w:val="79C14F8E"/>
    <w:rsid w:val="79C773E8"/>
    <w:rsid w:val="79CB1D59"/>
    <w:rsid w:val="79CB7CAB"/>
    <w:rsid w:val="79CE3312"/>
    <w:rsid w:val="79DC699D"/>
    <w:rsid w:val="79DE65C0"/>
    <w:rsid w:val="79E545B6"/>
    <w:rsid w:val="79ED1354"/>
    <w:rsid w:val="79F309DD"/>
    <w:rsid w:val="79F3130E"/>
    <w:rsid w:val="79F747D4"/>
    <w:rsid w:val="79F9097C"/>
    <w:rsid w:val="7A106FE1"/>
    <w:rsid w:val="7A185906"/>
    <w:rsid w:val="7A19291C"/>
    <w:rsid w:val="7A1C7734"/>
    <w:rsid w:val="7A293BFF"/>
    <w:rsid w:val="7A2E492E"/>
    <w:rsid w:val="7A2F1528"/>
    <w:rsid w:val="7A326F58"/>
    <w:rsid w:val="7A382C18"/>
    <w:rsid w:val="7A47009C"/>
    <w:rsid w:val="7A4844CA"/>
    <w:rsid w:val="7A4A27EB"/>
    <w:rsid w:val="7A520955"/>
    <w:rsid w:val="7A5A200A"/>
    <w:rsid w:val="7A5E1AFB"/>
    <w:rsid w:val="7A650AE9"/>
    <w:rsid w:val="7A770E0E"/>
    <w:rsid w:val="7A797175"/>
    <w:rsid w:val="7A80434E"/>
    <w:rsid w:val="7A8C15C5"/>
    <w:rsid w:val="7A9814B1"/>
    <w:rsid w:val="7A9B107F"/>
    <w:rsid w:val="7AA420E1"/>
    <w:rsid w:val="7AAA75E8"/>
    <w:rsid w:val="7AAD0C01"/>
    <w:rsid w:val="7AAD4830"/>
    <w:rsid w:val="7AB14320"/>
    <w:rsid w:val="7ABC51E6"/>
    <w:rsid w:val="7ABD2E68"/>
    <w:rsid w:val="7ABD507C"/>
    <w:rsid w:val="7AD522E8"/>
    <w:rsid w:val="7AD973D3"/>
    <w:rsid w:val="7ADF72B5"/>
    <w:rsid w:val="7AF470B9"/>
    <w:rsid w:val="7B034450"/>
    <w:rsid w:val="7B09415C"/>
    <w:rsid w:val="7B0D78D9"/>
    <w:rsid w:val="7B1256BC"/>
    <w:rsid w:val="7B197943"/>
    <w:rsid w:val="7B276391"/>
    <w:rsid w:val="7B297B05"/>
    <w:rsid w:val="7B322405"/>
    <w:rsid w:val="7B35774E"/>
    <w:rsid w:val="7B38234C"/>
    <w:rsid w:val="7B3C3E77"/>
    <w:rsid w:val="7B404852"/>
    <w:rsid w:val="7B5235EA"/>
    <w:rsid w:val="7B542EAC"/>
    <w:rsid w:val="7B5829EE"/>
    <w:rsid w:val="7B584A2A"/>
    <w:rsid w:val="7B590514"/>
    <w:rsid w:val="7B5C7324"/>
    <w:rsid w:val="7B5F3D7C"/>
    <w:rsid w:val="7B7D7D6C"/>
    <w:rsid w:val="7B81116A"/>
    <w:rsid w:val="7B825CBD"/>
    <w:rsid w:val="7B8F3F36"/>
    <w:rsid w:val="7B90370B"/>
    <w:rsid w:val="7B94686C"/>
    <w:rsid w:val="7BA2010D"/>
    <w:rsid w:val="7BAC6ABD"/>
    <w:rsid w:val="7BB51BEE"/>
    <w:rsid w:val="7BBE4BF1"/>
    <w:rsid w:val="7BBF481B"/>
    <w:rsid w:val="7BC71395"/>
    <w:rsid w:val="7BCB7664"/>
    <w:rsid w:val="7BCE74FC"/>
    <w:rsid w:val="7BCF73F5"/>
    <w:rsid w:val="7BD00D11"/>
    <w:rsid w:val="7BD04C7A"/>
    <w:rsid w:val="7BDC4EEF"/>
    <w:rsid w:val="7BDE121C"/>
    <w:rsid w:val="7BDF1017"/>
    <w:rsid w:val="7BE10C35"/>
    <w:rsid w:val="7BE129E3"/>
    <w:rsid w:val="7BE2731E"/>
    <w:rsid w:val="7BE67FFA"/>
    <w:rsid w:val="7BEE5734"/>
    <w:rsid w:val="7BF72207"/>
    <w:rsid w:val="7BF73FB5"/>
    <w:rsid w:val="7BFB5ED4"/>
    <w:rsid w:val="7C0B3FA6"/>
    <w:rsid w:val="7C0C660D"/>
    <w:rsid w:val="7C0F691B"/>
    <w:rsid w:val="7C2823C0"/>
    <w:rsid w:val="7C2E19A1"/>
    <w:rsid w:val="7C324150"/>
    <w:rsid w:val="7C3A2CCD"/>
    <w:rsid w:val="7C430D1C"/>
    <w:rsid w:val="7C440E4A"/>
    <w:rsid w:val="7C442F72"/>
    <w:rsid w:val="7C4446F4"/>
    <w:rsid w:val="7C4C0D8D"/>
    <w:rsid w:val="7C4E5B9F"/>
    <w:rsid w:val="7C4F5666"/>
    <w:rsid w:val="7C551482"/>
    <w:rsid w:val="7C581E2C"/>
    <w:rsid w:val="7C5A0FE1"/>
    <w:rsid w:val="7C613B24"/>
    <w:rsid w:val="7C63789C"/>
    <w:rsid w:val="7C7F3FAA"/>
    <w:rsid w:val="7C86434E"/>
    <w:rsid w:val="7C9525C4"/>
    <w:rsid w:val="7C9618B9"/>
    <w:rsid w:val="7C9A5D73"/>
    <w:rsid w:val="7C9D55C8"/>
    <w:rsid w:val="7CB225D2"/>
    <w:rsid w:val="7CC36B4B"/>
    <w:rsid w:val="7CC734A3"/>
    <w:rsid w:val="7CC77E2B"/>
    <w:rsid w:val="7CC90568"/>
    <w:rsid w:val="7CD12A58"/>
    <w:rsid w:val="7CD50A1F"/>
    <w:rsid w:val="7CD75B94"/>
    <w:rsid w:val="7CD81ACA"/>
    <w:rsid w:val="7CD95C45"/>
    <w:rsid w:val="7CDC31AB"/>
    <w:rsid w:val="7CE16A13"/>
    <w:rsid w:val="7CE21BD1"/>
    <w:rsid w:val="7CE704CD"/>
    <w:rsid w:val="7CED7166"/>
    <w:rsid w:val="7CF16C56"/>
    <w:rsid w:val="7CF404F4"/>
    <w:rsid w:val="7CFA56EB"/>
    <w:rsid w:val="7CFE1373"/>
    <w:rsid w:val="7D04591E"/>
    <w:rsid w:val="7D160A41"/>
    <w:rsid w:val="7D1B3CD3"/>
    <w:rsid w:val="7D1E3E51"/>
    <w:rsid w:val="7D221505"/>
    <w:rsid w:val="7D23702C"/>
    <w:rsid w:val="7D25327D"/>
    <w:rsid w:val="7D2A6A4D"/>
    <w:rsid w:val="7D2B7667"/>
    <w:rsid w:val="7D361B51"/>
    <w:rsid w:val="7D40198C"/>
    <w:rsid w:val="7D435A31"/>
    <w:rsid w:val="7D441F12"/>
    <w:rsid w:val="7D53064C"/>
    <w:rsid w:val="7D6A4E7C"/>
    <w:rsid w:val="7D7358BD"/>
    <w:rsid w:val="7D823D52"/>
    <w:rsid w:val="7D841889"/>
    <w:rsid w:val="7D847EAC"/>
    <w:rsid w:val="7D8537D1"/>
    <w:rsid w:val="7D871368"/>
    <w:rsid w:val="7D943A85"/>
    <w:rsid w:val="7D9F66B2"/>
    <w:rsid w:val="7DCD6ED9"/>
    <w:rsid w:val="7DCE343B"/>
    <w:rsid w:val="7DCF4ABD"/>
    <w:rsid w:val="7DD00F61"/>
    <w:rsid w:val="7DDA1DE0"/>
    <w:rsid w:val="7DDB3462"/>
    <w:rsid w:val="7DE40569"/>
    <w:rsid w:val="7DE93DD1"/>
    <w:rsid w:val="7DF804B8"/>
    <w:rsid w:val="7DFC1D56"/>
    <w:rsid w:val="7DFD162B"/>
    <w:rsid w:val="7DFD21A5"/>
    <w:rsid w:val="7DFE517E"/>
    <w:rsid w:val="7DFF5ED8"/>
    <w:rsid w:val="7E013118"/>
    <w:rsid w:val="7E0A7DB1"/>
    <w:rsid w:val="7E1231D5"/>
    <w:rsid w:val="7E152481"/>
    <w:rsid w:val="7E152E18"/>
    <w:rsid w:val="7E2B6198"/>
    <w:rsid w:val="7E301A00"/>
    <w:rsid w:val="7E33504C"/>
    <w:rsid w:val="7E39169C"/>
    <w:rsid w:val="7E3C46AB"/>
    <w:rsid w:val="7E406FB3"/>
    <w:rsid w:val="7E41193E"/>
    <w:rsid w:val="7E473768"/>
    <w:rsid w:val="7E4C1C3E"/>
    <w:rsid w:val="7E5A6F1A"/>
    <w:rsid w:val="7E5B0F45"/>
    <w:rsid w:val="7E5C09FE"/>
    <w:rsid w:val="7E5C7923"/>
    <w:rsid w:val="7E6D4A02"/>
    <w:rsid w:val="7E722019"/>
    <w:rsid w:val="7E7E276B"/>
    <w:rsid w:val="7E8A55B4"/>
    <w:rsid w:val="7E8D6E52"/>
    <w:rsid w:val="7E957AB5"/>
    <w:rsid w:val="7E966F3A"/>
    <w:rsid w:val="7E9977A1"/>
    <w:rsid w:val="7E9F09A1"/>
    <w:rsid w:val="7E9F10B2"/>
    <w:rsid w:val="7E9F26E2"/>
    <w:rsid w:val="7EA31E30"/>
    <w:rsid w:val="7EA36676"/>
    <w:rsid w:val="7EAF1C20"/>
    <w:rsid w:val="7EB77A2B"/>
    <w:rsid w:val="7EBB39C0"/>
    <w:rsid w:val="7EC20604"/>
    <w:rsid w:val="7EC30AC6"/>
    <w:rsid w:val="7EC53367"/>
    <w:rsid w:val="7EC94365"/>
    <w:rsid w:val="7ED54763"/>
    <w:rsid w:val="7EDB5E10"/>
    <w:rsid w:val="7EDC56E4"/>
    <w:rsid w:val="7EEB05D3"/>
    <w:rsid w:val="7EEC1DCB"/>
    <w:rsid w:val="7EEE26E0"/>
    <w:rsid w:val="7EF058D7"/>
    <w:rsid w:val="7EF70770"/>
    <w:rsid w:val="7EF742CC"/>
    <w:rsid w:val="7EF81DA3"/>
    <w:rsid w:val="7F0374ED"/>
    <w:rsid w:val="7F044C6C"/>
    <w:rsid w:val="7F090CCE"/>
    <w:rsid w:val="7F0F7867"/>
    <w:rsid w:val="7F111831"/>
    <w:rsid w:val="7F165AB5"/>
    <w:rsid w:val="7F1A529F"/>
    <w:rsid w:val="7F1D4C01"/>
    <w:rsid w:val="7F303D3B"/>
    <w:rsid w:val="7F3655AF"/>
    <w:rsid w:val="7F3C2FA7"/>
    <w:rsid w:val="7F4F4108"/>
    <w:rsid w:val="7F601E71"/>
    <w:rsid w:val="7F6A2CF0"/>
    <w:rsid w:val="7F6A763A"/>
    <w:rsid w:val="7F6B762D"/>
    <w:rsid w:val="7F703475"/>
    <w:rsid w:val="7F735A2D"/>
    <w:rsid w:val="7F736048"/>
    <w:rsid w:val="7F7362C1"/>
    <w:rsid w:val="7F787239"/>
    <w:rsid w:val="7F7CCD77"/>
    <w:rsid w:val="7F7E679B"/>
    <w:rsid w:val="7F7F471D"/>
    <w:rsid w:val="7F8178E0"/>
    <w:rsid w:val="7F853C77"/>
    <w:rsid w:val="7F961D37"/>
    <w:rsid w:val="7F966C81"/>
    <w:rsid w:val="7F9D30C5"/>
    <w:rsid w:val="7FA154A9"/>
    <w:rsid w:val="7FA62DC9"/>
    <w:rsid w:val="7FBD034F"/>
    <w:rsid w:val="7FBE3F06"/>
    <w:rsid w:val="7FC34A28"/>
    <w:rsid w:val="7FCD479C"/>
    <w:rsid w:val="7FD10FC1"/>
    <w:rsid w:val="7FD124EE"/>
    <w:rsid w:val="7FD54AA6"/>
    <w:rsid w:val="7FDA7E75"/>
    <w:rsid w:val="7FDB3BED"/>
    <w:rsid w:val="7FDC1E3F"/>
    <w:rsid w:val="7FDD1714"/>
    <w:rsid w:val="7FE02FB2"/>
    <w:rsid w:val="7FE4033B"/>
    <w:rsid w:val="7FE87725"/>
    <w:rsid w:val="7FF67685"/>
    <w:rsid w:val="EDAF5224"/>
    <w:rsid w:val="EEEAE0D5"/>
    <w:rsid w:val="F3BBC625"/>
    <w:rsid w:val="FB7B36D0"/>
    <w:rsid w:val="FBDF2C71"/>
    <w:rsid w:val="FBFF14F4"/>
    <w:rsid w:val="FD65D63F"/>
    <w:rsid w:val="FFF62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1"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4">
    <w:name w:val="heading 2"/>
    <w:basedOn w:val="1"/>
    <w:next w:val="1"/>
    <w:autoRedefine/>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5">
    <w:name w:val="heading 3"/>
    <w:basedOn w:val="1"/>
    <w:next w:val="1"/>
    <w:autoRedefine/>
    <w:semiHidden/>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6">
    <w:name w:val="heading 4"/>
    <w:basedOn w:val="1"/>
    <w:next w:val="1"/>
    <w:autoRedefine/>
    <w:semiHidden/>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7">
    <w:name w:val="heading 5"/>
    <w:basedOn w:val="1"/>
    <w:next w:val="1"/>
    <w:autoRedefine/>
    <w:semiHidden/>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paragraph" w:styleId="8">
    <w:name w:val="heading 9"/>
    <w:basedOn w:val="1"/>
    <w:next w:val="1"/>
    <w:semiHidden/>
    <w:unhideWhenUsed/>
    <w:qFormat/>
    <w:uiPriority w:val="1"/>
    <w:pPr>
      <w:ind w:left="842"/>
      <w:outlineLvl w:val="8"/>
    </w:pPr>
    <w:rPr>
      <w:rFonts w:ascii="Microsoft JhengHei" w:hAnsi="Microsoft JhengHei" w:eastAsia="Microsoft JhengHei"/>
      <w:b/>
      <w:bCs/>
      <w:sz w:val="24"/>
      <w:szCs w:val="24"/>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2">
    <w:name w:val="Plain Text"/>
    <w:basedOn w:val="1"/>
    <w:next w:val="1"/>
    <w:autoRedefine/>
    <w:unhideWhenUsed/>
    <w:qFormat/>
    <w:uiPriority w:val="99"/>
    <w:rPr>
      <w:rFonts w:ascii="宋体"/>
    </w:rPr>
  </w:style>
  <w:style w:type="paragraph" w:styleId="9">
    <w:name w:val="Normal Indent"/>
    <w:basedOn w:val="1"/>
    <w:next w:val="1"/>
    <w:autoRedefine/>
    <w:qFormat/>
    <w:uiPriority w:val="0"/>
    <w:pPr>
      <w:ind w:firstLine="420"/>
    </w:pPr>
    <w:rPr>
      <w:szCs w:val="20"/>
    </w:rPr>
  </w:style>
  <w:style w:type="paragraph" w:styleId="10">
    <w:name w:val="annotation text"/>
    <w:basedOn w:val="1"/>
    <w:autoRedefine/>
    <w:qFormat/>
    <w:uiPriority w:val="0"/>
    <w:pPr>
      <w:widowControl w:val="0"/>
      <w:adjustRightInd w:val="0"/>
      <w:spacing w:line="360" w:lineRule="atLeast"/>
      <w:textAlignment w:val="baseline"/>
    </w:pPr>
    <w:rPr>
      <w:sz w:val="24"/>
    </w:rPr>
  </w:style>
  <w:style w:type="paragraph" w:styleId="11">
    <w:name w:val="Body Text"/>
    <w:basedOn w:val="1"/>
    <w:autoRedefine/>
    <w:qFormat/>
    <w:uiPriority w:val="0"/>
    <w:pPr>
      <w:spacing w:after="120"/>
    </w:pPr>
  </w:style>
  <w:style w:type="paragraph" w:styleId="12">
    <w:name w:val="Body Text Indent"/>
    <w:basedOn w:val="1"/>
    <w:next w:val="13"/>
    <w:autoRedefine/>
    <w:qFormat/>
    <w:uiPriority w:val="0"/>
    <w:pPr>
      <w:spacing w:after="120" w:afterLines="0" w:afterAutospacing="0"/>
      <w:ind w:left="420" w:leftChars="200"/>
    </w:pPr>
  </w:style>
  <w:style w:type="paragraph" w:styleId="13">
    <w:name w:val="envelope return"/>
    <w:basedOn w:val="1"/>
    <w:qFormat/>
    <w:uiPriority w:val="0"/>
    <w:pPr>
      <w:snapToGrid w:val="0"/>
      <w:spacing w:line="360" w:lineRule="auto"/>
    </w:pPr>
    <w:rPr>
      <w:rFonts w:ascii="Arial" w:hAnsi="Arial"/>
      <w:sz w:val="24"/>
    </w:rPr>
  </w:style>
  <w:style w:type="paragraph" w:styleId="14">
    <w:name w:val="toc 3"/>
    <w:basedOn w:val="1"/>
    <w:next w:val="1"/>
    <w:qFormat/>
    <w:uiPriority w:val="0"/>
    <w:pPr>
      <w:ind w:left="840" w:leftChars="400"/>
    </w:p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pPr>
      <w:tabs>
        <w:tab w:val="right" w:leader="dot" w:pos="9628"/>
      </w:tabs>
      <w:spacing w:before="120" w:after="120"/>
      <w:ind w:firstLine="74" w:firstLineChars="74"/>
      <w:jc w:val="left"/>
    </w:pPr>
    <w:rPr>
      <w:b/>
      <w:caps/>
      <w:sz w:val="20"/>
    </w:rPr>
  </w:style>
  <w:style w:type="paragraph" w:styleId="18">
    <w:name w:val="toc 2"/>
    <w:basedOn w:val="1"/>
    <w:next w:val="1"/>
    <w:qFormat/>
    <w:uiPriority w:val="0"/>
    <w:pPr>
      <w:ind w:left="420" w:leftChars="200"/>
    </w:pPr>
  </w:style>
  <w:style w:type="paragraph" w:styleId="19">
    <w:name w:val="Body Text 2"/>
    <w:basedOn w:val="1"/>
    <w:autoRedefine/>
    <w:qFormat/>
    <w:uiPriority w:val="0"/>
    <w:rPr>
      <w:rFonts w:ascii="仿宋_GB2312" w:eastAsia="仿宋_GB2312"/>
      <w:b/>
      <w:sz w:val="24"/>
    </w:rPr>
  </w:style>
  <w:style w:type="paragraph" w:styleId="20">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1">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2">
    <w:name w:val="Body Text First Indent"/>
    <w:basedOn w:val="11"/>
    <w:next w:val="1"/>
    <w:autoRedefine/>
    <w:qFormat/>
    <w:uiPriority w:val="0"/>
    <w:pPr>
      <w:spacing w:line="312" w:lineRule="auto"/>
      <w:ind w:firstLine="420"/>
    </w:pPr>
    <w:rPr>
      <w:color w:val="000000"/>
      <w:szCs w:val="21"/>
    </w:rPr>
  </w:style>
  <w:style w:type="paragraph" w:styleId="23">
    <w:name w:val="Body Text First Indent 2"/>
    <w:basedOn w:val="12"/>
    <w:autoRedefine/>
    <w:unhideWhenUsed/>
    <w:qFormat/>
    <w:uiPriority w:val="99"/>
    <w:pPr>
      <w:ind w:firstLine="42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page number"/>
    <w:basedOn w:val="26"/>
    <w:autoRedefine/>
    <w:qFormat/>
    <w:uiPriority w:val="0"/>
  </w:style>
  <w:style w:type="character" w:styleId="29">
    <w:name w:val="Emphasis"/>
    <w:basedOn w:val="26"/>
    <w:autoRedefine/>
    <w:qFormat/>
    <w:uiPriority w:val="0"/>
    <w:rPr>
      <w:i/>
    </w:rPr>
  </w:style>
  <w:style w:type="character" w:styleId="30">
    <w:name w:val="Hyperlink"/>
    <w:basedOn w:val="26"/>
    <w:autoRedefine/>
    <w:qFormat/>
    <w:uiPriority w:val="0"/>
    <w:rPr>
      <w:color w:val="0000FF"/>
      <w:u w:val="single"/>
    </w:rPr>
  </w:style>
  <w:style w:type="character" w:styleId="31">
    <w:name w:val="annotation reference"/>
    <w:basedOn w:val="26"/>
    <w:autoRedefine/>
    <w:qFormat/>
    <w:uiPriority w:val="0"/>
    <w:rPr>
      <w:sz w:val="21"/>
      <w:szCs w:val="21"/>
    </w:rPr>
  </w:style>
  <w:style w:type="paragraph" w:customStyle="1" w:styleId="32">
    <w:name w:val="样式 正文文字缩进 + 小四 首行缩进:  2 字符"/>
    <w:basedOn w:val="1"/>
    <w:qFormat/>
    <w:uiPriority w:val="0"/>
    <w:pPr>
      <w:spacing w:line="600" w:lineRule="exact"/>
      <w:jc w:val="center"/>
    </w:pPr>
    <w:rPr>
      <w:rFonts w:ascii="宋体"/>
      <w:b/>
      <w:u w:val="double"/>
    </w:rPr>
  </w:style>
  <w:style w:type="paragraph" w:customStyle="1" w:styleId="3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4">
    <w:name w:val="表格文字"/>
    <w:basedOn w:val="1"/>
    <w:next w:val="11"/>
    <w:autoRedefine/>
    <w:qFormat/>
    <w:uiPriority w:val="0"/>
    <w:pPr>
      <w:spacing w:before="25" w:after="25"/>
    </w:pPr>
    <w:rPr>
      <w:bCs/>
      <w:spacing w:val="10"/>
      <w:sz w:val="24"/>
      <w:szCs w:val="20"/>
    </w:rPr>
  </w:style>
  <w:style w:type="character" w:customStyle="1" w:styleId="35">
    <w:name w:val="19"/>
    <w:basedOn w:val="26"/>
    <w:autoRedefine/>
    <w:qFormat/>
    <w:uiPriority w:val="0"/>
    <w:rPr>
      <w:rFonts w:hint="eastAsia" w:ascii="Times New Roman" w:eastAsia="楷体_GB2312" w:cs="楷体_GB2312"/>
      <w:sz w:val="32"/>
      <w:szCs w:val="32"/>
    </w:rPr>
  </w:style>
  <w:style w:type="character" w:customStyle="1" w:styleId="36">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37">
    <w:name w:val=" Char"/>
    <w:basedOn w:val="1"/>
    <w:autoRedefine/>
    <w:qFormat/>
    <w:uiPriority w:val="0"/>
    <w:pPr>
      <w:spacing w:after="160" w:afterLines="0" w:line="240" w:lineRule="exact"/>
    </w:pPr>
    <w:rPr>
      <w:rFonts w:ascii="Verdana" w:hAnsi="Verdana" w:eastAsia="仿宋_GB2312"/>
      <w:sz w:val="24"/>
      <w:lang w:eastAsia="en-US"/>
    </w:rPr>
  </w:style>
  <w:style w:type="character" w:customStyle="1" w:styleId="38">
    <w:name w:val=" Char Char Char"/>
    <w:autoRedefine/>
    <w:qFormat/>
    <w:uiPriority w:val="0"/>
    <w:rPr>
      <w:rFonts w:ascii="Cambria" w:hAnsi="Cambria" w:eastAsia="宋体"/>
      <w:b/>
      <w:bCs/>
      <w:sz w:val="32"/>
      <w:szCs w:val="32"/>
      <w:lang w:val="en-US" w:eastAsia="zh-CN" w:bidi="ar-SA"/>
    </w:rPr>
  </w:style>
  <w:style w:type="paragraph" w:customStyle="1" w:styleId="39">
    <w:name w:val="报告正文"/>
    <w:autoRedefine/>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4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1">
    <w:name w:val="List Paragraph"/>
    <w:basedOn w:val="1"/>
    <w:autoRedefine/>
    <w:qFormat/>
    <w:uiPriority w:val="34"/>
    <w:pPr>
      <w:ind w:firstLine="420" w:firstLineChars="200"/>
    </w:pPr>
  </w:style>
  <w:style w:type="paragraph" w:customStyle="1" w:styleId="42">
    <w:name w:val="Table Paragraph"/>
    <w:basedOn w:val="1"/>
    <w:autoRedefine/>
    <w:qFormat/>
    <w:uiPriority w:val="1"/>
    <w:pPr>
      <w:spacing w:before="43"/>
      <w:ind w:left="107"/>
    </w:pPr>
    <w:rPr>
      <w:rFonts w:ascii="宋体" w:hAnsi="宋体" w:cs="宋体"/>
      <w:lang w:eastAsia="en-US" w:bidi="en-US"/>
    </w:rPr>
  </w:style>
  <w:style w:type="paragraph" w:customStyle="1" w:styleId="43">
    <w:name w:val="List Paragraph1"/>
    <w:basedOn w:val="1"/>
    <w:autoRedefine/>
    <w:qFormat/>
    <w:uiPriority w:val="0"/>
    <w:pPr>
      <w:ind w:firstLine="420" w:firstLineChars="200"/>
    </w:pPr>
    <w:rPr>
      <w:rFonts w:ascii="Calibri" w:hAnsi="Calibri"/>
      <w:szCs w:val="22"/>
    </w:rPr>
  </w:style>
  <w:style w:type="paragraph" w:customStyle="1" w:styleId="44">
    <w:name w:val="标题2"/>
    <w:basedOn w:val="45"/>
    <w:autoRedefine/>
    <w:qFormat/>
    <w:uiPriority w:val="0"/>
    <w:rPr>
      <w:b w:val="0"/>
      <w:sz w:val="21"/>
    </w:rPr>
  </w:style>
  <w:style w:type="paragraph" w:customStyle="1" w:styleId="45">
    <w:name w:val="标题1"/>
    <w:basedOn w:val="46"/>
    <w:autoRedefine/>
    <w:qFormat/>
    <w:uiPriority w:val="0"/>
    <w:pPr>
      <w:ind w:right="100" w:rightChars="100" w:firstLine="0" w:firstLineChars="0"/>
    </w:pPr>
    <w:rPr>
      <w:b/>
      <w:bCs/>
      <w:sz w:val="24"/>
    </w:rPr>
  </w:style>
  <w:style w:type="paragraph" w:customStyle="1" w:styleId="46">
    <w:name w:val="列出段落1"/>
    <w:basedOn w:val="1"/>
    <w:autoRedefine/>
    <w:qFormat/>
    <w:uiPriority w:val="34"/>
    <w:pPr>
      <w:ind w:firstLine="420" w:firstLineChars="200"/>
    </w:pPr>
  </w:style>
  <w:style w:type="paragraph" w:customStyle="1" w:styleId="47">
    <w:name w:val="彩色列表 - 强调文字颜色 12"/>
    <w:basedOn w:val="1"/>
    <w:autoRedefine/>
    <w:qFormat/>
    <w:uiPriority w:val="34"/>
    <w:pPr>
      <w:ind w:firstLine="420" w:firstLineChars="200"/>
    </w:pPr>
    <w:rPr>
      <w:szCs w:val="22"/>
    </w:rPr>
  </w:style>
  <w:style w:type="paragraph" w:customStyle="1" w:styleId="48">
    <w:name w:val="正文 A"/>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49">
    <w:name w:val="grame"/>
    <w:qFormat/>
    <w:uiPriority w:val="0"/>
  </w:style>
  <w:style w:type="paragraph" w:customStyle="1" w:styleId="50">
    <w:name w:val="ZJ表格"/>
    <w:basedOn w:val="1"/>
    <w:qFormat/>
    <w:uiPriority w:val="0"/>
    <w:pPr>
      <w:keepNext w:val="0"/>
      <w:keepLines w:val="0"/>
      <w:widowControl w:val="0"/>
      <w:suppressLineNumbers w:val="0"/>
      <w:spacing w:before="0" w:beforeAutospacing="0" w:after="0" w:afterAutospacing="0" w:line="273" w:lineRule="auto"/>
      <w:ind w:left="0" w:right="0" w:firstLine="0" w:firstLineChars="0"/>
      <w:jc w:val="center"/>
    </w:pPr>
    <w:rPr>
      <w:rFonts w:hint="eastAsia" w:ascii="宋体" w:hAnsi="宋体" w:eastAsia="宋体" w:cs="仿宋"/>
      <w:kern w:val="2"/>
      <w:sz w:val="32"/>
      <w:szCs w:val="32"/>
      <w:lang w:val="en-US" w:eastAsia="zh-CN" w:bidi="ar"/>
    </w:rPr>
  </w:style>
  <w:style w:type="character" w:customStyle="1" w:styleId="51">
    <w:name w:val="16"/>
    <w:basedOn w:val="26"/>
    <w:qFormat/>
    <w:uiPriority w:val="0"/>
    <w:rPr>
      <w:rFonts w:hint="eastAsia" w:ascii="宋体" w:hAnsi="宋体" w:eastAsia="宋体" w:cs="宋体"/>
      <w:color w:val="FF0000"/>
      <w:sz w:val="20"/>
      <w:szCs w:val="20"/>
    </w:rPr>
  </w:style>
  <w:style w:type="paragraph" w:customStyle="1" w:styleId="52">
    <w:name w:val="WPSOffice手动目录 1"/>
    <w:qFormat/>
    <w:uiPriority w:val="0"/>
    <w:pPr>
      <w:ind w:leftChars="0"/>
    </w:pPr>
    <w:rPr>
      <w:rFonts w:ascii="Times New Roman" w:hAnsi="Times New Roman" w:eastAsia="宋体" w:cs="Times New Roman"/>
      <w:sz w:val="20"/>
      <w:szCs w:val="20"/>
    </w:rPr>
  </w:style>
  <w:style w:type="paragraph" w:customStyle="1" w:styleId="53">
    <w:name w:val="纯文本1"/>
    <w:basedOn w:val="1"/>
    <w:qFormat/>
    <w:uiPriority w:val="0"/>
    <w:rPr>
      <w:rFonts w:ascii="宋体" w:hAnsi="Courier New" w:eastAsia="宋体" w:cs="Times New Roman"/>
      <w:szCs w:val="22"/>
    </w:rPr>
  </w:style>
  <w:style w:type="paragraph" w:customStyle="1" w:styleId="54">
    <w:name w:val="正文_3"/>
    <w:autoRedefine/>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17483</Words>
  <Characters>18911</Characters>
  <Lines>0</Lines>
  <Paragraphs>0</Paragraphs>
  <TotalTime>37</TotalTime>
  <ScaleCrop>false</ScaleCrop>
  <LinksUpToDate>false</LinksUpToDate>
  <CharactersWithSpaces>19108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2021-10-15T08:56:00Z</dcterms:created>
  <dc:creator>1</dc:creator>
  <cp:lastModifiedBy>1</cp:lastModifiedBy>
  <cp:lastPrinted>2024-12-25T09:49:00Z</cp:lastPrinted>
  <dcterms:modified xsi:type="dcterms:W3CDTF">2025-01-22T03:55:36Z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48826BEE76CD497C92492C5758CBEF21_13</vt:lpwstr>
  </property>
  <property fmtid="{D5CDD505-2E9C-101B-9397-08002B2CF9AE}" pid="3" name="KSOProductBuildVer">
    <vt:lpwstr>2052-12.1.0.19770</vt:lpwstr>
  </property>
  <property fmtid="{D5CDD505-2E9C-101B-9397-08002B2CF9AE}" pid="4" name="KSOTemplateDocerSaveRecord">
    <vt:lpwstr>eyJoZGlkIjoiY2Y5ODVmNTIyN2ZiOTRkNTY2MDE5YTMyMTFkYTA5MzYiLCJ1c2VySWQiOiI1NTgyNzg2NTUifQ==</vt:lpwstr>
  </property>
</Properties>
</file>