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9C0F79">
      <w:pPr>
        <w:pStyle w:val="5"/>
        <w:spacing w:after="0"/>
        <w:jc w:val="center"/>
        <w:rPr>
          <w:rFonts w:ascii="宋体" w:hAnsi="宋体" w:cs="宋体"/>
          <w:b/>
          <w:bCs/>
          <w:spacing w:val="-20"/>
          <w:kern w:val="44"/>
          <w:sz w:val="48"/>
          <w:szCs w:val="48"/>
          <w:highlight w:val="none"/>
        </w:rPr>
      </w:pPr>
      <w:bookmarkStart w:id="0" w:name="_Toc3995"/>
    </w:p>
    <w:p w14:paraId="56E53044">
      <w:pPr>
        <w:pStyle w:val="5"/>
        <w:spacing w:after="0"/>
        <w:jc w:val="center"/>
        <w:rPr>
          <w:rFonts w:ascii="宋体" w:hAnsi="宋体" w:cs="宋体"/>
          <w:b/>
          <w:bCs/>
          <w:spacing w:val="-20"/>
          <w:kern w:val="44"/>
          <w:sz w:val="48"/>
          <w:szCs w:val="48"/>
          <w:highlight w:val="none"/>
        </w:rPr>
      </w:pPr>
    </w:p>
    <w:p w14:paraId="19A4EAE3">
      <w:pPr>
        <w:pStyle w:val="5"/>
        <w:spacing w:after="0"/>
        <w:jc w:val="center"/>
        <w:rPr>
          <w:rFonts w:ascii="宋体" w:hAnsi="宋体" w:cs="宋体"/>
          <w:b/>
          <w:bCs/>
          <w:spacing w:val="-20"/>
          <w:kern w:val="44"/>
          <w:sz w:val="48"/>
          <w:szCs w:val="48"/>
          <w:highlight w:val="none"/>
        </w:rPr>
      </w:pPr>
    </w:p>
    <w:p w14:paraId="519F4B9B">
      <w:pPr>
        <w:pStyle w:val="5"/>
        <w:spacing w:after="0"/>
        <w:jc w:val="center"/>
        <w:rPr>
          <w:rFonts w:ascii="宋体" w:hAnsi="宋体" w:cs="宋体"/>
          <w:b/>
          <w:bCs/>
          <w:spacing w:val="-20"/>
          <w:kern w:val="44"/>
          <w:sz w:val="48"/>
          <w:szCs w:val="48"/>
          <w:highlight w:val="none"/>
        </w:rPr>
      </w:pPr>
    </w:p>
    <w:p w14:paraId="3E3F3116">
      <w:pPr>
        <w:pStyle w:val="5"/>
        <w:spacing w:after="0"/>
        <w:jc w:val="center"/>
        <w:rPr>
          <w:rFonts w:ascii="宋体" w:hAnsi="宋体" w:cs="宋体"/>
          <w:b/>
          <w:bCs/>
          <w:spacing w:val="-20"/>
          <w:kern w:val="44"/>
          <w:sz w:val="48"/>
          <w:szCs w:val="48"/>
          <w:highlight w:val="none"/>
        </w:rPr>
      </w:pPr>
    </w:p>
    <w:p w14:paraId="0C131C0D">
      <w:pPr>
        <w:pStyle w:val="5"/>
        <w:spacing w:after="0"/>
        <w:jc w:val="center"/>
        <w:rPr>
          <w:rFonts w:hint="eastAsia" w:ascii="宋体" w:hAnsi="宋体" w:cs="宋体"/>
          <w:b/>
          <w:bCs/>
          <w:spacing w:val="-20"/>
          <w:kern w:val="44"/>
          <w:sz w:val="48"/>
          <w:szCs w:val="48"/>
          <w:highlight w:val="none"/>
        </w:rPr>
      </w:pPr>
      <w:r>
        <w:rPr>
          <w:rFonts w:hint="eastAsia" w:ascii="宋体" w:hAnsi="宋体" w:cs="宋体"/>
          <w:b/>
          <w:bCs/>
          <w:spacing w:val="-20"/>
          <w:kern w:val="44"/>
          <w:sz w:val="48"/>
          <w:szCs w:val="48"/>
          <w:highlight w:val="none"/>
        </w:rPr>
        <w:t>政府采购</w:t>
      </w:r>
      <w:r>
        <w:rPr>
          <w:rFonts w:hint="eastAsia" w:ascii="宋体" w:hAnsi="宋体" w:cs="宋体"/>
          <w:b/>
          <w:bCs/>
          <w:spacing w:val="-20"/>
          <w:kern w:val="44"/>
          <w:sz w:val="48"/>
          <w:szCs w:val="48"/>
          <w:highlight w:val="none"/>
          <w:lang w:eastAsia="zh-CN"/>
        </w:rPr>
        <w:t>货物买卖</w:t>
      </w:r>
      <w:r>
        <w:rPr>
          <w:rFonts w:hint="eastAsia" w:ascii="宋体" w:hAnsi="宋体" w:cs="宋体"/>
          <w:b/>
          <w:bCs/>
          <w:spacing w:val="-20"/>
          <w:kern w:val="44"/>
          <w:sz w:val="48"/>
          <w:szCs w:val="48"/>
          <w:highlight w:val="none"/>
        </w:rPr>
        <w:t>合同</w:t>
      </w:r>
    </w:p>
    <w:p w14:paraId="187E82AA">
      <w:pPr>
        <w:pStyle w:val="5"/>
        <w:spacing w:after="0"/>
        <w:jc w:val="center"/>
        <w:rPr>
          <w:rFonts w:hint="eastAsia" w:ascii="宋体" w:hAnsi="宋体" w:eastAsia="宋体" w:cs="宋体"/>
          <w:b/>
          <w:bCs/>
          <w:spacing w:val="-20"/>
          <w:kern w:val="44"/>
          <w:sz w:val="48"/>
          <w:szCs w:val="48"/>
          <w:highlight w:val="none"/>
          <w:lang w:eastAsia="zh-CN"/>
        </w:rPr>
      </w:pPr>
      <w:r>
        <w:rPr>
          <w:rFonts w:hint="eastAsia" w:ascii="宋体" w:hAnsi="宋体" w:cs="宋体"/>
          <w:b/>
          <w:bCs/>
          <w:spacing w:val="-20"/>
          <w:kern w:val="44"/>
          <w:sz w:val="48"/>
          <w:szCs w:val="48"/>
          <w:highlight w:val="none"/>
          <w:lang w:eastAsia="zh-CN"/>
        </w:rPr>
        <w:t>（试行）</w:t>
      </w:r>
    </w:p>
    <w:p w14:paraId="1C34729B">
      <w:pPr>
        <w:rPr>
          <w:rFonts w:ascii="宋体" w:hAnsi="宋体" w:cs="宋体"/>
          <w:b/>
          <w:bCs/>
          <w:spacing w:val="-20"/>
          <w:kern w:val="44"/>
          <w:sz w:val="40"/>
          <w:szCs w:val="40"/>
          <w:highlight w:val="none"/>
        </w:rPr>
      </w:pPr>
    </w:p>
    <w:p w14:paraId="55269040">
      <w:pPr>
        <w:rPr>
          <w:rFonts w:ascii="宋体" w:hAnsi="宋体" w:cs="宋体"/>
          <w:b/>
          <w:bCs/>
          <w:spacing w:val="-20"/>
          <w:kern w:val="44"/>
          <w:sz w:val="40"/>
          <w:szCs w:val="40"/>
          <w:highlight w:val="none"/>
        </w:rPr>
      </w:pPr>
    </w:p>
    <w:p w14:paraId="62C4DAFF">
      <w:pPr>
        <w:rPr>
          <w:rFonts w:ascii="宋体" w:hAnsi="宋体" w:cs="宋体"/>
          <w:b/>
          <w:bCs/>
          <w:spacing w:val="-20"/>
          <w:kern w:val="44"/>
          <w:sz w:val="40"/>
          <w:szCs w:val="40"/>
          <w:highlight w:val="none"/>
        </w:rPr>
      </w:pPr>
    </w:p>
    <w:p w14:paraId="1CBA3144">
      <w:pPr>
        <w:spacing w:line="360" w:lineRule="auto"/>
        <w:ind w:left="420" w:leftChars="200"/>
        <w:rPr>
          <w:rFonts w:hint="eastAsia" w:eastAsia="宋体"/>
          <w:sz w:val="32"/>
          <w:szCs w:val="32"/>
          <w:highlight w:val="none"/>
          <w:lang w:eastAsia="zh-CN"/>
        </w:rPr>
      </w:pPr>
      <w:r>
        <w:rPr>
          <w:rFonts w:hint="eastAsia" w:ascii="宋体" w:hAnsi="宋体" w:cs="宋体"/>
          <w:kern w:val="0"/>
          <w:sz w:val="32"/>
          <w:szCs w:val="32"/>
          <w:highlight w:val="none"/>
        </w:rPr>
        <w:t>项目名称：</w:t>
      </w:r>
      <w:r>
        <w:rPr>
          <w:rFonts w:hint="eastAsia"/>
          <w:sz w:val="32"/>
          <w:szCs w:val="32"/>
          <w:highlight w:val="none"/>
          <w:u w:val="none"/>
          <w:lang w:eastAsia="zh-CN"/>
        </w:rPr>
        <w:t>佛山市三水区新城医院医疗家具采购项目（第二期）</w:t>
      </w:r>
    </w:p>
    <w:p w14:paraId="5230BD7E">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14:paraId="07AFE75C">
      <w:pPr>
        <w:spacing w:line="360" w:lineRule="auto"/>
        <w:ind w:left="420" w:leftChars="200"/>
        <w:rPr>
          <w:rFonts w:hint="eastAsia"/>
          <w:sz w:val="32"/>
          <w:szCs w:val="32"/>
          <w:highlight w:val="none"/>
        </w:rPr>
      </w:pPr>
      <w:r>
        <w:rPr>
          <w:rFonts w:hint="eastAsia"/>
          <w:sz w:val="32"/>
          <w:szCs w:val="32"/>
          <w:highlight w:val="none"/>
        </w:rPr>
        <w:t>甲    方：佛山市三水区新城医院</w:t>
      </w:r>
    </w:p>
    <w:p w14:paraId="699CF493">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14:paraId="68803A56">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14:paraId="45763E41">
      <w:pPr>
        <w:rPr>
          <w:highlight w:val="none"/>
        </w:rPr>
      </w:pPr>
    </w:p>
    <w:p w14:paraId="1ACE3DBB">
      <w:pPr>
        <w:rPr>
          <w:rFonts w:eastAsia="黑体"/>
          <w:sz w:val="44"/>
          <w:szCs w:val="44"/>
          <w:highlight w:val="none"/>
        </w:rPr>
      </w:pPr>
      <w:r>
        <w:rPr>
          <w:rFonts w:eastAsia="黑体"/>
          <w:sz w:val="44"/>
          <w:szCs w:val="44"/>
          <w:highlight w:val="none"/>
        </w:rPr>
        <w:br w:type="page"/>
      </w:r>
    </w:p>
    <w:p w14:paraId="3A675CDA">
      <w:pPr>
        <w:rPr>
          <w:rFonts w:eastAsia="黑体"/>
          <w:sz w:val="44"/>
          <w:szCs w:val="44"/>
          <w:highlight w:val="none"/>
        </w:rPr>
      </w:pPr>
    </w:p>
    <w:p w14:paraId="66E5E205">
      <w:pPr>
        <w:rPr>
          <w:rFonts w:eastAsia="黑体"/>
          <w:sz w:val="44"/>
          <w:szCs w:val="44"/>
          <w:highlight w:val="none"/>
        </w:rPr>
      </w:pPr>
    </w:p>
    <w:p w14:paraId="10986FE1">
      <w:pPr>
        <w:jc w:val="center"/>
        <w:rPr>
          <w:rFonts w:hint="eastAsia" w:eastAsia="黑体"/>
          <w:sz w:val="44"/>
          <w:szCs w:val="44"/>
          <w:highlight w:val="none"/>
          <w:lang w:eastAsia="zh-CN"/>
        </w:rPr>
      </w:pPr>
      <w:r>
        <w:rPr>
          <w:rFonts w:hint="eastAsia" w:eastAsia="黑体"/>
          <w:sz w:val="44"/>
          <w:szCs w:val="44"/>
          <w:highlight w:val="none"/>
          <w:lang w:eastAsia="zh-CN"/>
        </w:rPr>
        <w:t>使</w:t>
      </w:r>
      <w:r>
        <w:rPr>
          <w:rFonts w:hint="eastAsia" w:eastAsia="黑体"/>
          <w:sz w:val="44"/>
          <w:szCs w:val="44"/>
          <w:highlight w:val="none"/>
          <w:lang w:val="en-US" w:eastAsia="zh-CN"/>
        </w:rPr>
        <w:t xml:space="preserve"> </w:t>
      </w:r>
      <w:r>
        <w:rPr>
          <w:rFonts w:hint="eastAsia" w:eastAsia="黑体"/>
          <w:sz w:val="44"/>
          <w:szCs w:val="44"/>
          <w:highlight w:val="none"/>
          <w:lang w:eastAsia="zh-CN"/>
        </w:rPr>
        <w:t>用</w:t>
      </w:r>
      <w:r>
        <w:rPr>
          <w:rFonts w:hint="eastAsia" w:eastAsia="黑体"/>
          <w:sz w:val="44"/>
          <w:szCs w:val="44"/>
          <w:highlight w:val="none"/>
          <w:lang w:val="en-US" w:eastAsia="zh-CN"/>
        </w:rPr>
        <w:t xml:space="preserve"> </w:t>
      </w:r>
      <w:r>
        <w:rPr>
          <w:rFonts w:hint="eastAsia" w:eastAsia="黑体"/>
          <w:sz w:val="44"/>
          <w:szCs w:val="44"/>
          <w:highlight w:val="none"/>
          <w:lang w:eastAsia="zh-CN"/>
        </w:rPr>
        <w:t>说</w:t>
      </w:r>
      <w:r>
        <w:rPr>
          <w:rFonts w:hint="eastAsia" w:eastAsia="黑体"/>
          <w:sz w:val="44"/>
          <w:szCs w:val="44"/>
          <w:highlight w:val="none"/>
          <w:lang w:val="en-US" w:eastAsia="zh-CN"/>
        </w:rPr>
        <w:t xml:space="preserve"> </w:t>
      </w:r>
      <w:r>
        <w:rPr>
          <w:rFonts w:hint="eastAsia" w:eastAsia="黑体"/>
          <w:sz w:val="44"/>
          <w:szCs w:val="44"/>
          <w:highlight w:val="none"/>
          <w:lang w:eastAsia="zh-CN"/>
        </w:rPr>
        <w:t>明</w:t>
      </w:r>
    </w:p>
    <w:p w14:paraId="12C0C62F">
      <w:pPr>
        <w:ind w:firstLine="640" w:firstLineChars="200"/>
        <w:rPr>
          <w:rFonts w:hint="eastAsia" w:ascii="仿宋_GB2312" w:hAnsi="仿宋_GB2312" w:eastAsia="仿宋_GB2312" w:cs="仿宋_GB2312"/>
          <w:sz w:val="32"/>
          <w:szCs w:val="32"/>
          <w:highlight w:val="none"/>
          <w:lang w:val="en-US" w:eastAsia="zh-CN"/>
        </w:rPr>
      </w:pPr>
    </w:p>
    <w:p w14:paraId="39EA95C7">
      <w:p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1.本合同标准文本适用于购买现成货物的采购项目，不包括需要供应商定制开发、创新研发的货物采购项目。</w:t>
      </w:r>
    </w:p>
    <w:p w14:paraId="17024298">
      <w:pPr>
        <w:ind w:firstLine="0" w:firstLineChars="0"/>
        <w:rPr>
          <w:rFonts w:hint="default" w:eastAsia="黑体"/>
          <w:sz w:val="44"/>
          <w:szCs w:val="44"/>
          <w:highlight w:val="none"/>
          <w:lang w:val="en-US" w:eastAsia="zh-CN"/>
        </w:rPr>
      </w:pPr>
      <w:r>
        <w:rPr>
          <w:rFonts w:hint="eastAsia" w:eastAsia="黑体"/>
          <w:sz w:val="44"/>
          <w:szCs w:val="44"/>
          <w:highlight w:val="none"/>
          <w:lang w:val="en-US" w:eastAsia="zh-CN"/>
        </w:rPr>
        <w:t xml:space="preserve">   </w:t>
      </w:r>
      <w:r>
        <w:rPr>
          <w:rFonts w:hint="eastAsia" w:ascii="仿宋_GB2312" w:hAnsi="仿宋_GB2312" w:eastAsia="仿宋_GB2312" w:cs="仿宋_GB2312"/>
          <w:sz w:val="32"/>
          <w:szCs w:val="32"/>
          <w:highlight w:val="none"/>
          <w:lang w:val="en-US" w:eastAsia="zh-CN"/>
        </w:rPr>
        <w:t>2.本合同标准文本为政府采购货物买卖合同编制提供参考，可以结合采购项目具体情况，对文本作必要的调整修订后使用。</w:t>
      </w:r>
    </w:p>
    <w:p w14:paraId="49E173E1">
      <w:p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3.本合同标准文本各条款中，如涉及填写多家供应商、制造商，多种采购标的、分包主要内容等信息的，可根据采购项目具体情况添加信息项。</w:t>
      </w:r>
    </w:p>
    <w:p w14:paraId="0A9219A5">
      <w:pPr>
        <w:ind w:firstLine="880" w:firstLineChars="200"/>
        <w:jc w:val="both"/>
        <w:rPr>
          <w:rFonts w:eastAsia="黑体"/>
          <w:sz w:val="44"/>
          <w:szCs w:val="44"/>
          <w:highlight w:val="none"/>
        </w:rPr>
        <w:sectPr>
          <w:headerReference r:id="rId3" w:type="default"/>
          <w:footerReference r:id="rId4" w:type="default"/>
          <w:pgSz w:w="11906" w:h="16838"/>
          <w:pgMar w:top="1440" w:right="1066" w:bottom="1440" w:left="1800" w:header="851" w:footer="992" w:gutter="0"/>
          <w:pgBorders>
            <w:top w:val="none" w:sz="0" w:space="0"/>
            <w:left w:val="none" w:sz="0" w:space="0"/>
            <w:bottom w:val="none" w:sz="0" w:space="0"/>
            <w:right w:val="none" w:sz="0" w:space="0"/>
          </w:pgBorders>
          <w:cols w:space="425" w:num="1"/>
          <w:docGrid w:type="lines" w:linePitch="312" w:charSpace="0"/>
        </w:sectPr>
      </w:pPr>
    </w:p>
    <w:bookmarkEnd w:id="0"/>
    <w:p w14:paraId="6960332C">
      <w:pPr>
        <w:pStyle w:val="3"/>
        <w:adjustRightInd w:val="0"/>
        <w:snapToGrid w:val="0"/>
        <w:spacing w:beforeLines="0" w:line="400" w:lineRule="exact"/>
        <w:jc w:val="center"/>
        <w:rPr>
          <w:rFonts w:hint="eastAsia" w:ascii="黑体" w:hAnsi="黑体" w:eastAsia="黑体"/>
          <w:sz w:val="28"/>
          <w:szCs w:val="28"/>
          <w:highlight w:val="none"/>
        </w:rPr>
      </w:pPr>
      <w:bookmarkStart w:id="1" w:name="_Toc22209"/>
    </w:p>
    <w:p w14:paraId="745CE2C1">
      <w:pPr>
        <w:pStyle w:val="3"/>
        <w:adjustRightInd w:val="0"/>
        <w:snapToGrid w:val="0"/>
        <w:spacing w:beforeLines="0" w:line="400" w:lineRule="exact"/>
        <w:jc w:val="center"/>
        <w:rPr>
          <w:rFonts w:hint="eastAsia" w:ascii="黑体" w:hAnsi="华文中宋" w:eastAsia="黑体"/>
          <w:b w:val="0"/>
          <w:bCs w:val="0"/>
          <w:sz w:val="28"/>
          <w:szCs w:val="28"/>
          <w:highlight w:val="none"/>
        </w:rP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政府采购合同协议书</w:t>
      </w:r>
      <w:bookmarkEnd w:id="1"/>
    </w:p>
    <w:p w14:paraId="351C4670">
      <w:pPr>
        <w:pStyle w:val="3"/>
        <w:adjustRightInd w:val="0"/>
        <w:snapToGrid w:val="0"/>
        <w:spacing w:beforeLines="0" w:line="400" w:lineRule="exact"/>
        <w:jc w:val="center"/>
        <w:rPr>
          <w:rFonts w:hint="eastAsia" w:ascii="黑体" w:hAnsi="华文中宋" w:eastAsia="黑体"/>
          <w:b w:val="0"/>
          <w:bCs w:val="0"/>
          <w:sz w:val="28"/>
          <w:szCs w:val="28"/>
          <w:highlight w:val="none"/>
        </w:rPr>
      </w:pPr>
    </w:p>
    <w:p w14:paraId="44EEAFE4">
      <w:pPr>
        <w:adjustRightInd w:val="0"/>
        <w:snapToGrid w:val="0"/>
        <w:spacing w:before="0" w:beforeLines="0" w:line="400" w:lineRule="exact"/>
        <w:rPr>
          <w:rFonts w:hint="eastAsia" w:ascii="宋体" w:hAnsi="宋体" w:eastAsia="宋体"/>
          <w:szCs w:val="21"/>
          <w:highlight w:val="none"/>
          <w:u w:val="single"/>
          <w:lang w:eastAsia="zh-CN"/>
        </w:rPr>
      </w:pPr>
      <w:r>
        <w:rPr>
          <w:rFonts w:hint="eastAsia" w:ascii="宋体" w:hAnsi="宋体"/>
          <w:szCs w:val="21"/>
          <w:highlight w:val="none"/>
        </w:rPr>
        <w:t>甲方（全称）：</w:t>
      </w:r>
      <w:r>
        <w:rPr>
          <w:rFonts w:hint="eastAsia" w:ascii="宋体" w:hAnsi="宋体"/>
          <w:szCs w:val="21"/>
          <w:highlight w:val="none"/>
          <w:u w:val="single"/>
        </w:rPr>
        <w:t>佛山市三水区新城医院</w:t>
      </w:r>
    </w:p>
    <w:p w14:paraId="04F8884E">
      <w:pPr>
        <w:adjustRightInd w:val="0"/>
        <w:snapToGrid w:val="0"/>
        <w:spacing w:before="0" w:beforeLines="0" w:line="400" w:lineRule="exact"/>
        <w:rPr>
          <w:rFonts w:ascii="宋体" w:hAnsi="宋体"/>
          <w:szCs w:val="21"/>
          <w:highlight w:val="none"/>
        </w:rPr>
      </w:pPr>
      <w:r>
        <w:rPr>
          <w:rFonts w:hint="eastAsia" w:ascii="宋体" w:hAnsi="宋体"/>
          <w:szCs w:val="21"/>
          <w:highlight w:val="none"/>
        </w:rPr>
        <w:t>（</w:t>
      </w:r>
      <w:r>
        <w:rPr>
          <w:rFonts w:hint="eastAsia" w:ascii="宋体" w:hAnsi="宋体"/>
          <w:szCs w:val="21"/>
          <w:highlight w:val="none"/>
          <w:lang w:eastAsia="zh-CN"/>
        </w:rPr>
        <w:t>甲方、受甲方委托签订合同的单位</w:t>
      </w:r>
      <w:r>
        <w:rPr>
          <w:rFonts w:hint="eastAsia" w:ascii="宋体" w:hAnsi="宋体"/>
          <w:szCs w:val="21"/>
          <w:highlight w:val="none"/>
        </w:rPr>
        <w:t>或采购文件约定的合同甲方）</w:t>
      </w:r>
    </w:p>
    <w:p w14:paraId="11E9BF5A">
      <w:pPr>
        <w:adjustRightInd w:val="0"/>
        <w:snapToGrid w:val="0"/>
        <w:spacing w:before="0" w:beforeLines="0" w:line="400" w:lineRule="exact"/>
        <w:rPr>
          <w:rFonts w:ascii="宋体" w:hAnsi="宋体"/>
          <w:szCs w:val="21"/>
          <w:highlight w:val="none"/>
        </w:rPr>
      </w:pPr>
      <w:r>
        <w:rPr>
          <w:rFonts w:hint="eastAsia" w:ascii="宋体" w:hAnsi="宋体"/>
          <w:szCs w:val="21"/>
          <w:highlight w:val="none"/>
        </w:rPr>
        <w:t>乙方</w:t>
      </w:r>
      <w:r>
        <w:rPr>
          <w:rFonts w:hint="eastAsia" w:ascii="宋体" w:hAnsi="宋体"/>
          <w:szCs w:val="21"/>
          <w:highlight w:val="none"/>
          <w:lang w:val="en-US" w:eastAsia="zh-CN"/>
        </w:rPr>
        <w:t>1</w:t>
      </w:r>
      <w:r>
        <w:rPr>
          <w:rFonts w:hint="eastAsia" w:ascii="宋体" w:hAnsi="宋体"/>
          <w:szCs w:val="21"/>
          <w:highlight w:val="none"/>
        </w:rPr>
        <w:t>（全称）：</w:t>
      </w:r>
      <w:r>
        <w:rPr>
          <w:rFonts w:hint="eastAsia" w:ascii="宋体" w:hAnsi="宋体"/>
          <w:szCs w:val="21"/>
          <w:highlight w:val="none"/>
          <w:u w:val="single"/>
        </w:rPr>
        <w:t xml:space="preserve">                       </w:t>
      </w:r>
      <w:r>
        <w:rPr>
          <w:rFonts w:hint="eastAsia" w:ascii="宋体" w:hAnsi="宋体"/>
          <w:szCs w:val="21"/>
          <w:highlight w:val="none"/>
        </w:rPr>
        <w:t>（供应商）</w:t>
      </w:r>
    </w:p>
    <w:p w14:paraId="7193E1DF">
      <w:pPr>
        <w:spacing w:beforeLines="0" w:line="400" w:lineRule="exact"/>
        <w:rPr>
          <w:rFonts w:hint="default" w:eastAsia="宋体"/>
          <w:highlight w:val="none"/>
          <w:lang w:val="en-US" w:eastAsia="zh-CN"/>
        </w:rPr>
      </w:pPr>
    </w:p>
    <w:p w14:paraId="51C87686">
      <w:pPr>
        <w:pStyle w:val="6"/>
        <w:adjustRightInd w:val="0"/>
        <w:snapToGrid w:val="0"/>
        <w:spacing w:before="0" w:beforeLines="0" w:after="0" w:line="400" w:lineRule="exact"/>
        <w:ind w:left="0" w:leftChars="0" w:firstLine="420" w:firstLineChars="200"/>
        <w:rPr>
          <w:rFonts w:ascii="宋体" w:hAnsi="宋体"/>
          <w:szCs w:val="21"/>
          <w:highlight w:val="none"/>
        </w:rPr>
      </w:pPr>
      <w:r>
        <w:rPr>
          <w:rFonts w:hint="eastAsia" w:ascii="宋体" w:hAnsi="宋体"/>
          <w:szCs w:val="21"/>
          <w:highlight w:val="none"/>
        </w:rPr>
        <w:t>依据《中华人民共和国民法典》</w:t>
      </w:r>
      <w:r>
        <w:rPr>
          <w:rFonts w:hint="eastAsia" w:ascii="宋体" w:hAnsi="宋体"/>
          <w:szCs w:val="21"/>
          <w:highlight w:val="none"/>
          <w:lang w:eastAsia="zh-CN"/>
        </w:rPr>
        <w:t>、</w:t>
      </w:r>
      <w:r>
        <w:rPr>
          <w:rFonts w:hint="eastAsia" w:ascii="宋体" w:hAnsi="宋体"/>
          <w:szCs w:val="21"/>
          <w:highlight w:val="none"/>
        </w:rPr>
        <w:t>《中华人民共和国政府采购法》等有关的法律法规，以及</w:t>
      </w:r>
      <w:r>
        <w:rPr>
          <w:rFonts w:hint="eastAsia" w:ascii="宋体" w:hAnsi="宋体"/>
          <w:i w:val="0"/>
          <w:iCs w:val="0"/>
          <w:szCs w:val="21"/>
          <w:highlight w:val="none"/>
          <w:u w:val="none"/>
          <w:lang w:eastAsia="zh-CN"/>
        </w:rPr>
        <w:t>本采购项目</w:t>
      </w:r>
      <w:r>
        <w:rPr>
          <w:rFonts w:hint="eastAsia" w:ascii="宋体" w:hAnsi="宋体"/>
          <w:szCs w:val="21"/>
          <w:highlight w:val="none"/>
        </w:rPr>
        <w:t>的</w:t>
      </w:r>
      <w:r>
        <w:rPr>
          <w:rFonts w:hint="eastAsia" w:ascii="宋体" w:hAnsi="宋体"/>
          <w:szCs w:val="21"/>
          <w:highlight w:val="none"/>
          <w:lang w:eastAsia="zh-CN"/>
        </w:rPr>
        <w:t>招标</w:t>
      </w:r>
      <w:r>
        <w:rPr>
          <w:rFonts w:hint="eastAsia" w:ascii="宋体" w:hAnsi="宋体"/>
          <w:szCs w:val="21"/>
          <w:highlight w:val="none"/>
          <w:lang w:val="en-US" w:eastAsia="zh-CN"/>
        </w:rPr>
        <w:t>/谈判</w:t>
      </w:r>
      <w:r>
        <w:rPr>
          <w:rFonts w:hint="eastAsia" w:ascii="宋体" w:hAnsi="宋体"/>
          <w:szCs w:val="21"/>
          <w:highlight w:val="none"/>
          <w:lang w:eastAsia="zh-CN"/>
        </w:rPr>
        <w:t>文件等</w:t>
      </w:r>
      <w:r>
        <w:rPr>
          <w:rFonts w:hint="eastAsia" w:ascii="宋体" w:hAnsi="宋体"/>
          <w:szCs w:val="21"/>
          <w:highlight w:val="none"/>
        </w:rPr>
        <w:t>采购文件</w:t>
      </w:r>
      <w:r>
        <w:rPr>
          <w:rFonts w:hint="eastAsia" w:ascii="宋体" w:hAnsi="宋体"/>
          <w:szCs w:val="21"/>
          <w:highlight w:val="none"/>
          <w:lang w:eastAsia="zh-CN"/>
        </w:rPr>
        <w:t>、</w:t>
      </w:r>
      <w:r>
        <w:rPr>
          <w:rFonts w:hint="eastAsia" w:ascii="宋体" w:hAnsi="宋体"/>
          <w:szCs w:val="21"/>
          <w:highlight w:val="none"/>
        </w:rPr>
        <w:t xml:space="preserve">乙方的《投标（响应）文件》及《中标（成交）通知书》，甲乙双方同意签订本合同。具体情况及要求如下：     </w:t>
      </w:r>
    </w:p>
    <w:p w14:paraId="3216CF5D">
      <w:pPr>
        <w:numPr>
          <w:ilvl w:val="0"/>
          <w:numId w:val="1"/>
        </w:numPr>
        <w:adjustRightInd w:val="0"/>
        <w:snapToGrid w:val="0"/>
        <w:spacing w:before="0" w:beforeLines="0" w:line="400" w:lineRule="exact"/>
        <w:ind w:firstLine="422" w:firstLineChars="200"/>
        <w:rPr>
          <w:rFonts w:ascii="宋体" w:hAnsi="宋体"/>
          <w:b/>
          <w:szCs w:val="21"/>
          <w:highlight w:val="none"/>
        </w:rPr>
      </w:pPr>
      <w:r>
        <w:rPr>
          <w:rFonts w:hint="eastAsia" w:ascii="宋体" w:hAnsi="宋体"/>
          <w:b/>
          <w:szCs w:val="21"/>
          <w:highlight w:val="none"/>
        </w:rPr>
        <w:t>项目信息</w:t>
      </w:r>
    </w:p>
    <w:p w14:paraId="3CE85232">
      <w:pPr>
        <w:pStyle w:val="6"/>
        <w:numPr>
          <w:ilvl w:val="0"/>
          <w:numId w:val="2"/>
        </w:numPr>
        <w:adjustRightInd w:val="0"/>
        <w:snapToGrid w:val="0"/>
        <w:spacing w:before="0" w:beforeLines="0" w:after="0" w:line="400" w:lineRule="exact"/>
        <w:ind w:left="0" w:leftChars="0" w:firstLine="420" w:firstLineChars="200"/>
        <w:rPr>
          <w:rFonts w:ascii="宋体" w:hAnsi="宋体"/>
          <w:szCs w:val="21"/>
          <w:highlight w:val="none"/>
          <w:u w:val="single"/>
        </w:rPr>
      </w:pPr>
      <w:r>
        <w:rPr>
          <w:rFonts w:hint="eastAsia" w:ascii="宋体" w:hAnsi="宋体"/>
          <w:szCs w:val="21"/>
          <w:highlight w:val="none"/>
        </w:rPr>
        <w:t>采购项目名称：</w:t>
      </w:r>
      <w:r>
        <w:rPr>
          <w:rFonts w:ascii="宋体" w:hAnsi="宋体"/>
          <w:szCs w:val="21"/>
          <w:highlight w:val="none"/>
          <w:u w:val="single"/>
        </w:rPr>
        <w:t xml:space="preserve">  </w:t>
      </w:r>
      <w:r>
        <w:rPr>
          <w:rFonts w:hint="eastAsia" w:ascii="宋体" w:hAnsi="宋体"/>
          <w:szCs w:val="21"/>
          <w:highlight w:val="none"/>
          <w:u w:val="single"/>
          <w:lang w:eastAsia="zh-CN"/>
        </w:rPr>
        <w:t>佛山市三水区新城医院医疗家具采购项目（第二期）</w:t>
      </w:r>
      <w:r>
        <w:rPr>
          <w:rFonts w:ascii="宋体" w:hAnsi="宋体"/>
          <w:szCs w:val="21"/>
          <w:highlight w:val="none"/>
          <w:u w:val="single"/>
        </w:rPr>
        <w:t xml:space="preserve">         </w:t>
      </w:r>
    </w:p>
    <w:p w14:paraId="721E8535">
      <w:pPr>
        <w:pStyle w:val="6"/>
        <w:numPr>
          <w:ilvl w:val="-1"/>
          <w:numId w:val="0"/>
        </w:numPr>
        <w:tabs>
          <w:tab w:val="left" w:pos="999"/>
        </w:tabs>
        <w:adjustRightInd w:val="0"/>
        <w:snapToGrid w:val="0"/>
        <w:spacing w:before="0" w:beforeLines="0" w:after="0" w:line="400" w:lineRule="exact"/>
        <w:ind w:left="0" w:leftChars="0" w:firstLine="0" w:firstLineChars="0"/>
        <w:rPr>
          <w:rFonts w:hint="default" w:ascii="宋体" w:hAnsi="宋体" w:eastAsia="宋体"/>
          <w:szCs w:val="21"/>
          <w:highlight w:val="none"/>
          <w:u w:val="none"/>
          <w:lang w:val="en-US" w:eastAsia="zh-CN"/>
        </w:rPr>
      </w:pPr>
      <w:r>
        <w:rPr>
          <w:rFonts w:hint="eastAsia" w:ascii="宋体" w:hAnsi="宋体"/>
          <w:szCs w:val="21"/>
          <w:highlight w:val="none"/>
          <w:u w:val="none"/>
          <w:lang w:val="en-US" w:eastAsia="zh-CN"/>
        </w:rPr>
        <w:t xml:space="preserve">         采购项目编号：</w:t>
      </w:r>
      <w:r>
        <w:rPr>
          <w:rFonts w:ascii="宋体" w:hAnsi="宋体"/>
          <w:szCs w:val="21"/>
          <w:highlight w:val="none"/>
          <w:u w:val="single"/>
        </w:rPr>
        <w:t xml:space="preserve">  </w:t>
      </w:r>
      <w:r>
        <w:rPr>
          <w:rFonts w:hint="eastAsia" w:ascii="宋体" w:hAnsi="宋体"/>
          <w:szCs w:val="21"/>
          <w:highlight w:val="none"/>
          <w:u w:val="single"/>
          <w:lang w:eastAsia="zh-CN"/>
        </w:rPr>
        <w:t>ZT(SS08)2025</w:t>
      </w:r>
      <w:r>
        <w:rPr>
          <w:rFonts w:ascii="宋体" w:hAnsi="宋体"/>
          <w:szCs w:val="21"/>
          <w:highlight w:val="none"/>
          <w:u w:val="single"/>
        </w:rPr>
        <w:t xml:space="preserve">                   </w:t>
      </w:r>
    </w:p>
    <w:p w14:paraId="77863BA4">
      <w:pPr>
        <w:pStyle w:val="6"/>
        <w:adjustRightInd w:val="0"/>
        <w:snapToGrid w:val="0"/>
        <w:spacing w:before="0" w:beforeLines="0" w:after="0" w:line="400" w:lineRule="exact"/>
        <w:ind w:left="0" w:leftChars="0" w:firstLine="420" w:firstLineChars="200"/>
        <w:rPr>
          <w:rFonts w:ascii="宋体" w:hAnsi="宋体"/>
          <w:szCs w:val="21"/>
          <w:highlight w:val="none"/>
        </w:rPr>
      </w:pPr>
      <w:r>
        <w:rPr>
          <w:rFonts w:hint="eastAsia" w:ascii="宋体" w:hAnsi="宋体"/>
          <w:szCs w:val="21"/>
          <w:highlight w:val="none"/>
        </w:rPr>
        <w:t>（2）采购计划编号：</w:t>
      </w:r>
      <w:r>
        <w:rPr>
          <w:rFonts w:ascii="宋体" w:hAnsi="宋体"/>
          <w:szCs w:val="21"/>
          <w:highlight w:val="none"/>
          <w:u w:val="single"/>
        </w:rPr>
        <w:t xml:space="preserve"> </w:t>
      </w:r>
      <w:r>
        <w:rPr>
          <w:rFonts w:hint="eastAsia" w:ascii="宋体" w:hAnsi="宋体"/>
          <w:szCs w:val="21"/>
          <w:highlight w:val="none"/>
          <w:u w:val="single"/>
          <w:lang w:eastAsia="zh-CN"/>
        </w:rPr>
        <w:t>440607-2025-00806</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14:paraId="270D55B4">
      <w:pPr>
        <w:adjustRightInd w:val="0"/>
        <w:snapToGrid w:val="0"/>
        <w:spacing w:before="0" w:beforeLines="0" w:line="400" w:lineRule="exact"/>
        <w:ind w:firstLine="420" w:firstLineChars="200"/>
        <w:rPr>
          <w:rFonts w:hint="eastAsia" w:ascii="宋体" w:hAnsi="宋体"/>
          <w:szCs w:val="21"/>
          <w:highlight w:val="none"/>
        </w:rPr>
      </w:pPr>
      <w:r>
        <w:rPr>
          <w:rFonts w:hint="eastAsia" w:ascii="宋体" w:hAnsi="宋体"/>
          <w:szCs w:val="21"/>
          <w:highlight w:val="none"/>
        </w:rPr>
        <w:t>（3）项目内容：</w:t>
      </w:r>
    </w:p>
    <w:p w14:paraId="50C3D000">
      <w:pPr>
        <w:adjustRightInd w:val="0"/>
        <w:snapToGrid w:val="0"/>
        <w:spacing w:before="0" w:beforeLines="0" w:line="400" w:lineRule="exact"/>
        <w:ind w:firstLine="420" w:firstLineChars="200"/>
        <w:rPr>
          <w:rFonts w:hint="eastAsia" w:ascii="宋体" w:hAnsi="宋体"/>
          <w:szCs w:val="21"/>
          <w:highlight w:val="none"/>
          <w:lang w:val="en-US" w:eastAsia="zh-CN"/>
        </w:rPr>
      </w:pPr>
      <w:r>
        <w:rPr>
          <w:rFonts w:hint="eastAsia" w:ascii="宋体" w:hAnsi="宋体"/>
          <w:szCs w:val="21"/>
          <w:highlight w:val="none"/>
          <w:lang w:val="en-US" w:eastAsia="zh-CN"/>
        </w:rPr>
        <w:t xml:space="preserve">     </w:t>
      </w:r>
      <w:r>
        <w:rPr>
          <w:rFonts w:hint="eastAsia" w:ascii="宋体" w:hAnsi="宋体"/>
          <w:szCs w:val="21"/>
          <w:highlight w:val="none"/>
          <w:lang w:eastAsia="zh-CN"/>
        </w:rPr>
        <w:t>采购标的及数量</w:t>
      </w:r>
      <w:r>
        <w:rPr>
          <w:rFonts w:hint="eastAsia" w:ascii="宋体" w:hAnsi="宋体"/>
          <w:szCs w:val="21"/>
          <w:highlight w:val="none"/>
          <w:lang w:val="en-US" w:eastAsia="zh-CN"/>
        </w:rPr>
        <w:t>（台/套</w:t>
      </w:r>
      <w:r>
        <w:rPr>
          <w:rFonts w:hint="default" w:ascii="宋体" w:hAnsi="宋体"/>
          <w:szCs w:val="21"/>
          <w:highlight w:val="none"/>
          <w:lang w:val="en" w:eastAsia="zh-CN"/>
        </w:rPr>
        <w:t>/</w:t>
      </w:r>
      <w:r>
        <w:rPr>
          <w:rFonts w:hint="eastAsia" w:ascii="宋体" w:hAnsi="宋体"/>
          <w:szCs w:val="21"/>
          <w:highlight w:val="none"/>
          <w:lang w:val="en" w:eastAsia="zh-CN"/>
        </w:rPr>
        <w:t>个</w:t>
      </w:r>
      <w:r>
        <w:rPr>
          <w:rFonts w:hint="default" w:ascii="宋体" w:hAnsi="宋体"/>
          <w:szCs w:val="21"/>
          <w:highlight w:val="none"/>
          <w:lang w:val="en" w:eastAsia="zh-CN"/>
        </w:rPr>
        <w:t>/</w:t>
      </w:r>
      <w:r>
        <w:rPr>
          <w:rFonts w:hint="eastAsia" w:ascii="宋体" w:hAnsi="宋体"/>
          <w:szCs w:val="21"/>
          <w:highlight w:val="none"/>
          <w:lang w:val="en" w:eastAsia="zh-CN"/>
        </w:rPr>
        <w:t>架</w:t>
      </w:r>
      <w:r>
        <w:rPr>
          <w:rFonts w:hint="default" w:ascii="宋体" w:hAnsi="宋体"/>
          <w:szCs w:val="21"/>
          <w:highlight w:val="none"/>
          <w:lang w:val="en" w:eastAsia="zh-CN"/>
        </w:rPr>
        <w:t>/</w:t>
      </w:r>
      <w:r>
        <w:rPr>
          <w:rFonts w:hint="eastAsia" w:ascii="宋体" w:hAnsi="宋体"/>
          <w:szCs w:val="21"/>
          <w:highlight w:val="none"/>
          <w:lang w:val="en" w:eastAsia="zh-CN"/>
        </w:rPr>
        <w:t>组等</w:t>
      </w:r>
      <w:r>
        <w:rPr>
          <w:rFonts w:hint="eastAsia" w:ascii="宋体" w:hAnsi="宋体"/>
          <w:szCs w:val="21"/>
          <w:highlight w:val="none"/>
          <w:lang w:val="en-US" w:eastAsia="zh-CN"/>
        </w:rPr>
        <w:t>）</w:t>
      </w:r>
      <w:r>
        <w:rPr>
          <w:rFonts w:hint="eastAsia" w:ascii="宋体" w:hAnsi="宋体"/>
          <w:szCs w:val="21"/>
          <w:highlight w:val="none"/>
          <w:lang w:eastAsia="zh-CN"/>
        </w:rPr>
        <w:t>：</w:t>
      </w:r>
      <w:r>
        <w:rPr>
          <w:rFonts w:hint="eastAsia" w:ascii="宋体" w:hAnsi="宋体"/>
          <w:szCs w:val="21"/>
          <w:highlight w:val="none"/>
          <w:u w:val="single"/>
          <w:lang w:val="en-US" w:eastAsia="zh-CN"/>
        </w:rPr>
        <w:t xml:space="preserve">    详见附件                   </w:t>
      </w:r>
      <w:r>
        <w:rPr>
          <w:rFonts w:hint="eastAsia" w:ascii="宋体" w:hAnsi="宋体"/>
          <w:szCs w:val="21"/>
          <w:highlight w:val="none"/>
          <w:u w:val="none"/>
          <w:lang w:val="en-US" w:eastAsia="zh-CN"/>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lang w:val="en-US" w:eastAsia="zh-CN"/>
        </w:rPr>
        <w:t xml:space="preserve"> </w:t>
      </w:r>
    </w:p>
    <w:p w14:paraId="5A1118CE">
      <w:pPr>
        <w:numPr>
          <w:ilvl w:val="-1"/>
          <w:numId w:val="0"/>
        </w:numPr>
        <w:adjustRightInd w:val="0"/>
        <w:snapToGrid w:val="0"/>
        <w:spacing w:before="0" w:beforeLines="0" w:line="400" w:lineRule="exact"/>
        <w:ind w:firstLine="420" w:firstLineChars="200"/>
        <w:rPr>
          <w:rFonts w:hint="default" w:ascii="宋体" w:hAnsi="宋体" w:cs="宋体"/>
          <w:szCs w:val="21"/>
          <w:highlight w:val="none"/>
          <w:lang w:val="en" w:eastAsia="zh-CN"/>
        </w:rPr>
      </w:pPr>
      <w:r>
        <w:rPr>
          <w:rFonts w:hint="eastAsia" w:ascii="宋体" w:hAnsi="宋体"/>
          <w:szCs w:val="21"/>
          <w:highlight w:val="none"/>
          <w:u w:val="none"/>
          <w:lang w:val="en-US" w:eastAsia="zh-CN"/>
        </w:rPr>
        <w:t xml:space="preserve">     </w:t>
      </w:r>
      <w:r>
        <w:rPr>
          <w:rFonts w:hint="eastAsia" w:ascii="宋体" w:hAnsi="宋体" w:cs="宋体"/>
          <w:szCs w:val="21"/>
          <w:highlight w:val="none"/>
          <w:lang w:val="en-US" w:eastAsia="zh-CN"/>
        </w:rPr>
        <w:t>品牌：</w:t>
      </w:r>
      <w:r>
        <w:rPr>
          <w:rFonts w:hint="eastAsia" w:ascii="宋体" w:hAnsi="宋体" w:cs="宋体"/>
          <w:szCs w:val="21"/>
          <w:highlight w:val="none"/>
          <w:u w:val="single"/>
          <w:lang w:val="en-US" w:eastAsia="zh-CN"/>
        </w:rPr>
        <w:t xml:space="preserve">      </w:t>
      </w:r>
      <w:r>
        <w:rPr>
          <w:rFonts w:hint="default" w:ascii="宋体" w:hAnsi="宋体" w:cs="宋体"/>
          <w:szCs w:val="21"/>
          <w:highlight w:val="none"/>
          <w:u w:val="single"/>
          <w:lang w:val="en" w:eastAsia="zh-CN"/>
        </w:rPr>
        <w:t xml:space="preserve">   </w:t>
      </w:r>
      <w:r>
        <w:rPr>
          <w:rFonts w:hint="eastAsia" w:ascii="宋体" w:hAnsi="宋体" w:cs="宋体"/>
          <w:szCs w:val="21"/>
          <w:highlight w:val="none"/>
          <w:u w:val="single"/>
          <w:lang w:val="en-US" w:eastAsia="zh-CN"/>
        </w:rPr>
        <w:t xml:space="preserve">    </w:t>
      </w:r>
      <w:r>
        <w:rPr>
          <w:rFonts w:hint="default" w:ascii="宋体" w:hAnsi="宋体" w:cs="宋体"/>
          <w:szCs w:val="21"/>
          <w:highlight w:val="none"/>
          <w:u w:val="single"/>
          <w:lang w:val="en" w:eastAsia="zh-CN"/>
        </w:rPr>
        <w:t xml:space="preserve"> </w:t>
      </w:r>
      <w:r>
        <w:rPr>
          <w:rFonts w:hint="eastAsia" w:ascii="宋体" w:hAnsi="宋体" w:cs="宋体"/>
          <w:szCs w:val="21"/>
          <w:highlight w:val="none"/>
          <w:u w:val="single"/>
          <w:lang w:val="en-US" w:eastAsia="zh-CN"/>
        </w:rPr>
        <w:t xml:space="preserve"> </w:t>
      </w:r>
      <w:r>
        <w:rPr>
          <w:rFonts w:hint="default" w:ascii="宋体" w:hAnsi="宋体" w:cs="宋体"/>
          <w:szCs w:val="21"/>
          <w:highlight w:val="none"/>
          <w:u w:val="none"/>
          <w:lang w:val="en" w:eastAsia="zh-CN"/>
        </w:rPr>
        <w:t xml:space="preserve">     </w:t>
      </w:r>
      <w:r>
        <w:rPr>
          <w:rFonts w:hint="eastAsia" w:ascii="宋体" w:hAnsi="宋体" w:cs="宋体"/>
          <w:szCs w:val="21"/>
          <w:highlight w:val="none"/>
          <w:lang w:val="en-US" w:eastAsia="zh-CN"/>
        </w:rPr>
        <w:t>规格型号：</w:t>
      </w:r>
      <w:r>
        <w:rPr>
          <w:rFonts w:hint="eastAsia" w:ascii="宋体" w:hAnsi="宋体" w:cs="宋体"/>
          <w:szCs w:val="21"/>
          <w:highlight w:val="none"/>
          <w:u w:val="single"/>
          <w:lang w:val="en-US" w:eastAsia="zh-CN"/>
        </w:rPr>
        <w:t xml:space="preserve">   </w:t>
      </w:r>
      <w:r>
        <w:rPr>
          <w:rFonts w:hint="default" w:ascii="宋体" w:hAnsi="宋体" w:cs="宋体"/>
          <w:szCs w:val="21"/>
          <w:highlight w:val="none"/>
          <w:u w:val="single"/>
          <w:lang w:val="en" w:eastAsia="zh-CN"/>
        </w:rPr>
        <w:t xml:space="preserve">  </w:t>
      </w:r>
      <w:r>
        <w:rPr>
          <w:rFonts w:hint="eastAsia" w:ascii="宋体" w:hAnsi="宋体" w:cs="宋体"/>
          <w:szCs w:val="21"/>
          <w:highlight w:val="none"/>
          <w:u w:val="single"/>
          <w:lang w:val="en-US" w:eastAsia="zh-CN"/>
        </w:rPr>
        <w:t xml:space="preserve">       </w:t>
      </w:r>
      <w:r>
        <w:rPr>
          <w:rFonts w:hint="default" w:ascii="宋体" w:hAnsi="宋体" w:cs="宋体"/>
          <w:szCs w:val="21"/>
          <w:highlight w:val="none"/>
          <w:u w:val="single"/>
          <w:lang w:val="en" w:eastAsia="zh-CN"/>
        </w:rPr>
        <w:t xml:space="preserve">   </w:t>
      </w:r>
    </w:p>
    <w:p w14:paraId="5E0FC80F">
      <w:pPr>
        <w:adjustRightInd w:val="0"/>
        <w:snapToGrid w:val="0"/>
        <w:spacing w:before="0" w:beforeLines="0" w:line="400" w:lineRule="exact"/>
        <w:ind w:firstLine="945" w:firstLineChars="450"/>
        <w:rPr>
          <w:rFonts w:ascii="宋体" w:hAnsi="宋体"/>
          <w:szCs w:val="21"/>
          <w:highlight w:val="none"/>
          <w:u w:val="single"/>
        </w:rPr>
      </w:pPr>
      <w:r>
        <w:rPr>
          <w:rFonts w:hint="eastAsia" w:ascii="宋体" w:hAnsi="宋体"/>
          <w:szCs w:val="21"/>
          <w:highlight w:val="none"/>
          <w:u w:val="none"/>
          <w:lang w:val="en-US" w:eastAsia="zh-CN"/>
        </w:rPr>
        <w:t>采购标的的技术要求、商务要求具体见附件。</w:t>
      </w:r>
    </w:p>
    <w:p w14:paraId="0F5E3C50">
      <w:pPr>
        <w:numPr>
          <w:ilvl w:val="-1"/>
          <w:numId w:val="0"/>
        </w:numPr>
        <w:adjustRightInd w:val="0"/>
        <w:snapToGrid w:val="0"/>
        <w:spacing w:before="0" w:beforeLines="0" w:line="400" w:lineRule="exact"/>
        <w:ind w:firstLine="945" w:firstLineChars="450"/>
        <w:rPr>
          <w:rFonts w:hint="eastAsia" w:ascii="宋体" w:hAnsi="宋体" w:eastAsia="宋体" w:cs="宋体"/>
          <w:szCs w:val="21"/>
          <w:highlight w:val="none"/>
          <w:lang w:val="en-US" w:eastAsia="zh-CN"/>
        </w:rPr>
      </w:pPr>
      <w:r>
        <w:rPr>
          <w:rFonts w:hint="eastAsia" w:ascii="汉仪书宋二S" w:hAnsi="汉仪书宋二S" w:eastAsia="汉仪书宋二S" w:cs="汉仪书宋二S"/>
          <w:szCs w:val="21"/>
          <w:highlight w:val="none"/>
          <w:lang w:val="en-US" w:eastAsia="zh-CN"/>
        </w:rPr>
        <w:t>①</w:t>
      </w:r>
      <w:r>
        <w:rPr>
          <w:rFonts w:hint="eastAsia" w:ascii="宋体" w:hAnsi="宋体" w:cs="宋体"/>
          <w:szCs w:val="21"/>
          <w:highlight w:val="none"/>
          <w:lang w:val="en-US" w:eastAsia="zh-CN"/>
        </w:rPr>
        <w:t>涉及信息类产品，请填写该产品关键部件的品牌、型号：（本合同不涉及）</w:t>
      </w:r>
    </w:p>
    <w:p w14:paraId="5DBBD3A9">
      <w:pPr>
        <w:numPr>
          <w:ilvl w:val="-1"/>
          <w:numId w:val="0"/>
        </w:numPr>
        <w:adjustRightInd w:val="0"/>
        <w:snapToGrid w:val="0"/>
        <w:spacing w:before="0" w:beforeLines="0" w:line="400" w:lineRule="exact"/>
        <w:ind w:firstLine="420" w:firstLineChars="200"/>
        <w:rPr>
          <w:rFonts w:hint="eastAsia" w:ascii="宋体" w:hAnsi="宋体" w:cs="宋体"/>
          <w:kern w:val="0"/>
          <w:szCs w:val="21"/>
          <w:highlight w:val="none"/>
          <w:u w:val="single"/>
          <w:lang w:val="en-US" w:eastAsia="zh-CN"/>
        </w:rPr>
      </w:pPr>
      <w:r>
        <w:rPr>
          <w:rFonts w:hint="eastAsia" w:ascii="宋体" w:hAnsi="宋体" w:cs="宋体"/>
          <w:szCs w:val="21"/>
          <w:highlight w:val="none"/>
          <w:lang w:val="en-US" w:eastAsia="zh-CN"/>
        </w:rPr>
        <w:t xml:space="preserve">     标的名称：</w:t>
      </w:r>
      <w:r>
        <w:rPr>
          <w:rFonts w:hint="eastAsia" w:ascii="宋体" w:hAnsi="宋体" w:cs="宋体"/>
          <w:kern w:val="0"/>
          <w:szCs w:val="21"/>
          <w:highlight w:val="none"/>
          <w:u w:val="single"/>
          <w:lang w:val="en-US" w:eastAsia="zh-CN"/>
        </w:rPr>
        <w:t xml:space="preserve">      </w:t>
      </w:r>
      <w:r>
        <w:rPr>
          <w:rFonts w:hint="default" w:ascii="宋体" w:hAnsi="宋体" w:cs="宋体"/>
          <w:kern w:val="0"/>
          <w:szCs w:val="21"/>
          <w:highlight w:val="none"/>
          <w:u w:val="single"/>
          <w:lang w:val="en" w:eastAsia="zh-CN"/>
        </w:rPr>
        <w:t xml:space="preserve">               </w:t>
      </w:r>
      <w:r>
        <w:rPr>
          <w:rFonts w:hint="eastAsia" w:ascii="宋体" w:hAnsi="宋体" w:cs="宋体"/>
          <w:kern w:val="0"/>
          <w:szCs w:val="21"/>
          <w:highlight w:val="none"/>
          <w:u w:val="single"/>
          <w:lang w:val="en-US" w:eastAsia="zh-CN"/>
        </w:rPr>
        <w:t xml:space="preserve">    </w:t>
      </w:r>
    </w:p>
    <w:p w14:paraId="1CECEA68">
      <w:pPr>
        <w:numPr>
          <w:ilvl w:val="-1"/>
          <w:numId w:val="0"/>
        </w:numPr>
        <w:adjustRightInd w:val="0"/>
        <w:snapToGrid w:val="0"/>
        <w:spacing w:before="0" w:beforeLines="0" w:line="400" w:lineRule="exact"/>
        <w:ind w:firstLine="420" w:firstLineChars="200"/>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     关键部件：</w:t>
      </w:r>
      <w:r>
        <w:rPr>
          <w:rFonts w:hint="eastAsia" w:ascii="宋体" w:hAnsi="宋体" w:cs="宋体"/>
          <w:kern w:val="0"/>
          <w:szCs w:val="21"/>
          <w:highlight w:val="none"/>
          <w:u w:val="single"/>
          <w:lang w:val="en-US" w:eastAsia="zh-CN"/>
        </w:rPr>
        <w:t xml:space="preserve">          </w:t>
      </w:r>
      <w:r>
        <w:rPr>
          <w:rFonts w:hint="eastAsia" w:ascii="宋体" w:hAnsi="宋体" w:cs="宋体"/>
          <w:kern w:val="0"/>
          <w:szCs w:val="21"/>
          <w:highlight w:val="none"/>
          <w:u w:val="none"/>
          <w:lang w:val="en-US" w:eastAsia="zh-CN"/>
        </w:rPr>
        <w:t xml:space="preserve"> </w:t>
      </w:r>
      <w:r>
        <w:rPr>
          <w:rFonts w:hint="eastAsia" w:ascii="宋体" w:hAnsi="宋体" w:cs="宋体"/>
          <w:szCs w:val="21"/>
          <w:highlight w:val="none"/>
          <w:lang w:val="en-US" w:eastAsia="zh-CN"/>
        </w:rPr>
        <w:t>品牌：</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 xml:space="preserve"> </w:t>
      </w:r>
      <w:r>
        <w:rPr>
          <w:rFonts w:hint="eastAsia" w:ascii="宋体" w:hAnsi="宋体" w:cs="宋体"/>
          <w:szCs w:val="21"/>
          <w:highlight w:val="none"/>
          <w:lang w:val="en-US" w:eastAsia="zh-CN"/>
        </w:rPr>
        <w:t>型号：</w:t>
      </w:r>
      <w:r>
        <w:rPr>
          <w:rFonts w:hint="eastAsia" w:ascii="宋体" w:hAnsi="宋体" w:cs="宋体"/>
          <w:szCs w:val="21"/>
          <w:highlight w:val="none"/>
          <w:u w:val="single"/>
          <w:lang w:val="en-US" w:eastAsia="zh-CN"/>
        </w:rPr>
        <w:t xml:space="preserve">       </w:t>
      </w:r>
      <w:r>
        <w:rPr>
          <w:rFonts w:hint="eastAsia" w:ascii="宋体" w:hAnsi="宋体" w:cs="宋体"/>
          <w:szCs w:val="21"/>
          <w:highlight w:val="none"/>
          <w:lang w:val="en-US" w:eastAsia="zh-CN"/>
        </w:rPr>
        <w:t xml:space="preserve"> </w:t>
      </w:r>
    </w:p>
    <w:p w14:paraId="01250D46">
      <w:pPr>
        <w:pStyle w:val="15"/>
        <w:spacing w:beforeLine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kern w:val="2"/>
          <w:sz w:val="21"/>
          <w:szCs w:val="21"/>
          <w:highlight w:val="none"/>
          <w:lang w:val="en-US" w:eastAsia="zh-CN"/>
        </w:rPr>
        <w:t>关键部件</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型号：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p>
    <w:p w14:paraId="7D6C6C34">
      <w:pPr>
        <w:pStyle w:val="15"/>
        <w:spacing w:beforeLine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关键部件：</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型号：</w:t>
      </w:r>
      <w:r>
        <w:rPr>
          <w:rFonts w:hint="eastAsia" w:ascii="宋体" w:hAnsi="宋体" w:eastAsia="宋体" w:cs="宋体"/>
          <w:sz w:val="21"/>
          <w:szCs w:val="21"/>
          <w:highlight w:val="none"/>
          <w:u w:val="single"/>
          <w:lang w:val="en-US" w:eastAsia="zh-CN"/>
        </w:rPr>
        <w:t xml:space="preserve">       </w:t>
      </w:r>
    </w:p>
    <w:p w14:paraId="24D31923">
      <w:pPr>
        <w:pStyle w:val="15"/>
        <w:numPr>
          <w:ilvl w:val="-1"/>
          <w:numId w:val="0"/>
        </w:numPr>
        <w:adjustRightInd w:val="0"/>
        <w:snapToGrid w:val="0"/>
        <w:spacing w:before="0" w:beforeLines="0" w:line="400" w:lineRule="exact"/>
        <w:ind w:firstLine="0"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75186209">
      <w:pPr>
        <w:pStyle w:val="15"/>
        <w:numPr>
          <w:ilvl w:val="-1"/>
          <w:numId w:val="0"/>
        </w:numPr>
        <w:adjustRightInd w:val="0"/>
        <w:snapToGrid w:val="0"/>
        <w:spacing w:before="0" w:beforeLines="0" w:line="400" w:lineRule="exact"/>
        <w:ind w:firstLine="0"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汉仪书宋二S" w:hAnsi="汉仪书宋二S" w:eastAsia="汉仪书宋二S" w:cs="汉仪书宋二S"/>
          <w:sz w:val="21"/>
          <w:szCs w:val="21"/>
          <w:highlight w:val="none"/>
          <w:lang w:val="en-US" w:eastAsia="zh-CN"/>
        </w:rPr>
        <w:t>②</w:t>
      </w:r>
      <w:r>
        <w:rPr>
          <w:rFonts w:hint="eastAsia" w:ascii="宋体" w:hAnsi="宋体" w:eastAsia="宋体" w:cs="宋体"/>
          <w:sz w:val="21"/>
          <w:szCs w:val="21"/>
          <w:highlight w:val="none"/>
          <w:lang w:val="en-US" w:eastAsia="zh-CN"/>
        </w:rPr>
        <w:t>涉及车辆采购，请填写是否属于新能源汽车：</w:t>
      </w:r>
    </w:p>
    <w:p w14:paraId="1663D69C">
      <w:pPr>
        <w:pStyle w:val="15"/>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rPr>
        <w:t>是</w:t>
      </w:r>
      <w:r>
        <w:rPr>
          <w:rFonts w:hint="eastAsia" w:asciiTheme="minorEastAsia" w:hAnsiTheme="minorEastAsia" w:eastAsiaTheme="minorEastAsia" w:cstheme="minorEastAsia"/>
          <w:iCs w:val="0"/>
          <w:sz w:val="21"/>
          <w:szCs w:val="21"/>
          <w:highlight w:val="none"/>
          <w:lang w:eastAsia="zh-CN"/>
        </w:rPr>
        <w:t>，《政府采购品目分类目录》底级品目名称</w:t>
      </w:r>
      <w:r>
        <w:rPr>
          <w:rFonts w:hint="eastAsia" w:asciiTheme="minorEastAsia" w:hAnsiTheme="minorEastAsia" w:eastAsiaTheme="minorEastAsia" w:cstheme="minorEastAsia"/>
          <w:sz w:val="21"/>
          <w:szCs w:val="21"/>
          <w:highlight w:val="none"/>
          <w:lang w:val="en-US" w:eastAsia="zh-CN"/>
        </w:rPr>
        <w:t>：</w:t>
      </w:r>
      <w:r>
        <w:rPr>
          <w:rFonts w:hint="eastAsia" w:ascii="宋体" w:hAnsi="宋体" w:eastAsia="宋体" w:cs="宋体"/>
          <w:sz w:val="21"/>
          <w:szCs w:val="21"/>
          <w:highlight w:val="none"/>
          <w:u w:val="single"/>
          <w:lang w:val="en-US" w:eastAsia="zh-CN"/>
        </w:rPr>
        <w:t xml:space="preserve">     </w:t>
      </w:r>
      <w:r>
        <w:rPr>
          <w:rFonts w:hint="eastAsia" w:asciiTheme="minorEastAsia" w:hAnsiTheme="minorEastAsia" w:eastAsiaTheme="minorEastAsia" w:cstheme="minorEastAsia"/>
          <w:sz w:val="21"/>
          <w:szCs w:val="21"/>
          <w:highlight w:val="none"/>
          <w:lang w:val="en-US" w:eastAsia="zh-CN"/>
        </w:rPr>
        <w:t xml:space="preserve"> 数量：</w:t>
      </w:r>
      <w:r>
        <w:rPr>
          <w:rFonts w:hint="eastAsia" w:asciiTheme="minorEastAsia" w:hAnsiTheme="minorEastAsia" w:eastAsiaTheme="minorEastAsia" w:cstheme="minorEastAsia"/>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Theme="minorEastAsia" w:hAnsiTheme="minorEastAsia" w:eastAsiaTheme="minorEastAsia" w:cstheme="minorEastAsia"/>
          <w:sz w:val="21"/>
          <w:szCs w:val="21"/>
          <w:highlight w:val="none"/>
          <w:lang w:val="en-US" w:eastAsia="zh-CN"/>
        </w:rPr>
        <w:t xml:space="preserve"> 金额：</w:t>
      </w:r>
      <w:r>
        <w:rPr>
          <w:rFonts w:hint="eastAsia" w:ascii="宋体" w:hAnsi="宋体" w:eastAsia="宋体" w:cs="宋体"/>
          <w:sz w:val="21"/>
          <w:szCs w:val="21"/>
          <w:highlight w:val="none"/>
          <w:u w:val="single"/>
          <w:lang w:val="en-US" w:eastAsia="zh-CN"/>
        </w:rPr>
        <w:t xml:space="preserve">     </w:t>
      </w:r>
      <w:r>
        <w:rPr>
          <w:rFonts w:hint="eastAsia" w:asciiTheme="minorEastAsia" w:hAnsiTheme="minorEastAsia" w:eastAsiaTheme="minorEastAsia" w:cstheme="minorEastAsia"/>
          <w:iCs w:val="0"/>
          <w:sz w:val="21"/>
          <w:szCs w:val="21"/>
          <w:highlight w:val="none"/>
          <w:lang w:val="en-US" w:eastAsia="zh-CN"/>
        </w:rPr>
        <w:t xml:space="preserve"> </w:t>
      </w:r>
    </w:p>
    <w:p w14:paraId="38BB3DBC">
      <w:pPr>
        <w:pStyle w:val="15"/>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sz w:val="21"/>
          <w:szCs w:val="21"/>
          <w:highlight w:val="none"/>
          <w:lang w:eastAsia="zh-CN"/>
        </w:rPr>
      </w:pPr>
      <w:r>
        <w:rPr>
          <w:rFonts w:hint="eastAsia" w:asciiTheme="minorEastAsia" w:hAnsiTheme="minorEastAsia" w:eastAsiaTheme="minorEastAsia" w:cstheme="minorEastAsia"/>
          <w:iCs w:val="0"/>
          <w:sz w:val="21"/>
          <w:szCs w:val="21"/>
          <w:highlight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FE"/>
      </w:r>
      <w:r>
        <w:rPr>
          <w:rFonts w:hint="eastAsia" w:asciiTheme="minorEastAsia" w:hAnsiTheme="minorEastAsia" w:eastAsiaTheme="minorEastAsia" w:cstheme="minorEastAsia"/>
          <w:iCs w:val="0"/>
          <w:sz w:val="21"/>
          <w:szCs w:val="21"/>
          <w:highlight w:val="none"/>
          <w:lang w:eastAsia="zh-CN"/>
        </w:rPr>
        <w:t>否</w:t>
      </w:r>
    </w:p>
    <w:p w14:paraId="540AB6B5">
      <w:pPr>
        <w:pStyle w:val="15"/>
        <w:numPr>
          <w:ilvl w:val="-1"/>
          <w:numId w:val="0"/>
        </w:numPr>
        <w:adjustRightInd w:val="0"/>
        <w:snapToGrid w:val="0"/>
        <w:spacing w:before="0" w:beforeLines="0" w:line="400" w:lineRule="exact"/>
        <w:ind w:left="0" w:firstLine="0" w:firstLineChars="0"/>
        <w:rPr>
          <w:rFonts w:hint="eastAsia" w:asciiTheme="minorEastAsia" w:hAnsiTheme="minorEastAsia" w:eastAsiaTheme="minorEastAsia" w:cstheme="minorEastAsia"/>
          <w:iCs w:val="0"/>
          <w:sz w:val="21"/>
          <w:szCs w:val="21"/>
          <w:highlight w:val="none"/>
          <w:lang w:val="en-US" w:eastAsia="zh-CN"/>
        </w:rPr>
      </w:pPr>
      <w:r>
        <w:rPr>
          <w:rFonts w:hint="eastAsia" w:asciiTheme="minorEastAsia" w:hAnsiTheme="minorEastAsia" w:eastAsiaTheme="minorEastAsia" w:cstheme="minorEastAsia"/>
          <w:iCs w:val="0"/>
          <w:sz w:val="21"/>
          <w:szCs w:val="21"/>
          <w:highlight w:val="none"/>
          <w:lang w:val="en-US" w:eastAsia="zh-CN"/>
        </w:rPr>
        <w:t xml:space="preserve">    （</w:t>
      </w:r>
      <w:r>
        <w:rPr>
          <w:rFonts w:hint="default" w:asciiTheme="minorEastAsia" w:hAnsiTheme="minorEastAsia" w:eastAsiaTheme="minorEastAsia" w:cstheme="minorEastAsia"/>
          <w:iCs w:val="0"/>
          <w:sz w:val="21"/>
          <w:szCs w:val="21"/>
          <w:highlight w:val="none"/>
          <w:lang w:val="en" w:eastAsia="zh-CN"/>
        </w:rPr>
        <w:t>4</w:t>
      </w:r>
      <w:r>
        <w:rPr>
          <w:rFonts w:hint="eastAsia" w:asciiTheme="minorEastAsia" w:hAnsiTheme="minorEastAsia" w:eastAsiaTheme="minorEastAsia" w:cstheme="minorEastAsia"/>
          <w:iCs w:val="0"/>
          <w:sz w:val="21"/>
          <w:szCs w:val="21"/>
          <w:highlight w:val="none"/>
          <w:lang w:val="en-US" w:eastAsia="zh-CN"/>
        </w:rPr>
        <w:t>）政府采购组织形式：</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eastAsia="zh-CN"/>
        </w:rPr>
        <w:t>政府集中采购</w:t>
      </w:r>
      <w:r>
        <w:rPr>
          <w:rFonts w:hint="eastAsia" w:asciiTheme="minorEastAsia" w:hAnsiTheme="minorEastAsia" w:eastAsiaTheme="minorEastAsia" w:cstheme="minorEastAsia"/>
          <w:iCs w:val="0"/>
          <w:sz w:val="21"/>
          <w:szCs w:val="21"/>
          <w:highlight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val="en-US" w:eastAsia="zh-CN"/>
        </w:rPr>
        <w:t xml:space="preserve">部门集中采购  </w:t>
      </w:r>
      <w:r>
        <w:rPr>
          <w:rFonts w:hint="eastAsia" w:asciiTheme="minorEastAsia" w:hAnsiTheme="minorEastAsia" w:eastAsiaTheme="minorEastAsia" w:cstheme="minorEastAsia"/>
          <w:iCs w:val="0"/>
          <w:sz w:val="21"/>
          <w:szCs w:val="21"/>
          <w:highlight w:val="none"/>
        </w:rPr>
        <w:sym w:font="Wingdings" w:char="00FE"/>
      </w:r>
      <w:r>
        <w:rPr>
          <w:rFonts w:hint="eastAsia" w:asciiTheme="minorEastAsia" w:hAnsiTheme="minorEastAsia" w:eastAsiaTheme="minorEastAsia" w:cstheme="minorEastAsia"/>
          <w:iCs w:val="0"/>
          <w:sz w:val="21"/>
          <w:szCs w:val="21"/>
          <w:highlight w:val="none"/>
          <w:lang w:val="en-US" w:eastAsia="zh-CN"/>
        </w:rPr>
        <w:t>分散采购</w:t>
      </w:r>
    </w:p>
    <w:p w14:paraId="7964A61C">
      <w:pPr>
        <w:pStyle w:val="15"/>
        <w:numPr>
          <w:ilvl w:val="-1"/>
          <w:numId w:val="0"/>
        </w:numPr>
        <w:adjustRightInd w:val="0"/>
        <w:snapToGrid w:val="0"/>
        <w:spacing w:before="0" w:beforeLines="0" w:line="400" w:lineRule="exact"/>
        <w:ind w:left="0" w:firstLine="420" w:firstLineChars="0"/>
        <w:rPr>
          <w:rFonts w:hint="eastAsia" w:asciiTheme="minorEastAsia" w:hAnsiTheme="minorEastAsia" w:eastAsiaTheme="minorEastAsia" w:cstheme="minorEastAsia"/>
          <w:iCs w:val="0"/>
          <w:sz w:val="21"/>
          <w:szCs w:val="21"/>
          <w:highlight w:val="none"/>
          <w:lang w:eastAsia="zh-CN"/>
        </w:rPr>
      </w:pPr>
      <w:r>
        <w:rPr>
          <w:rFonts w:hint="eastAsia" w:asciiTheme="minorEastAsia" w:hAnsiTheme="minorEastAsia" w:eastAsiaTheme="minorEastAsia" w:cstheme="minorEastAsia"/>
          <w:iCs w:val="0"/>
          <w:sz w:val="21"/>
          <w:szCs w:val="21"/>
          <w:highlight w:val="none"/>
          <w:lang w:val="en-US" w:eastAsia="zh-CN"/>
        </w:rPr>
        <w:t>（</w:t>
      </w:r>
      <w:r>
        <w:rPr>
          <w:rFonts w:hint="default" w:asciiTheme="minorEastAsia" w:hAnsiTheme="minorEastAsia" w:eastAsiaTheme="minorEastAsia" w:cstheme="minorEastAsia"/>
          <w:iCs w:val="0"/>
          <w:sz w:val="21"/>
          <w:szCs w:val="21"/>
          <w:highlight w:val="none"/>
          <w:lang w:val="en" w:eastAsia="zh-CN"/>
        </w:rPr>
        <w:t>5</w:t>
      </w:r>
      <w:r>
        <w:rPr>
          <w:rFonts w:hint="eastAsia" w:asciiTheme="minorEastAsia" w:hAnsiTheme="minorEastAsia" w:eastAsiaTheme="minorEastAsia" w:cstheme="minorEastAsia"/>
          <w:iCs w:val="0"/>
          <w:sz w:val="21"/>
          <w:szCs w:val="21"/>
          <w:highlight w:val="none"/>
          <w:lang w:val="en-US" w:eastAsia="zh-CN"/>
        </w:rPr>
        <w:t>）政府采购方式：</w:t>
      </w:r>
      <w:r>
        <w:rPr>
          <w:rFonts w:hint="eastAsia" w:asciiTheme="minorEastAsia" w:hAnsiTheme="minorEastAsia" w:eastAsiaTheme="minorEastAsia" w:cstheme="minorEastAsia"/>
          <w:iCs w:val="0"/>
          <w:sz w:val="21"/>
          <w:szCs w:val="21"/>
          <w:highlight w:val="none"/>
        </w:rPr>
        <w:sym w:font="Wingdings" w:char="00FE"/>
      </w:r>
      <w:r>
        <w:rPr>
          <w:rFonts w:hint="eastAsia" w:asciiTheme="minorEastAsia" w:hAnsiTheme="minorEastAsia" w:eastAsiaTheme="minorEastAsia" w:cstheme="minorEastAsia"/>
          <w:iCs w:val="0"/>
          <w:sz w:val="21"/>
          <w:szCs w:val="21"/>
          <w:highlight w:val="none"/>
          <w:lang w:eastAsia="zh-CN"/>
        </w:rPr>
        <w:t>公开招标</w:t>
      </w:r>
      <w:r>
        <w:rPr>
          <w:rFonts w:hint="eastAsia" w:asciiTheme="minorEastAsia" w:hAnsiTheme="minorEastAsia" w:eastAsiaTheme="minorEastAsia" w:cstheme="minorEastAsia"/>
          <w:iCs w:val="0"/>
          <w:sz w:val="21"/>
          <w:szCs w:val="21"/>
          <w:highlight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eastAsia="zh-CN"/>
        </w:rPr>
        <w:t>邀请招标</w:t>
      </w:r>
      <w:r>
        <w:rPr>
          <w:rFonts w:hint="eastAsia" w:asciiTheme="minorEastAsia" w:hAnsiTheme="minorEastAsia" w:eastAsiaTheme="minorEastAsia" w:cstheme="minorEastAsia"/>
          <w:iCs w:val="0"/>
          <w:sz w:val="21"/>
          <w:szCs w:val="21"/>
          <w:highlight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eastAsia="zh-CN"/>
        </w:rPr>
        <w:t>竞争性谈判</w:t>
      </w:r>
      <w:r>
        <w:rPr>
          <w:rFonts w:hint="eastAsia" w:asciiTheme="minorEastAsia" w:hAnsiTheme="minorEastAsia" w:eastAsiaTheme="minorEastAsia" w:cstheme="minorEastAsia"/>
          <w:iCs w:val="0"/>
          <w:sz w:val="21"/>
          <w:szCs w:val="21"/>
          <w:highlight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eastAsia="zh-CN"/>
        </w:rPr>
        <w:t>竞争性磋商</w:t>
      </w:r>
    </w:p>
    <w:p w14:paraId="113F96ED">
      <w:pPr>
        <w:pStyle w:val="15"/>
        <w:numPr>
          <w:ilvl w:val="-1"/>
          <w:numId w:val="0"/>
        </w:numPr>
        <w:adjustRightInd w:val="0"/>
        <w:snapToGrid w:val="0"/>
        <w:spacing w:before="0" w:beforeLines="0" w:line="400" w:lineRule="exact"/>
        <w:ind w:left="0" w:firstLine="420" w:firstLineChars="0"/>
        <w:rPr>
          <w:rFonts w:hint="eastAsia" w:ascii="宋体" w:hAnsi="宋体" w:eastAsia="宋体" w:cs="宋体"/>
          <w:iCs w:val="0"/>
          <w:sz w:val="21"/>
          <w:szCs w:val="21"/>
          <w:highlight w:val="none"/>
          <w:u w:val="single"/>
          <w:lang w:val="en-US" w:eastAsia="zh-CN"/>
        </w:rPr>
      </w:pPr>
      <w:r>
        <w:rPr>
          <w:rFonts w:hint="eastAsia" w:ascii="宋体" w:hAnsi="宋体" w:cs="宋体"/>
          <w:szCs w:val="21"/>
          <w:highlight w:val="none"/>
          <w:u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eastAsia="zh-CN"/>
        </w:rPr>
        <w:t>询价</w:t>
      </w:r>
      <w:r>
        <w:rPr>
          <w:rFonts w:hint="eastAsia" w:asciiTheme="minorEastAsia" w:hAnsiTheme="minorEastAsia" w:eastAsiaTheme="minorEastAsia" w:cstheme="minorEastAsia"/>
          <w:iCs w:val="0"/>
          <w:sz w:val="21"/>
          <w:szCs w:val="21"/>
          <w:highlight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eastAsia="zh-CN"/>
        </w:rPr>
        <w:t>单一来源</w:t>
      </w:r>
      <w:r>
        <w:rPr>
          <w:rFonts w:hint="eastAsia" w:asciiTheme="minorEastAsia" w:hAnsiTheme="minorEastAsia" w:eastAsiaTheme="minorEastAsia" w:cstheme="minorEastAsia"/>
          <w:iCs w:val="0"/>
          <w:sz w:val="21"/>
          <w:szCs w:val="21"/>
          <w:highlight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eastAsia="zh-CN"/>
        </w:rPr>
        <w:t>框架协议</w:t>
      </w:r>
      <w:r>
        <w:rPr>
          <w:rFonts w:hint="eastAsia" w:asciiTheme="minorEastAsia" w:hAnsiTheme="minorEastAsia" w:eastAsiaTheme="minorEastAsia" w:cstheme="minorEastAsia"/>
          <w:iCs w:val="0"/>
          <w:sz w:val="21"/>
          <w:szCs w:val="21"/>
          <w:highlight w:val="none"/>
          <w:lang w:val="en-US" w:eastAsia="zh-CN"/>
        </w:rPr>
        <w:t xml:space="preserve"> </w:t>
      </w:r>
      <w:r>
        <w:rPr>
          <w:rFonts w:hint="eastAsia" w:asciiTheme="minorEastAsia" w:hAnsiTheme="minorEastAsia" w:eastAsiaTheme="minorEastAsia" w:cstheme="minorEastAsia"/>
          <w:iCs w:val="0"/>
          <w:sz w:val="21"/>
          <w:szCs w:val="21"/>
          <w:highlight w:val="none"/>
        </w:rPr>
        <w:sym w:font="Wingdings" w:char="00A8"/>
      </w:r>
      <w:r>
        <w:rPr>
          <w:rFonts w:hint="eastAsia" w:asciiTheme="minorEastAsia" w:hAnsiTheme="minorEastAsia" w:eastAsiaTheme="minorEastAsia" w:cstheme="minorEastAsia"/>
          <w:iCs w:val="0"/>
          <w:sz w:val="21"/>
          <w:szCs w:val="21"/>
          <w:highlight w:val="none"/>
          <w:lang w:eastAsia="zh-CN"/>
        </w:rPr>
        <w:t>其他：</w:t>
      </w:r>
      <w:r>
        <w:rPr>
          <w:rFonts w:hint="eastAsia" w:ascii="宋体" w:hAnsi="宋体" w:eastAsia="宋体" w:cs="宋体"/>
          <w:iCs w:val="0"/>
          <w:sz w:val="21"/>
          <w:szCs w:val="21"/>
          <w:highlight w:val="none"/>
          <w:u w:val="single"/>
          <w:lang w:val="en-US" w:eastAsia="zh-CN"/>
        </w:rPr>
        <w:t xml:space="preserve">          </w:t>
      </w:r>
    </w:p>
    <w:p w14:paraId="336DA146">
      <w:pPr>
        <w:pStyle w:val="15"/>
        <w:numPr>
          <w:ilvl w:val="-1"/>
          <w:numId w:val="0"/>
        </w:numPr>
        <w:adjustRightInd w:val="0"/>
        <w:snapToGrid w:val="0"/>
        <w:spacing w:before="0" w:beforeLines="0" w:line="400" w:lineRule="exact"/>
        <w:ind w:left="0" w:firstLine="420" w:firstLineChars="0"/>
        <w:rPr>
          <w:rFonts w:hint="default" w:ascii="宋体" w:hAnsi="宋体" w:eastAsia="宋体" w:cs="宋体"/>
          <w:iCs w:val="0"/>
          <w:sz w:val="21"/>
          <w:szCs w:val="21"/>
          <w:highlight w:val="none"/>
          <w:u w:val="none"/>
          <w:lang w:val="en-US" w:eastAsia="zh-CN"/>
        </w:rPr>
      </w:pPr>
      <w:r>
        <w:rPr>
          <w:rFonts w:hint="eastAsia" w:ascii="宋体" w:hAnsi="宋体" w:eastAsia="宋体" w:cs="宋体"/>
          <w:iCs w:val="0"/>
          <w:sz w:val="21"/>
          <w:szCs w:val="21"/>
          <w:highlight w:val="none"/>
          <w:u w:val="none"/>
          <w:lang w:val="en-US" w:eastAsia="zh-CN"/>
        </w:rPr>
        <w:t>（注：在框架协议采购的第二阶段，可选择使用该合同文本）</w:t>
      </w:r>
    </w:p>
    <w:p w14:paraId="08BAC8F7">
      <w:pPr>
        <w:pStyle w:val="15"/>
        <w:numPr>
          <w:ilvl w:val="-1"/>
          <w:numId w:val="0"/>
        </w:numPr>
        <w:adjustRightInd w:val="0"/>
        <w:snapToGrid w:val="0"/>
        <w:spacing w:before="0" w:beforeLines="0" w:line="400" w:lineRule="exact"/>
        <w:ind w:firstLine="220" w:firstLineChars="100"/>
        <w:rPr>
          <w:rFonts w:hint="eastAsia" w:ascii="宋体" w:hAnsi="宋体" w:eastAsia="宋体" w:cs="Times New Roman"/>
          <w:w w:val="100"/>
          <w:kern w:val="2"/>
          <w:sz w:val="21"/>
          <w:szCs w:val="21"/>
          <w:highlight w:val="none"/>
          <w:lang w:val="en-US" w:eastAsia="zh-CN" w:bidi="ar-SA"/>
        </w:rPr>
      </w:pPr>
      <w:r>
        <w:rPr>
          <w:rFonts w:hint="eastAsia" w:ascii="宋体" w:hAnsi="宋体"/>
          <w:szCs w:val="21"/>
          <w:highlight w:val="none"/>
          <w:lang w:val="en-US" w:eastAsia="zh-CN"/>
        </w:rPr>
        <w:t xml:space="preserve"> （</w:t>
      </w:r>
      <w:r>
        <w:rPr>
          <w:rFonts w:hint="default" w:ascii="宋体" w:hAnsi="宋体"/>
          <w:szCs w:val="21"/>
          <w:highlight w:val="none"/>
          <w:lang w:val="en" w:eastAsia="zh-CN"/>
        </w:rPr>
        <w:t>6</w:t>
      </w:r>
      <w:r>
        <w:rPr>
          <w:rFonts w:hint="eastAsia" w:ascii="宋体" w:hAnsi="宋体"/>
          <w:szCs w:val="21"/>
          <w:highlight w:val="none"/>
          <w:lang w:val="en-US" w:eastAsia="zh-CN"/>
        </w:rPr>
        <w:t>）</w:t>
      </w:r>
      <w:r>
        <w:rPr>
          <w:rFonts w:hint="eastAsia" w:ascii="宋体" w:hAnsi="宋体" w:eastAsia="宋体" w:cs="Times New Roman"/>
          <w:w w:val="100"/>
          <w:kern w:val="2"/>
          <w:sz w:val="21"/>
          <w:szCs w:val="21"/>
          <w:highlight w:val="none"/>
          <w:lang w:val="en-US" w:eastAsia="zh-CN" w:bidi="ar-SA"/>
        </w:rPr>
        <w:t>中标（成交）采购标的制造商是否为中小企业：</w:t>
      </w:r>
      <w:r>
        <w:rPr>
          <w:rFonts w:hint="eastAsia" w:ascii="宋体" w:hAnsi="宋体" w:eastAsia="宋体" w:cs="Times New Roman"/>
          <w:w w:val="100"/>
          <w:kern w:val="2"/>
          <w:sz w:val="21"/>
          <w:szCs w:val="21"/>
          <w:highlight w:val="none"/>
          <w:lang w:val="en-US" w:eastAsia="zh-CN" w:bidi="ar-SA"/>
        </w:rPr>
        <w:sym w:font="Wingdings" w:char="00A8"/>
      </w:r>
      <w:r>
        <w:rPr>
          <w:rFonts w:hint="eastAsia" w:ascii="宋体" w:hAnsi="宋体" w:eastAsia="宋体" w:cs="Times New Roman"/>
          <w:w w:val="100"/>
          <w:kern w:val="2"/>
          <w:sz w:val="21"/>
          <w:szCs w:val="21"/>
          <w:highlight w:val="none"/>
          <w:lang w:val="en-US" w:eastAsia="zh-CN" w:bidi="ar-SA"/>
        </w:rPr>
        <w:t xml:space="preserve">是      </w:t>
      </w:r>
      <w:r>
        <w:rPr>
          <w:rFonts w:hint="eastAsia" w:ascii="宋体" w:hAnsi="宋体" w:eastAsia="宋体" w:cs="Times New Roman"/>
          <w:w w:val="100"/>
          <w:kern w:val="2"/>
          <w:sz w:val="21"/>
          <w:szCs w:val="21"/>
          <w:highlight w:val="none"/>
          <w:lang w:val="en-US" w:eastAsia="zh-CN" w:bidi="ar-SA"/>
        </w:rPr>
        <w:sym w:font="Wingdings" w:char="00A8"/>
      </w:r>
      <w:r>
        <w:rPr>
          <w:rFonts w:hint="eastAsia" w:ascii="宋体" w:hAnsi="宋体" w:eastAsia="宋体" w:cs="Times New Roman"/>
          <w:w w:val="100"/>
          <w:kern w:val="2"/>
          <w:sz w:val="21"/>
          <w:szCs w:val="21"/>
          <w:highlight w:val="none"/>
          <w:lang w:val="en-US" w:eastAsia="zh-CN" w:bidi="ar-SA"/>
        </w:rPr>
        <w:t>否</w:t>
      </w:r>
    </w:p>
    <w:p w14:paraId="64ECA4CB">
      <w:pPr>
        <w:numPr>
          <w:ilvl w:val="-1"/>
          <w:numId w:val="0"/>
        </w:numPr>
        <w:adjustRightInd w:val="0"/>
        <w:snapToGrid w:val="0"/>
        <w:spacing w:before="0" w:beforeLines="0" w:line="400" w:lineRule="exact"/>
        <w:ind w:left="0" w:leftChars="0" w:firstLine="0" w:firstLineChars="0"/>
        <w:rPr>
          <w:rFonts w:hint="eastAsia" w:ascii="宋体" w:hAnsi="宋体"/>
          <w:iCs/>
          <w:szCs w:val="21"/>
          <w:highlight w:val="none"/>
        </w:rPr>
      </w:pPr>
      <w:r>
        <w:rPr>
          <w:rFonts w:hint="eastAsia" w:ascii="宋体" w:hAnsi="宋体"/>
          <w:w w:val="100"/>
          <w:szCs w:val="21"/>
          <w:highlight w:val="none"/>
          <w:lang w:val="en-US" w:eastAsia="zh-CN"/>
        </w:rPr>
        <w:t xml:space="preserve">         本合同</w:t>
      </w:r>
      <w:r>
        <w:rPr>
          <w:rFonts w:hint="eastAsia" w:ascii="宋体" w:hAnsi="宋体"/>
          <w:w w:val="100"/>
          <w:szCs w:val="21"/>
          <w:highlight w:val="none"/>
        </w:rPr>
        <w:t>是否</w:t>
      </w:r>
      <w:r>
        <w:rPr>
          <w:rFonts w:hint="eastAsia" w:ascii="宋体" w:hAnsi="宋体"/>
          <w:w w:val="100"/>
          <w:szCs w:val="21"/>
          <w:highlight w:val="none"/>
          <w:lang w:eastAsia="zh-CN"/>
        </w:rPr>
        <w:t>为专门面向</w:t>
      </w:r>
      <w:r>
        <w:rPr>
          <w:rFonts w:hint="eastAsia" w:ascii="宋体" w:hAnsi="宋体"/>
          <w:w w:val="100"/>
          <w:szCs w:val="21"/>
          <w:highlight w:val="none"/>
        </w:rPr>
        <w:t>中小企业</w:t>
      </w:r>
      <w:r>
        <w:rPr>
          <w:rFonts w:hint="eastAsia" w:ascii="宋体" w:hAnsi="宋体"/>
          <w:w w:val="100"/>
          <w:szCs w:val="21"/>
          <w:highlight w:val="none"/>
          <w:lang w:eastAsia="zh-CN"/>
        </w:rPr>
        <w:t>的采</w:t>
      </w:r>
      <w:r>
        <w:rPr>
          <w:rFonts w:hint="eastAsia" w:ascii="宋体" w:hAnsi="宋体"/>
          <w:w w:val="100"/>
          <w:szCs w:val="21"/>
          <w:highlight w:val="none"/>
          <w:shd w:val="clear"/>
          <w:lang w:eastAsia="zh-CN"/>
        </w:rPr>
        <w:t>购</w:t>
      </w:r>
      <w:r>
        <w:rPr>
          <w:rFonts w:hint="eastAsia" w:ascii="宋体" w:hAnsi="宋体"/>
          <w:w w:val="100"/>
          <w:szCs w:val="21"/>
          <w:highlight w:val="none"/>
          <w:shd w:val="clear"/>
        </w:rPr>
        <w:t>合同</w:t>
      </w:r>
      <w:r>
        <w:rPr>
          <w:rFonts w:hint="eastAsia" w:ascii="宋体" w:hAnsi="宋体"/>
          <w:w w:val="100"/>
          <w:szCs w:val="21"/>
          <w:highlight w:val="none"/>
          <w:shd w:val="clear"/>
          <w:lang w:eastAsia="zh-CN"/>
        </w:rPr>
        <w:t>（中小企业预留合同）</w:t>
      </w:r>
      <w:r>
        <w:rPr>
          <w:rFonts w:hint="eastAsia" w:ascii="宋体" w:hAnsi="宋体"/>
          <w:szCs w:val="21"/>
          <w:highlight w:val="none"/>
          <w:shd w:val="clear"/>
        </w:rPr>
        <w:t>：</w:t>
      </w:r>
      <w:r>
        <w:rPr>
          <w:rFonts w:hint="eastAsia" w:ascii="宋体" w:hAnsi="宋体"/>
          <w:iCs/>
          <w:szCs w:val="21"/>
          <w:highlight w:val="none"/>
        </w:rPr>
        <w:sym w:font="Wingdings" w:char="00FE"/>
      </w:r>
      <w:r>
        <w:rPr>
          <w:rFonts w:hint="eastAsia" w:ascii="宋体" w:hAnsi="宋体"/>
          <w:iCs/>
          <w:szCs w:val="21"/>
          <w:highlight w:val="none"/>
        </w:rPr>
        <w:t xml:space="preserve">是 </w:t>
      </w:r>
      <w:r>
        <w:rPr>
          <w:rFonts w:hint="eastAsia" w:ascii="宋体" w:hAnsi="宋体"/>
          <w:iCs/>
          <w:szCs w:val="21"/>
          <w:highlight w:val="none"/>
          <w:lang w:val="en-US" w:eastAsia="zh-CN"/>
        </w:rPr>
        <w:t xml:space="preserve">  </w:t>
      </w:r>
      <w:r>
        <w:rPr>
          <w:rFonts w:hint="eastAsia" w:ascii="宋体" w:hAnsi="宋体"/>
          <w:iCs/>
          <w:szCs w:val="21"/>
          <w:highlight w:val="none"/>
        </w:rPr>
        <w:t xml:space="preserve"> </w:t>
      </w:r>
      <w:r>
        <w:rPr>
          <w:rFonts w:hint="eastAsia" w:ascii="宋体" w:hAnsi="宋体"/>
          <w:iCs/>
          <w:szCs w:val="21"/>
          <w:highlight w:val="none"/>
        </w:rPr>
        <w:sym w:font="Wingdings" w:char="00A8"/>
      </w:r>
      <w:r>
        <w:rPr>
          <w:rFonts w:hint="eastAsia" w:ascii="宋体" w:hAnsi="宋体"/>
          <w:iCs/>
          <w:szCs w:val="21"/>
          <w:highlight w:val="none"/>
        </w:rPr>
        <w:t>否</w:t>
      </w:r>
    </w:p>
    <w:p w14:paraId="1F9DE37F">
      <w:pPr>
        <w:numPr>
          <w:ilvl w:val="-1"/>
          <w:numId w:val="0"/>
        </w:numPr>
        <w:adjustRightInd w:val="0"/>
        <w:snapToGrid w:val="0"/>
        <w:spacing w:before="0" w:beforeLines="0" w:line="400" w:lineRule="exact"/>
        <w:ind w:firstLine="0" w:firstLineChars="0"/>
        <w:rPr>
          <w:rFonts w:hint="eastAsia" w:ascii="宋体" w:hAnsi="宋体"/>
          <w:iCs/>
          <w:szCs w:val="21"/>
          <w:highlight w:val="none"/>
        </w:rPr>
      </w:pPr>
      <w:r>
        <w:rPr>
          <w:rFonts w:hint="eastAsia"/>
          <w:highlight w:val="none"/>
          <w:lang w:val="en-US" w:eastAsia="zh-CN"/>
        </w:rPr>
        <w:t xml:space="preserve">         若本项目不专门面向中小企业采购，是否给予小微企业评审优惠：</w:t>
      </w:r>
      <w:r>
        <w:rPr>
          <w:rFonts w:hint="eastAsia" w:ascii="宋体" w:hAnsi="宋体"/>
          <w:iCs/>
          <w:szCs w:val="21"/>
          <w:highlight w:val="none"/>
        </w:rPr>
        <w:sym w:font="Wingdings" w:char="00A8"/>
      </w:r>
      <w:r>
        <w:rPr>
          <w:rFonts w:hint="eastAsia" w:ascii="宋体" w:hAnsi="宋体"/>
          <w:iCs/>
          <w:szCs w:val="21"/>
          <w:highlight w:val="none"/>
        </w:rPr>
        <w:t xml:space="preserve">是   </w:t>
      </w:r>
      <w:r>
        <w:rPr>
          <w:rFonts w:hint="eastAsia" w:ascii="宋体" w:hAnsi="宋体"/>
          <w:iCs/>
          <w:szCs w:val="21"/>
          <w:highlight w:val="none"/>
        </w:rPr>
        <w:sym w:font="Wingdings" w:char="00A8"/>
      </w:r>
      <w:r>
        <w:rPr>
          <w:rFonts w:hint="eastAsia" w:ascii="宋体" w:hAnsi="宋体"/>
          <w:iCs/>
          <w:szCs w:val="21"/>
          <w:highlight w:val="none"/>
        </w:rPr>
        <w:t>否</w:t>
      </w:r>
    </w:p>
    <w:p w14:paraId="77B2AF0E">
      <w:pPr>
        <w:numPr>
          <w:ilvl w:val="-1"/>
          <w:numId w:val="0"/>
        </w:numPr>
        <w:adjustRightInd w:val="0"/>
        <w:snapToGrid w:val="0"/>
        <w:spacing w:before="0" w:beforeLines="0" w:line="400" w:lineRule="exact"/>
        <w:ind w:firstLine="0" w:firstLineChars="0"/>
        <w:rPr>
          <w:rFonts w:hint="eastAsia" w:ascii="宋体" w:hAnsi="宋体"/>
          <w:iCs/>
          <w:szCs w:val="21"/>
          <w:highlight w:val="none"/>
        </w:rPr>
      </w:pPr>
      <w:r>
        <w:rPr>
          <w:rFonts w:hint="eastAsia"/>
          <w:highlight w:val="none"/>
          <w:lang w:val="en-US" w:eastAsia="zh-CN"/>
        </w:rPr>
        <w:t xml:space="preserve">         中标（成交）采购标的制造商是否为残疾人福利性单位：</w:t>
      </w:r>
      <w:r>
        <w:rPr>
          <w:rFonts w:hint="eastAsia" w:ascii="宋体" w:hAnsi="宋体"/>
          <w:iCs/>
          <w:szCs w:val="21"/>
          <w:highlight w:val="none"/>
        </w:rPr>
        <w:sym w:font="Wingdings" w:char="00A8"/>
      </w:r>
      <w:r>
        <w:rPr>
          <w:rFonts w:hint="eastAsia" w:ascii="宋体" w:hAnsi="宋体"/>
          <w:iCs/>
          <w:szCs w:val="21"/>
          <w:highlight w:val="none"/>
        </w:rPr>
        <w:t xml:space="preserve">是   </w:t>
      </w:r>
      <w:r>
        <w:rPr>
          <w:rFonts w:hint="eastAsia" w:ascii="宋体" w:hAnsi="宋体"/>
          <w:iCs/>
          <w:szCs w:val="21"/>
          <w:highlight w:val="none"/>
        </w:rPr>
        <w:sym w:font="Wingdings" w:char="00A8"/>
      </w:r>
      <w:r>
        <w:rPr>
          <w:rFonts w:hint="eastAsia" w:ascii="宋体" w:hAnsi="宋体"/>
          <w:iCs/>
          <w:szCs w:val="21"/>
          <w:highlight w:val="none"/>
        </w:rPr>
        <w:t>否</w:t>
      </w:r>
    </w:p>
    <w:p w14:paraId="629275C2">
      <w:pPr>
        <w:numPr>
          <w:ilvl w:val="0"/>
          <w:numId w:val="0"/>
        </w:numPr>
        <w:snapToGrid w:val="0"/>
        <w:spacing w:beforeLines="0" w:line="400" w:lineRule="exact"/>
        <w:ind w:firstLine="0" w:firstLineChars="0"/>
        <w:rPr>
          <w:rFonts w:hint="default"/>
          <w:highlight w:val="none"/>
          <w:lang w:val="en-US" w:eastAsia="zh-CN"/>
        </w:rPr>
      </w:pPr>
      <w:r>
        <w:rPr>
          <w:rFonts w:hint="eastAsia"/>
          <w:highlight w:val="none"/>
          <w:lang w:val="en-US" w:eastAsia="zh-CN"/>
        </w:rPr>
        <w:t xml:space="preserve">         中标（成交）采购标的制造商是否为监狱企业：</w:t>
      </w:r>
      <w:r>
        <w:rPr>
          <w:rFonts w:hint="eastAsia" w:ascii="宋体" w:hAnsi="宋体"/>
          <w:iCs/>
          <w:szCs w:val="21"/>
          <w:highlight w:val="none"/>
        </w:rPr>
        <w:sym w:font="Wingdings" w:char="00A8"/>
      </w:r>
      <w:r>
        <w:rPr>
          <w:rFonts w:hint="eastAsia" w:ascii="宋体" w:hAnsi="宋体"/>
          <w:iCs/>
          <w:szCs w:val="21"/>
          <w:highlight w:val="none"/>
        </w:rPr>
        <w:t xml:space="preserve">是       </w:t>
      </w:r>
      <w:r>
        <w:rPr>
          <w:rFonts w:hint="eastAsia" w:ascii="宋体" w:hAnsi="宋体"/>
          <w:iCs/>
          <w:szCs w:val="21"/>
          <w:highlight w:val="none"/>
        </w:rPr>
        <w:sym w:font="Wingdings" w:char="00A8"/>
      </w:r>
      <w:r>
        <w:rPr>
          <w:rFonts w:hint="eastAsia" w:ascii="宋体" w:hAnsi="宋体"/>
          <w:iCs/>
          <w:szCs w:val="21"/>
          <w:highlight w:val="none"/>
        </w:rPr>
        <w:t>否</w:t>
      </w:r>
    </w:p>
    <w:p w14:paraId="4F1D41F0">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w:t>
      </w:r>
      <w:r>
        <w:rPr>
          <w:rFonts w:hint="default" w:ascii="宋体" w:hAnsi="宋体"/>
          <w:szCs w:val="21"/>
          <w:highlight w:val="none"/>
          <w:lang w:val="en" w:eastAsia="zh-CN"/>
        </w:rPr>
        <w:t>7</w:t>
      </w:r>
      <w:r>
        <w:rPr>
          <w:rFonts w:hint="eastAsia" w:ascii="宋体" w:hAnsi="宋体"/>
          <w:szCs w:val="21"/>
          <w:highlight w:val="none"/>
        </w:rPr>
        <w:t>）合同是否分包：</w:t>
      </w:r>
      <w:r>
        <w:rPr>
          <w:rFonts w:hint="eastAsia" w:ascii="宋体" w:hAnsi="宋体"/>
          <w:iCs/>
          <w:szCs w:val="21"/>
          <w:highlight w:val="none"/>
        </w:rPr>
        <w:sym w:font="Wingdings" w:char="00A8"/>
      </w:r>
      <w:r>
        <w:rPr>
          <w:rFonts w:hint="eastAsia" w:ascii="宋体" w:hAnsi="宋体"/>
          <w:iCs/>
          <w:szCs w:val="21"/>
          <w:highlight w:val="none"/>
        </w:rPr>
        <w:t xml:space="preserve">是       </w:t>
      </w:r>
      <w:r>
        <w:rPr>
          <w:rFonts w:hint="eastAsia" w:ascii="宋体" w:hAnsi="宋体"/>
          <w:iCs/>
          <w:szCs w:val="21"/>
          <w:highlight w:val="none"/>
        </w:rPr>
        <w:sym w:font="Wingdings" w:char="00FE"/>
      </w:r>
      <w:r>
        <w:rPr>
          <w:rFonts w:hint="eastAsia" w:ascii="宋体" w:hAnsi="宋体"/>
          <w:iCs/>
          <w:szCs w:val="21"/>
          <w:highlight w:val="none"/>
        </w:rPr>
        <w:t>否</w:t>
      </w:r>
    </w:p>
    <w:p w14:paraId="5D81C6BF">
      <w:pPr>
        <w:adjustRightInd w:val="0"/>
        <w:snapToGrid w:val="0"/>
        <w:spacing w:before="0" w:beforeLines="0" w:line="400" w:lineRule="exact"/>
        <w:ind w:firstLine="840" w:firstLineChars="400"/>
        <w:rPr>
          <w:rFonts w:hint="eastAsia" w:ascii="宋体" w:hAnsi="宋体"/>
          <w:szCs w:val="21"/>
          <w:highlight w:val="none"/>
          <w:u w:val="single"/>
        </w:rPr>
      </w:pPr>
      <w:r>
        <w:rPr>
          <w:rFonts w:hint="eastAsia" w:ascii="宋体" w:hAnsi="宋体"/>
          <w:szCs w:val="21"/>
          <w:highlight w:val="none"/>
          <w:lang w:val="en-US" w:eastAsia="zh-CN"/>
        </w:rPr>
        <w:t xml:space="preserve"> </w:t>
      </w:r>
      <w:r>
        <w:rPr>
          <w:rFonts w:hint="eastAsia" w:ascii="宋体" w:hAnsi="宋体"/>
          <w:szCs w:val="21"/>
          <w:highlight w:val="none"/>
        </w:rPr>
        <w:t>分包主要内容：</w:t>
      </w:r>
      <w:r>
        <w:rPr>
          <w:rFonts w:hint="eastAsia" w:ascii="宋体" w:hAnsi="宋体"/>
          <w:szCs w:val="21"/>
          <w:highlight w:val="none"/>
          <w:u w:val="single"/>
        </w:rPr>
        <w:t xml:space="preserve">            </w:t>
      </w:r>
      <w:r>
        <w:rPr>
          <w:rFonts w:hint="eastAsia" w:ascii="宋体" w:hAnsi="宋体"/>
          <w:szCs w:val="21"/>
          <w:highlight w:val="none"/>
          <w:u w:val="single"/>
          <w:lang w:val="en-US" w:eastAsia="zh-CN"/>
        </w:rPr>
        <w:t>/</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p>
    <w:p w14:paraId="6E39E169">
      <w:pPr>
        <w:adjustRightInd w:val="0"/>
        <w:snapToGrid w:val="0"/>
        <w:spacing w:before="0" w:beforeLines="0" w:line="400" w:lineRule="exact"/>
        <w:ind w:firstLine="840" w:firstLineChars="400"/>
        <w:rPr>
          <w:rFonts w:hint="eastAsia" w:ascii="宋体" w:hAnsi="宋体"/>
          <w:szCs w:val="21"/>
          <w:highlight w:val="none"/>
        </w:rPr>
      </w:pPr>
      <w:r>
        <w:rPr>
          <w:rFonts w:hint="eastAsia" w:ascii="宋体" w:hAnsi="宋体"/>
          <w:szCs w:val="21"/>
          <w:highlight w:val="none"/>
          <w:u w:val="none"/>
          <w:lang w:val="en-US" w:eastAsia="zh-CN"/>
        </w:rPr>
        <w:t xml:space="preserve"> </w:t>
      </w:r>
      <w:r>
        <w:rPr>
          <w:rFonts w:hint="eastAsia" w:ascii="宋体" w:hAnsi="宋体"/>
          <w:szCs w:val="21"/>
          <w:highlight w:val="none"/>
        </w:rPr>
        <w:t>分包</w:t>
      </w:r>
      <w:r>
        <w:rPr>
          <w:rFonts w:hint="eastAsia" w:ascii="宋体" w:hAnsi="宋体"/>
          <w:szCs w:val="21"/>
          <w:highlight w:val="none"/>
        </w:rPr>
        <w:t>供应商</w:t>
      </w:r>
      <w:r>
        <w:rPr>
          <w:rFonts w:hint="eastAsia" w:ascii="宋体" w:hAnsi="宋体"/>
          <w:szCs w:val="21"/>
          <w:highlight w:val="none"/>
          <w:lang w:eastAsia="zh-CN"/>
        </w:rPr>
        <w:t>/制造商</w:t>
      </w:r>
      <w:r>
        <w:rPr>
          <w:rFonts w:hint="eastAsia" w:ascii="宋体" w:hAnsi="宋体"/>
          <w:szCs w:val="21"/>
          <w:highlight w:val="none"/>
        </w:rPr>
        <w:t>名称</w:t>
      </w:r>
      <w:r>
        <w:rPr>
          <w:rFonts w:hint="eastAsia" w:ascii="宋体" w:hAnsi="宋体"/>
          <w:szCs w:val="21"/>
          <w:highlight w:val="none"/>
          <w:lang w:eastAsia="zh-CN"/>
        </w:rPr>
        <w:t>（如供应商和制造商不同，请分别填写）</w:t>
      </w:r>
      <w:r>
        <w:rPr>
          <w:rFonts w:hint="eastAsia" w:ascii="宋体" w:hAnsi="宋体"/>
          <w:szCs w:val="21"/>
          <w:highlight w:val="none"/>
        </w:rPr>
        <w:t>：</w:t>
      </w:r>
    </w:p>
    <w:p w14:paraId="284018F1">
      <w:pPr>
        <w:adjustRightInd w:val="0"/>
        <w:snapToGrid w:val="0"/>
        <w:spacing w:before="0" w:beforeLines="0" w:line="400" w:lineRule="exact"/>
        <w:ind w:firstLine="840" w:firstLineChars="400"/>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p>
    <w:p w14:paraId="7E0BDBCD">
      <w:pPr>
        <w:adjustRightInd w:val="0"/>
        <w:snapToGrid w:val="0"/>
        <w:spacing w:before="0" w:beforeLines="0" w:line="400" w:lineRule="exact"/>
        <w:ind w:firstLine="840" w:firstLineChars="400"/>
        <w:rPr>
          <w:rFonts w:hint="eastAsia" w:ascii="宋体" w:hAnsi="宋体"/>
          <w:szCs w:val="21"/>
          <w:highlight w:val="none"/>
        </w:rPr>
      </w:pPr>
      <w:r>
        <w:rPr>
          <w:rFonts w:hint="eastAsia" w:ascii="宋体" w:hAnsi="宋体"/>
          <w:szCs w:val="21"/>
          <w:highlight w:val="none"/>
          <w:lang w:eastAsia="zh-CN"/>
        </w:rPr>
        <w:t>制造商</w:t>
      </w:r>
      <w:r>
        <w:rPr>
          <w:rFonts w:hint="eastAsia" w:ascii="宋体" w:hAnsi="宋体"/>
          <w:szCs w:val="21"/>
          <w:highlight w:val="none"/>
        </w:rPr>
        <w:t>类型</w:t>
      </w:r>
      <w:r>
        <w:rPr>
          <w:rFonts w:hint="eastAsia" w:ascii="宋体" w:hAnsi="宋体"/>
          <w:szCs w:val="21"/>
          <w:highlight w:val="none"/>
          <w:lang w:eastAsia="zh-CN"/>
        </w:rPr>
        <w:t>（如果供应商和制造商不同，只填写制造商类型）</w:t>
      </w:r>
      <w:r>
        <w:rPr>
          <w:rFonts w:hint="eastAsia" w:ascii="宋体" w:hAnsi="宋体"/>
          <w:szCs w:val="21"/>
          <w:highlight w:val="none"/>
        </w:rPr>
        <w:t>：</w:t>
      </w:r>
    </w:p>
    <w:p w14:paraId="25F49B71">
      <w:pPr>
        <w:adjustRightInd w:val="0"/>
        <w:snapToGrid w:val="0"/>
        <w:spacing w:beforeLines="0" w:line="400" w:lineRule="exact"/>
        <w:ind w:firstLine="840" w:firstLineChars="400"/>
        <w:rPr>
          <w:rFonts w:hint="eastAsia" w:ascii="宋体" w:hAnsi="宋体"/>
          <w:iCs/>
          <w:szCs w:val="21"/>
          <w:highlight w:val="none"/>
          <w:lang w:val="en-US" w:eastAsia="zh-CN"/>
        </w:rPr>
      </w:pP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rPr>
        <w:t xml:space="preserve">大型企业  </w:t>
      </w:r>
      <w:r>
        <w:rPr>
          <w:rFonts w:hint="eastAsia" w:ascii="宋体" w:hAnsi="宋体"/>
          <w:iCs/>
          <w:szCs w:val="21"/>
          <w:highlight w:val="none"/>
        </w:rPr>
        <w:sym w:font="Wingdings" w:char="00A8"/>
      </w:r>
      <w:r>
        <w:rPr>
          <w:rFonts w:hint="eastAsia" w:ascii="宋体" w:hAnsi="宋体"/>
          <w:iCs/>
          <w:szCs w:val="21"/>
          <w:highlight w:val="none"/>
        </w:rPr>
        <w:t xml:space="preserve">中型企业  </w:t>
      </w:r>
      <w:r>
        <w:rPr>
          <w:rFonts w:hint="eastAsia" w:ascii="宋体" w:hAnsi="宋体"/>
          <w:iCs/>
          <w:szCs w:val="21"/>
          <w:highlight w:val="none"/>
        </w:rPr>
        <w:sym w:font="Wingdings" w:char="00A8"/>
      </w:r>
      <w:r>
        <w:rPr>
          <w:rFonts w:hint="eastAsia" w:ascii="宋体" w:hAnsi="宋体"/>
          <w:iCs/>
          <w:szCs w:val="21"/>
          <w:highlight w:val="none"/>
        </w:rPr>
        <w:t>小微型企业</w:t>
      </w:r>
      <w:r>
        <w:rPr>
          <w:rFonts w:hint="eastAsia" w:ascii="宋体" w:hAnsi="宋体"/>
          <w:iCs/>
          <w:szCs w:val="21"/>
          <w:highlight w:val="none"/>
          <w:lang w:val="en-US" w:eastAsia="zh-CN"/>
        </w:rPr>
        <w:t xml:space="preserve">  </w:t>
      </w:r>
    </w:p>
    <w:p w14:paraId="3CE3D468">
      <w:pPr>
        <w:adjustRightInd w:val="0"/>
        <w:snapToGrid w:val="0"/>
        <w:spacing w:beforeLines="0" w:line="400" w:lineRule="exact"/>
        <w:ind w:firstLine="840" w:firstLineChars="400"/>
        <w:rPr>
          <w:rFonts w:hint="default" w:eastAsia="华文楷体"/>
          <w:highlight w:val="none"/>
          <w:u w:val="none"/>
          <w:lang w:val="en-US" w:eastAsia="zh-CN"/>
        </w:rPr>
      </w:pP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残疾人福利性单位</w:t>
      </w: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监狱</w:t>
      </w:r>
      <w:r>
        <w:rPr>
          <w:rFonts w:hint="eastAsia" w:ascii="宋体" w:hAnsi="宋体"/>
          <w:iCs/>
          <w:szCs w:val="21"/>
          <w:highlight w:val="none"/>
        </w:rPr>
        <w:t>企业</w:t>
      </w: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其他</w:t>
      </w:r>
    </w:p>
    <w:p w14:paraId="7F6D2D33">
      <w:pPr>
        <w:numPr>
          <w:ilvl w:val="-1"/>
          <w:numId w:val="0"/>
        </w:numPr>
        <w:adjustRightInd w:val="0"/>
        <w:snapToGrid w:val="0"/>
        <w:spacing w:before="0" w:beforeLines="0" w:line="400" w:lineRule="exact"/>
        <w:ind w:left="0" w:leftChars="0" w:firstLine="0" w:firstLineChars="0"/>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w:t>
      </w:r>
      <w:r>
        <w:rPr>
          <w:rFonts w:hint="default" w:ascii="宋体" w:hAnsi="宋体" w:cs="宋体"/>
          <w:szCs w:val="21"/>
          <w:highlight w:val="none"/>
          <w:u w:val="none"/>
          <w:lang w:val="en" w:eastAsia="zh-CN"/>
        </w:rPr>
        <w:t>8</w:t>
      </w:r>
      <w:r>
        <w:rPr>
          <w:rFonts w:hint="eastAsia" w:ascii="宋体" w:hAnsi="宋体" w:cs="宋体"/>
          <w:szCs w:val="21"/>
          <w:highlight w:val="none"/>
          <w:u w:val="none"/>
          <w:lang w:val="en-US" w:eastAsia="zh-CN"/>
        </w:rPr>
        <w:t>）中标（成交）供应商是否为外商投资企业：</w:t>
      </w:r>
      <w:r>
        <w:rPr>
          <w:rFonts w:hint="eastAsia" w:ascii="宋体" w:hAnsi="宋体" w:cs="宋体"/>
          <w:iCs/>
          <w:szCs w:val="21"/>
          <w:highlight w:val="none"/>
        </w:rPr>
        <w:sym w:font="Wingdings" w:char="00A8"/>
      </w:r>
      <w:r>
        <w:rPr>
          <w:rFonts w:hint="eastAsia" w:ascii="宋体" w:hAnsi="宋体" w:cs="宋体"/>
          <w:iCs/>
          <w:szCs w:val="21"/>
          <w:highlight w:val="none"/>
        </w:rPr>
        <w:t xml:space="preserve">是       </w:t>
      </w:r>
      <w:r>
        <w:rPr>
          <w:rFonts w:hint="eastAsia" w:ascii="宋体" w:hAnsi="宋体" w:cs="宋体"/>
          <w:iCs/>
          <w:szCs w:val="21"/>
          <w:highlight w:val="none"/>
        </w:rPr>
        <w:sym w:font="Wingdings" w:char="00A8"/>
      </w:r>
      <w:r>
        <w:rPr>
          <w:rFonts w:hint="eastAsia" w:ascii="宋体" w:hAnsi="宋体" w:cs="宋体"/>
          <w:iCs/>
          <w:szCs w:val="21"/>
          <w:highlight w:val="none"/>
        </w:rPr>
        <w:t>否</w:t>
      </w:r>
    </w:p>
    <w:p w14:paraId="2AAEDA2F">
      <w:pPr>
        <w:pStyle w:val="15"/>
        <w:tabs>
          <w:tab w:val="left" w:pos="1340"/>
        </w:tabs>
        <w:spacing w:beforeLines="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hint="eastAsia" w:ascii="宋体" w:hAnsi="宋体" w:eastAsia="宋体" w:cs="宋体"/>
          <w:iCs/>
          <w:sz w:val="21"/>
          <w:szCs w:val="21"/>
          <w:highlight w:val="none"/>
        </w:rPr>
        <w:sym w:font="Wingdings" w:char="00A8"/>
      </w:r>
      <w:r>
        <w:rPr>
          <w:rFonts w:hint="eastAsia" w:ascii="宋体" w:hAnsi="宋体" w:eastAsia="宋体" w:cs="宋体"/>
          <w:sz w:val="21"/>
          <w:szCs w:val="21"/>
          <w:highlight w:val="none"/>
          <w:u w:val="none"/>
          <w:lang w:val="en-US" w:eastAsia="zh-CN"/>
        </w:rPr>
        <w:t xml:space="preserve">全部由外国投资者投资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val="en-US" w:eastAsia="zh-CN"/>
        </w:rPr>
        <w:t>部分由外国投资者投资</w:t>
      </w:r>
    </w:p>
    <w:p w14:paraId="406EAACC">
      <w:pPr>
        <w:numPr>
          <w:ilvl w:val="-1"/>
          <w:numId w:val="0"/>
        </w:numPr>
        <w:adjustRightInd w:val="0"/>
        <w:snapToGrid w:val="0"/>
        <w:spacing w:before="0" w:beforeLines="0" w:line="400" w:lineRule="exact"/>
        <w:ind w:firstLine="420" w:firstLineChars="200"/>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w:t>
      </w:r>
      <w:r>
        <w:rPr>
          <w:rFonts w:hint="default" w:ascii="宋体" w:hAnsi="宋体" w:cs="宋体"/>
          <w:b w:val="0"/>
          <w:bCs w:val="0"/>
          <w:sz w:val="21"/>
          <w:szCs w:val="21"/>
          <w:highlight w:val="none"/>
          <w:u w:val="none"/>
          <w:lang w:val="en" w:eastAsia="zh-CN"/>
        </w:rPr>
        <w:t>9</w:t>
      </w:r>
      <w:r>
        <w:rPr>
          <w:rFonts w:hint="eastAsia" w:ascii="宋体" w:hAnsi="宋体" w:eastAsia="宋体" w:cs="宋体"/>
          <w:b w:val="0"/>
          <w:bCs w:val="0"/>
          <w:sz w:val="21"/>
          <w:szCs w:val="21"/>
          <w:highlight w:val="none"/>
          <w:u w:val="none"/>
          <w:lang w:val="en-US" w:eastAsia="zh-CN"/>
        </w:rPr>
        <w:t>）是否涉及进口产品：</w:t>
      </w:r>
    </w:p>
    <w:p w14:paraId="48D0ACD2">
      <w:pPr>
        <w:numPr>
          <w:ilvl w:val="-1"/>
          <w:numId w:val="0"/>
        </w:numPr>
        <w:adjustRightInd w:val="0"/>
        <w:snapToGrid w:val="0"/>
        <w:spacing w:before="0" w:beforeLines="0" w:line="400" w:lineRule="exact"/>
        <w:ind w:firstLine="840" w:firstLineChars="400"/>
        <w:rPr>
          <w:rFonts w:hint="eastAsia" w:ascii="宋体" w:hAnsi="宋体" w:eastAsia="宋体" w:cs="宋体"/>
          <w:szCs w:val="21"/>
          <w:highlight w:val="none"/>
          <w:u w:val="single"/>
          <w:lang w:val="en-US" w:eastAsia="zh-CN"/>
        </w:rPr>
      </w:pPr>
      <w:r>
        <w:rPr>
          <w:rFonts w:hint="eastAsia" w:ascii="宋体" w:hAnsi="宋体" w:cs="宋体"/>
          <w:iCs w:val="0"/>
          <w:szCs w:val="21"/>
          <w:highlight w:val="none"/>
          <w:lang w:val="en-US" w:eastAsia="zh-CN"/>
        </w:rPr>
        <w:t xml:space="preserve"> </w:t>
      </w:r>
      <w:r>
        <w:rPr>
          <w:rFonts w:hint="eastAsia" w:ascii="宋体" w:hAnsi="宋体" w:eastAsia="宋体" w:cs="宋体"/>
          <w:iCs w:val="0"/>
          <w:szCs w:val="21"/>
          <w:highlight w:val="none"/>
        </w:rPr>
        <w:sym w:font="Wingdings" w:char="00A8"/>
      </w:r>
      <w:r>
        <w:rPr>
          <w:rFonts w:hint="eastAsia" w:ascii="宋体" w:hAnsi="宋体" w:eastAsia="宋体" w:cs="宋体"/>
          <w:iCs w:val="0"/>
          <w:szCs w:val="21"/>
          <w:highlight w:val="none"/>
        </w:rPr>
        <w:t>是</w:t>
      </w:r>
      <w:r>
        <w:rPr>
          <w:rFonts w:hint="eastAsia" w:ascii="宋体" w:hAnsi="宋体" w:eastAsia="宋体" w:cs="宋体"/>
          <w:iCs w:val="0"/>
          <w:szCs w:val="21"/>
          <w:highlight w:val="none"/>
          <w:lang w:eastAsia="zh-CN"/>
        </w:rPr>
        <w:t>，</w:t>
      </w:r>
      <w:r>
        <w:rPr>
          <w:rFonts w:hint="eastAsia" w:ascii="宋体" w:hAnsi="宋体" w:cs="宋体"/>
          <w:iCs w:val="0"/>
          <w:szCs w:val="21"/>
          <w:highlight w:val="none"/>
          <w:lang w:eastAsia="zh-CN"/>
        </w:rPr>
        <w:t>《政府采购品目分类目录》底级品目名称</w:t>
      </w:r>
      <w:r>
        <w:rPr>
          <w:rFonts w:hint="eastAsia" w:ascii="宋体" w:hAnsi="宋体" w:eastAsia="宋体" w:cs="宋体"/>
          <w:szCs w:val="21"/>
          <w:highlight w:val="none"/>
          <w:lang w:val="en-US" w:eastAsia="zh-CN"/>
        </w:rPr>
        <w:t>：</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lang w:val="en-US" w:eastAsia="zh-CN"/>
        </w:rPr>
        <w:t xml:space="preserve"> </w:t>
      </w:r>
      <w:r>
        <w:rPr>
          <w:rFonts w:hint="eastAsia" w:ascii="宋体" w:hAnsi="宋体" w:cs="宋体"/>
          <w:szCs w:val="21"/>
          <w:highlight w:val="none"/>
          <w:lang w:val="en-US" w:eastAsia="zh-CN"/>
        </w:rPr>
        <w:t>金额：</w:t>
      </w:r>
      <w:r>
        <w:rPr>
          <w:rFonts w:hint="eastAsia" w:ascii="宋体" w:hAnsi="宋体" w:eastAsia="宋体" w:cs="宋体"/>
          <w:szCs w:val="21"/>
          <w:highlight w:val="none"/>
          <w:u w:val="single"/>
          <w:lang w:val="en-US" w:eastAsia="zh-CN"/>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lang w:val="en-US" w:eastAsia="zh-CN"/>
        </w:rPr>
        <w:t xml:space="preserve"> </w:t>
      </w:r>
    </w:p>
    <w:p w14:paraId="38D3319E">
      <w:pPr>
        <w:numPr>
          <w:ilvl w:val="-1"/>
          <w:numId w:val="0"/>
        </w:numPr>
        <w:adjustRightInd w:val="0"/>
        <w:snapToGrid w:val="0"/>
        <w:spacing w:before="0" w:beforeLines="0" w:line="400" w:lineRule="exact"/>
        <w:ind w:firstLine="840" w:firstLineChars="400"/>
        <w:rPr>
          <w:rFonts w:hint="eastAsia" w:ascii="宋体" w:hAnsi="宋体" w:eastAsia="宋体"/>
          <w:iCs w:val="0"/>
          <w:szCs w:val="21"/>
          <w:highlight w:val="none"/>
        </w:rPr>
      </w:pPr>
      <w:r>
        <w:rPr>
          <w:rFonts w:hint="eastAsia" w:ascii="宋体" w:hAnsi="宋体" w:cs="宋体"/>
          <w:szCs w:val="21"/>
          <w:highlight w:val="none"/>
          <w:lang w:val="en-US" w:eastAsia="zh-CN"/>
        </w:rPr>
        <w:t xml:space="preserve">        国别：</w:t>
      </w:r>
      <w:r>
        <w:rPr>
          <w:rFonts w:hint="eastAsia" w:ascii="宋体" w:hAnsi="宋体" w:eastAsia="宋体" w:cs="宋体"/>
          <w:szCs w:val="21"/>
          <w:highlight w:val="none"/>
          <w:u w:val="single"/>
          <w:lang w:val="en-US" w:eastAsia="zh-CN"/>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lang w:val="en-US" w:eastAsia="zh-CN"/>
        </w:rPr>
        <w:t xml:space="preserve"> </w:t>
      </w:r>
      <w:r>
        <w:rPr>
          <w:rFonts w:hint="eastAsia" w:ascii="宋体" w:hAnsi="宋体" w:cs="宋体"/>
          <w:szCs w:val="21"/>
          <w:highlight w:val="none"/>
          <w:lang w:val="en-US" w:eastAsia="zh-CN"/>
        </w:rPr>
        <w:t xml:space="preserve"> </w:t>
      </w:r>
      <w:r>
        <w:rPr>
          <w:rFonts w:hint="eastAsia" w:ascii="宋体" w:hAnsi="宋体" w:eastAsia="宋体" w:cs="宋体"/>
          <w:szCs w:val="21"/>
          <w:highlight w:val="none"/>
          <w:lang w:val="en-US" w:eastAsia="zh-CN"/>
        </w:rPr>
        <w:t>品牌：</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none"/>
          <w:lang w:val="en-US" w:eastAsia="zh-CN"/>
        </w:rPr>
        <w:t xml:space="preserve"> 规格型号：</w:t>
      </w:r>
      <w:r>
        <w:rPr>
          <w:rFonts w:hint="eastAsia" w:ascii="宋体" w:hAnsi="宋体" w:eastAsia="宋体" w:cs="宋体"/>
          <w:szCs w:val="21"/>
          <w:highlight w:val="none"/>
          <w:u w:val="single"/>
          <w:lang w:val="en-US" w:eastAsia="zh-CN"/>
        </w:rPr>
        <w:t xml:space="preserve">        </w:t>
      </w:r>
      <w:r>
        <w:rPr>
          <w:rFonts w:hint="eastAsia" w:ascii="宋体" w:hAnsi="宋体" w:eastAsia="宋体"/>
          <w:iCs w:val="0"/>
          <w:szCs w:val="21"/>
          <w:highlight w:val="none"/>
        </w:rPr>
        <w:t xml:space="preserve">      </w:t>
      </w:r>
    </w:p>
    <w:p w14:paraId="755A574E">
      <w:pPr>
        <w:adjustRightInd w:val="0"/>
        <w:snapToGrid w:val="0"/>
        <w:spacing w:before="0" w:beforeLines="0" w:line="400" w:lineRule="exact"/>
        <w:ind w:firstLine="840" w:firstLineChars="400"/>
        <w:rPr>
          <w:rFonts w:hint="eastAsia" w:ascii="宋体" w:hAnsi="宋体"/>
          <w:szCs w:val="21"/>
          <w:highlight w:val="none"/>
          <w:u w:val="none"/>
          <w:lang w:val="en-US" w:eastAsia="zh-CN"/>
        </w:rPr>
      </w:pPr>
      <w:r>
        <w:rPr>
          <w:rFonts w:hint="eastAsia" w:ascii="宋体" w:hAnsi="宋体"/>
          <w:iCs w:val="0"/>
          <w:szCs w:val="21"/>
          <w:highlight w:val="none"/>
          <w:lang w:val="en-US" w:eastAsia="zh-CN"/>
        </w:rPr>
        <w:t xml:space="preserve"> </w:t>
      </w:r>
      <w:r>
        <w:rPr>
          <w:rFonts w:hint="eastAsia" w:ascii="宋体" w:hAnsi="宋体"/>
          <w:iCs w:val="0"/>
          <w:szCs w:val="21"/>
          <w:highlight w:val="none"/>
        </w:rPr>
        <w:sym w:font="Wingdings" w:char="00FE"/>
      </w:r>
      <w:r>
        <w:rPr>
          <w:rFonts w:hint="eastAsia" w:ascii="宋体" w:hAnsi="宋体" w:eastAsia="宋体"/>
          <w:iCs w:val="0"/>
          <w:szCs w:val="21"/>
          <w:highlight w:val="none"/>
          <w:lang w:eastAsia="zh-CN"/>
        </w:rPr>
        <w:t>否</w:t>
      </w:r>
    </w:p>
    <w:p w14:paraId="0CF9AC26">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highlight w:val="none"/>
          <w:u w:val="none"/>
          <w:lang w:val="en-US" w:eastAsia="zh-CN"/>
        </w:rPr>
      </w:pPr>
      <w:r>
        <w:rPr>
          <w:rFonts w:hint="eastAsia" w:ascii="宋体" w:hAnsi="宋体"/>
          <w:b w:val="0"/>
          <w:bCs w:val="0"/>
          <w:sz w:val="21"/>
          <w:szCs w:val="21"/>
          <w:highlight w:val="none"/>
          <w:u w:val="none"/>
          <w:lang w:val="en-US" w:eastAsia="zh-CN"/>
        </w:rPr>
        <w:t xml:space="preserve">    （1</w:t>
      </w:r>
      <w:r>
        <w:rPr>
          <w:rFonts w:hint="default" w:ascii="宋体" w:hAnsi="宋体"/>
          <w:b w:val="0"/>
          <w:bCs w:val="0"/>
          <w:sz w:val="21"/>
          <w:szCs w:val="21"/>
          <w:highlight w:val="none"/>
          <w:u w:val="none"/>
          <w:lang w:val="en" w:eastAsia="zh-CN"/>
        </w:rPr>
        <w:t>0</w:t>
      </w:r>
      <w:r>
        <w:rPr>
          <w:rFonts w:hint="eastAsia" w:ascii="宋体" w:hAnsi="宋体"/>
          <w:b w:val="0"/>
          <w:bCs w:val="0"/>
          <w:sz w:val="21"/>
          <w:szCs w:val="21"/>
          <w:highlight w:val="none"/>
          <w:u w:val="none"/>
          <w:lang w:val="en-US" w:eastAsia="zh-CN"/>
        </w:rPr>
        <w:t>）</w:t>
      </w:r>
      <w:r>
        <w:rPr>
          <w:rFonts w:hint="eastAsia" w:ascii="宋体" w:hAnsi="宋体" w:eastAsia="宋体"/>
          <w:b w:val="0"/>
          <w:bCs w:val="0"/>
          <w:sz w:val="21"/>
          <w:szCs w:val="21"/>
          <w:highlight w:val="none"/>
          <w:u w:val="none"/>
          <w:lang w:val="en-US" w:eastAsia="zh-CN"/>
        </w:rPr>
        <w:t>是否涉及节能产品：</w:t>
      </w:r>
    </w:p>
    <w:p w14:paraId="152086E9">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highlight w:val="none"/>
          <w:lang w:val="en-US" w:eastAsia="zh-CN"/>
        </w:rPr>
      </w:pPr>
      <w:r>
        <w:rPr>
          <w:rFonts w:hint="eastAsia" w:ascii="宋体" w:hAnsi="宋体"/>
          <w:b w:val="0"/>
          <w:bCs w:val="0"/>
          <w:sz w:val="21"/>
          <w:szCs w:val="21"/>
          <w:highlight w:val="none"/>
          <w:u w:val="none"/>
          <w:lang w:val="en-US" w:eastAsia="zh-CN"/>
        </w:rPr>
        <w:t xml:space="preserve">         </w:t>
      </w:r>
      <w:r>
        <w:rPr>
          <w:rFonts w:hint="eastAsia" w:ascii="宋体" w:hAnsi="宋体" w:eastAsia="宋体"/>
          <w:iCs w:val="0"/>
          <w:szCs w:val="21"/>
          <w:highlight w:val="none"/>
        </w:rPr>
        <w:sym w:font="Wingdings" w:char="00A8"/>
      </w:r>
      <w:r>
        <w:rPr>
          <w:rFonts w:hint="eastAsia" w:ascii="宋体" w:hAnsi="宋体" w:eastAsia="宋体"/>
          <w:iCs w:val="0"/>
          <w:szCs w:val="21"/>
          <w:highlight w:val="none"/>
        </w:rPr>
        <w:t>是</w:t>
      </w:r>
      <w:r>
        <w:rPr>
          <w:rFonts w:hint="eastAsia" w:ascii="宋体" w:hAnsi="宋体" w:eastAsia="宋体"/>
          <w:iCs w:val="0"/>
          <w:szCs w:val="21"/>
          <w:highlight w:val="none"/>
          <w:lang w:eastAsia="zh-CN"/>
        </w:rPr>
        <w:t>，</w:t>
      </w:r>
      <w:r>
        <w:rPr>
          <w:rFonts w:hint="eastAsia" w:ascii="宋体" w:hAnsi="宋体"/>
          <w:iCs w:val="0"/>
          <w:szCs w:val="21"/>
          <w:highlight w:val="none"/>
          <w:lang w:eastAsia="zh-CN"/>
        </w:rPr>
        <w:t>《节能产品政府采购品目清单》的底级品目名称：</w:t>
      </w:r>
      <w:r>
        <w:rPr>
          <w:rFonts w:hint="eastAsia" w:ascii="宋体" w:hAnsi="宋体" w:eastAsia="宋体"/>
          <w:szCs w:val="21"/>
          <w:highlight w:val="none"/>
          <w:u w:val="single"/>
          <w:lang w:val="en-US" w:eastAsia="zh-CN"/>
        </w:rPr>
        <w:t xml:space="preserve">      </w:t>
      </w:r>
      <w:r>
        <w:rPr>
          <w:rFonts w:hint="eastAsia" w:ascii="宋体" w:hAnsi="宋体"/>
          <w:szCs w:val="21"/>
          <w:highlight w:val="none"/>
          <w:u w:val="single"/>
          <w:lang w:val="en-US" w:eastAsia="zh-CN"/>
        </w:rPr>
        <w:t xml:space="preserve">   </w:t>
      </w:r>
      <w:r>
        <w:rPr>
          <w:rFonts w:hint="eastAsia" w:ascii="宋体" w:hAnsi="宋体"/>
          <w:iCs/>
          <w:szCs w:val="21"/>
          <w:highlight w:val="none"/>
          <w:lang w:val="en-US" w:eastAsia="zh-CN"/>
        </w:rPr>
        <w:t xml:space="preserve">     </w:t>
      </w:r>
    </w:p>
    <w:p w14:paraId="14408222">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highlight w:val="none"/>
          <w:lang w:val="en-US" w:eastAsia="zh-CN"/>
        </w:rPr>
      </w:pP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强制采购</w:t>
      </w: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优先采购</w:t>
      </w:r>
      <w:r>
        <w:rPr>
          <w:rFonts w:hint="eastAsia" w:ascii="宋体" w:hAnsi="宋体"/>
          <w:iCs/>
          <w:szCs w:val="21"/>
          <w:highlight w:val="none"/>
          <w:lang w:val="en-US" w:eastAsia="zh-CN"/>
        </w:rPr>
        <w:t xml:space="preserve">    </w:t>
      </w:r>
    </w:p>
    <w:p w14:paraId="4ACA112C">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val="0"/>
          <w:szCs w:val="21"/>
          <w:highlight w:val="none"/>
        </w:rPr>
      </w:pPr>
      <w:r>
        <w:rPr>
          <w:rFonts w:hint="eastAsia" w:ascii="宋体" w:hAnsi="宋体"/>
          <w:iCs/>
          <w:szCs w:val="21"/>
          <w:highlight w:val="none"/>
          <w:lang w:val="en-US" w:eastAsia="zh-CN"/>
        </w:rPr>
        <w:t xml:space="preserve">         </w:t>
      </w:r>
      <w:r>
        <w:rPr>
          <w:rFonts w:hint="eastAsia" w:ascii="宋体" w:hAnsi="宋体" w:eastAsia="宋体"/>
          <w:iCs w:val="0"/>
          <w:szCs w:val="21"/>
          <w:highlight w:val="none"/>
        </w:rPr>
        <w:sym w:font="Wingdings" w:char="00FE"/>
      </w:r>
      <w:r>
        <w:rPr>
          <w:rFonts w:hint="eastAsia" w:ascii="宋体" w:hAnsi="宋体" w:eastAsia="宋体"/>
          <w:iCs w:val="0"/>
          <w:szCs w:val="21"/>
          <w:highlight w:val="none"/>
        </w:rPr>
        <w:t>否</w:t>
      </w:r>
    </w:p>
    <w:p w14:paraId="1E2FCCC0">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highlight w:val="none"/>
          <w:u w:val="none"/>
          <w:lang w:val="en-US" w:eastAsia="zh-CN"/>
        </w:rPr>
      </w:pPr>
      <w:r>
        <w:rPr>
          <w:rFonts w:hint="eastAsia" w:ascii="宋体" w:hAnsi="宋体"/>
          <w:b w:val="0"/>
          <w:bCs w:val="0"/>
          <w:sz w:val="21"/>
          <w:szCs w:val="21"/>
          <w:highlight w:val="none"/>
          <w:u w:val="none"/>
          <w:lang w:val="en-US" w:eastAsia="zh-CN"/>
        </w:rPr>
        <w:t xml:space="preserve">          </w:t>
      </w:r>
      <w:r>
        <w:rPr>
          <w:rFonts w:hint="eastAsia" w:ascii="宋体" w:hAnsi="宋体" w:eastAsia="宋体"/>
          <w:b w:val="0"/>
          <w:bCs w:val="0"/>
          <w:sz w:val="21"/>
          <w:szCs w:val="21"/>
          <w:highlight w:val="none"/>
          <w:u w:val="none"/>
          <w:lang w:val="en-US" w:eastAsia="zh-CN"/>
        </w:rPr>
        <w:t>是否涉及</w:t>
      </w:r>
      <w:r>
        <w:rPr>
          <w:rFonts w:hint="eastAsia" w:ascii="宋体" w:hAnsi="宋体"/>
          <w:b w:val="0"/>
          <w:bCs w:val="0"/>
          <w:sz w:val="21"/>
          <w:szCs w:val="21"/>
          <w:highlight w:val="none"/>
          <w:u w:val="none"/>
          <w:lang w:val="en-US" w:eastAsia="zh-CN"/>
        </w:rPr>
        <w:t>环境标志</w:t>
      </w:r>
      <w:r>
        <w:rPr>
          <w:rFonts w:hint="eastAsia" w:ascii="宋体" w:hAnsi="宋体" w:eastAsia="宋体"/>
          <w:b w:val="0"/>
          <w:bCs w:val="0"/>
          <w:sz w:val="21"/>
          <w:szCs w:val="21"/>
          <w:highlight w:val="none"/>
          <w:u w:val="none"/>
          <w:lang w:val="en-US" w:eastAsia="zh-CN"/>
        </w:rPr>
        <w:t>产品：</w:t>
      </w:r>
    </w:p>
    <w:p w14:paraId="7EEEEA0C">
      <w:pPr>
        <w:numPr>
          <w:ilvl w:val="-1"/>
          <w:numId w:val="0"/>
        </w:numPr>
        <w:tabs>
          <w:tab w:val="left" w:pos="740"/>
        </w:tabs>
        <w:adjustRightInd w:val="0"/>
        <w:snapToGrid w:val="0"/>
        <w:spacing w:before="0" w:beforeLines="0" w:line="400" w:lineRule="exact"/>
        <w:ind w:firstLine="0" w:firstLineChars="0"/>
        <w:rPr>
          <w:rFonts w:hint="eastAsia" w:ascii="宋体" w:hAnsi="宋体"/>
          <w:iCs w:val="0"/>
          <w:szCs w:val="21"/>
          <w:highlight w:val="none"/>
          <w:lang w:eastAsia="zh-CN"/>
        </w:rPr>
      </w:pPr>
      <w:r>
        <w:rPr>
          <w:rFonts w:hint="eastAsia" w:ascii="宋体" w:hAnsi="宋体"/>
          <w:b w:val="0"/>
          <w:bCs w:val="0"/>
          <w:sz w:val="21"/>
          <w:szCs w:val="21"/>
          <w:highlight w:val="none"/>
          <w:u w:val="none"/>
          <w:lang w:val="en-US" w:eastAsia="zh-CN"/>
        </w:rPr>
        <w:t xml:space="preserve">         </w:t>
      </w:r>
      <w:r>
        <w:rPr>
          <w:rFonts w:hint="eastAsia" w:ascii="宋体" w:hAnsi="宋体" w:eastAsia="宋体"/>
          <w:iCs w:val="0"/>
          <w:szCs w:val="21"/>
          <w:highlight w:val="none"/>
        </w:rPr>
        <w:sym w:font="Wingdings" w:char="00FE"/>
      </w:r>
      <w:r>
        <w:rPr>
          <w:rFonts w:hint="eastAsia" w:ascii="宋体" w:hAnsi="宋体" w:eastAsia="宋体"/>
          <w:iCs w:val="0"/>
          <w:szCs w:val="21"/>
          <w:highlight w:val="none"/>
        </w:rPr>
        <w:t>是</w:t>
      </w:r>
      <w:r>
        <w:rPr>
          <w:rFonts w:hint="eastAsia" w:ascii="宋体" w:hAnsi="宋体" w:eastAsia="宋体"/>
          <w:iCs w:val="0"/>
          <w:szCs w:val="21"/>
          <w:highlight w:val="none"/>
          <w:lang w:eastAsia="zh-CN"/>
        </w:rPr>
        <w:t>，</w:t>
      </w:r>
      <w:r>
        <w:rPr>
          <w:rFonts w:hint="eastAsia" w:ascii="宋体" w:hAnsi="宋体"/>
          <w:iCs w:val="0"/>
          <w:szCs w:val="21"/>
          <w:highlight w:val="none"/>
          <w:lang w:eastAsia="zh-CN"/>
        </w:rPr>
        <w:t>《环境标志产品政府采购品目清单》的底级品目名称：</w:t>
      </w:r>
      <w:r>
        <w:rPr>
          <w:rFonts w:hint="eastAsia" w:ascii="宋体" w:hAnsi="宋体" w:eastAsia="宋体"/>
          <w:szCs w:val="21"/>
          <w:highlight w:val="none"/>
          <w:u w:val="single"/>
          <w:lang w:val="en-US" w:eastAsia="zh-CN"/>
        </w:rPr>
        <w:t xml:space="preserve">  </w:t>
      </w:r>
      <w:r>
        <w:rPr>
          <w:rFonts w:hint="eastAsia" w:ascii="宋体" w:hAnsi="宋体"/>
          <w:szCs w:val="21"/>
          <w:highlight w:val="none"/>
          <w:u w:val="single"/>
          <w:lang w:val="en-US" w:eastAsia="zh-CN"/>
        </w:rPr>
        <w:t>/</w:t>
      </w:r>
      <w:r>
        <w:rPr>
          <w:rFonts w:hint="eastAsia" w:ascii="宋体" w:hAnsi="宋体" w:eastAsia="宋体"/>
          <w:szCs w:val="21"/>
          <w:highlight w:val="none"/>
          <w:u w:val="single"/>
          <w:lang w:val="en-US" w:eastAsia="zh-CN"/>
        </w:rPr>
        <w:t xml:space="preserve">    </w:t>
      </w:r>
      <w:r>
        <w:rPr>
          <w:rFonts w:hint="eastAsia" w:ascii="宋体" w:hAnsi="宋体"/>
          <w:szCs w:val="21"/>
          <w:highlight w:val="none"/>
          <w:u w:val="single"/>
          <w:lang w:val="en-US" w:eastAsia="zh-CN"/>
        </w:rPr>
        <w:t xml:space="preserve">   </w:t>
      </w:r>
      <w:r>
        <w:rPr>
          <w:rFonts w:hint="eastAsia" w:ascii="宋体" w:hAnsi="宋体"/>
          <w:iCs/>
          <w:szCs w:val="21"/>
          <w:highlight w:val="none"/>
          <w:lang w:val="en-US" w:eastAsia="zh-CN"/>
        </w:rPr>
        <w:t xml:space="preserve"> </w:t>
      </w:r>
    </w:p>
    <w:p w14:paraId="5B058106">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highlight w:val="none"/>
          <w:lang w:val="en-US" w:eastAsia="zh-CN"/>
        </w:rPr>
      </w:pP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强制采购</w:t>
      </w: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FE"/>
      </w:r>
      <w:r>
        <w:rPr>
          <w:rFonts w:hint="eastAsia" w:ascii="宋体" w:hAnsi="宋体"/>
          <w:iCs/>
          <w:szCs w:val="21"/>
          <w:highlight w:val="none"/>
          <w:lang w:eastAsia="zh-CN"/>
        </w:rPr>
        <w:t>优先采购</w:t>
      </w:r>
      <w:r>
        <w:rPr>
          <w:rFonts w:hint="eastAsia" w:ascii="宋体" w:hAnsi="宋体"/>
          <w:iCs/>
          <w:szCs w:val="21"/>
          <w:highlight w:val="none"/>
          <w:lang w:val="en-US" w:eastAsia="zh-CN"/>
        </w:rPr>
        <w:t xml:space="preserve">    </w:t>
      </w:r>
    </w:p>
    <w:p w14:paraId="5D8896B3">
      <w:pPr>
        <w:numPr>
          <w:ilvl w:val="-1"/>
          <w:numId w:val="0"/>
        </w:numPr>
        <w:tabs>
          <w:tab w:val="left" w:pos="740"/>
        </w:tabs>
        <w:adjustRightInd w:val="0"/>
        <w:snapToGrid w:val="0"/>
        <w:spacing w:before="0" w:beforeLines="0" w:line="400" w:lineRule="exact"/>
        <w:ind w:firstLine="0" w:firstLineChars="0"/>
        <w:rPr>
          <w:rFonts w:hint="eastAsia" w:ascii="宋体" w:hAnsi="宋体"/>
          <w:b w:val="0"/>
          <w:bCs w:val="0"/>
          <w:sz w:val="21"/>
          <w:szCs w:val="21"/>
          <w:highlight w:val="none"/>
          <w:u w:val="none"/>
          <w:lang w:val="en-US" w:eastAsia="zh-CN"/>
        </w:rPr>
      </w:pPr>
      <w:r>
        <w:rPr>
          <w:rFonts w:hint="eastAsia" w:ascii="宋体" w:hAnsi="宋体"/>
          <w:iCs/>
          <w:szCs w:val="21"/>
          <w:highlight w:val="none"/>
          <w:lang w:val="en-US" w:eastAsia="zh-CN"/>
        </w:rPr>
        <w:t xml:space="preserve">         </w:t>
      </w:r>
      <w:r>
        <w:rPr>
          <w:rFonts w:hint="eastAsia" w:ascii="宋体" w:hAnsi="宋体" w:eastAsia="宋体"/>
          <w:iCs w:val="0"/>
          <w:szCs w:val="21"/>
          <w:highlight w:val="none"/>
        </w:rPr>
        <w:sym w:font="Wingdings" w:char="00A8"/>
      </w:r>
      <w:r>
        <w:rPr>
          <w:rFonts w:hint="eastAsia" w:ascii="宋体" w:hAnsi="宋体" w:eastAsia="宋体"/>
          <w:iCs w:val="0"/>
          <w:szCs w:val="21"/>
          <w:highlight w:val="none"/>
        </w:rPr>
        <w:t>否</w:t>
      </w:r>
    </w:p>
    <w:p w14:paraId="720861B9">
      <w:pPr>
        <w:pStyle w:val="15"/>
        <w:numPr>
          <w:ilvl w:val="-1"/>
          <w:numId w:val="0"/>
        </w:numPr>
        <w:adjustRightInd w:val="0"/>
        <w:snapToGrid w:val="0"/>
        <w:spacing w:before="0" w:beforeLines="0" w:line="400" w:lineRule="exact"/>
        <w:ind w:firstLine="0" w:firstLineChars="0"/>
        <w:rPr>
          <w:rFonts w:hint="eastAsia" w:ascii="宋体" w:hAnsi="宋体" w:eastAsia="宋体" w:cs="Times New Roman"/>
          <w:iCs w:val="0"/>
          <w:kern w:val="2"/>
          <w:sz w:val="21"/>
          <w:szCs w:val="21"/>
          <w:highlight w:val="none"/>
          <w:u w:val="none"/>
          <w:lang w:val="en-US" w:eastAsia="zh-CN"/>
        </w:rPr>
      </w:pPr>
      <w:r>
        <w:rPr>
          <w:rFonts w:hint="eastAsia" w:ascii="宋体" w:hAnsi="宋体"/>
          <w:b w:val="0"/>
          <w:bCs w:val="0"/>
          <w:sz w:val="21"/>
          <w:szCs w:val="21"/>
          <w:highlight w:val="none"/>
          <w:u w:val="none"/>
          <w:lang w:val="en-US" w:eastAsia="zh-CN"/>
        </w:rPr>
        <w:t xml:space="preserve">          </w:t>
      </w:r>
      <w:r>
        <w:rPr>
          <w:rFonts w:hint="eastAsia" w:ascii="宋体" w:hAnsi="宋体" w:eastAsia="宋体" w:cs="Times New Roman"/>
          <w:b w:val="0"/>
          <w:bCs w:val="0"/>
          <w:kern w:val="2"/>
          <w:sz w:val="21"/>
          <w:szCs w:val="21"/>
          <w:highlight w:val="none"/>
          <w:u w:val="none"/>
          <w:lang w:val="en-US" w:eastAsia="zh-CN"/>
        </w:rPr>
        <w:t>是否涉及绿色产品：</w:t>
      </w:r>
      <w:r>
        <w:rPr>
          <w:rFonts w:hint="eastAsia" w:ascii="宋体" w:hAnsi="宋体" w:eastAsia="宋体" w:cs="Times New Roman"/>
          <w:iCs w:val="0"/>
          <w:kern w:val="2"/>
          <w:sz w:val="21"/>
          <w:szCs w:val="21"/>
          <w:highlight w:val="none"/>
          <w:u w:val="none"/>
          <w:lang w:val="en-US" w:eastAsia="zh-CN"/>
        </w:rPr>
        <w:t xml:space="preserve"> </w:t>
      </w:r>
    </w:p>
    <w:p w14:paraId="649E73C2">
      <w:pPr>
        <w:pStyle w:val="15"/>
        <w:spacing w:beforeLines="0"/>
        <w:ind w:firstLine="420" w:firstLineChars="0"/>
        <w:rPr>
          <w:rFonts w:hint="eastAsia" w:ascii="宋体" w:hAnsi="宋体" w:eastAsia="宋体"/>
          <w:szCs w:val="21"/>
          <w:highlight w:val="none"/>
          <w:u w:val="single"/>
          <w:lang w:val="en-US" w:eastAsia="zh-CN"/>
        </w:rPr>
      </w:pPr>
      <w:r>
        <w:rPr>
          <w:rFonts w:hint="eastAsia" w:ascii="宋体" w:hAnsi="宋体" w:eastAsia="宋体" w:cs="Times New Roman"/>
          <w:iCs w:val="0"/>
          <w:kern w:val="2"/>
          <w:sz w:val="21"/>
          <w:szCs w:val="21"/>
          <w:highlight w:val="none"/>
          <w:u w:val="none"/>
          <w:lang w:val="en-US" w:eastAsia="zh-CN"/>
        </w:rPr>
        <w:t xml:space="preserve">     </w:t>
      </w:r>
      <w:r>
        <w:rPr>
          <w:rFonts w:hint="eastAsia" w:ascii="宋体" w:hAnsi="宋体" w:eastAsia="宋体" w:cs="Times New Roman"/>
          <w:iCs w:val="0"/>
          <w:kern w:val="2"/>
          <w:sz w:val="21"/>
          <w:szCs w:val="21"/>
          <w:highlight w:val="none"/>
          <w:u w:val="none"/>
        </w:rPr>
        <w:sym w:font="Wingdings" w:char="00A8"/>
      </w:r>
      <w:r>
        <w:rPr>
          <w:rFonts w:hint="eastAsia" w:ascii="宋体" w:hAnsi="宋体" w:eastAsia="宋体" w:cs="Times New Roman"/>
          <w:iCs w:val="0"/>
          <w:kern w:val="2"/>
          <w:sz w:val="21"/>
          <w:szCs w:val="21"/>
          <w:highlight w:val="none"/>
          <w:u w:val="none"/>
        </w:rPr>
        <w:t>是</w:t>
      </w:r>
      <w:r>
        <w:rPr>
          <w:rFonts w:hint="eastAsia" w:ascii="宋体" w:hAnsi="宋体" w:eastAsia="宋体" w:cs="Times New Roman"/>
          <w:iCs w:val="0"/>
          <w:kern w:val="2"/>
          <w:sz w:val="21"/>
          <w:szCs w:val="21"/>
          <w:highlight w:val="none"/>
          <w:u w:val="none"/>
          <w:lang w:eastAsia="zh-CN"/>
        </w:rPr>
        <w:t>，绿色产品政府采购相关政策确定的底级品目名称：</w:t>
      </w:r>
      <w:r>
        <w:rPr>
          <w:rFonts w:hint="eastAsia" w:ascii="宋体" w:hAnsi="宋体" w:eastAsia="宋体"/>
          <w:szCs w:val="21"/>
          <w:highlight w:val="none"/>
          <w:u w:val="single"/>
          <w:lang w:val="en-US" w:eastAsia="zh-CN"/>
        </w:rPr>
        <w:t xml:space="preserve">         </w:t>
      </w:r>
    </w:p>
    <w:p w14:paraId="3F0B147F">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highlight w:val="none"/>
          <w:lang w:val="en-US" w:eastAsia="zh-CN"/>
        </w:rPr>
      </w:pP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强制采购</w:t>
      </w: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优先采购</w:t>
      </w:r>
      <w:r>
        <w:rPr>
          <w:rFonts w:hint="eastAsia" w:ascii="宋体" w:hAnsi="宋体"/>
          <w:iCs/>
          <w:szCs w:val="21"/>
          <w:highlight w:val="none"/>
          <w:lang w:val="en-US" w:eastAsia="zh-CN"/>
        </w:rPr>
        <w:t xml:space="preserve">    </w:t>
      </w:r>
    </w:p>
    <w:p w14:paraId="43DE3657">
      <w:pPr>
        <w:pStyle w:val="15"/>
        <w:spacing w:beforeLines="0"/>
        <w:ind w:firstLine="420" w:firstLineChars="0"/>
        <w:rPr>
          <w:rFonts w:hint="eastAsia" w:ascii="宋体" w:hAnsi="宋体"/>
          <w:b w:val="0"/>
          <w:bCs w:val="0"/>
          <w:sz w:val="21"/>
          <w:szCs w:val="21"/>
          <w:highlight w:val="none"/>
          <w:u w:val="none"/>
          <w:lang w:val="en-US" w:eastAsia="zh-CN"/>
        </w:rPr>
      </w:pPr>
      <w:r>
        <w:rPr>
          <w:rFonts w:hint="eastAsia" w:ascii="宋体" w:hAnsi="宋体" w:eastAsia="宋体" w:cs="Times New Roman"/>
          <w:iCs w:val="0"/>
          <w:kern w:val="2"/>
          <w:sz w:val="21"/>
          <w:szCs w:val="21"/>
          <w:highlight w:val="none"/>
          <w:u w:val="none"/>
          <w:lang w:val="en-US" w:eastAsia="zh-CN"/>
        </w:rPr>
        <w:t xml:space="preserve">     </w:t>
      </w:r>
      <w:r>
        <w:rPr>
          <w:rFonts w:hint="eastAsia" w:ascii="宋体" w:hAnsi="宋体" w:eastAsia="宋体" w:cs="Times New Roman"/>
          <w:iCs w:val="0"/>
          <w:kern w:val="2"/>
          <w:sz w:val="21"/>
          <w:szCs w:val="21"/>
          <w:highlight w:val="none"/>
          <w:u w:val="none"/>
        </w:rPr>
        <w:sym w:font="Wingdings" w:char="00FE"/>
      </w:r>
      <w:r>
        <w:rPr>
          <w:rFonts w:hint="eastAsia" w:ascii="宋体" w:hAnsi="宋体" w:eastAsia="宋体" w:cs="Times New Roman"/>
          <w:iCs w:val="0"/>
          <w:kern w:val="2"/>
          <w:sz w:val="21"/>
          <w:szCs w:val="21"/>
          <w:highlight w:val="none"/>
          <w:u w:val="none"/>
        </w:rPr>
        <w:t>否</w:t>
      </w:r>
    </w:p>
    <w:p w14:paraId="3BC373BC">
      <w:pPr>
        <w:numPr>
          <w:ilvl w:val="-1"/>
          <w:numId w:val="0"/>
        </w:numPr>
        <w:adjustRightInd w:val="0"/>
        <w:snapToGrid w:val="0"/>
        <w:spacing w:before="0" w:beforeLines="0" w:line="400" w:lineRule="exact"/>
        <w:ind w:firstLine="0" w:firstLineChars="0"/>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    （1</w:t>
      </w:r>
      <w:r>
        <w:rPr>
          <w:rFonts w:hint="default" w:ascii="宋体" w:hAnsi="宋体"/>
          <w:szCs w:val="21"/>
          <w:highlight w:val="none"/>
          <w:lang w:val="en" w:eastAsia="zh-CN"/>
        </w:rPr>
        <w:t>1</w:t>
      </w:r>
      <w:r>
        <w:rPr>
          <w:rFonts w:hint="eastAsia" w:ascii="宋体" w:hAnsi="宋体"/>
          <w:szCs w:val="21"/>
          <w:highlight w:val="none"/>
          <w:lang w:val="en-US" w:eastAsia="zh-CN"/>
        </w:rPr>
        <w:t>）</w:t>
      </w:r>
      <w:r>
        <w:rPr>
          <w:rFonts w:hint="eastAsia" w:ascii="宋体" w:hAnsi="宋体" w:eastAsia="宋体"/>
          <w:szCs w:val="21"/>
          <w:highlight w:val="none"/>
          <w:lang w:val="en-US" w:eastAsia="zh-CN"/>
        </w:rPr>
        <w:t>涉及商品包装和快递包装的，是否参考</w:t>
      </w:r>
      <w:r>
        <w:rPr>
          <w:rFonts w:hint="eastAsia" w:ascii="宋体" w:hAnsi="宋体"/>
          <w:szCs w:val="21"/>
          <w:highlight w:val="none"/>
        </w:rPr>
        <w:t>《商品包装政府采购需求标准（试行）》、《快递包装政府采购需求标准（试行）》</w:t>
      </w:r>
      <w:r>
        <w:rPr>
          <w:rFonts w:hint="eastAsia" w:ascii="宋体" w:hAnsi="宋体" w:eastAsia="宋体"/>
          <w:szCs w:val="21"/>
          <w:highlight w:val="none"/>
          <w:lang w:eastAsia="zh-CN"/>
        </w:rPr>
        <w:t>明确产品及相关快递服务的具体包装要求：</w:t>
      </w:r>
    </w:p>
    <w:p w14:paraId="322BF3DB">
      <w:pPr>
        <w:numPr>
          <w:ilvl w:val="-1"/>
          <w:numId w:val="0"/>
        </w:numPr>
        <w:adjustRightInd w:val="0"/>
        <w:snapToGrid w:val="0"/>
        <w:spacing w:before="0" w:beforeLines="0" w:line="400" w:lineRule="exact"/>
        <w:ind w:firstLine="840" w:firstLineChars="400"/>
        <w:rPr>
          <w:rFonts w:hint="eastAsia" w:ascii="宋体" w:hAnsi="宋体" w:eastAsia="宋体"/>
          <w:iCs w:val="0"/>
          <w:szCs w:val="21"/>
          <w:highlight w:val="none"/>
          <w:lang w:val="en-US" w:eastAsia="zh-CN"/>
        </w:rPr>
      </w:pPr>
      <w:r>
        <w:rPr>
          <w:rFonts w:hint="eastAsia" w:ascii="宋体" w:hAnsi="宋体" w:eastAsia="宋体"/>
          <w:iCs w:val="0"/>
          <w:szCs w:val="21"/>
          <w:highlight w:val="none"/>
        </w:rPr>
        <w:sym w:font="Wingdings" w:char="00A8"/>
      </w:r>
      <w:r>
        <w:rPr>
          <w:rFonts w:hint="eastAsia" w:ascii="宋体" w:hAnsi="宋体" w:eastAsia="宋体"/>
          <w:iCs w:val="0"/>
          <w:szCs w:val="21"/>
          <w:highlight w:val="none"/>
        </w:rPr>
        <w:t xml:space="preserve">是       </w:t>
      </w:r>
      <w:r>
        <w:rPr>
          <w:rFonts w:hint="eastAsia" w:ascii="宋体" w:hAnsi="宋体" w:eastAsia="宋体"/>
          <w:iCs w:val="0"/>
          <w:szCs w:val="21"/>
          <w:highlight w:val="none"/>
        </w:rPr>
        <w:sym w:font="Wingdings" w:char="00FE"/>
      </w:r>
      <w:r>
        <w:rPr>
          <w:rFonts w:hint="eastAsia" w:ascii="宋体" w:hAnsi="宋体" w:eastAsia="宋体"/>
          <w:iCs w:val="0"/>
          <w:szCs w:val="21"/>
          <w:highlight w:val="none"/>
        </w:rPr>
        <w:t>否</w:t>
      </w:r>
      <w:r>
        <w:rPr>
          <w:rFonts w:hint="eastAsia" w:ascii="宋体" w:hAnsi="宋体" w:eastAsia="宋体"/>
          <w:iCs w:val="0"/>
          <w:szCs w:val="21"/>
          <w:highlight w:val="none"/>
          <w:lang w:val="en-US" w:eastAsia="zh-CN"/>
        </w:rPr>
        <w:t xml:space="preserve">      </w:t>
      </w:r>
      <w:r>
        <w:rPr>
          <w:rFonts w:hint="eastAsia" w:ascii="宋体" w:hAnsi="宋体" w:eastAsia="宋体"/>
          <w:iCs w:val="0"/>
          <w:szCs w:val="21"/>
          <w:highlight w:val="none"/>
        </w:rPr>
        <w:sym w:font="Wingdings" w:char="00A8"/>
      </w:r>
      <w:r>
        <w:rPr>
          <w:rFonts w:hint="eastAsia" w:ascii="宋体" w:hAnsi="宋体" w:eastAsia="宋体"/>
          <w:iCs w:val="0"/>
          <w:szCs w:val="21"/>
          <w:highlight w:val="none"/>
          <w:lang w:eastAsia="zh-CN"/>
        </w:rPr>
        <w:t>不涉及</w:t>
      </w:r>
    </w:p>
    <w:p w14:paraId="1108175C">
      <w:pPr>
        <w:numPr>
          <w:ilvl w:val="0"/>
          <w:numId w:val="1"/>
        </w:numPr>
        <w:adjustRightInd w:val="0"/>
        <w:snapToGrid w:val="0"/>
        <w:spacing w:before="0" w:beforeLines="0" w:line="400" w:lineRule="exact"/>
        <w:ind w:firstLine="422" w:firstLineChars="200"/>
        <w:rPr>
          <w:rFonts w:ascii="宋体" w:hAnsi="宋体"/>
          <w:b/>
          <w:szCs w:val="21"/>
          <w:highlight w:val="none"/>
        </w:rPr>
      </w:pPr>
      <w:r>
        <w:rPr>
          <w:rFonts w:hint="eastAsia" w:ascii="宋体" w:hAnsi="宋体"/>
          <w:b/>
          <w:szCs w:val="21"/>
          <w:highlight w:val="none"/>
        </w:rPr>
        <w:t>合同金额</w:t>
      </w:r>
    </w:p>
    <w:p w14:paraId="4D26535E">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（1）合同金额小写：</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p>
    <w:p w14:paraId="72110F11">
      <w:pPr>
        <w:adjustRightInd w:val="0"/>
        <w:snapToGrid w:val="0"/>
        <w:spacing w:before="0" w:beforeLines="0" w:line="400" w:lineRule="exact"/>
        <w:ind w:left="0" w:firstLine="0" w:firstLineChars="0"/>
        <w:rPr>
          <w:rFonts w:ascii="宋体" w:hAnsi="宋体"/>
          <w:szCs w:val="21"/>
          <w:highlight w:val="none"/>
          <w:u w:val="single"/>
        </w:rPr>
      </w:pPr>
      <w:r>
        <w:rPr>
          <w:rFonts w:hint="eastAsia" w:ascii="宋体" w:hAnsi="宋体"/>
          <w:szCs w:val="21"/>
          <w:highlight w:val="none"/>
          <w:lang w:val="en-US" w:eastAsia="zh-CN"/>
        </w:rPr>
        <w:t xml:space="preserve">                 </w:t>
      </w:r>
      <w:r>
        <w:rPr>
          <w:rFonts w:hint="eastAsia" w:ascii="宋体" w:hAnsi="宋体"/>
          <w:szCs w:val="21"/>
          <w:highlight w:val="none"/>
        </w:rPr>
        <w:t>大写：</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p>
    <w:p w14:paraId="439CBD81">
      <w:pPr>
        <w:adjustRightInd w:val="0"/>
        <w:snapToGrid w:val="0"/>
        <w:spacing w:before="0" w:beforeLines="0" w:line="400" w:lineRule="exact"/>
        <w:ind w:firstLine="0" w:firstLineChars="0"/>
        <w:rPr>
          <w:rFonts w:ascii="宋体" w:hAnsi="宋体"/>
          <w:szCs w:val="21"/>
          <w:highlight w:val="none"/>
        </w:rPr>
      </w:pPr>
      <w:r>
        <w:rPr>
          <w:rFonts w:hint="eastAsia" w:ascii="宋体" w:hAnsi="宋体"/>
          <w:szCs w:val="21"/>
          <w:highlight w:val="none"/>
          <w:lang w:val="en-US" w:eastAsia="zh-CN"/>
        </w:rPr>
        <w:t xml:space="preserve">         </w:t>
      </w:r>
      <w:r>
        <w:rPr>
          <w:rFonts w:hint="eastAsia" w:ascii="宋体" w:hAnsi="宋体"/>
          <w:szCs w:val="21"/>
          <w:highlight w:val="none"/>
        </w:rPr>
        <w:t>分包金额</w:t>
      </w:r>
      <w:r>
        <w:rPr>
          <w:rFonts w:hint="eastAsia" w:ascii="宋体" w:hAnsi="宋体"/>
          <w:szCs w:val="21"/>
          <w:highlight w:val="none"/>
          <w:lang w:eastAsia="zh-CN"/>
        </w:rPr>
        <w:t>（如有）</w:t>
      </w:r>
      <w:r>
        <w:rPr>
          <w:rFonts w:hint="eastAsia" w:ascii="宋体" w:hAnsi="宋体"/>
          <w:szCs w:val="21"/>
          <w:highlight w:val="none"/>
        </w:rPr>
        <w:t>小写：</w:t>
      </w:r>
      <w:r>
        <w:rPr>
          <w:rFonts w:hint="eastAsia" w:ascii="宋体" w:hAnsi="宋体"/>
          <w:szCs w:val="21"/>
          <w:highlight w:val="none"/>
          <w:u w:val="single"/>
        </w:rPr>
        <w:t xml:space="preserve">        </w:t>
      </w:r>
      <w:r>
        <w:rPr>
          <w:rFonts w:hint="eastAsia" w:ascii="宋体" w:hAnsi="宋体"/>
          <w:szCs w:val="21"/>
          <w:highlight w:val="none"/>
          <w:u w:val="single"/>
          <w:lang w:val="en-US" w:eastAsia="zh-CN"/>
        </w:rPr>
        <w:t>/</w:t>
      </w:r>
      <w:r>
        <w:rPr>
          <w:rFonts w:hint="eastAsia" w:ascii="宋体" w:hAnsi="宋体"/>
          <w:szCs w:val="21"/>
          <w:highlight w:val="none"/>
          <w:u w:val="single"/>
        </w:rPr>
        <w:t xml:space="preserve">           </w:t>
      </w:r>
    </w:p>
    <w:p w14:paraId="410DE7DA">
      <w:pPr>
        <w:adjustRightInd w:val="0"/>
        <w:snapToGrid w:val="0"/>
        <w:spacing w:before="0" w:beforeLines="0" w:line="400" w:lineRule="exact"/>
        <w:ind w:firstLine="0" w:firstLineChars="0"/>
        <w:rPr>
          <w:rFonts w:hint="eastAsia" w:ascii="宋体" w:hAnsi="宋体"/>
          <w:szCs w:val="21"/>
          <w:highlight w:val="none"/>
          <w:u w:val="single"/>
        </w:rPr>
      </w:pPr>
      <w:r>
        <w:rPr>
          <w:rFonts w:hint="eastAsia" w:ascii="宋体" w:hAnsi="宋体"/>
          <w:szCs w:val="21"/>
          <w:highlight w:val="none"/>
          <w:lang w:val="en-US" w:eastAsia="zh-CN"/>
        </w:rPr>
        <w:t xml:space="preserve">                     </w:t>
      </w:r>
      <w:r>
        <w:rPr>
          <w:rFonts w:hint="eastAsia" w:ascii="宋体" w:hAnsi="宋体"/>
          <w:szCs w:val="21"/>
          <w:highlight w:val="none"/>
        </w:rPr>
        <w:t>大写：</w:t>
      </w:r>
      <w:r>
        <w:rPr>
          <w:rFonts w:hint="eastAsia" w:ascii="宋体" w:hAnsi="宋体"/>
          <w:szCs w:val="21"/>
          <w:highlight w:val="none"/>
          <w:u w:val="single"/>
        </w:rPr>
        <w:t xml:space="preserve">            </w:t>
      </w:r>
      <w:r>
        <w:rPr>
          <w:rFonts w:hint="eastAsia" w:ascii="宋体" w:hAnsi="宋体"/>
          <w:szCs w:val="21"/>
          <w:highlight w:val="none"/>
          <w:u w:val="single"/>
          <w:lang w:val="en-US" w:eastAsia="zh-CN"/>
        </w:rPr>
        <w:t>/</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p>
    <w:p w14:paraId="37B13805">
      <w:pPr>
        <w:adjustRightInd w:val="0"/>
        <w:snapToGrid w:val="0"/>
        <w:spacing w:before="0" w:beforeLines="0" w:line="400" w:lineRule="exact"/>
        <w:ind w:firstLine="0" w:firstLineChars="0"/>
        <w:rPr>
          <w:rFonts w:hint="eastAsia" w:ascii="宋体" w:hAnsi="宋体"/>
          <w:szCs w:val="21"/>
          <w:highlight w:val="none"/>
          <w:lang w:val="en-US" w:eastAsia="zh-CN"/>
        </w:rPr>
      </w:pPr>
      <w:r>
        <w:rPr>
          <w:rFonts w:hint="eastAsia" w:ascii="宋体" w:hAnsi="宋体"/>
          <w:szCs w:val="21"/>
          <w:highlight w:val="none"/>
          <w:lang w:val="en-US" w:eastAsia="zh-CN"/>
        </w:rPr>
        <w:t xml:space="preserve">    （注：固定单价合同应填写单价和最高限价）</w:t>
      </w:r>
    </w:p>
    <w:p w14:paraId="761BC0C1">
      <w:pPr>
        <w:numPr>
          <w:ilvl w:val="-1"/>
          <w:numId w:val="0"/>
        </w:numPr>
        <w:adjustRightInd w:val="0"/>
        <w:snapToGrid w:val="0"/>
        <w:spacing w:before="0" w:beforeLines="0" w:line="400" w:lineRule="exact"/>
        <w:ind w:firstLine="0" w:firstLineChars="0"/>
        <w:rPr>
          <w:rFonts w:hint="eastAsia" w:ascii="宋体" w:hAnsi="宋体"/>
          <w:szCs w:val="21"/>
          <w:highlight w:val="none"/>
        </w:rPr>
      </w:pPr>
      <w:r>
        <w:rPr>
          <w:rFonts w:hint="eastAsia" w:ascii="宋体" w:hAnsi="宋体"/>
          <w:szCs w:val="21"/>
          <w:highlight w:val="none"/>
          <w:lang w:val="en-US" w:eastAsia="zh-CN"/>
        </w:rPr>
        <w:t xml:space="preserve">    </w:t>
      </w:r>
      <w:r>
        <w:rPr>
          <w:rFonts w:hint="eastAsia" w:ascii="宋体" w:hAnsi="宋体"/>
          <w:szCs w:val="21"/>
          <w:highlight w:val="none"/>
          <w:lang w:eastAsia="zh-CN"/>
        </w:rPr>
        <w:t>（</w:t>
      </w:r>
      <w:r>
        <w:rPr>
          <w:rFonts w:hint="eastAsia" w:ascii="宋体" w:hAnsi="宋体"/>
          <w:szCs w:val="21"/>
          <w:highlight w:val="none"/>
          <w:lang w:val="en-US" w:eastAsia="zh-CN"/>
        </w:rPr>
        <w:t>2</w:t>
      </w:r>
      <w:r>
        <w:rPr>
          <w:rFonts w:hint="eastAsia" w:ascii="宋体" w:hAnsi="宋体"/>
          <w:szCs w:val="21"/>
          <w:highlight w:val="none"/>
          <w:lang w:eastAsia="zh-CN"/>
        </w:rPr>
        <w:t>）</w:t>
      </w:r>
      <w:r>
        <w:rPr>
          <w:rFonts w:hint="eastAsia" w:ascii="宋体" w:hAnsi="宋体"/>
          <w:szCs w:val="21"/>
          <w:highlight w:val="none"/>
        </w:rPr>
        <w:t>合同定价方式</w:t>
      </w:r>
      <w:r>
        <w:rPr>
          <w:rFonts w:hint="eastAsia" w:ascii="宋体" w:hAnsi="宋体"/>
          <w:szCs w:val="21"/>
          <w:highlight w:val="none"/>
          <w:lang w:eastAsia="zh-CN"/>
        </w:rPr>
        <w:t>（采用组合定价方式的，可以勾选多项）</w:t>
      </w:r>
      <w:r>
        <w:rPr>
          <w:rFonts w:hint="eastAsia" w:ascii="宋体" w:hAnsi="宋体"/>
          <w:szCs w:val="21"/>
          <w:highlight w:val="none"/>
        </w:rPr>
        <w:t>：</w:t>
      </w:r>
    </w:p>
    <w:p w14:paraId="161B8872">
      <w:pPr>
        <w:adjustRightInd w:val="0"/>
        <w:snapToGrid w:val="0"/>
        <w:spacing w:before="0" w:beforeLines="0" w:line="400" w:lineRule="exact"/>
        <w:ind w:firstLine="420" w:firstLineChars="200"/>
        <w:rPr>
          <w:rFonts w:hint="eastAsia" w:ascii="宋体" w:hAnsi="宋体" w:eastAsia="宋体"/>
          <w:szCs w:val="21"/>
          <w:highlight w:val="none"/>
          <w:lang w:eastAsia="zh-CN"/>
        </w:rPr>
      </w:pP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FE"/>
      </w:r>
      <w:r>
        <w:rPr>
          <w:rFonts w:hint="eastAsia" w:ascii="宋体" w:hAnsi="宋体"/>
          <w:iCs/>
          <w:szCs w:val="21"/>
          <w:highlight w:val="none"/>
        </w:rPr>
        <w:t xml:space="preserve">固定总价 </w:t>
      </w:r>
      <w:r>
        <w:rPr>
          <w:rFonts w:hint="eastAsia" w:ascii="宋体" w:hAnsi="宋体"/>
          <w:iCs/>
          <w:szCs w:val="21"/>
          <w:highlight w:val="none"/>
        </w:rPr>
        <w:sym w:font="Wingdings" w:char="00A8"/>
      </w:r>
      <w:r>
        <w:rPr>
          <w:rFonts w:hint="eastAsia" w:ascii="宋体" w:hAnsi="宋体"/>
          <w:iCs/>
          <w:szCs w:val="21"/>
          <w:highlight w:val="none"/>
        </w:rPr>
        <w:t>固定单价</w:t>
      </w: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固定费率</w:t>
      </w:r>
      <w:r>
        <w:rPr>
          <w:rFonts w:hint="eastAsia" w:ascii="宋体" w:hAnsi="宋体"/>
          <w:iCs/>
          <w:szCs w:val="21"/>
          <w:highlight w:val="none"/>
        </w:rPr>
        <w:t xml:space="preserve"> </w:t>
      </w:r>
      <w:r>
        <w:rPr>
          <w:rFonts w:hint="eastAsia" w:ascii="宋体" w:hAnsi="宋体"/>
          <w:iCs/>
          <w:szCs w:val="21"/>
          <w:highlight w:val="none"/>
        </w:rPr>
        <w:sym w:font="Wingdings" w:char="00A8"/>
      </w:r>
      <w:r>
        <w:rPr>
          <w:rFonts w:hint="eastAsia" w:ascii="宋体" w:hAnsi="宋体"/>
          <w:iCs/>
          <w:szCs w:val="21"/>
          <w:highlight w:val="none"/>
        </w:rPr>
        <w:t xml:space="preserve">成本补偿 </w:t>
      </w:r>
      <w:r>
        <w:rPr>
          <w:rFonts w:hint="eastAsia" w:ascii="宋体" w:hAnsi="宋体"/>
          <w:iCs/>
          <w:szCs w:val="21"/>
          <w:highlight w:val="none"/>
        </w:rPr>
        <w:sym w:font="Wingdings" w:char="00A8"/>
      </w:r>
      <w:r>
        <w:rPr>
          <w:rFonts w:hint="eastAsia" w:ascii="宋体" w:hAnsi="宋体"/>
          <w:iCs/>
          <w:szCs w:val="21"/>
          <w:highlight w:val="none"/>
        </w:rPr>
        <w:t>绩效激励</w:t>
      </w: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其他</w:t>
      </w:r>
      <w:r>
        <w:rPr>
          <w:rFonts w:hint="eastAsia" w:ascii="宋体" w:hAnsi="宋体"/>
          <w:szCs w:val="21"/>
          <w:highlight w:val="none"/>
          <w:u w:val="single"/>
        </w:rPr>
        <w:t xml:space="preserve">       </w:t>
      </w:r>
    </w:p>
    <w:p w14:paraId="67BDD378">
      <w:pPr>
        <w:pStyle w:val="16"/>
        <w:spacing w:beforeLines="0" w:line="400" w:lineRule="exact"/>
        <w:rPr>
          <w:highlight w:val="none"/>
        </w:rPr>
      </w:pPr>
      <w:r>
        <w:rPr>
          <w:rFonts w:hint="eastAsia" w:ascii="宋体" w:hAnsi="宋体"/>
          <w:highlight w:val="none"/>
        </w:rPr>
        <w:t>（</w:t>
      </w:r>
      <w:r>
        <w:rPr>
          <w:rFonts w:hint="eastAsia" w:ascii="宋体" w:hAnsi="宋体"/>
          <w:highlight w:val="none"/>
          <w:lang w:val="en-US" w:eastAsia="zh-CN"/>
        </w:rPr>
        <w:t>3</w:t>
      </w:r>
      <w:r>
        <w:rPr>
          <w:rFonts w:hint="eastAsia" w:ascii="宋体" w:hAnsi="宋体"/>
          <w:highlight w:val="none"/>
        </w:rPr>
        <w:t>）付款方式（按项目实际勾选填写）：</w:t>
      </w:r>
    </w:p>
    <w:p w14:paraId="28165901">
      <w:pPr>
        <w:adjustRightInd w:val="0"/>
        <w:snapToGrid w:val="0"/>
        <w:spacing w:before="0" w:beforeLines="0" w:line="400" w:lineRule="exact"/>
        <w:ind w:firstLine="630" w:firstLineChars="300"/>
        <w:rPr>
          <w:rFonts w:ascii="宋体" w:hAnsi="宋体"/>
          <w:szCs w:val="21"/>
          <w:highlight w:val="none"/>
          <w:u w:val="single"/>
        </w:rPr>
      </w:pPr>
      <w:r>
        <w:rPr>
          <w:rFonts w:hint="eastAsia" w:ascii="宋体" w:hAnsi="宋体"/>
          <w:szCs w:val="21"/>
          <w:highlight w:val="none"/>
        </w:rPr>
        <w:sym w:font="Wingdings" w:char="00A8"/>
      </w:r>
      <w:r>
        <w:rPr>
          <w:rFonts w:hint="eastAsia" w:ascii="宋体" w:hAnsi="宋体"/>
          <w:szCs w:val="21"/>
          <w:highlight w:val="none"/>
        </w:rPr>
        <w:t>全额付款：</w:t>
      </w:r>
      <w:r>
        <w:rPr>
          <w:rFonts w:hint="eastAsia" w:ascii="宋体" w:hAnsi="宋体"/>
          <w:szCs w:val="21"/>
          <w:highlight w:val="none"/>
          <w:u w:val="single"/>
        </w:rPr>
        <w:t xml:space="preserve">     （应</w:t>
      </w:r>
      <w:r>
        <w:rPr>
          <w:rFonts w:hint="eastAsia" w:ascii="宋体" w:hAnsi="宋体"/>
          <w:szCs w:val="21"/>
          <w:highlight w:val="none"/>
          <w:u w:val="single"/>
          <w:lang w:eastAsia="zh-CN"/>
        </w:rPr>
        <w:t>明确</w:t>
      </w:r>
      <w:r>
        <w:rPr>
          <w:rFonts w:hint="eastAsia" w:ascii="宋体" w:hAnsi="宋体"/>
          <w:szCs w:val="21"/>
          <w:highlight w:val="none"/>
          <w:u w:val="single"/>
        </w:rPr>
        <w:t>一次性支付合同款项</w:t>
      </w:r>
      <w:r>
        <w:rPr>
          <w:rFonts w:hint="eastAsia" w:ascii="宋体" w:hAnsi="宋体"/>
          <w:szCs w:val="21"/>
          <w:highlight w:val="none"/>
          <w:u w:val="single"/>
          <w:lang w:eastAsia="zh-CN"/>
        </w:rPr>
        <w:t>的条件</w:t>
      </w:r>
      <w:r>
        <w:rPr>
          <w:rFonts w:hint="eastAsia" w:ascii="宋体" w:hAnsi="宋体"/>
          <w:szCs w:val="21"/>
          <w:highlight w:val="none"/>
          <w:u w:val="single"/>
        </w:rPr>
        <w:t xml:space="preserve">）                    </w:t>
      </w:r>
    </w:p>
    <w:p w14:paraId="630995B5">
      <w:pPr>
        <w:snapToGrid w:val="0"/>
        <w:spacing w:beforeLines="0" w:line="400" w:lineRule="exact"/>
        <w:ind w:firstLine="630" w:firstLineChars="300"/>
        <w:rPr>
          <w:rFonts w:hint="eastAsia" w:ascii="宋体" w:hAnsi="宋体"/>
          <w:szCs w:val="21"/>
          <w:highlight w:val="none"/>
        </w:rPr>
      </w:pPr>
      <w:r>
        <w:rPr>
          <w:rFonts w:hint="eastAsia" w:ascii="宋体" w:hAnsi="宋体"/>
          <w:szCs w:val="21"/>
          <w:highlight w:val="none"/>
        </w:rPr>
        <w:sym w:font="Wingdings" w:char="00FE"/>
      </w:r>
      <w:r>
        <w:rPr>
          <w:rFonts w:hint="eastAsia" w:ascii="宋体" w:hAnsi="宋体"/>
          <w:szCs w:val="21"/>
          <w:highlight w:val="none"/>
        </w:rPr>
        <w:t>分期付款：</w:t>
      </w:r>
    </w:p>
    <w:p w14:paraId="48055D00">
      <w:pPr>
        <w:snapToGrid w:val="0"/>
        <w:spacing w:beforeLines="0" w:line="400" w:lineRule="exact"/>
        <w:ind w:firstLine="630" w:firstLineChars="300"/>
        <w:rPr>
          <w:rFonts w:hint="eastAsia" w:ascii="宋体" w:hAnsi="宋体"/>
          <w:szCs w:val="21"/>
          <w:highlight w:val="none"/>
          <w:u w:val="single"/>
        </w:rPr>
      </w:pPr>
      <w:r>
        <w:rPr>
          <w:rFonts w:hint="eastAsia" w:ascii="宋体" w:hAnsi="宋体"/>
          <w:szCs w:val="21"/>
          <w:highlight w:val="none"/>
          <w:u w:val="single"/>
          <w:lang w:val="en-US" w:eastAsia="zh-CN"/>
        </w:rPr>
        <w:t>1、</w:t>
      </w:r>
      <w:r>
        <w:rPr>
          <w:rFonts w:hint="eastAsia" w:ascii="宋体" w:hAnsi="宋体"/>
          <w:szCs w:val="21"/>
          <w:highlight w:val="none"/>
          <w:u w:val="single"/>
        </w:rPr>
        <w:t>合同签订后，</w:t>
      </w:r>
      <w:r>
        <w:rPr>
          <w:rFonts w:hint="eastAsia" w:ascii="宋体" w:hAnsi="宋体"/>
          <w:szCs w:val="21"/>
          <w:highlight w:val="none"/>
          <w:u w:val="single"/>
          <w:lang w:eastAsia="zh-CN"/>
        </w:rPr>
        <w:t>乙方</w:t>
      </w:r>
      <w:r>
        <w:rPr>
          <w:rFonts w:hint="eastAsia" w:ascii="宋体" w:hAnsi="宋体"/>
          <w:szCs w:val="21"/>
          <w:highlight w:val="none"/>
          <w:u w:val="single"/>
        </w:rPr>
        <w:t>应向</w:t>
      </w:r>
      <w:r>
        <w:rPr>
          <w:rFonts w:hint="eastAsia" w:ascii="宋体" w:hAnsi="宋体"/>
          <w:szCs w:val="21"/>
          <w:highlight w:val="none"/>
          <w:u w:val="single"/>
          <w:lang w:eastAsia="zh-CN"/>
        </w:rPr>
        <w:t>甲方</w:t>
      </w:r>
      <w:r>
        <w:rPr>
          <w:rFonts w:hint="eastAsia" w:ascii="宋体" w:hAnsi="宋体"/>
          <w:szCs w:val="21"/>
          <w:highlight w:val="none"/>
          <w:u w:val="single"/>
        </w:rPr>
        <w:t>提交合同价30%的预付款担保。</w:t>
      </w:r>
      <w:r>
        <w:rPr>
          <w:rFonts w:hint="eastAsia" w:ascii="宋体" w:hAnsi="宋体"/>
          <w:szCs w:val="21"/>
          <w:highlight w:val="none"/>
          <w:u w:val="single"/>
          <w:lang w:eastAsia="zh-CN"/>
        </w:rPr>
        <w:t>甲方</w:t>
      </w:r>
      <w:r>
        <w:rPr>
          <w:rFonts w:hint="eastAsia" w:ascii="宋体" w:hAnsi="宋体"/>
          <w:szCs w:val="21"/>
          <w:highlight w:val="none"/>
          <w:u w:val="single"/>
        </w:rPr>
        <w:t>自收到预付款担保之日起，</w:t>
      </w:r>
      <w:r>
        <w:rPr>
          <w:rFonts w:hint="eastAsia" w:ascii="宋体" w:hAnsi="宋体"/>
          <w:szCs w:val="21"/>
          <w:highlight w:val="none"/>
          <w:u w:val="single"/>
          <w:lang w:eastAsia="zh-CN"/>
        </w:rPr>
        <w:t>甲方</w:t>
      </w:r>
      <w:r>
        <w:rPr>
          <w:rFonts w:hint="eastAsia" w:ascii="宋体" w:hAnsi="宋体"/>
          <w:szCs w:val="21"/>
          <w:highlight w:val="none"/>
          <w:u w:val="single"/>
        </w:rPr>
        <w:t>应在10个工作日（</w:t>
      </w:r>
      <w:r>
        <w:rPr>
          <w:rFonts w:hint="eastAsia" w:ascii="宋体" w:hAnsi="宋体"/>
          <w:szCs w:val="21"/>
          <w:highlight w:val="none"/>
          <w:u w:val="single"/>
          <w:lang w:eastAsia="zh-CN"/>
        </w:rPr>
        <w:t>乙方</w:t>
      </w:r>
      <w:r>
        <w:rPr>
          <w:rFonts w:hint="eastAsia" w:ascii="宋体" w:hAnsi="宋体"/>
          <w:szCs w:val="21"/>
          <w:highlight w:val="none"/>
          <w:u w:val="single"/>
        </w:rPr>
        <w:t>若是中小企业则5个工作日内）内向</w:t>
      </w:r>
      <w:r>
        <w:rPr>
          <w:rFonts w:hint="eastAsia" w:ascii="宋体" w:hAnsi="宋体"/>
          <w:szCs w:val="21"/>
          <w:highlight w:val="none"/>
          <w:u w:val="single"/>
          <w:lang w:eastAsia="zh-CN"/>
        </w:rPr>
        <w:t>乙方</w:t>
      </w:r>
      <w:r>
        <w:rPr>
          <w:rFonts w:hint="eastAsia" w:ascii="宋体" w:hAnsi="宋体"/>
          <w:szCs w:val="21"/>
          <w:highlight w:val="none"/>
          <w:u w:val="single"/>
        </w:rPr>
        <w:t>支付合同价的30%作为预付款。</w:t>
      </w:r>
    </w:p>
    <w:p w14:paraId="3CC0A671">
      <w:pPr>
        <w:snapToGrid w:val="0"/>
        <w:spacing w:beforeLines="0" w:line="400" w:lineRule="exact"/>
        <w:ind w:firstLine="630" w:firstLineChars="300"/>
        <w:rPr>
          <w:rFonts w:hint="eastAsia" w:ascii="宋体" w:hAnsi="宋体"/>
          <w:szCs w:val="21"/>
          <w:highlight w:val="none"/>
          <w:u w:val="single"/>
        </w:rPr>
      </w:pPr>
      <w:r>
        <w:rPr>
          <w:rFonts w:hint="eastAsia" w:ascii="宋体" w:hAnsi="宋体"/>
          <w:szCs w:val="21"/>
          <w:highlight w:val="none"/>
          <w:u w:val="single"/>
        </w:rPr>
        <w:t>2</w:t>
      </w:r>
      <w:r>
        <w:rPr>
          <w:rFonts w:hint="eastAsia" w:ascii="宋体" w:hAnsi="宋体"/>
          <w:szCs w:val="21"/>
          <w:highlight w:val="none"/>
          <w:u w:val="single"/>
          <w:lang w:eastAsia="zh-CN"/>
        </w:rPr>
        <w:t>、</w:t>
      </w:r>
      <w:r>
        <w:rPr>
          <w:rFonts w:hint="eastAsia"/>
          <w:highlight w:val="none"/>
          <w:u w:val="single"/>
        </w:rPr>
        <w:t>按采购项目内容要求将</w:t>
      </w:r>
      <w:r>
        <w:rPr>
          <w:rFonts w:hint="eastAsia" w:ascii="宋体" w:hAnsi="宋体"/>
          <w:szCs w:val="21"/>
          <w:highlight w:val="none"/>
          <w:u w:val="single"/>
        </w:rPr>
        <w:t>全部货物送达安装现场并安装调试完毕后10个工作日（</w:t>
      </w:r>
      <w:r>
        <w:rPr>
          <w:rFonts w:hint="eastAsia" w:ascii="宋体" w:hAnsi="宋体"/>
          <w:szCs w:val="21"/>
          <w:highlight w:val="none"/>
          <w:u w:val="single"/>
          <w:lang w:eastAsia="zh-CN"/>
        </w:rPr>
        <w:t>乙方</w:t>
      </w:r>
      <w:r>
        <w:rPr>
          <w:rFonts w:hint="eastAsia" w:ascii="宋体" w:hAnsi="宋体"/>
          <w:szCs w:val="21"/>
          <w:highlight w:val="none"/>
          <w:u w:val="single"/>
        </w:rPr>
        <w:t>若是中小企业则15天内）内，</w:t>
      </w:r>
      <w:r>
        <w:rPr>
          <w:rFonts w:hint="eastAsia" w:ascii="宋体" w:hAnsi="宋体"/>
          <w:szCs w:val="21"/>
          <w:highlight w:val="none"/>
          <w:u w:val="single"/>
          <w:lang w:eastAsia="zh-CN"/>
        </w:rPr>
        <w:t>甲方</w:t>
      </w:r>
      <w:r>
        <w:rPr>
          <w:rFonts w:hint="eastAsia" w:ascii="宋体" w:hAnsi="宋体"/>
          <w:szCs w:val="21"/>
          <w:highlight w:val="none"/>
          <w:u w:val="single"/>
        </w:rPr>
        <w:t>向</w:t>
      </w:r>
      <w:r>
        <w:rPr>
          <w:rFonts w:hint="eastAsia" w:ascii="宋体" w:hAnsi="宋体"/>
          <w:szCs w:val="21"/>
          <w:highlight w:val="none"/>
          <w:u w:val="single"/>
          <w:lang w:eastAsia="zh-CN"/>
        </w:rPr>
        <w:t>乙方</w:t>
      </w:r>
      <w:r>
        <w:rPr>
          <w:rFonts w:hint="eastAsia" w:ascii="宋体" w:hAnsi="宋体"/>
          <w:szCs w:val="21"/>
          <w:highlight w:val="none"/>
          <w:u w:val="single"/>
        </w:rPr>
        <w:t>应支付至合同价的</w:t>
      </w:r>
      <w:r>
        <w:rPr>
          <w:rFonts w:hint="eastAsia" w:ascii="宋体" w:hAnsi="宋体"/>
          <w:szCs w:val="21"/>
          <w:highlight w:val="none"/>
          <w:u w:val="single"/>
          <w:lang w:val="en-US" w:eastAsia="zh-CN"/>
        </w:rPr>
        <w:t>90</w:t>
      </w:r>
      <w:r>
        <w:rPr>
          <w:rFonts w:hint="eastAsia" w:ascii="宋体" w:hAnsi="宋体"/>
          <w:szCs w:val="21"/>
          <w:highlight w:val="none"/>
          <w:u w:val="single"/>
        </w:rPr>
        <w:t>%。</w:t>
      </w:r>
      <w:r>
        <w:rPr>
          <w:rFonts w:hint="eastAsia" w:ascii="宋体" w:hAnsi="宋体"/>
          <w:szCs w:val="21"/>
          <w:highlight w:val="none"/>
          <w:u w:val="single"/>
          <w:lang w:eastAsia="zh-CN"/>
        </w:rPr>
        <w:t>乙方</w:t>
      </w:r>
      <w:r>
        <w:rPr>
          <w:rFonts w:hint="eastAsia" w:ascii="宋体" w:hAnsi="宋体"/>
          <w:szCs w:val="21"/>
          <w:highlight w:val="none"/>
          <w:u w:val="single"/>
        </w:rPr>
        <w:t>同时向</w:t>
      </w:r>
      <w:r>
        <w:rPr>
          <w:rFonts w:hint="eastAsia" w:ascii="宋体" w:hAnsi="宋体"/>
          <w:szCs w:val="21"/>
          <w:highlight w:val="none"/>
          <w:u w:val="single"/>
          <w:lang w:eastAsia="zh-CN"/>
        </w:rPr>
        <w:t>甲方</w:t>
      </w:r>
      <w:r>
        <w:rPr>
          <w:rFonts w:hint="eastAsia" w:ascii="宋体" w:hAnsi="宋体"/>
          <w:szCs w:val="21"/>
          <w:highlight w:val="none"/>
          <w:u w:val="single"/>
        </w:rPr>
        <w:t>申请解除预付款担保。</w:t>
      </w:r>
    </w:p>
    <w:p w14:paraId="1592E31A">
      <w:pPr>
        <w:snapToGrid w:val="0"/>
        <w:spacing w:beforeLines="0" w:line="400" w:lineRule="exact"/>
        <w:ind w:firstLine="630" w:firstLineChars="300"/>
        <w:rPr>
          <w:rFonts w:hint="eastAsia" w:ascii="宋体" w:hAnsi="宋体"/>
          <w:szCs w:val="21"/>
          <w:highlight w:val="none"/>
          <w:u w:val="single"/>
        </w:rPr>
      </w:pPr>
      <w:r>
        <w:rPr>
          <w:rFonts w:hint="eastAsia" w:ascii="宋体" w:hAnsi="宋体"/>
          <w:szCs w:val="21"/>
          <w:highlight w:val="none"/>
          <w:u w:val="single"/>
        </w:rPr>
        <w:t>3</w:t>
      </w:r>
      <w:r>
        <w:rPr>
          <w:rFonts w:hint="eastAsia" w:ascii="宋体" w:hAnsi="宋体"/>
          <w:szCs w:val="21"/>
          <w:highlight w:val="none"/>
          <w:u w:val="single"/>
          <w:lang w:eastAsia="zh-CN"/>
        </w:rPr>
        <w:t>、</w:t>
      </w:r>
      <w:r>
        <w:rPr>
          <w:rFonts w:hint="eastAsia" w:ascii="宋体" w:hAnsi="宋体"/>
          <w:szCs w:val="21"/>
          <w:highlight w:val="none"/>
          <w:u w:val="single"/>
        </w:rPr>
        <w:t>项目验收合格且移交满12个月后，</w:t>
      </w:r>
      <w:r>
        <w:rPr>
          <w:rFonts w:hint="eastAsia" w:ascii="宋体" w:hAnsi="宋体"/>
          <w:szCs w:val="21"/>
          <w:highlight w:val="none"/>
          <w:u w:val="single"/>
          <w:lang w:eastAsia="zh-CN"/>
        </w:rPr>
        <w:t>乙方</w:t>
      </w:r>
      <w:r>
        <w:rPr>
          <w:rFonts w:hint="eastAsia" w:ascii="宋体" w:hAnsi="宋体"/>
          <w:szCs w:val="21"/>
          <w:highlight w:val="none"/>
          <w:u w:val="single"/>
        </w:rPr>
        <w:t>提交支付申请后20天内，</w:t>
      </w:r>
      <w:r>
        <w:rPr>
          <w:rFonts w:hint="eastAsia" w:ascii="宋体" w:hAnsi="宋体"/>
          <w:szCs w:val="21"/>
          <w:highlight w:val="none"/>
          <w:u w:val="single"/>
          <w:lang w:eastAsia="zh-CN"/>
        </w:rPr>
        <w:t>甲方</w:t>
      </w:r>
      <w:r>
        <w:rPr>
          <w:rFonts w:hint="eastAsia" w:ascii="宋体" w:hAnsi="宋体"/>
          <w:szCs w:val="21"/>
          <w:highlight w:val="none"/>
          <w:u w:val="single"/>
        </w:rPr>
        <w:t>向</w:t>
      </w:r>
      <w:r>
        <w:rPr>
          <w:rFonts w:hint="eastAsia" w:ascii="宋体" w:hAnsi="宋体"/>
          <w:szCs w:val="21"/>
          <w:highlight w:val="none"/>
          <w:u w:val="single"/>
          <w:lang w:eastAsia="zh-CN"/>
        </w:rPr>
        <w:t>乙方</w:t>
      </w:r>
      <w:r>
        <w:rPr>
          <w:rFonts w:hint="eastAsia" w:ascii="宋体" w:hAnsi="宋体"/>
          <w:szCs w:val="21"/>
          <w:highlight w:val="none"/>
          <w:u w:val="single"/>
        </w:rPr>
        <w:t>支付结算金额的10%。</w:t>
      </w:r>
    </w:p>
    <w:p w14:paraId="6F3A8D14">
      <w:pPr>
        <w:snapToGrid w:val="0"/>
        <w:spacing w:beforeLines="0" w:line="400" w:lineRule="exact"/>
        <w:ind w:firstLine="630" w:firstLineChars="300"/>
        <w:rPr>
          <w:rFonts w:hint="eastAsia" w:ascii="宋体" w:hAnsi="宋体"/>
          <w:szCs w:val="21"/>
          <w:highlight w:val="none"/>
          <w:u w:val="single"/>
        </w:rPr>
      </w:pPr>
      <w:r>
        <w:rPr>
          <w:rFonts w:hint="eastAsia" w:ascii="宋体" w:hAnsi="宋体"/>
          <w:szCs w:val="21"/>
          <w:highlight w:val="none"/>
          <w:u w:val="single"/>
        </w:rPr>
        <w:t>4.上述款项均不计算利息。</w:t>
      </w:r>
      <w:r>
        <w:rPr>
          <w:rFonts w:hint="eastAsia" w:ascii="宋体" w:hAnsi="宋体"/>
          <w:szCs w:val="21"/>
          <w:highlight w:val="none"/>
          <w:u w:val="single"/>
          <w:lang w:eastAsia="zh-CN"/>
        </w:rPr>
        <w:t>乙方</w:t>
      </w:r>
      <w:r>
        <w:rPr>
          <w:rFonts w:hint="eastAsia" w:ascii="宋体" w:hAnsi="宋体"/>
          <w:szCs w:val="21"/>
          <w:highlight w:val="none"/>
          <w:u w:val="single"/>
        </w:rPr>
        <w:t>应严格按税收政策规定，在收取款项时，向</w:t>
      </w:r>
      <w:r>
        <w:rPr>
          <w:rFonts w:hint="eastAsia" w:ascii="宋体" w:hAnsi="宋体"/>
          <w:szCs w:val="21"/>
          <w:highlight w:val="none"/>
          <w:u w:val="single"/>
          <w:lang w:eastAsia="zh-CN"/>
        </w:rPr>
        <w:t>甲方</w:t>
      </w:r>
      <w:r>
        <w:rPr>
          <w:rFonts w:hint="eastAsia" w:ascii="宋体" w:hAnsi="宋体"/>
          <w:szCs w:val="21"/>
          <w:highlight w:val="none"/>
          <w:u w:val="single"/>
        </w:rPr>
        <w:t>提供税款缴纳凭证</w:t>
      </w:r>
      <w:r>
        <w:rPr>
          <w:rFonts w:hint="eastAsia" w:ascii="宋体" w:hAnsi="宋体"/>
          <w:szCs w:val="21"/>
          <w:highlight w:val="none"/>
          <w:u w:val="single"/>
          <w:lang w:eastAsia="zh-CN"/>
        </w:rPr>
        <w:t>，</w:t>
      </w:r>
      <w:r>
        <w:rPr>
          <w:rFonts w:hint="eastAsia"/>
          <w:highlight w:val="none"/>
          <w:u w:val="single"/>
        </w:rPr>
        <w:t>否则</w:t>
      </w:r>
      <w:r>
        <w:rPr>
          <w:rFonts w:hint="eastAsia"/>
          <w:highlight w:val="none"/>
          <w:u w:val="single"/>
          <w:lang w:eastAsia="zh-CN"/>
        </w:rPr>
        <w:t>甲方</w:t>
      </w:r>
      <w:r>
        <w:rPr>
          <w:rFonts w:hint="eastAsia"/>
          <w:highlight w:val="none"/>
          <w:u w:val="single"/>
        </w:rPr>
        <w:t>有权顺延付款时间</w:t>
      </w:r>
      <w:r>
        <w:rPr>
          <w:rFonts w:hint="eastAsia" w:ascii="宋体" w:hAnsi="宋体"/>
          <w:szCs w:val="21"/>
          <w:highlight w:val="none"/>
          <w:u w:val="single"/>
        </w:rPr>
        <w:t>。</w:t>
      </w:r>
    </w:p>
    <w:p w14:paraId="1A3DEFFC">
      <w:pPr>
        <w:snapToGrid w:val="0"/>
        <w:spacing w:beforeLines="0" w:line="400" w:lineRule="exact"/>
        <w:ind w:firstLine="630" w:firstLineChars="300"/>
        <w:rPr>
          <w:rFonts w:hint="eastAsia" w:ascii="宋体" w:hAnsi="宋体"/>
          <w:szCs w:val="21"/>
          <w:highlight w:val="none"/>
          <w:u w:val="single"/>
        </w:rPr>
      </w:pPr>
      <w:r>
        <w:rPr>
          <w:rFonts w:hint="eastAsia" w:ascii="宋体" w:hAnsi="宋体"/>
          <w:szCs w:val="21"/>
          <w:highlight w:val="none"/>
          <w:u w:val="single"/>
        </w:rPr>
        <w:t>5.本项目预付款须专款专用于本项目，不得挪用于其他项目或其他事项,否则属于</w:t>
      </w:r>
      <w:r>
        <w:rPr>
          <w:rFonts w:hint="eastAsia" w:ascii="宋体" w:hAnsi="宋体"/>
          <w:szCs w:val="21"/>
          <w:highlight w:val="none"/>
          <w:u w:val="single"/>
          <w:lang w:eastAsia="zh-CN"/>
        </w:rPr>
        <w:t>乙方</w:t>
      </w:r>
      <w:r>
        <w:rPr>
          <w:rFonts w:hint="eastAsia" w:ascii="宋体" w:hAnsi="宋体"/>
          <w:szCs w:val="21"/>
          <w:highlight w:val="none"/>
          <w:u w:val="single"/>
        </w:rPr>
        <w:t>违约。若因</w:t>
      </w:r>
      <w:r>
        <w:rPr>
          <w:rFonts w:hint="eastAsia" w:ascii="宋体" w:hAnsi="宋体"/>
          <w:szCs w:val="21"/>
          <w:highlight w:val="none"/>
          <w:u w:val="single"/>
          <w:lang w:eastAsia="zh-CN"/>
        </w:rPr>
        <w:t>乙方</w:t>
      </w:r>
      <w:r>
        <w:rPr>
          <w:rFonts w:hint="eastAsia" w:ascii="宋体" w:hAnsi="宋体"/>
          <w:szCs w:val="21"/>
          <w:highlight w:val="none"/>
          <w:u w:val="single"/>
        </w:rPr>
        <w:t>出现挪用预付款的违约行为，</w:t>
      </w:r>
      <w:r>
        <w:rPr>
          <w:rFonts w:hint="eastAsia" w:ascii="宋体" w:hAnsi="宋体"/>
          <w:szCs w:val="21"/>
          <w:highlight w:val="none"/>
          <w:u w:val="single"/>
          <w:lang w:eastAsia="zh-CN"/>
        </w:rPr>
        <w:t>甲方</w:t>
      </w:r>
      <w:r>
        <w:rPr>
          <w:rFonts w:hint="eastAsia" w:ascii="宋体" w:hAnsi="宋体"/>
          <w:szCs w:val="21"/>
          <w:highlight w:val="none"/>
          <w:u w:val="single"/>
        </w:rPr>
        <w:t>有权直接启用预付款保函或在进度款项中予以扣回预付款。由此导致</w:t>
      </w:r>
      <w:r>
        <w:rPr>
          <w:rFonts w:hint="eastAsia" w:ascii="宋体" w:hAnsi="宋体"/>
          <w:szCs w:val="21"/>
          <w:highlight w:val="none"/>
          <w:u w:val="single"/>
          <w:lang w:eastAsia="zh-CN"/>
        </w:rPr>
        <w:t>甲方</w:t>
      </w:r>
      <w:r>
        <w:rPr>
          <w:rFonts w:hint="eastAsia" w:ascii="宋体" w:hAnsi="宋体"/>
          <w:szCs w:val="21"/>
          <w:highlight w:val="none"/>
          <w:u w:val="single"/>
        </w:rPr>
        <w:t>损失的，</w:t>
      </w:r>
      <w:r>
        <w:rPr>
          <w:rFonts w:hint="eastAsia" w:ascii="宋体" w:hAnsi="宋体"/>
          <w:szCs w:val="21"/>
          <w:highlight w:val="none"/>
          <w:u w:val="single"/>
          <w:lang w:eastAsia="zh-CN"/>
        </w:rPr>
        <w:t>乙方</w:t>
      </w:r>
      <w:r>
        <w:rPr>
          <w:rFonts w:hint="eastAsia" w:ascii="宋体" w:hAnsi="宋体"/>
          <w:szCs w:val="21"/>
          <w:highlight w:val="none"/>
          <w:u w:val="single"/>
        </w:rPr>
        <w:t>需赔偿</w:t>
      </w:r>
      <w:r>
        <w:rPr>
          <w:rFonts w:hint="eastAsia" w:ascii="宋体" w:hAnsi="宋体"/>
          <w:szCs w:val="21"/>
          <w:highlight w:val="none"/>
          <w:u w:val="single"/>
          <w:lang w:eastAsia="zh-CN"/>
        </w:rPr>
        <w:t>甲方</w:t>
      </w:r>
      <w:r>
        <w:rPr>
          <w:rFonts w:hint="eastAsia" w:ascii="宋体" w:hAnsi="宋体"/>
          <w:szCs w:val="21"/>
          <w:highlight w:val="none"/>
          <w:u w:val="single"/>
        </w:rPr>
        <w:t xml:space="preserve">的一切损失。 </w:t>
      </w:r>
    </w:p>
    <w:p w14:paraId="33D19A07">
      <w:pPr>
        <w:snapToGrid w:val="0"/>
        <w:spacing w:beforeLines="0" w:line="400" w:lineRule="exact"/>
        <w:ind w:firstLine="630" w:firstLineChars="300"/>
        <w:rPr>
          <w:highlight w:val="none"/>
        </w:rPr>
      </w:pPr>
      <w:r>
        <w:rPr>
          <w:rFonts w:hint="eastAsia" w:ascii="宋体" w:hAnsi="宋体"/>
          <w:szCs w:val="21"/>
          <w:highlight w:val="none"/>
          <w:lang w:eastAsia="zh-CN"/>
        </w:rPr>
        <w:t>其中涉及预付款的</w:t>
      </w:r>
      <w:r>
        <w:rPr>
          <w:rFonts w:hint="eastAsia" w:ascii="宋体" w:hAnsi="宋体"/>
          <w:szCs w:val="21"/>
          <w:highlight w:val="none"/>
        </w:rPr>
        <w:t>：</w:t>
      </w:r>
      <w:r>
        <w:rPr>
          <w:rFonts w:hint="eastAsia" w:ascii="宋体" w:hAnsi="宋体"/>
          <w:szCs w:val="21"/>
          <w:highlight w:val="none"/>
          <w:u w:val="single"/>
        </w:rPr>
        <w:t xml:space="preserve"> 合同签订后，</w:t>
      </w:r>
      <w:r>
        <w:rPr>
          <w:rFonts w:hint="eastAsia" w:ascii="宋体" w:hAnsi="宋体"/>
          <w:szCs w:val="21"/>
          <w:highlight w:val="none"/>
          <w:u w:val="single"/>
          <w:lang w:eastAsia="zh-CN"/>
        </w:rPr>
        <w:t>乙方</w:t>
      </w:r>
      <w:r>
        <w:rPr>
          <w:rFonts w:hint="eastAsia" w:ascii="宋体" w:hAnsi="宋体"/>
          <w:szCs w:val="21"/>
          <w:highlight w:val="none"/>
          <w:u w:val="single"/>
        </w:rPr>
        <w:t>应向</w:t>
      </w:r>
      <w:r>
        <w:rPr>
          <w:rFonts w:hint="eastAsia" w:ascii="宋体" w:hAnsi="宋体"/>
          <w:szCs w:val="21"/>
          <w:highlight w:val="none"/>
          <w:u w:val="single"/>
          <w:lang w:eastAsia="zh-CN"/>
        </w:rPr>
        <w:t>甲方</w:t>
      </w:r>
      <w:r>
        <w:rPr>
          <w:rFonts w:hint="eastAsia" w:ascii="宋体" w:hAnsi="宋体"/>
          <w:szCs w:val="21"/>
          <w:highlight w:val="none"/>
          <w:u w:val="single"/>
        </w:rPr>
        <w:t>提交合同价30%的预付款担保。</w:t>
      </w:r>
      <w:r>
        <w:rPr>
          <w:rFonts w:hint="eastAsia" w:ascii="宋体" w:hAnsi="宋体"/>
          <w:szCs w:val="21"/>
          <w:highlight w:val="none"/>
          <w:u w:val="single"/>
          <w:lang w:eastAsia="zh-CN"/>
        </w:rPr>
        <w:t>甲方</w:t>
      </w:r>
      <w:r>
        <w:rPr>
          <w:rFonts w:hint="eastAsia" w:ascii="宋体" w:hAnsi="宋体"/>
          <w:szCs w:val="21"/>
          <w:highlight w:val="none"/>
          <w:u w:val="single"/>
        </w:rPr>
        <w:t>自收到预付款担保之日起，</w:t>
      </w:r>
      <w:r>
        <w:rPr>
          <w:rFonts w:hint="eastAsia" w:ascii="宋体" w:hAnsi="宋体"/>
          <w:szCs w:val="21"/>
          <w:highlight w:val="none"/>
          <w:u w:val="single"/>
          <w:lang w:eastAsia="zh-CN"/>
        </w:rPr>
        <w:t>甲方</w:t>
      </w:r>
      <w:r>
        <w:rPr>
          <w:rFonts w:hint="eastAsia" w:ascii="宋体" w:hAnsi="宋体"/>
          <w:szCs w:val="21"/>
          <w:highlight w:val="none"/>
          <w:u w:val="single"/>
        </w:rPr>
        <w:t>应在10个工作日（</w:t>
      </w:r>
      <w:r>
        <w:rPr>
          <w:rFonts w:hint="eastAsia" w:ascii="宋体" w:hAnsi="宋体"/>
          <w:szCs w:val="21"/>
          <w:highlight w:val="none"/>
          <w:u w:val="single"/>
          <w:lang w:eastAsia="zh-CN"/>
        </w:rPr>
        <w:t>乙方</w:t>
      </w:r>
      <w:r>
        <w:rPr>
          <w:rFonts w:hint="eastAsia" w:ascii="宋体" w:hAnsi="宋体"/>
          <w:szCs w:val="21"/>
          <w:highlight w:val="none"/>
          <w:u w:val="single"/>
        </w:rPr>
        <w:t>若是中小企业则5个工作日内）内向</w:t>
      </w:r>
      <w:r>
        <w:rPr>
          <w:rFonts w:hint="eastAsia" w:ascii="宋体" w:hAnsi="宋体"/>
          <w:szCs w:val="21"/>
          <w:highlight w:val="none"/>
          <w:u w:val="single"/>
          <w:lang w:eastAsia="zh-CN"/>
        </w:rPr>
        <w:t>乙方</w:t>
      </w:r>
      <w:r>
        <w:rPr>
          <w:rFonts w:hint="eastAsia" w:ascii="宋体" w:hAnsi="宋体"/>
          <w:szCs w:val="21"/>
          <w:highlight w:val="none"/>
          <w:u w:val="single"/>
        </w:rPr>
        <w:t>支付合同价的30%作为预付款</w:t>
      </w:r>
    </w:p>
    <w:p w14:paraId="2CF44C5F">
      <w:pPr>
        <w:adjustRightInd w:val="0"/>
        <w:snapToGrid w:val="0"/>
        <w:spacing w:before="0" w:beforeLines="0" w:line="400" w:lineRule="exact"/>
        <w:ind w:firstLine="630" w:firstLineChars="300"/>
        <w:rPr>
          <w:rFonts w:ascii="宋体" w:hAnsi="宋体"/>
          <w:szCs w:val="21"/>
          <w:highlight w:val="none"/>
          <w:u w:val="single"/>
        </w:rPr>
      </w:pPr>
      <w:r>
        <w:rPr>
          <w:rFonts w:hint="eastAsia" w:ascii="宋体" w:hAnsi="宋体"/>
          <w:szCs w:val="21"/>
          <w:highlight w:val="none"/>
        </w:rPr>
        <w:sym w:font="Wingdings" w:char="00A8"/>
      </w:r>
      <w:r>
        <w:rPr>
          <w:rFonts w:hint="eastAsia" w:ascii="宋体" w:hAnsi="宋体"/>
          <w:szCs w:val="21"/>
          <w:highlight w:val="none"/>
        </w:rPr>
        <w:t>成本补偿：</w:t>
      </w:r>
      <w:r>
        <w:rPr>
          <w:rFonts w:hint="eastAsia" w:ascii="宋体" w:hAnsi="宋体"/>
          <w:szCs w:val="21"/>
          <w:highlight w:val="none"/>
          <w:u w:val="single"/>
        </w:rPr>
        <w:t xml:space="preserve">   </w:t>
      </w:r>
      <w:r>
        <w:rPr>
          <w:rFonts w:hint="eastAsia" w:ascii="宋体" w:hAnsi="宋体"/>
          <w:szCs w:val="21"/>
          <w:highlight w:val="none"/>
          <w:u w:val="single"/>
          <w:lang w:val="en-US" w:eastAsia="zh-CN"/>
        </w:rPr>
        <w:t>/</w:t>
      </w:r>
      <w:r>
        <w:rPr>
          <w:rFonts w:hint="eastAsia" w:ascii="宋体" w:hAnsi="宋体"/>
          <w:szCs w:val="21"/>
          <w:highlight w:val="none"/>
          <w:u w:val="single"/>
        </w:rPr>
        <w:t xml:space="preserve">  </w:t>
      </w:r>
    </w:p>
    <w:p w14:paraId="6DDB033D">
      <w:pPr>
        <w:adjustRightInd w:val="0"/>
        <w:snapToGrid w:val="0"/>
        <w:spacing w:before="0" w:beforeLines="0" w:line="400" w:lineRule="exact"/>
        <w:ind w:firstLine="630" w:firstLineChars="300"/>
        <w:rPr>
          <w:rFonts w:ascii="宋体" w:hAnsi="宋体"/>
          <w:szCs w:val="21"/>
          <w:highlight w:val="none"/>
        </w:rPr>
      </w:pPr>
      <w:r>
        <w:rPr>
          <w:rFonts w:hint="eastAsia" w:ascii="宋体" w:hAnsi="宋体"/>
          <w:szCs w:val="21"/>
          <w:highlight w:val="none"/>
        </w:rPr>
        <w:sym w:font="Wingdings" w:char="00A8"/>
      </w:r>
      <w:r>
        <w:rPr>
          <w:rFonts w:hint="eastAsia" w:ascii="宋体" w:hAnsi="宋体"/>
          <w:szCs w:val="21"/>
          <w:highlight w:val="none"/>
        </w:rPr>
        <w:t>绩效激励：</w:t>
      </w:r>
      <w:r>
        <w:rPr>
          <w:rFonts w:hint="eastAsia" w:ascii="宋体" w:hAnsi="宋体"/>
          <w:szCs w:val="21"/>
          <w:highlight w:val="none"/>
          <w:u w:val="single"/>
        </w:rPr>
        <w:t xml:space="preserve">   </w:t>
      </w:r>
      <w:r>
        <w:rPr>
          <w:rFonts w:hint="eastAsia" w:ascii="宋体" w:hAnsi="宋体"/>
          <w:szCs w:val="21"/>
          <w:highlight w:val="none"/>
          <w:u w:val="single"/>
          <w:lang w:val="en-US" w:eastAsia="zh-CN"/>
        </w:rPr>
        <w:t>/</w:t>
      </w:r>
      <w:r>
        <w:rPr>
          <w:rFonts w:hint="eastAsia" w:ascii="宋体" w:hAnsi="宋体"/>
          <w:szCs w:val="21"/>
          <w:highlight w:val="none"/>
          <w:u w:val="single"/>
        </w:rPr>
        <w:t xml:space="preserve">   </w:t>
      </w:r>
    </w:p>
    <w:p w14:paraId="2D05A714">
      <w:pPr>
        <w:numPr>
          <w:ilvl w:val="0"/>
          <w:numId w:val="1"/>
        </w:numPr>
        <w:adjustRightInd w:val="0"/>
        <w:snapToGrid w:val="0"/>
        <w:spacing w:before="0" w:beforeLines="0" w:line="400" w:lineRule="exact"/>
        <w:ind w:firstLine="422" w:firstLineChars="200"/>
        <w:rPr>
          <w:rFonts w:ascii="宋体" w:hAnsi="宋体"/>
          <w:b/>
          <w:bCs w:val="0"/>
          <w:szCs w:val="21"/>
          <w:highlight w:val="none"/>
          <w:u w:val="single"/>
        </w:rPr>
      </w:pPr>
      <w:r>
        <w:rPr>
          <w:rFonts w:hint="eastAsia" w:ascii="宋体" w:hAnsi="宋体"/>
          <w:b/>
          <w:bCs w:val="0"/>
          <w:szCs w:val="21"/>
          <w:highlight w:val="none"/>
        </w:rPr>
        <w:t>合同履行</w:t>
      </w:r>
    </w:p>
    <w:p w14:paraId="4467340D">
      <w:pPr>
        <w:adjustRightInd w:val="0"/>
        <w:snapToGrid w:val="0"/>
        <w:spacing w:before="0" w:beforeLines="0" w:line="400" w:lineRule="exact"/>
        <w:ind w:firstLine="420" w:firstLineChars="200"/>
        <w:rPr>
          <w:rFonts w:hint="eastAsia" w:ascii="宋体" w:hAnsi="宋体" w:cs="宋体"/>
          <w:szCs w:val="21"/>
          <w:highlight w:val="none"/>
        </w:rPr>
      </w:pPr>
      <w:r>
        <w:rPr>
          <w:rFonts w:hint="eastAsia" w:ascii="宋体" w:hAnsi="宋体" w:cs="宋体"/>
          <w:szCs w:val="21"/>
          <w:highlight w:val="none"/>
        </w:rPr>
        <w:t>（1）起始日期：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日，完成日期：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10CABC6E">
      <w:pPr>
        <w:adjustRightInd w:val="0"/>
        <w:snapToGrid w:val="0"/>
        <w:spacing w:before="0" w:beforeLines="0"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（2）</w:t>
      </w:r>
      <w:r>
        <w:rPr>
          <w:rFonts w:hint="eastAsia" w:ascii="宋体" w:hAnsi="宋体" w:cs="宋体"/>
          <w:szCs w:val="21"/>
          <w:highlight w:val="none"/>
          <w:lang w:eastAsia="zh-CN"/>
        </w:rPr>
        <w:t>履约</w:t>
      </w:r>
      <w:r>
        <w:rPr>
          <w:rFonts w:hint="eastAsia" w:ascii="宋体" w:hAnsi="宋体" w:cs="宋体"/>
          <w:szCs w:val="21"/>
          <w:highlight w:val="none"/>
        </w:rPr>
        <w:t>地点</w:t>
      </w:r>
      <w:r>
        <w:rPr>
          <w:rFonts w:hint="eastAsia" w:ascii="宋体" w:hAnsi="宋体" w:cs="宋体"/>
          <w:b w:val="0"/>
          <w:bCs/>
          <w:szCs w:val="21"/>
          <w:highlight w:val="none"/>
        </w:rPr>
        <w:t>：</w:t>
      </w:r>
      <w:r>
        <w:rPr>
          <w:rFonts w:hint="eastAsia" w:ascii="宋体" w:hAnsi="宋体" w:cs="宋体"/>
          <w:szCs w:val="21"/>
          <w:highlight w:val="none"/>
          <w:u w:val="single"/>
        </w:rPr>
        <w:t xml:space="preserve"> 佛山市三水区新城医院内           </w:t>
      </w:r>
    </w:p>
    <w:p w14:paraId="5A6DA0BE">
      <w:pPr>
        <w:adjustRightInd w:val="0"/>
        <w:snapToGrid w:val="0"/>
        <w:spacing w:before="0" w:beforeLines="0" w:line="400" w:lineRule="exact"/>
        <w:ind w:firstLine="420" w:firstLineChars="200"/>
        <w:rPr>
          <w:rFonts w:hint="eastAsia" w:ascii="宋体" w:hAnsi="宋体" w:eastAsia="宋体" w:cs="宋体"/>
          <w:sz w:val="21"/>
          <w:szCs w:val="21"/>
          <w:highlight w:val="none"/>
          <w:lang w:eastAsia="zh-CN"/>
        </w:rPr>
      </w:pPr>
      <w:r>
        <w:rPr>
          <w:rFonts w:hint="eastAsia" w:ascii="宋体" w:hAnsi="宋体" w:cs="宋体"/>
          <w:bCs/>
          <w:szCs w:val="21"/>
          <w:highlight w:val="none"/>
        </w:rPr>
        <w:t>（3）履约担保：</w:t>
      </w:r>
      <w:r>
        <w:rPr>
          <w:rFonts w:hint="eastAsia" w:ascii="宋体" w:hAnsi="宋体" w:eastAsia="宋体" w:cs="宋体"/>
          <w:sz w:val="21"/>
          <w:highlight w:val="none"/>
          <w:lang w:val="en-US" w:eastAsia="zh-CN"/>
        </w:rPr>
        <w:t>是否收取履约保证金：</w:t>
      </w:r>
      <w:r>
        <w:rPr>
          <w:rFonts w:hint="eastAsia" w:ascii="宋体" w:hAnsi="宋体" w:eastAsia="宋体" w:cs="宋体"/>
          <w:sz w:val="21"/>
          <w:szCs w:val="21"/>
          <w:highlight w:val="none"/>
        </w:rPr>
        <w:sym w:font="Wingdings" w:char="00A8"/>
      </w:r>
      <w:r>
        <w:rPr>
          <w:rFonts w:hint="eastAsia" w:ascii="宋体" w:hAnsi="宋体" w:eastAsia="宋体" w:cs="宋体"/>
          <w:sz w:val="21"/>
          <w:szCs w:val="21"/>
          <w:highlight w:val="none"/>
          <w:lang w:eastAsia="zh-CN"/>
        </w:rPr>
        <w:t>是</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sym w:font="Wingdings" w:char="00FE"/>
      </w:r>
      <w:r>
        <w:rPr>
          <w:rFonts w:hint="eastAsia" w:ascii="宋体" w:hAnsi="宋体" w:eastAsia="宋体" w:cs="宋体"/>
          <w:sz w:val="21"/>
          <w:szCs w:val="21"/>
          <w:highlight w:val="none"/>
          <w:lang w:eastAsia="zh-CN"/>
        </w:rPr>
        <w:t>否</w:t>
      </w:r>
    </w:p>
    <w:p w14:paraId="5681BE60">
      <w:pPr>
        <w:pStyle w:val="15"/>
        <w:spacing w:beforeLines="0"/>
        <w:rPr>
          <w:rFonts w:hint="eastAsia" w:ascii="宋体" w:hAnsi="宋体" w:eastAsia="宋体" w:cs="宋体"/>
          <w:sz w:val="21"/>
          <w:highlight w:val="none"/>
          <w:lang w:val="en-US" w:eastAsia="zh-CN"/>
        </w:rPr>
      </w:pPr>
      <w:r>
        <w:rPr>
          <w:rFonts w:hint="eastAsia" w:ascii="宋体" w:hAnsi="宋体" w:cs="宋体"/>
          <w:bCs/>
          <w:szCs w:val="21"/>
          <w:highlight w:val="none"/>
          <w:u w:val="none"/>
          <w:lang w:val="en-US" w:eastAsia="zh-CN"/>
        </w:rPr>
        <w:t xml:space="preserve">  </w:t>
      </w:r>
      <w:r>
        <w:rPr>
          <w:rFonts w:hint="eastAsia" w:ascii="宋体" w:hAnsi="宋体" w:eastAsia="宋体" w:cs="宋体"/>
          <w:sz w:val="21"/>
          <w:highlight w:val="none"/>
          <w:lang w:val="en-US" w:eastAsia="zh-CN"/>
        </w:rPr>
        <w:t xml:space="preserve">  收取履约保证金形式：</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w:t>
      </w:r>
      <w:r>
        <w:rPr>
          <w:rFonts w:hint="eastAsia" w:ascii="宋体" w:hAnsi="宋体" w:eastAsia="宋体" w:cs="宋体"/>
          <w:bCs/>
          <w:sz w:val="21"/>
          <w:szCs w:val="21"/>
          <w:highlight w:val="none"/>
          <w:u w:val="single"/>
        </w:rPr>
        <w:t xml:space="preserve">                 </w:t>
      </w:r>
    </w:p>
    <w:p w14:paraId="1185CF66">
      <w:pPr>
        <w:pStyle w:val="15"/>
        <w:spacing w:beforeLines="0"/>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    收取履约保证金金额：</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w:t>
      </w:r>
      <w:r>
        <w:rPr>
          <w:rFonts w:hint="eastAsia" w:ascii="宋体" w:hAnsi="宋体" w:eastAsia="宋体" w:cs="宋体"/>
          <w:bCs/>
          <w:sz w:val="21"/>
          <w:szCs w:val="21"/>
          <w:highlight w:val="none"/>
          <w:u w:val="single"/>
        </w:rPr>
        <w:t xml:space="preserve">                 </w:t>
      </w:r>
    </w:p>
    <w:p w14:paraId="045E1667">
      <w:pPr>
        <w:snapToGrid w:val="0"/>
        <w:spacing w:beforeLines="0" w:line="400" w:lineRule="exact"/>
        <w:ind w:firstLine="420" w:firstLineChars="200"/>
        <w:rPr>
          <w:rFonts w:hint="eastAsia" w:ascii="宋体" w:hAnsi="宋体" w:eastAsia="宋体" w:cs="宋体"/>
          <w:sz w:val="21"/>
          <w:highlight w:val="none"/>
          <w:lang w:val="en-US" w:eastAsia="zh-CN"/>
        </w:rPr>
      </w:pPr>
      <w:r>
        <w:rPr>
          <w:rFonts w:hint="eastAsia" w:ascii="宋体" w:hAnsi="宋体" w:cs="宋体"/>
          <w:bCs/>
          <w:szCs w:val="21"/>
          <w:highlight w:val="none"/>
          <w:u w:val="none"/>
          <w:lang w:val="en-US" w:eastAsia="zh-CN"/>
        </w:rPr>
        <w:t xml:space="preserve">    履约担保期限</w:t>
      </w:r>
      <w:r>
        <w:rPr>
          <w:rFonts w:hint="eastAsia" w:ascii="宋体" w:hAnsi="宋体" w:cs="宋体"/>
          <w:bCs/>
          <w:szCs w:val="21"/>
          <w:highlight w:val="none"/>
          <w:u w:val="none"/>
          <w:lang w:eastAsia="zh-CN"/>
        </w:rPr>
        <w:t>：</w:t>
      </w:r>
      <w:r>
        <w:rPr>
          <w:rFonts w:hint="eastAsia" w:ascii="宋体" w:hAnsi="宋体" w:eastAsia="宋体" w:cs="宋体"/>
          <w:bCs/>
          <w:sz w:val="21"/>
          <w:szCs w:val="21"/>
          <w:highlight w:val="none"/>
          <w:u w:val="single"/>
        </w:rPr>
        <w:t xml:space="preserve">      </w:t>
      </w:r>
      <w:r>
        <w:rPr>
          <w:rFonts w:hint="eastAsia" w:ascii="宋体" w:hAnsi="宋体" w:cs="宋体"/>
          <w:bCs/>
          <w:sz w:val="21"/>
          <w:szCs w:val="21"/>
          <w:highlight w:val="none"/>
          <w:u w:val="single"/>
          <w:lang w:val="en-US" w:eastAsia="zh-CN"/>
        </w:rPr>
        <w:t xml:space="preserve">        /            </w:t>
      </w:r>
      <w:r>
        <w:rPr>
          <w:rFonts w:hint="eastAsia" w:ascii="宋体" w:hAnsi="宋体" w:eastAsia="宋体" w:cs="宋体"/>
          <w:bCs/>
          <w:sz w:val="21"/>
          <w:szCs w:val="21"/>
          <w:highlight w:val="none"/>
          <w:u w:val="single"/>
        </w:rPr>
        <w:t xml:space="preserve">       </w:t>
      </w:r>
    </w:p>
    <w:p w14:paraId="5F8012F8">
      <w:pPr>
        <w:adjustRightInd w:val="0"/>
        <w:snapToGrid w:val="0"/>
        <w:spacing w:before="0" w:beforeLines="0" w:line="400" w:lineRule="exact"/>
        <w:ind w:firstLine="420" w:firstLineChars="200"/>
        <w:rPr>
          <w:rFonts w:hint="eastAsia" w:ascii="宋体" w:hAnsi="宋体" w:cs="宋体"/>
          <w:bCs/>
          <w:szCs w:val="21"/>
          <w:highlight w:val="none"/>
        </w:rPr>
      </w:pPr>
      <w:r>
        <w:rPr>
          <w:rFonts w:hint="eastAsia" w:ascii="宋体" w:hAnsi="宋体" w:cs="宋体"/>
          <w:bCs/>
          <w:szCs w:val="21"/>
          <w:highlight w:val="none"/>
        </w:rPr>
        <w:t>（4）分期履行要求：</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    </w:t>
      </w:r>
      <w:r>
        <w:rPr>
          <w:rFonts w:hint="eastAsia" w:ascii="宋体" w:hAnsi="宋体" w:cs="宋体"/>
          <w:bCs/>
          <w:szCs w:val="21"/>
          <w:highlight w:val="none"/>
          <w:u w:val="single"/>
        </w:rPr>
        <w:t xml:space="preserve"> </w:t>
      </w:r>
    </w:p>
    <w:p w14:paraId="2A5EB991">
      <w:pPr>
        <w:adjustRightInd w:val="0"/>
        <w:snapToGrid w:val="0"/>
        <w:spacing w:before="0" w:beforeLines="0" w:line="400" w:lineRule="exact"/>
        <w:ind w:firstLine="420" w:firstLineChars="200"/>
        <w:rPr>
          <w:rFonts w:hint="eastAsia" w:ascii="宋体" w:hAnsi="宋体" w:cs="宋体"/>
          <w:szCs w:val="21"/>
          <w:highlight w:val="none"/>
          <w:u w:val="single"/>
        </w:rPr>
      </w:pPr>
      <w:r>
        <w:rPr>
          <w:rFonts w:hint="eastAsia" w:ascii="宋体" w:hAnsi="宋体" w:cs="宋体"/>
          <w:bCs/>
          <w:szCs w:val="21"/>
          <w:highlight w:val="none"/>
        </w:rPr>
        <w:t>（5）</w:t>
      </w:r>
      <w:r>
        <w:rPr>
          <w:rFonts w:hint="eastAsia" w:ascii="宋体" w:hAnsi="宋体" w:cs="宋体"/>
          <w:bCs/>
          <w:szCs w:val="21"/>
          <w:highlight w:val="none"/>
          <w:lang w:eastAsia="zh-CN"/>
        </w:rPr>
        <w:t>风险处置措施和替代方案</w:t>
      </w:r>
      <w:r>
        <w:rPr>
          <w:rFonts w:hint="eastAsia" w:ascii="宋体" w:hAnsi="宋体" w:cs="宋体"/>
          <w:bCs/>
          <w:szCs w:val="21"/>
          <w:highlight w:val="none"/>
        </w:rPr>
        <w:t>：</w:t>
      </w:r>
      <w:r>
        <w:rPr>
          <w:rFonts w:hint="eastAsia" w:ascii="宋体" w:hAnsi="宋体" w:cs="宋体"/>
          <w:color w:val="0000FF"/>
          <w:szCs w:val="21"/>
          <w:highlight w:val="none"/>
          <w:u w:val="single"/>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szCs w:val="21"/>
          <w:highlight w:val="none"/>
          <w:u w:val="single"/>
        </w:rPr>
        <w:t xml:space="preserve">                                                </w:t>
      </w:r>
    </w:p>
    <w:p w14:paraId="12DE8CBB">
      <w:pPr>
        <w:numPr>
          <w:ilvl w:val="0"/>
          <w:numId w:val="1"/>
        </w:numPr>
        <w:adjustRightInd w:val="0"/>
        <w:snapToGrid w:val="0"/>
        <w:spacing w:before="0" w:beforeLines="0" w:line="400" w:lineRule="exact"/>
        <w:ind w:firstLine="422" w:firstLineChars="200"/>
        <w:rPr>
          <w:rFonts w:ascii="宋体" w:hAnsi="宋体"/>
          <w:b/>
          <w:szCs w:val="21"/>
          <w:highlight w:val="none"/>
        </w:rPr>
      </w:pPr>
      <w:r>
        <w:rPr>
          <w:rFonts w:hint="eastAsia" w:ascii="宋体" w:hAnsi="宋体"/>
          <w:b/>
          <w:szCs w:val="21"/>
          <w:highlight w:val="none"/>
        </w:rPr>
        <w:t>合同验收</w:t>
      </w:r>
    </w:p>
    <w:p w14:paraId="09E9E616">
      <w:pPr>
        <w:numPr>
          <w:ilvl w:val="0"/>
          <w:numId w:val="3"/>
        </w:numPr>
        <w:adjustRightInd w:val="0"/>
        <w:snapToGrid w:val="0"/>
        <w:spacing w:before="0" w:beforeLines="0" w:line="400" w:lineRule="exact"/>
        <w:ind w:firstLine="420" w:firstLineChars="200"/>
        <w:rPr>
          <w:rFonts w:hint="eastAsia" w:ascii="宋体" w:hAnsi="宋体"/>
          <w:bCs/>
          <w:szCs w:val="21"/>
          <w:highlight w:val="none"/>
        </w:rPr>
      </w:pPr>
      <w:r>
        <w:rPr>
          <w:rFonts w:hint="eastAsia" w:ascii="宋体" w:hAnsi="宋体"/>
          <w:bCs/>
          <w:szCs w:val="21"/>
          <w:highlight w:val="none"/>
        </w:rPr>
        <w:t>验收组织方式：</w:t>
      </w:r>
      <w:r>
        <w:rPr>
          <w:rFonts w:hint="eastAsia" w:ascii="宋体" w:hAnsi="宋体" w:eastAsia="宋体" w:cs="宋体"/>
          <w:sz w:val="21"/>
          <w:szCs w:val="21"/>
          <w:highlight w:val="none"/>
        </w:rPr>
        <w:sym w:font="Wingdings" w:char="00FE"/>
      </w:r>
      <w:r>
        <w:rPr>
          <w:rFonts w:hint="eastAsia" w:ascii="宋体" w:hAnsi="宋体"/>
          <w:bCs/>
          <w:szCs w:val="21"/>
          <w:highlight w:val="none"/>
        </w:rPr>
        <w:t xml:space="preserve">自行组织 </w:t>
      </w:r>
      <w:r>
        <w:rPr>
          <w:rFonts w:hint="eastAsia" w:ascii="宋体" w:hAnsi="宋体" w:eastAsia="宋体" w:cs="宋体"/>
          <w:sz w:val="21"/>
          <w:szCs w:val="21"/>
          <w:highlight w:val="none"/>
        </w:rPr>
        <w:sym w:font="Wingdings" w:char="00A8"/>
      </w:r>
      <w:r>
        <w:rPr>
          <w:rFonts w:hint="eastAsia" w:ascii="宋体" w:hAnsi="宋体"/>
          <w:bCs/>
          <w:szCs w:val="21"/>
          <w:highlight w:val="none"/>
        </w:rPr>
        <w:t>委托第三方组织</w:t>
      </w:r>
    </w:p>
    <w:p w14:paraId="108D6D72">
      <w:pPr>
        <w:numPr>
          <w:ilvl w:val="0"/>
          <w:numId w:val="0"/>
        </w:numPr>
        <w:adjustRightInd w:val="0"/>
        <w:snapToGrid w:val="0"/>
        <w:spacing w:before="0" w:beforeLines="0" w:line="400" w:lineRule="exact"/>
        <w:rPr>
          <w:rFonts w:ascii="宋体" w:hAnsi="宋体"/>
          <w:bCs/>
          <w:szCs w:val="21"/>
          <w:highlight w:val="none"/>
        </w:rPr>
      </w:pPr>
      <w:r>
        <w:rPr>
          <w:rFonts w:hint="eastAsia" w:ascii="宋体" w:hAnsi="宋体"/>
          <w:bCs/>
          <w:szCs w:val="21"/>
          <w:highlight w:val="none"/>
          <w:lang w:val="en-US" w:eastAsia="zh-CN"/>
        </w:rPr>
        <w:t xml:space="preserve">         </w:t>
      </w:r>
      <w:r>
        <w:rPr>
          <w:rFonts w:hint="eastAsia" w:ascii="宋体" w:hAnsi="宋体"/>
          <w:bCs/>
          <w:szCs w:val="21"/>
          <w:highlight w:val="none"/>
        </w:rPr>
        <w:t>验收主体：</w:t>
      </w:r>
      <w:r>
        <w:rPr>
          <w:rFonts w:hint="eastAsia" w:ascii="宋体" w:hAnsi="宋体"/>
          <w:bCs/>
          <w:szCs w:val="21"/>
          <w:highlight w:val="none"/>
          <w:u w:val="single"/>
        </w:rPr>
        <w:t xml:space="preserve">  ①</w:t>
      </w:r>
      <w:r>
        <w:rPr>
          <w:rFonts w:hint="eastAsia" w:ascii="宋体" w:hAnsi="宋体"/>
          <w:bCs/>
          <w:szCs w:val="21"/>
          <w:highlight w:val="none"/>
          <w:u w:val="single"/>
          <w:lang w:eastAsia="zh-CN"/>
        </w:rPr>
        <w:t>甲方</w:t>
      </w:r>
      <w:r>
        <w:rPr>
          <w:rFonts w:hint="eastAsia" w:ascii="宋体" w:hAnsi="宋体"/>
          <w:bCs/>
          <w:szCs w:val="21"/>
          <w:highlight w:val="none"/>
          <w:u w:val="single"/>
        </w:rPr>
        <w:t>（项目负责人）； ②</w:t>
      </w:r>
      <w:r>
        <w:rPr>
          <w:rFonts w:hint="eastAsia" w:ascii="宋体" w:hAnsi="宋体"/>
          <w:bCs/>
          <w:szCs w:val="21"/>
          <w:highlight w:val="none"/>
          <w:u w:val="single"/>
          <w:lang w:eastAsia="zh-CN"/>
        </w:rPr>
        <w:t>乙方</w:t>
      </w:r>
      <w:r>
        <w:rPr>
          <w:rFonts w:hint="eastAsia" w:ascii="宋体" w:hAnsi="宋体"/>
          <w:bCs/>
          <w:szCs w:val="21"/>
          <w:highlight w:val="none"/>
          <w:u w:val="single"/>
        </w:rPr>
        <w:t>（法定代表人或授权代表）； ③其他相关人员。 具体参与人员以</w:t>
      </w:r>
      <w:r>
        <w:rPr>
          <w:rFonts w:hint="eastAsia" w:ascii="宋体" w:hAnsi="宋体"/>
          <w:bCs/>
          <w:szCs w:val="21"/>
          <w:highlight w:val="none"/>
          <w:u w:val="single"/>
          <w:lang w:eastAsia="zh-CN"/>
        </w:rPr>
        <w:t>甲</w:t>
      </w:r>
      <w:r>
        <w:rPr>
          <w:rFonts w:hint="eastAsia" w:ascii="宋体" w:hAnsi="宋体"/>
          <w:bCs/>
          <w:szCs w:val="21"/>
          <w:highlight w:val="none"/>
          <w:u w:val="single"/>
          <w:lang w:eastAsia="zh-CN"/>
        </w:rPr>
        <w:t>方</w:t>
      </w:r>
      <w:r>
        <w:rPr>
          <w:rFonts w:hint="eastAsia" w:ascii="宋体" w:hAnsi="宋体"/>
          <w:bCs/>
          <w:szCs w:val="21"/>
          <w:highlight w:val="none"/>
          <w:u w:val="single"/>
        </w:rPr>
        <w:t>最终确认为准</w:t>
      </w:r>
    </w:p>
    <w:p w14:paraId="22C3A992">
      <w:pPr>
        <w:adjustRightInd w:val="0"/>
        <w:snapToGrid w:val="0"/>
        <w:spacing w:before="0" w:beforeLines="0" w:line="400" w:lineRule="exact"/>
        <w:ind w:firstLine="0" w:firstLineChars="0"/>
        <w:rPr>
          <w:rFonts w:ascii="宋体" w:hAnsi="宋体"/>
          <w:bCs/>
          <w:szCs w:val="21"/>
          <w:highlight w:val="none"/>
        </w:rPr>
      </w:pPr>
      <w:r>
        <w:rPr>
          <w:rFonts w:hint="eastAsia" w:ascii="宋体" w:hAnsi="宋体"/>
          <w:bCs/>
          <w:szCs w:val="21"/>
          <w:highlight w:val="none"/>
          <w:lang w:val="en-US" w:eastAsia="zh-CN"/>
        </w:rPr>
        <w:t xml:space="preserve">        </w:t>
      </w:r>
      <w:r>
        <w:rPr>
          <w:rFonts w:hint="eastAsia" w:ascii="宋体" w:hAnsi="宋体"/>
          <w:bCs/>
          <w:szCs w:val="21"/>
          <w:highlight w:val="none"/>
        </w:rPr>
        <w:t>是否邀请本项目的其他供应商</w:t>
      </w:r>
      <w:r>
        <w:rPr>
          <w:rFonts w:hint="eastAsia" w:ascii="宋体" w:hAnsi="宋体"/>
          <w:bCs/>
          <w:szCs w:val="21"/>
          <w:highlight w:val="none"/>
          <w:lang w:eastAsia="zh-CN"/>
        </w:rPr>
        <w:t>参加验收</w:t>
      </w:r>
      <w:r>
        <w:rPr>
          <w:rFonts w:hint="eastAsia" w:ascii="宋体" w:hAnsi="宋体"/>
          <w:bCs/>
          <w:szCs w:val="21"/>
          <w:highlight w:val="none"/>
        </w:rPr>
        <w:t>：</w:t>
      </w:r>
      <w:r>
        <w:rPr>
          <w:rFonts w:hint="eastAsia" w:ascii="宋体" w:hAnsi="宋体" w:eastAsia="宋体" w:cs="宋体"/>
          <w:sz w:val="21"/>
          <w:szCs w:val="21"/>
          <w:highlight w:val="none"/>
        </w:rPr>
        <w:sym w:font="Wingdings" w:char="00A8"/>
      </w:r>
      <w:r>
        <w:rPr>
          <w:rFonts w:hint="eastAsia" w:ascii="宋体" w:hAnsi="宋体"/>
          <w:bCs/>
          <w:szCs w:val="21"/>
          <w:highlight w:val="none"/>
        </w:rPr>
        <w:t xml:space="preserve">是  </w:t>
      </w:r>
      <w:r>
        <w:rPr>
          <w:rFonts w:hint="eastAsia" w:ascii="宋体" w:hAnsi="宋体" w:eastAsia="宋体" w:cs="宋体"/>
          <w:sz w:val="21"/>
          <w:szCs w:val="21"/>
          <w:highlight w:val="none"/>
        </w:rPr>
        <w:sym w:font="Wingdings" w:char="00FE"/>
      </w:r>
      <w:r>
        <w:rPr>
          <w:rFonts w:hint="eastAsia" w:ascii="宋体" w:hAnsi="宋体"/>
          <w:bCs/>
          <w:szCs w:val="21"/>
          <w:highlight w:val="none"/>
        </w:rPr>
        <w:t>否</w:t>
      </w:r>
    </w:p>
    <w:p w14:paraId="06550752">
      <w:pPr>
        <w:adjustRightInd w:val="0"/>
        <w:snapToGrid w:val="0"/>
        <w:spacing w:before="0" w:beforeLines="0" w:line="400" w:lineRule="exact"/>
        <w:ind w:firstLine="840" w:firstLineChars="400"/>
        <w:rPr>
          <w:rFonts w:ascii="宋体" w:hAnsi="宋体"/>
          <w:bCs/>
          <w:szCs w:val="21"/>
          <w:highlight w:val="none"/>
        </w:rPr>
      </w:pPr>
      <w:r>
        <w:rPr>
          <w:rFonts w:hint="eastAsia" w:ascii="宋体" w:hAnsi="宋体"/>
          <w:bCs/>
          <w:szCs w:val="21"/>
          <w:highlight w:val="none"/>
        </w:rPr>
        <w:t>是否邀请专家</w:t>
      </w:r>
      <w:r>
        <w:rPr>
          <w:rFonts w:hint="eastAsia" w:ascii="宋体" w:hAnsi="宋体"/>
          <w:bCs/>
          <w:szCs w:val="21"/>
          <w:highlight w:val="none"/>
          <w:lang w:eastAsia="zh-CN"/>
        </w:rPr>
        <w:t>参加验收</w:t>
      </w:r>
      <w:r>
        <w:rPr>
          <w:rFonts w:hint="eastAsia" w:ascii="宋体" w:hAnsi="宋体"/>
          <w:bCs/>
          <w:szCs w:val="21"/>
          <w:highlight w:val="none"/>
        </w:rPr>
        <w:t>：</w:t>
      </w:r>
      <w:r>
        <w:rPr>
          <w:rFonts w:hint="eastAsia" w:ascii="宋体" w:hAnsi="宋体" w:eastAsia="宋体" w:cs="宋体"/>
          <w:sz w:val="21"/>
          <w:szCs w:val="21"/>
          <w:highlight w:val="none"/>
        </w:rPr>
        <w:sym w:font="Wingdings" w:char="00A8"/>
      </w:r>
      <w:r>
        <w:rPr>
          <w:rFonts w:hint="eastAsia" w:ascii="宋体" w:hAnsi="宋体"/>
          <w:bCs/>
          <w:szCs w:val="21"/>
          <w:highlight w:val="none"/>
        </w:rPr>
        <w:t xml:space="preserve">是  </w:t>
      </w:r>
      <w:r>
        <w:rPr>
          <w:rFonts w:hint="eastAsia" w:ascii="宋体" w:hAnsi="宋体" w:eastAsia="宋体" w:cs="宋体"/>
          <w:sz w:val="21"/>
          <w:szCs w:val="21"/>
          <w:highlight w:val="none"/>
        </w:rPr>
        <w:sym w:font="Wingdings" w:char="00FE"/>
      </w:r>
      <w:r>
        <w:rPr>
          <w:rFonts w:hint="eastAsia" w:ascii="宋体" w:hAnsi="宋体"/>
          <w:bCs/>
          <w:szCs w:val="21"/>
          <w:highlight w:val="none"/>
        </w:rPr>
        <w:t>否</w:t>
      </w:r>
    </w:p>
    <w:p w14:paraId="343D1122">
      <w:pPr>
        <w:adjustRightInd w:val="0"/>
        <w:snapToGrid w:val="0"/>
        <w:spacing w:before="0" w:beforeLines="0" w:line="400" w:lineRule="exact"/>
        <w:ind w:firstLine="840" w:firstLineChars="400"/>
        <w:rPr>
          <w:rFonts w:ascii="宋体" w:hAnsi="宋体"/>
          <w:bCs/>
          <w:szCs w:val="21"/>
          <w:highlight w:val="none"/>
        </w:rPr>
      </w:pPr>
      <w:r>
        <w:rPr>
          <w:rFonts w:hint="eastAsia" w:ascii="宋体" w:hAnsi="宋体"/>
          <w:bCs/>
          <w:szCs w:val="21"/>
          <w:highlight w:val="none"/>
        </w:rPr>
        <w:t>是否邀请服务对象</w:t>
      </w:r>
      <w:r>
        <w:rPr>
          <w:rFonts w:hint="eastAsia" w:ascii="宋体" w:hAnsi="宋体"/>
          <w:bCs/>
          <w:szCs w:val="21"/>
          <w:highlight w:val="none"/>
          <w:lang w:eastAsia="zh-CN"/>
        </w:rPr>
        <w:t>参加验收</w:t>
      </w:r>
      <w:r>
        <w:rPr>
          <w:rFonts w:hint="eastAsia" w:ascii="宋体" w:hAnsi="宋体"/>
          <w:bCs/>
          <w:szCs w:val="21"/>
          <w:highlight w:val="none"/>
        </w:rPr>
        <w:t>：</w:t>
      </w:r>
      <w:r>
        <w:rPr>
          <w:rFonts w:hint="eastAsia" w:ascii="宋体" w:hAnsi="宋体" w:eastAsia="宋体" w:cs="宋体"/>
          <w:sz w:val="21"/>
          <w:szCs w:val="21"/>
          <w:highlight w:val="none"/>
        </w:rPr>
        <w:sym w:font="Wingdings" w:char="00A8"/>
      </w:r>
      <w:r>
        <w:rPr>
          <w:rFonts w:hint="eastAsia" w:ascii="宋体" w:hAnsi="宋体"/>
          <w:bCs/>
          <w:szCs w:val="21"/>
          <w:highlight w:val="none"/>
        </w:rPr>
        <w:t xml:space="preserve">是  </w:t>
      </w:r>
      <w:r>
        <w:rPr>
          <w:rFonts w:hint="eastAsia" w:ascii="宋体" w:hAnsi="宋体" w:eastAsia="宋体" w:cs="宋体"/>
          <w:sz w:val="21"/>
          <w:szCs w:val="21"/>
          <w:highlight w:val="none"/>
        </w:rPr>
        <w:sym w:font="Wingdings" w:char="00FE"/>
      </w:r>
      <w:r>
        <w:rPr>
          <w:rFonts w:hint="eastAsia" w:ascii="宋体" w:hAnsi="宋体"/>
          <w:bCs/>
          <w:szCs w:val="21"/>
          <w:highlight w:val="none"/>
        </w:rPr>
        <w:t>否</w:t>
      </w:r>
    </w:p>
    <w:p w14:paraId="689AB58E">
      <w:pPr>
        <w:adjustRightInd w:val="0"/>
        <w:snapToGrid w:val="0"/>
        <w:spacing w:before="0" w:beforeLines="0" w:line="400" w:lineRule="exact"/>
        <w:ind w:firstLine="840" w:firstLineChars="400"/>
        <w:rPr>
          <w:rFonts w:ascii="宋体" w:hAnsi="宋体"/>
          <w:bCs/>
          <w:szCs w:val="21"/>
          <w:highlight w:val="none"/>
        </w:rPr>
      </w:pPr>
      <w:r>
        <w:rPr>
          <w:rFonts w:hint="eastAsia" w:ascii="宋体" w:hAnsi="宋体"/>
          <w:bCs/>
          <w:szCs w:val="21"/>
          <w:highlight w:val="none"/>
        </w:rPr>
        <w:t>是否邀请第三方检测机构</w:t>
      </w:r>
      <w:r>
        <w:rPr>
          <w:rFonts w:hint="eastAsia" w:ascii="宋体" w:hAnsi="宋体"/>
          <w:bCs/>
          <w:szCs w:val="21"/>
          <w:highlight w:val="none"/>
          <w:lang w:eastAsia="zh-CN"/>
        </w:rPr>
        <w:t>参加验收</w:t>
      </w:r>
      <w:r>
        <w:rPr>
          <w:rFonts w:hint="eastAsia" w:ascii="宋体" w:hAnsi="宋体"/>
          <w:bCs/>
          <w:szCs w:val="21"/>
          <w:highlight w:val="none"/>
        </w:rPr>
        <w:t>：</w:t>
      </w:r>
      <w:r>
        <w:rPr>
          <w:rFonts w:hint="eastAsia" w:ascii="宋体" w:hAnsi="宋体" w:eastAsia="宋体" w:cs="宋体"/>
          <w:sz w:val="21"/>
          <w:szCs w:val="21"/>
          <w:highlight w:val="none"/>
        </w:rPr>
        <w:sym w:font="Wingdings" w:char="00A8"/>
      </w:r>
      <w:r>
        <w:rPr>
          <w:rFonts w:hint="eastAsia" w:ascii="宋体" w:hAnsi="宋体"/>
          <w:bCs/>
          <w:szCs w:val="21"/>
          <w:highlight w:val="none"/>
        </w:rPr>
        <w:t xml:space="preserve">是  </w:t>
      </w:r>
      <w:r>
        <w:rPr>
          <w:rFonts w:hint="eastAsia" w:ascii="宋体" w:hAnsi="宋体" w:eastAsia="宋体" w:cs="宋体"/>
          <w:sz w:val="21"/>
          <w:szCs w:val="21"/>
          <w:highlight w:val="none"/>
        </w:rPr>
        <w:sym w:font="Wingdings" w:char="00FE"/>
      </w:r>
      <w:r>
        <w:rPr>
          <w:rFonts w:hint="eastAsia" w:ascii="宋体" w:hAnsi="宋体"/>
          <w:bCs/>
          <w:szCs w:val="21"/>
          <w:highlight w:val="none"/>
        </w:rPr>
        <w:t>否</w:t>
      </w:r>
    </w:p>
    <w:p w14:paraId="26166198">
      <w:pPr>
        <w:adjustRightInd w:val="0"/>
        <w:snapToGrid w:val="0"/>
        <w:spacing w:before="0" w:beforeLines="0" w:line="400" w:lineRule="exact"/>
        <w:ind w:firstLine="840" w:firstLineChars="400"/>
        <w:rPr>
          <w:rFonts w:hint="eastAsia" w:ascii="宋体" w:hAnsi="宋体"/>
          <w:bCs/>
          <w:szCs w:val="21"/>
          <w:highlight w:val="none"/>
        </w:rPr>
      </w:pPr>
      <w:r>
        <w:rPr>
          <w:rFonts w:hint="eastAsia" w:ascii="宋体" w:hAnsi="宋体"/>
          <w:bCs/>
          <w:szCs w:val="21"/>
          <w:highlight w:val="none"/>
          <w:lang w:eastAsia="zh-CN"/>
        </w:rPr>
        <w:t>是否进行抽查检测：</w:t>
      </w:r>
      <w:r>
        <w:rPr>
          <w:rFonts w:hint="eastAsia" w:ascii="宋体" w:hAnsi="宋体" w:eastAsia="宋体" w:cs="宋体"/>
          <w:sz w:val="21"/>
          <w:szCs w:val="21"/>
          <w:highlight w:val="none"/>
        </w:rPr>
        <w:sym w:font="Wingdings" w:char="00A8"/>
      </w:r>
      <w:r>
        <w:rPr>
          <w:rFonts w:hint="eastAsia" w:ascii="宋体" w:hAnsi="宋体"/>
          <w:bCs/>
          <w:szCs w:val="21"/>
          <w:highlight w:val="none"/>
        </w:rPr>
        <w:t>是</w:t>
      </w:r>
      <w:r>
        <w:rPr>
          <w:rFonts w:hint="eastAsia" w:ascii="宋体" w:hAnsi="宋体"/>
          <w:bCs/>
          <w:szCs w:val="21"/>
          <w:highlight w:val="none"/>
          <w:lang w:eastAsia="zh-CN"/>
        </w:rPr>
        <w:t>，抽查比例：</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hint="eastAsia" w:ascii="宋体" w:hAnsi="宋体"/>
          <w:bCs/>
          <w:szCs w:val="21"/>
          <w:highlight w:val="none"/>
        </w:rPr>
        <w:t xml:space="preserve"> </w:t>
      </w:r>
      <w:r>
        <w:rPr>
          <w:rFonts w:hint="eastAsia" w:ascii="宋体" w:hAnsi="宋体" w:eastAsia="宋体" w:cs="宋体"/>
          <w:sz w:val="21"/>
          <w:szCs w:val="21"/>
          <w:highlight w:val="none"/>
        </w:rPr>
        <w:sym w:font="Wingdings" w:char="00A8"/>
      </w:r>
      <w:r>
        <w:rPr>
          <w:rFonts w:hint="eastAsia" w:ascii="宋体" w:hAnsi="宋体"/>
          <w:bCs/>
          <w:szCs w:val="21"/>
          <w:highlight w:val="none"/>
        </w:rPr>
        <w:t>否</w:t>
      </w:r>
    </w:p>
    <w:p w14:paraId="546A9D77">
      <w:pPr>
        <w:adjustRightInd w:val="0"/>
        <w:snapToGrid w:val="0"/>
        <w:spacing w:before="0" w:beforeLines="0" w:line="400" w:lineRule="exact"/>
        <w:ind w:firstLine="840" w:firstLineChars="400"/>
        <w:rPr>
          <w:rFonts w:hint="eastAsia" w:ascii="宋体" w:hAnsi="宋体" w:eastAsia="宋体"/>
          <w:bCs/>
          <w:szCs w:val="21"/>
          <w:highlight w:val="none"/>
          <w:u w:val="single"/>
          <w:lang w:eastAsia="zh-CN"/>
        </w:rPr>
      </w:pPr>
      <w:r>
        <w:rPr>
          <w:rFonts w:hint="eastAsia" w:ascii="宋体" w:hAnsi="宋体" w:eastAsia="宋体"/>
          <w:bCs/>
          <w:szCs w:val="21"/>
          <w:highlight w:val="none"/>
          <w:lang w:val="en-US" w:eastAsia="zh-CN"/>
        </w:rPr>
        <w:t>是否存在破坏性检测：</w:t>
      </w:r>
      <w:r>
        <w:rPr>
          <w:rFonts w:hint="eastAsia" w:ascii="宋体" w:hAnsi="宋体" w:eastAsia="宋体" w:cs="宋体"/>
          <w:sz w:val="21"/>
          <w:szCs w:val="21"/>
          <w:highlight w:val="none"/>
        </w:rPr>
        <w:sym w:font="Wingdings" w:char="00A8"/>
      </w:r>
      <w:r>
        <w:rPr>
          <w:rFonts w:hint="eastAsia" w:ascii="宋体" w:hAnsi="宋体" w:eastAsia="宋体"/>
          <w:bCs/>
          <w:szCs w:val="21"/>
          <w:highlight w:val="none"/>
        </w:rPr>
        <w:t>是</w:t>
      </w:r>
      <w:r>
        <w:rPr>
          <w:rFonts w:hint="eastAsia" w:ascii="宋体" w:hAnsi="宋体" w:eastAsia="宋体"/>
          <w:bCs/>
          <w:szCs w:val="21"/>
          <w:highlight w:val="none"/>
          <w:lang w:eastAsia="zh-CN"/>
        </w:rPr>
        <w:t>，</w:t>
      </w:r>
      <w:r>
        <w:rPr>
          <w:rFonts w:hint="eastAsia" w:ascii="宋体" w:hAnsi="宋体" w:eastAsia="宋体"/>
          <w:bCs/>
          <w:szCs w:val="21"/>
          <w:highlight w:val="none"/>
          <w:u w:val="single"/>
          <w:lang w:eastAsia="zh-CN"/>
        </w:rPr>
        <w:t>（应明确对被破坏的检测产品的处理方式）</w:t>
      </w:r>
    </w:p>
    <w:p w14:paraId="432AADBD">
      <w:pPr>
        <w:adjustRightInd w:val="0"/>
        <w:snapToGrid w:val="0"/>
        <w:spacing w:before="0" w:beforeLines="0" w:line="400" w:lineRule="exact"/>
        <w:ind w:firstLine="840" w:firstLineChars="400"/>
        <w:rPr>
          <w:rFonts w:hint="eastAsia" w:ascii="宋体" w:hAnsi="宋体" w:eastAsia="宋体"/>
          <w:bCs/>
          <w:szCs w:val="21"/>
          <w:highlight w:val="none"/>
          <w:lang w:eastAsia="zh-CN"/>
        </w:rPr>
      </w:pPr>
      <w:r>
        <w:rPr>
          <w:rFonts w:hint="eastAsia" w:ascii="宋体" w:hAnsi="宋体" w:eastAsia="宋体"/>
          <w:bCs/>
          <w:szCs w:val="21"/>
          <w:highlight w:val="none"/>
          <w:lang w:val="en-US" w:eastAsia="zh-CN"/>
        </w:rPr>
        <w:t xml:space="preserve">                    </w:t>
      </w:r>
      <w:r>
        <w:rPr>
          <w:rFonts w:hint="eastAsia" w:ascii="宋体" w:hAnsi="宋体" w:eastAsia="宋体" w:cs="宋体"/>
          <w:sz w:val="21"/>
          <w:szCs w:val="21"/>
          <w:highlight w:val="none"/>
        </w:rPr>
        <w:sym w:font="Wingdings" w:char="00FE"/>
      </w:r>
      <w:r>
        <w:rPr>
          <w:rFonts w:hint="eastAsia" w:ascii="宋体" w:hAnsi="宋体" w:eastAsia="宋体"/>
          <w:bCs/>
          <w:szCs w:val="21"/>
          <w:highlight w:val="none"/>
        </w:rPr>
        <w:t>否</w:t>
      </w:r>
    </w:p>
    <w:p w14:paraId="4F9E5A64">
      <w:pPr>
        <w:adjustRightInd w:val="0"/>
        <w:snapToGrid w:val="0"/>
        <w:spacing w:before="0" w:beforeLines="0" w:line="400" w:lineRule="exact"/>
        <w:ind w:firstLine="840" w:firstLineChars="400"/>
        <w:rPr>
          <w:rFonts w:hint="eastAsia" w:ascii="宋体" w:hAnsi="宋体"/>
          <w:bCs/>
          <w:szCs w:val="21"/>
          <w:highlight w:val="none"/>
        </w:rPr>
      </w:pPr>
      <w:r>
        <w:rPr>
          <w:rFonts w:hint="eastAsia" w:ascii="宋体" w:hAnsi="宋体"/>
          <w:bCs/>
          <w:szCs w:val="21"/>
          <w:highlight w:val="none"/>
        </w:rPr>
        <w:t>验收组织的其他事项：</w:t>
      </w:r>
    </w:p>
    <w:p w14:paraId="123632AE">
      <w:pPr>
        <w:pStyle w:val="15"/>
        <w:rPr>
          <w:rFonts w:hint="eastAsia" w:ascii="宋体" w:hAnsi="宋体" w:eastAsia="宋体" w:cs="Times New Roman"/>
          <w:bCs/>
          <w:kern w:val="2"/>
          <w:sz w:val="21"/>
          <w:szCs w:val="21"/>
          <w:highlight w:val="none"/>
          <w:lang w:val="en-US" w:eastAsia="zh-CN" w:bidi="ar-SA"/>
        </w:rPr>
      </w:pPr>
      <w:r>
        <w:rPr>
          <w:rFonts w:hint="eastAsia" w:ascii="宋体" w:hAnsi="宋体" w:eastAsia="宋体" w:cs="Times New Roman"/>
          <w:bCs/>
          <w:kern w:val="2"/>
          <w:sz w:val="21"/>
          <w:szCs w:val="21"/>
          <w:highlight w:val="none"/>
          <w:lang w:val="en-US" w:eastAsia="zh-CN" w:bidi="ar-SA"/>
        </w:rPr>
        <w:t xml:space="preserve">（一）货物特性：货物为近一年原制造商制造的全新产品，无污染，无侵权行为、表面无划损、无任何缺陷隐患，在中国境内可依规安全合法使用。 </w:t>
      </w:r>
    </w:p>
    <w:p w14:paraId="3B547AD6">
      <w:pPr>
        <w:pStyle w:val="15"/>
        <w:rPr>
          <w:rFonts w:hint="eastAsia" w:ascii="宋体" w:hAnsi="宋体" w:eastAsia="宋体" w:cs="Times New Roman"/>
          <w:bCs/>
          <w:kern w:val="2"/>
          <w:sz w:val="21"/>
          <w:szCs w:val="21"/>
          <w:highlight w:val="none"/>
          <w:lang w:val="en-US" w:eastAsia="zh-CN" w:bidi="ar-SA"/>
        </w:rPr>
      </w:pPr>
      <w:r>
        <w:rPr>
          <w:rFonts w:hint="eastAsia" w:ascii="宋体" w:hAnsi="宋体" w:eastAsia="宋体" w:cs="Times New Roman"/>
          <w:bCs/>
          <w:kern w:val="2"/>
          <w:sz w:val="21"/>
          <w:szCs w:val="21"/>
          <w:highlight w:val="none"/>
          <w:lang w:val="en-US" w:eastAsia="zh-CN" w:bidi="ar-SA"/>
        </w:rPr>
        <w:t xml:space="preserve">（二）验收方案：验收小组按国家和甲方有关规定、规范进行验收，必要时邀请相关的专业人员或机构参与验收，验收所需要的一切费用由乙方承担。因货物质量问题发生争议时，由本地质量技术监督部门鉴定。货物符合质量技术标准的，鉴定费由 甲方承担；否则鉴定费由乙方承担。 </w:t>
      </w:r>
    </w:p>
    <w:p w14:paraId="21395292">
      <w:pPr>
        <w:pStyle w:val="15"/>
        <w:rPr>
          <w:rFonts w:hint="eastAsia" w:ascii="宋体" w:hAnsi="宋体" w:eastAsia="宋体" w:cs="Times New Roman"/>
          <w:bCs/>
          <w:kern w:val="2"/>
          <w:sz w:val="21"/>
          <w:szCs w:val="21"/>
          <w:highlight w:val="none"/>
          <w:lang w:val="en-US" w:eastAsia="zh-CN" w:bidi="ar-SA"/>
        </w:rPr>
      </w:pPr>
      <w:r>
        <w:rPr>
          <w:rFonts w:hint="eastAsia" w:ascii="宋体" w:hAnsi="宋体" w:eastAsia="宋体" w:cs="Times New Roman"/>
          <w:bCs/>
          <w:kern w:val="2"/>
          <w:sz w:val="21"/>
          <w:szCs w:val="21"/>
          <w:highlight w:val="none"/>
          <w:lang w:val="en-US" w:eastAsia="zh-CN" w:bidi="ar-SA"/>
        </w:rPr>
        <w:t>（三）技术资料 ①交货时，应同时交付产品使用手册、质量检验证书（合格证）等相关资料。 ②交付验收后，应提供验收报告。 ③售后服务履约验收后，应提供履约验收报告。</w:t>
      </w:r>
    </w:p>
    <w:p w14:paraId="20F1D5EC">
      <w:pPr>
        <w:pStyle w:val="15"/>
        <w:rPr>
          <w:rFonts w:hint="eastAsia" w:ascii="宋体" w:hAnsi="宋体" w:eastAsia="宋体" w:cs="Times New Roman"/>
          <w:bCs/>
          <w:kern w:val="2"/>
          <w:sz w:val="21"/>
          <w:szCs w:val="21"/>
          <w:highlight w:val="none"/>
          <w:lang w:val="en-US" w:eastAsia="zh-CN" w:bidi="ar-SA"/>
        </w:rPr>
      </w:pPr>
      <w:r>
        <w:rPr>
          <w:rFonts w:hint="eastAsia" w:ascii="宋体" w:hAnsi="宋体" w:eastAsia="宋体" w:cs="Times New Roman"/>
          <w:bCs/>
          <w:kern w:val="2"/>
          <w:sz w:val="21"/>
          <w:szCs w:val="21"/>
          <w:highlight w:val="none"/>
          <w:lang w:val="en-US" w:eastAsia="zh-CN" w:bidi="ar-SA"/>
        </w:rPr>
        <w:t xml:space="preserve">（四）验收结果确认：验收完毕由甲方、相关部门及乙方在验收报告上签名确认。 </w:t>
      </w:r>
    </w:p>
    <w:p w14:paraId="2AE69778">
      <w:pPr>
        <w:pStyle w:val="15"/>
        <w:rPr>
          <w:rFonts w:hint="eastAsia" w:ascii="宋体" w:hAnsi="宋体" w:eastAsia="宋体" w:cs="Times New Roman"/>
          <w:bCs/>
          <w:kern w:val="2"/>
          <w:sz w:val="21"/>
          <w:szCs w:val="21"/>
          <w:highlight w:val="none"/>
          <w:lang w:val="en-US" w:eastAsia="zh-CN" w:bidi="ar-SA"/>
        </w:rPr>
      </w:pPr>
      <w:r>
        <w:rPr>
          <w:rFonts w:hint="eastAsia" w:ascii="宋体" w:hAnsi="宋体" w:eastAsia="宋体" w:cs="Times New Roman"/>
          <w:bCs/>
          <w:kern w:val="2"/>
          <w:sz w:val="21"/>
          <w:szCs w:val="21"/>
          <w:highlight w:val="none"/>
          <w:lang w:val="en-US" w:eastAsia="zh-CN" w:bidi="ar-SA"/>
        </w:rPr>
        <w:t>（五）凡列入《中华人民共和国实施强制性产品认证的产品目录》 的产品在验收时乙方必须出具CCC认证证书复印件，并在产品外部加施认证标志作为验收依据之一。</w:t>
      </w:r>
    </w:p>
    <w:p w14:paraId="40237673">
      <w:pPr>
        <w:pStyle w:val="15"/>
        <w:rPr>
          <w:rFonts w:hint="eastAsia" w:ascii="宋体" w:hAnsi="宋体" w:eastAsia="宋体" w:cs="Times New Roman"/>
          <w:bCs/>
          <w:kern w:val="2"/>
          <w:sz w:val="21"/>
          <w:szCs w:val="21"/>
          <w:highlight w:val="none"/>
          <w:lang w:val="en-US" w:eastAsia="zh-CN" w:bidi="ar-SA"/>
        </w:rPr>
      </w:pPr>
      <w:r>
        <w:rPr>
          <w:rFonts w:hint="eastAsia" w:ascii="宋体" w:hAnsi="宋体" w:eastAsia="宋体" w:cs="Times New Roman"/>
          <w:bCs/>
          <w:kern w:val="2"/>
          <w:sz w:val="21"/>
          <w:szCs w:val="21"/>
          <w:highlight w:val="none"/>
          <w:lang w:val="en-US" w:eastAsia="zh-CN" w:bidi="ar-SA"/>
        </w:rPr>
        <w:t>（六）其他要求：</w:t>
      </w:r>
    </w:p>
    <w:p w14:paraId="458D9140">
      <w:pPr>
        <w:pStyle w:val="15"/>
        <w:rPr>
          <w:rFonts w:hint="eastAsia" w:ascii="宋体" w:hAnsi="宋体" w:eastAsia="宋体" w:cs="Times New Roman"/>
          <w:bCs/>
          <w:kern w:val="2"/>
          <w:sz w:val="21"/>
          <w:szCs w:val="21"/>
          <w:highlight w:val="none"/>
          <w:lang w:val="en-US" w:eastAsia="zh-CN" w:bidi="ar-SA"/>
        </w:rPr>
      </w:pPr>
      <w:r>
        <w:rPr>
          <w:rFonts w:hint="eastAsia" w:ascii="宋体" w:hAnsi="宋体" w:eastAsia="宋体" w:cs="Times New Roman"/>
          <w:bCs/>
          <w:kern w:val="2"/>
          <w:sz w:val="21"/>
          <w:szCs w:val="21"/>
          <w:highlight w:val="none"/>
          <w:lang w:val="en-US" w:eastAsia="zh-CN" w:bidi="ar-SA"/>
        </w:rPr>
        <w:t>1、甲方有权对货物生产及安装调试进行全过程监督，并有权对乙方提供的备料单进行抽检，对所有材料(含板材、五金配件、木皮、油漆、胶水、钢材、石材、木料等)的进货单及其质量检验证明文件进行审查，如甲方认为材料存在质量疑问，甲方可随机抽样送质量监督检验机构检验，乙方承担所有相关的检测费用。对于无法提供有效进货证明及检验不合格的材料，甲方有权拒绝该材料投入生产，若该材料已投入生产，甲方有权不接受由该材料所生产的货物。对不合格的货物甲方有权拒绝结算付款，乙方须更换成合格的货物。</w:t>
      </w:r>
    </w:p>
    <w:p w14:paraId="529BC0E6">
      <w:pPr>
        <w:pStyle w:val="15"/>
        <w:rPr>
          <w:rFonts w:hint="eastAsia" w:ascii="宋体" w:hAnsi="宋体" w:eastAsia="宋体" w:cs="Times New Roman"/>
          <w:bCs/>
          <w:kern w:val="2"/>
          <w:sz w:val="21"/>
          <w:szCs w:val="21"/>
          <w:highlight w:val="none"/>
          <w:lang w:val="en-US" w:eastAsia="zh-CN" w:bidi="ar-SA"/>
        </w:rPr>
      </w:pPr>
      <w:r>
        <w:rPr>
          <w:rFonts w:hint="eastAsia" w:ascii="宋体" w:hAnsi="宋体" w:eastAsia="宋体" w:cs="Times New Roman"/>
          <w:bCs/>
          <w:kern w:val="2"/>
          <w:sz w:val="21"/>
          <w:szCs w:val="21"/>
          <w:highlight w:val="none"/>
          <w:lang w:val="en-US" w:eastAsia="zh-CN" w:bidi="ar-SA"/>
        </w:rPr>
        <w:t>2、货到现场乙方需向甲方提供原材料采购合同、发票、支付证明等资料。未提供证明材料不予验收，不得进行安装(由此影响甲方工期或造成甲方损失，由乙方承担后果)。</w:t>
      </w:r>
    </w:p>
    <w:p w14:paraId="48EBB382">
      <w:pPr>
        <w:pStyle w:val="15"/>
        <w:rPr>
          <w:rFonts w:hint="eastAsia" w:ascii="宋体" w:hAnsi="宋体" w:eastAsia="宋体" w:cs="Times New Roman"/>
          <w:bCs/>
          <w:kern w:val="2"/>
          <w:sz w:val="21"/>
          <w:szCs w:val="21"/>
          <w:highlight w:val="none"/>
          <w:lang w:val="en-US" w:eastAsia="zh-CN" w:bidi="ar-SA"/>
        </w:rPr>
      </w:pPr>
      <w:r>
        <w:rPr>
          <w:rFonts w:hint="eastAsia" w:ascii="宋体" w:hAnsi="宋体" w:eastAsia="宋体" w:cs="Times New Roman"/>
          <w:bCs/>
          <w:kern w:val="2"/>
          <w:sz w:val="21"/>
          <w:szCs w:val="21"/>
          <w:highlight w:val="none"/>
          <w:lang w:val="en-US" w:eastAsia="zh-CN" w:bidi="ar-SA"/>
        </w:rPr>
        <w:t>3、在所有货物验收交付前的保管安全责任由乙方承担。</w:t>
      </w:r>
    </w:p>
    <w:p w14:paraId="6E6C4D2A">
      <w:pPr>
        <w:pStyle w:val="15"/>
        <w:rPr>
          <w:rFonts w:hint="eastAsia" w:ascii="宋体" w:hAnsi="宋体" w:eastAsia="宋体" w:cs="Times New Roman"/>
          <w:bCs/>
          <w:kern w:val="2"/>
          <w:sz w:val="21"/>
          <w:szCs w:val="21"/>
          <w:highlight w:val="none"/>
          <w:lang w:val="en-US" w:eastAsia="zh-CN" w:bidi="ar-SA"/>
        </w:rPr>
      </w:pPr>
      <w:r>
        <w:rPr>
          <w:rFonts w:hint="eastAsia" w:ascii="宋体" w:hAnsi="宋体" w:eastAsia="宋体" w:cs="Times New Roman"/>
          <w:bCs/>
          <w:kern w:val="2"/>
          <w:sz w:val="21"/>
          <w:szCs w:val="21"/>
          <w:highlight w:val="none"/>
          <w:lang w:val="en-US" w:eastAsia="zh-CN" w:bidi="ar-SA"/>
        </w:rPr>
        <w:t>4、货物安装定位结束后，由甲方和乙方按招标文件要求、乙方所供货物的规格和产品标准及我国相关技术规范和技术标准进行联合验收，对质量有争议时视情况进行破坏性抽样检验，检验中被破坏的货物价款由乙方承担。若因乙方所供货物的原因导致验收不合格，整改费用由乙方自行支付。</w:t>
      </w:r>
    </w:p>
    <w:p w14:paraId="170240D3">
      <w:pPr>
        <w:pStyle w:val="15"/>
        <w:rPr>
          <w:rFonts w:hint="eastAsia" w:ascii="宋体" w:hAnsi="宋体" w:eastAsia="宋体" w:cs="Times New Roman"/>
          <w:bCs/>
          <w:kern w:val="2"/>
          <w:sz w:val="21"/>
          <w:szCs w:val="21"/>
          <w:highlight w:val="none"/>
          <w:lang w:val="en-US" w:eastAsia="zh-CN" w:bidi="ar-SA"/>
        </w:rPr>
      </w:pPr>
      <w:r>
        <w:rPr>
          <w:rFonts w:hint="eastAsia" w:ascii="宋体" w:hAnsi="宋体" w:eastAsia="宋体" w:cs="Times New Roman"/>
          <w:bCs/>
          <w:kern w:val="2"/>
          <w:sz w:val="21"/>
          <w:szCs w:val="21"/>
          <w:highlight w:val="none"/>
          <w:lang w:val="en-US" w:eastAsia="zh-CN" w:bidi="ar-SA"/>
        </w:rPr>
        <w:t>5、在本合同货物的使用期内，如果发现乙方交付的本合同的货物质量、性能和规格与本合同约定不符，或证明其有缺陷，包括潜在的缺陷或使用不合适的原材料等，甲方有权申请本合同货物安装使用地的检验机构检验，并根据检验证书及质量保证条款向乙方提出索赔。在合同履行各个阶段所发生的索赔协商期内，乙方应继续履行合同，不得中止。</w:t>
      </w:r>
    </w:p>
    <w:p w14:paraId="1F1041F8">
      <w:pPr>
        <w:pStyle w:val="15"/>
        <w:rPr>
          <w:rFonts w:hint="eastAsia" w:ascii="宋体" w:hAnsi="宋体" w:eastAsia="宋体" w:cs="Times New Roman"/>
          <w:bCs/>
          <w:kern w:val="2"/>
          <w:sz w:val="21"/>
          <w:szCs w:val="21"/>
          <w:highlight w:val="none"/>
          <w:lang w:val="en-US" w:eastAsia="zh-CN" w:bidi="ar-SA"/>
        </w:rPr>
      </w:pPr>
      <w:r>
        <w:rPr>
          <w:rFonts w:hint="eastAsia" w:ascii="宋体" w:hAnsi="宋体" w:eastAsia="宋体" w:cs="Times New Roman"/>
          <w:bCs/>
          <w:kern w:val="2"/>
          <w:sz w:val="21"/>
          <w:szCs w:val="21"/>
          <w:highlight w:val="none"/>
          <w:lang w:val="en-US" w:eastAsia="zh-CN" w:bidi="ar-SA"/>
        </w:rPr>
        <w:t>6、验收时甲方将对原材料及货物成品进行抽检，如抽检结果达不到乙方承诺的参数标准的，扣罚1万元/项，直接在合同款中扣除，同时乙方须无条件更换成符合标准的货物。累计出现5项抽检不达标的，视为乙方违约，甲方有权终止合同，并向政府采购监督部门报告，造成的损失由乙方承担。</w:t>
      </w:r>
    </w:p>
    <w:p w14:paraId="2C25B27C">
      <w:pPr>
        <w:adjustRightInd w:val="0"/>
        <w:snapToGrid w:val="0"/>
        <w:spacing w:before="0" w:beforeLines="0" w:line="400" w:lineRule="exact"/>
        <w:ind w:firstLine="420" w:firstLineChars="200"/>
        <w:rPr>
          <w:rFonts w:hint="eastAsia" w:ascii="宋体" w:hAnsi="宋体"/>
          <w:bCs/>
          <w:szCs w:val="21"/>
          <w:highlight w:val="none"/>
          <w:u w:val="single"/>
        </w:rPr>
      </w:pPr>
      <w:r>
        <w:rPr>
          <w:rFonts w:hint="eastAsia" w:ascii="宋体" w:hAnsi="宋体"/>
          <w:bCs/>
          <w:szCs w:val="21"/>
          <w:highlight w:val="none"/>
        </w:rPr>
        <w:t>（2）履约验收时</w:t>
      </w:r>
      <w:r>
        <w:rPr>
          <w:rFonts w:hint="eastAsia" w:ascii="宋体" w:hAnsi="宋体"/>
          <w:bCs/>
          <w:szCs w:val="21"/>
          <w:highlight w:val="none"/>
        </w:rPr>
        <w:t>间：</w:t>
      </w:r>
      <w:r>
        <w:rPr>
          <w:rFonts w:hint="eastAsia" w:ascii="宋体" w:hAnsi="宋体"/>
          <w:bCs/>
          <w:szCs w:val="21"/>
          <w:highlight w:val="none"/>
          <w:u w:val="single"/>
        </w:rPr>
        <w:t>（计划于何时验收/供应商提出验收申请之日起</w:t>
      </w:r>
      <w:r>
        <w:rPr>
          <w:rFonts w:hint="eastAsia" w:ascii="宋体" w:hAnsi="宋体"/>
          <w:bCs/>
          <w:szCs w:val="21"/>
          <w:highlight w:val="none"/>
          <w:u w:val="single"/>
          <w:lang w:val="en-US" w:eastAsia="zh-CN"/>
        </w:rPr>
        <w:t>7</w:t>
      </w:r>
      <w:r>
        <w:rPr>
          <w:rFonts w:hint="eastAsia" w:ascii="宋体" w:hAnsi="宋体"/>
          <w:bCs/>
          <w:szCs w:val="21"/>
          <w:highlight w:val="none"/>
          <w:u w:val="single"/>
        </w:rPr>
        <w:t>日内组织验收）</w:t>
      </w:r>
      <w:r>
        <w:rPr>
          <w:rFonts w:hint="eastAsia" w:ascii="宋体" w:hAnsi="宋体"/>
          <w:bCs/>
          <w:szCs w:val="21"/>
          <w:highlight w:val="none"/>
          <w:u w:val="single"/>
          <w:lang w:val="en-US" w:eastAsia="zh-CN"/>
        </w:rPr>
        <w:t xml:space="preserve"> </w:t>
      </w:r>
    </w:p>
    <w:p w14:paraId="5D7AB3F1">
      <w:pPr>
        <w:adjustRightInd w:val="0"/>
        <w:snapToGrid w:val="0"/>
        <w:spacing w:before="0" w:beforeLines="0" w:line="400" w:lineRule="exact"/>
        <w:ind w:firstLine="420" w:firstLineChars="200"/>
        <w:rPr>
          <w:rFonts w:hint="eastAsia" w:ascii="宋体" w:hAnsi="宋体"/>
          <w:bCs/>
          <w:szCs w:val="21"/>
          <w:highlight w:val="none"/>
        </w:rPr>
      </w:pPr>
      <w:r>
        <w:rPr>
          <w:rFonts w:hint="eastAsia" w:ascii="宋体" w:hAnsi="宋体"/>
          <w:bCs/>
          <w:szCs w:val="21"/>
          <w:highlight w:val="none"/>
        </w:rPr>
        <w:t>（3）履约验收方式：</w:t>
      </w:r>
      <w:r>
        <w:rPr>
          <w:rFonts w:hint="eastAsia" w:ascii="宋体" w:hAnsi="宋体" w:eastAsia="宋体" w:cs="宋体"/>
          <w:sz w:val="21"/>
          <w:szCs w:val="21"/>
          <w:highlight w:val="none"/>
        </w:rPr>
        <w:sym w:font="Wingdings" w:char="00FE"/>
      </w:r>
      <w:r>
        <w:rPr>
          <w:rFonts w:hint="eastAsia" w:ascii="宋体" w:hAnsi="宋体"/>
          <w:bCs/>
          <w:szCs w:val="21"/>
          <w:highlight w:val="none"/>
        </w:rPr>
        <w:t xml:space="preserve">一次性验收         </w:t>
      </w:r>
    </w:p>
    <w:p w14:paraId="2241D762">
      <w:pPr>
        <w:adjustRightInd w:val="0"/>
        <w:snapToGrid w:val="0"/>
        <w:spacing w:before="0" w:beforeLines="0" w:line="400" w:lineRule="exact"/>
        <w:ind w:firstLine="0" w:firstLineChars="0"/>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                       </w:t>
      </w:r>
      <w:r>
        <w:rPr>
          <w:rFonts w:hint="eastAsia" w:ascii="宋体" w:hAnsi="宋体" w:eastAsia="宋体" w:cs="宋体"/>
          <w:sz w:val="21"/>
          <w:szCs w:val="21"/>
          <w:highlight w:val="none"/>
        </w:rPr>
        <w:sym w:font="Wingdings" w:char="00A8"/>
      </w:r>
      <w:r>
        <w:rPr>
          <w:rFonts w:hint="eastAsia" w:ascii="宋体" w:hAnsi="宋体"/>
          <w:bCs/>
          <w:szCs w:val="21"/>
          <w:highlight w:val="none"/>
        </w:rPr>
        <w:t>分期/分项验收</w:t>
      </w:r>
      <w:r>
        <w:rPr>
          <w:rFonts w:hint="eastAsia" w:ascii="宋体" w:hAnsi="宋体"/>
          <w:bCs/>
          <w:szCs w:val="21"/>
          <w:highlight w:val="none"/>
          <w:lang w:eastAsia="zh-CN"/>
        </w:rPr>
        <w:t>：</w:t>
      </w:r>
      <w:r>
        <w:rPr>
          <w:rFonts w:hint="eastAsia" w:ascii="宋体" w:hAnsi="宋体"/>
          <w:bCs/>
          <w:szCs w:val="21"/>
          <w:highlight w:val="none"/>
          <w:u w:val="single"/>
        </w:rPr>
        <w:t xml:space="preserve"> </w:t>
      </w:r>
      <w:r>
        <w:rPr>
          <w:rFonts w:hint="eastAsia" w:ascii="宋体" w:hAnsi="宋体"/>
          <w:bCs/>
          <w:szCs w:val="21"/>
          <w:highlight w:val="none"/>
          <w:u w:val="single"/>
          <w:lang w:eastAsia="zh-CN"/>
        </w:rPr>
        <w:t>（应明确分期</w:t>
      </w:r>
      <w:r>
        <w:rPr>
          <w:rFonts w:hint="default" w:ascii="宋体" w:hAnsi="宋体"/>
          <w:bCs/>
          <w:szCs w:val="21"/>
          <w:highlight w:val="none"/>
          <w:u w:val="single"/>
          <w:lang w:val="en" w:eastAsia="zh-CN"/>
        </w:rPr>
        <w:t>/</w:t>
      </w:r>
      <w:r>
        <w:rPr>
          <w:rFonts w:hint="eastAsia" w:ascii="宋体" w:hAnsi="宋体"/>
          <w:bCs/>
          <w:szCs w:val="21"/>
          <w:highlight w:val="none"/>
          <w:u w:val="single"/>
          <w:lang w:val="en" w:eastAsia="zh-CN"/>
        </w:rPr>
        <w:t>分项验收的工作安排</w:t>
      </w:r>
      <w:r>
        <w:rPr>
          <w:rFonts w:hint="eastAsia" w:ascii="宋体" w:hAnsi="宋体"/>
          <w:bCs/>
          <w:szCs w:val="21"/>
          <w:highlight w:val="none"/>
          <w:u w:val="single"/>
          <w:lang w:eastAsia="zh-CN"/>
        </w:rPr>
        <w:t>）</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p>
    <w:p w14:paraId="3E9FE14C">
      <w:pPr>
        <w:adjustRightInd w:val="0"/>
        <w:snapToGrid w:val="0"/>
        <w:spacing w:before="0" w:beforeLines="0" w:line="400" w:lineRule="exact"/>
        <w:ind w:firstLine="420" w:firstLineChars="200"/>
        <w:rPr>
          <w:rFonts w:ascii="宋体" w:hAnsi="宋体"/>
          <w:bCs/>
          <w:szCs w:val="21"/>
          <w:highlight w:val="none"/>
        </w:rPr>
      </w:pPr>
      <w:r>
        <w:rPr>
          <w:rFonts w:hint="eastAsia" w:ascii="宋体" w:hAnsi="宋体"/>
          <w:bCs/>
          <w:szCs w:val="21"/>
          <w:highlight w:val="none"/>
        </w:rPr>
        <w:t>（4）履约验收程序：</w:t>
      </w:r>
      <w:r>
        <w:rPr>
          <w:rFonts w:hint="eastAsia" w:ascii="宋体" w:hAnsi="宋体"/>
          <w:bCs/>
          <w:szCs w:val="21"/>
          <w:highlight w:val="none"/>
          <w:u w:val="single"/>
        </w:rPr>
        <w:t xml:space="preserve">  </w:t>
      </w:r>
      <w:r>
        <w:rPr>
          <w:rFonts w:hint="eastAsia" w:ascii="宋体" w:hAnsi="宋体"/>
          <w:bCs/>
          <w:szCs w:val="21"/>
          <w:highlight w:val="none"/>
          <w:u w:val="single"/>
          <w:lang w:eastAsia="zh-CN"/>
        </w:rPr>
        <w:t>详见“验收组织的其他事项”</w:t>
      </w:r>
      <w:r>
        <w:rPr>
          <w:rFonts w:hint="eastAsia" w:ascii="宋体" w:hAnsi="宋体"/>
          <w:bCs/>
          <w:szCs w:val="21"/>
          <w:highlight w:val="none"/>
          <w:u w:val="single"/>
        </w:rPr>
        <w:t xml:space="preserve">                                       </w:t>
      </w:r>
    </w:p>
    <w:p w14:paraId="5414CE94">
      <w:pPr>
        <w:adjustRightInd w:val="0"/>
        <w:snapToGrid w:val="0"/>
        <w:spacing w:before="0" w:beforeLines="0" w:line="400" w:lineRule="exact"/>
        <w:ind w:firstLine="420" w:firstLineChars="200"/>
        <w:rPr>
          <w:rFonts w:ascii="宋体" w:hAnsi="宋体"/>
          <w:bCs/>
          <w:szCs w:val="21"/>
          <w:highlight w:val="none"/>
          <w:u w:val="single"/>
        </w:rPr>
      </w:pPr>
      <w:r>
        <w:rPr>
          <w:rFonts w:hint="eastAsia" w:ascii="宋体" w:hAnsi="宋体"/>
          <w:bCs/>
          <w:szCs w:val="21"/>
          <w:highlight w:val="none"/>
        </w:rPr>
        <w:t>（5）履约验收的内容：</w:t>
      </w:r>
      <w:r>
        <w:rPr>
          <w:rFonts w:hint="eastAsia" w:ascii="宋体" w:hAnsi="宋体"/>
          <w:bCs/>
          <w:szCs w:val="21"/>
          <w:highlight w:val="none"/>
          <w:u w:val="single"/>
        </w:rPr>
        <w:t xml:space="preserve"> </w:t>
      </w:r>
      <w:r>
        <w:rPr>
          <w:rFonts w:hint="eastAsia" w:ascii="宋体" w:hAnsi="宋体"/>
          <w:bCs/>
          <w:szCs w:val="21"/>
          <w:highlight w:val="none"/>
          <w:u w:val="single"/>
          <w:lang w:eastAsia="zh-CN"/>
        </w:rPr>
        <w:t>包括每一项技术和商务要求的履约情况，特别是落实政府采购扶持中小企业，支持绿色发展和乡村振兴等政策情况，详见“验收组织的其他事项”</w:t>
      </w:r>
      <w:r>
        <w:rPr>
          <w:rFonts w:hint="eastAsia" w:ascii="宋体" w:hAnsi="宋体"/>
          <w:bCs/>
          <w:szCs w:val="21"/>
          <w:highlight w:val="none"/>
          <w:u w:val="single"/>
        </w:rPr>
        <w:t xml:space="preserve">                                       </w:t>
      </w:r>
    </w:p>
    <w:p w14:paraId="452939AD">
      <w:pPr>
        <w:adjustRightInd w:val="0"/>
        <w:snapToGrid w:val="0"/>
        <w:spacing w:before="0" w:beforeLines="0" w:line="400" w:lineRule="exact"/>
        <w:ind w:firstLine="420" w:firstLineChars="200"/>
        <w:rPr>
          <w:rFonts w:hint="eastAsia" w:ascii="宋体" w:hAnsi="宋体"/>
          <w:bCs/>
          <w:szCs w:val="21"/>
          <w:highlight w:val="none"/>
          <w:u w:val="single"/>
        </w:rPr>
      </w:pPr>
      <w:r>
        <w:rPr>
          <w:rFonts w:hint="eastAsia" w:ascii="宋体" w:hAnsi="宋体"/>
          <w:bCs/>
          <w:szCs w:val="21"/>
          <w:highlight w:val="none"/>
        </w:rPr>
        <w:t>（6）履约验收标准：</w:t>
      </w:r>
      <w:r>
        <w:rPr>
          <w:rFonts w:hint="eastAsia" w:ascii="宋体" w:hAnsi="宋体"/>
          <w:bCs/>
          <w:szCs w:val="21"/>
          <w:highlight w:val="none"/>
          <w:u w:val="single"/>
        </w:rPr>
        <w:t xml:space="preserve"> 验收标准 依次序对照适用标准为： ①符合中华人民共和国国家安全质量标准、环保标准或行业标准；②符合招标文件和响应承诺中</w:t>
      </w:r>
      <w:r>
        <w:rPr>
          <w:rFonts w:hint="eastAsia" w:ascii="宋体" w:hAnsi="宋体"/>
          <w:bCs/>
          <w:szCs w:val="21"/>
          <w:highlight w:val="none"/>
          <w:u w:val="single"/>
          <w:lang w:eastAsia="zh-CN"/>
        </w:rPr>
        <w:t>甲方</w:t>
      </w:r>
      <w:r>
        <w:rPr>
          <w:rFonts w:hint="eastAsia" w:ascii="宋体" w:hAnsi="宋体"/>
          <w:bCs/>
          <w:szCs w:val="21"/>
          <w:highlight w:val="none"/>
          <w:u w:val="single"/>
        </w:rPr>
        <w:t xml:space="preserve">认可的合理最佳配置、参数及各项要求； ③货物来源国家官方标准。 上述标准必须是有关官方机构发布的最新版本的标准。    </w:t>
      </w:r>
    </w:p>
    <w:p w14:paraId="0B88CE23">
      <w:pPr>
        <w:pStyle w:val="15"/>
        <w:spacing w:beforeLines="0"/>
        <w:rPr>
          <w:rFonts w:hint="eastAsia" w:ascii="宋体" w:hAnsi="宋体" w:eastAsia="宋体" w:cs="宋体"/>
          <w:sz w:val="21"/>
          <w:highlight w:val="none"/>
          <w:lang w:eastAsia="zh-CN"/>
        </w:rPr>
      </w:pPr>
      <w:r>
        <w:rPr>
          <w:rFonts w:hint="eastAsia" w:ascii="宋体" w:hAnsi="宋体" w:eastAsia="宋体" w:cs="宋体"/>
          <w:bCs/>
          <w:sz w:val="21"/>
          <w:szCs w:val="21"/>
          <w:highlight w:val="none"/>
          <w:u w:val="none"/>
          <w:lang w:eastAsia="zh-CN"/>
        </w:rPr>
        <w:t>（</w:t>
      </w:r>
      <w:r>
        <w:rPr>
          <w:rFonts w:hint="eastAsia" w:ascii="宋体" w:hAnsi="宋体" w:eastAsia="宋体" w:cs="宋体"/>
          <w:bCs/>
          <w:sz w:val="21"/>
          <w:szCs w:val="21"/>
          <w:highlight w:val="none"/>
          <w:u w:val="none"/>
          <w:lang w:val="en-US" w:eastAsia="zh-CN"/>
        </w:rPr>
        <w:t>7</w:t>
      </w:r>
      <w:r>
        <w:rPr>
          <w:rFonts w:hint="eastAsia" w:ascii="宋体" w:hAnsi="宋体" w:eastAsia="宋体" w:cs="宋体"/>
          <w:bCs/>
          <w:sz w:val="21"/>
          <w:szCs w:val="21"/>
          <w:highlight w:val="none"/>
          <w:u w:val="none"/>
          <w:lang w:eastAsia="zh-CN"/>
        </w:rPr>
        <w:t>）是否以采购活动中供应商提供的样品作为参考：</w:t>
      </w:r>
      <w:r>
        <w:rPr>
          <w:rFonts w:hint="eastAsia" w:ascii="宋体" w:hAnsi="宋体" w:eastAsia="宋体" w:cs="宋体"/>
          <w:sz w:val="21"/>
          <w:szCs w:val="21"/>
          <w:highlight w:val="none"/>
        </w:rPr>
        <w:sym w:font="Wingdings" w:char="00FE"/>
      </w:r>
      <w:r>
        <w:rPr>
          <w:rFonts w:hint="eastAsia" w:ascii="宋体" w:hAnsi="宋体" w:eastAsia="宋体" w:cs="宋体"/>
          <w:bCs/>
          <w:sz w:val="21"/>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否</w:t>
      </w:r>
    </w:p>
    <w:p w14:paraId="6481C969">
      <w:pPr>
        <w:adjustRightInd w:val="0"/>
        <w:snapToGrid w:val="0"/>
        <w:spacing w:before="0" w:beforeLines="0" w:line="400" w:lineRule="exact"/>
        <w:ind w:firstLine="420" w:firstLineChars="200"/>
        <w:rPr>
          <w:rFonts w:hint="eastAsia" w:ascii="宋体" w:hAnsi="宋体" w:cs="宋体"/>
          <w:bCs/>
          <w:szCs w:val="21"/>
          <w:highlight w:val="none"/>
          <w:u w:val="single"/>
        </w:rPr>
      </w:pPr>
      <w:r>
        <w:rPr>
          <w:rFonts w:hint="eastAsia" w:ascii="宋体" w:hAnsi="宋体" w:cs="宋体"/>
          <w:bCs/>
          <w:szCs w:val="21"/>
          <w:highlight w:val="none"/>
        </w:rPr>
        <w:t>（8）履约验收其他事项：</w:t>
      </w:r>
      <w:r>
        <w:rPr>
          <w:rFonts w:hint="eastAsia" w:ascii="宋体" w:hAnsi="宋体" w:cs="宋体"/>
          <w:bCs/>
          <w:szCs w:val="21"/>
          <w:highlight w:val="none"/>
          <w:u w:val="single"/>
        </w:rPr>
        <w:t xml:space="preserve">            </w:t>
      </w:r>
    </w:p>
    <w:p w14:paraId="4A522919">
      <w:pPr>
        <w:numPr>
          <w:ilvl w:val="0"/>
          <w:numId w:val="1"/>
        </w:numPr>
        <w:adjustRightInd w:val="0"/>
        <w:snapToGrid w:val="0"/>
        <w:spacing w:before="0" w:beforeLines="0" w:line="400" w:lineRule="exact"/>
        <w:ind w:firstLine="422" w:firstLineChars="200"/>
        <w:rPr>
          <w:rFonts w:hint="eastAsia" w:ascii="宋体" w:hAnsi="宋体"/>
          <w:b/>
          <w:szCs w:val="21"/>
          <w:highlight w:val="none"/>
        </w:rPr>
      </w:pPr>
      <w:r>
        <w:rPr>
          <w:rFonts w:hint="eastAsia" w:ascii="宋体" w:hAnsi="宋体"/>
          <w:b/>
          <w:szCs w:val="21"/>
          <w:highlight w:val="none"/>
        </w:rPr>
        <w:t>组成合同的文件</w:t>
      </w:r>
    </w:p>
    <w:p w14:paraId="631B16AF">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本协议书与下列文件一起构成合同文件，如下述文件之间有任何抵触、矛盾或歧义，应按以下顺序解释：</w:t>
      </w:r>
    </w:p>
    <w:p w14:paraId="47177583">
      <w:pPr>
        <w:adjustRightInd w:val="0"/>
        <w:snapToGrid w:val="0"/>
        <w:spacing w:before="0" w:beforeLines="0" w:line="400" w:lineRule="exact"/>
        <w:ind w:firstLine="420" w:firstLineChars="200"/>
        <w:rPr>
          <w:rFonts w:hint="eastAsia" w:ascii="宋体" w:hAnsi="宋体"/>
          <w:color w:val="auto"/>
          <w:szCs w:val="21"/>
          <w:highlight w:val="none"/>
          <w:lang w:eastAsia="zh-CN"/>
        </w:rPr>
      </w:pPr>
      <w:r>
        <w:rPr>
          <w:rFonts w:hint="eastAsia" w:ascii="宋体" w:hAnsi="宋体"/>
          <w:color w:val="auto"/>
          <w:szCs w:val="21"/>
          <w:highlight w:val="none"/>
        </w:rPr>
        <w:t>（1）</w:t>
      </w:r>
      <w:r>
        <w:rPr>
          <w:rFonts w:hint="eastAsia" w:ascii="宋体" w:hAnsi="宋体"/>
          <w:color w:val="auto"/>
          <w:szCs w:val="21"/>
          <w:highlight w:val="none"/>
          <w:lang w:eastAsia="zh-CN"/>
        </w:rPr>
        <w:t>政府采购</w:t>
      </w:r>
      <w:r>
        <w:rPr>
          <w:rFonts w:hint="eastAsia" w:ascii="宋体" w:hAnsi="宋体"/>
          <w:color w:val="auto"/>
          <w:szCs w:val="21"/>
          <w:highlight w:val="none"/>
        </w:rPr>
        <w:t>合同协议书及其变更、补充</w:t>
      </w:r>
      <w:r>
        <w:rPr>
          <w:rFonts w:hint="eastAsia" w:ascii="宋体" w:hAnsi="宋体"/>
          <w:color w:val="auto"/>
          <w:szCs w:val="21"/>
          <w:highlight w:val="none"/>
          <w:lang w:eastAsia="zh-CN"/>
        </w:rPr>
        <w:t>协议</w:t>
      </w:r>
    </w:p>
    <w:p w14:paraId="6E783BEF">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w:t>
      </w:r>
      <w:r>
        <w:rPr>
          <w:rFonts w:hint="eastAsia" w:ascii="宋体" w:hAnsi="宋体"/>
          <w:szCs w:val="21"/>
          <w:highlight w:val="none"/>
          <w:lang w:val="en-US" w:eastAsia="zh-CN"/>
        </w:rPr>
        <w:t>2</w:t>
      </w:r>
      <w:r>
        <w:rPr>
          <w:rFonts w:hint="eastAsia" w:ascii="宋体" w:hAnsi="宋体"/>
          <w:szCs w:val="21"/>
          <w:highlight w:val="none"/>
        </w:rPr>
        <w:t>）政府采购合同专用条款</w:t>
      </w:r>
    </w:p>
    <w:p w14:paraId="1CD4BAB8">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w:t>
      </w:r>
      <w:r>
        <w:rPr>
          <w:rFonts w:hint="eastAsia" w:ascii="宋体" w:hAnsi="宋体"/>
          <w:szCs w:val="21"/>
          <w:highlight w:val="none"/>
          <w:lang w:val="en-US" w:eastAsia="zh-CN"/>
        </w:rPr>
        <w:t>3</w:t>
      </w:r>
      <w:r>
        <w:rPr>
          <w:rFonts w:hint="eastAsia" w:ascii="宋体" w:hAnsi="宋体"/>
          <w:szCs w:val="21"/>
          <w:highlight w:val="none"/>
        </w:rPr>
        <w:t>）政府采购合同通用条款</w:t>
      </w:r>
    </w:p>
    <w:p w14:paraId="1D307B51">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）中标</w:t>
      </w:r>
      <w:r>
        <w:rPr>
          <w:rFonts w:hint="eastAsia" w:ascii="宋体" w:hAnsi="宋体"/>
          <w:color w:val="auto"/>
          <w:szCs w:val="21"/>
          <w:highlight w:val="none"/>
          <w:lang w:eastAsia="zh-CN"/>
        </w:rPr>
        <w:t>（成交）</w:t>
      </w:r>
      <w:r>
        <w:rPr>
          <w:rFonts w:hint="eastAsia" w:ascii="宋体" w:hAnsi="宋体"/>
          <w:color w:val="auto"/>
          <w:szCs w:val="21"/>
          <w:highlight w:val="none"/>
        </w:rPr>
        <w:t>通知书</w:t>
      </w:r>
    </w:p>
    <w:p w14:paraId="0C174A0E">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w:t>
      </w:r>
      <w:r>
        <w:rPr>
          <w:rFonts w:hint="eastAsia" w:ascii="宋体" w:hAnsi="宋体"/>
          <w:szCs w:val="21"/>
          <w:highlight w:val="none"/>
          <w:lang w:val="en-US" w:eastAsia="zh-CN"/>
        </w:rPr>
        <w:t>5</w:t>
      </w:r>
      <w:r>
        <w:rPr>
          <w:rFonts w:hint="eastAsia" w:ascii="宋体" w:hAnsi="宋体"/>
          <w:szCs w:val="21"/>
          <w:highlight w:val="none"/>
        </w:rPr>
        <w:t>）投标（响应）文件</w:t>
      </w:r>
    </w:p>
    <w:p w14:paraId="4CF04D93">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（6）采购文件</w:t>
      </w:r>
    </w:p>
    <w:p w14:paraId="2547FC52">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（7）有关技术文件，图纸</w:t>
      </w:r>
    </w:p>
    <w:p w14:paraId="4FE1B6B5">
      <w:pPr>
        <w:pStyle w:val="15"/>
        <w:spacing w:beforeLines="0"/>
        <w:rPr>
          <w:rFonts w:hint="eastAsia" w:ascii="宋体" w:hAnsi="宋体" w:eastAsia="宋体" w:cs="宋体"/>
          <w:kern w:val="2"/>
          <w:sz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lang w:eastAsia="zh-CN"/>
        </w:rPr>
        <w:t>）</w:t>
      </w:r>
      <w:r>
        <w:rPr>
          <w:rFonts w:hint="eastAsia" w:ascii="宋体" w:hAnsi="宋体" w:eastAsia="宋体" w:cs="宋体"/>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p>
    <w:p w14:paraId="56DECDB9">
      <w:pPr>
        <w:numPr>
          <w:ilvl w:val="0"/>
          <w:numId w:val="1"/>
        </w:numPr>
        <w:adjustRightInd w:val="0"/>
        <w:snapToGrid w:val="0"/>
        <w:spacing w:before="0" w:beforeLines="0" w:line="400" w:lineRule="exact"/>
        <w:ind w:firstLine="422" w:firstLineChars="200"/>
        <w:rPr>
          <w:rFonts w:hint="eastAsia" w:ascii="宋体" w:hAnsi="宋体"/>
          <w:b/>
          <w:szCs w:val="21"/>
          <w:highlight w:val="none"/>
        </w:rPr>
      </w:pPr>
      <w:r>
        <w:rPr>
          <w:rFonts w:hint="eastAsia" w:ascii="宋体" w:hAnsi="宋体"/>
          <w:b/>
          <w:szCs w:val="21"/>
          <w:highlight w:val="none"/>
        </w:rPr>
        <w:t>合同生效</w:t>
      </w:r>
    </w:p>
    <w:p w14:paraId="5B1F9F7E">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本合同自</w:t>
      </w:r>
      <w:r>
        <w:rPr>
          <w:rFonts w:hint="eastAsia" w:ascii="宋体" w:hAnsi="宋体"/>
          <w:szCs w:val="21"/>
          <w:highlight w:val="none"/>
          <w:u w:val="single"/>
        </w:rPr>
        <w:t>本合同在甲乙双方法人代表或其授权代表签字盖章后，自见证单位盖章见证之日起</w:t>
      </w:r>
      <w:r>
        <w:rPr>
          <w:rFonts w:hint="eastAsia" w:ascii="宋体" w:hAnsi="宋体"/>
          <w:szCs w:val="21"/>
          <w:highlight w:val="none"/>
          <w:u w:val="none"/>
        </w:rPr>
        <w:t>生效</w:t>
      </w:r>
      <w:r>
        <w:rPr>
          <w:rFonts w:hint="eastAsia" w:ascii="宋体" w:hAnsi="宋体"/>
          <w:szCs w:val="21"/>
          <w:highlight w:val="none"/>
        </w:rPr>
        <w:t>。</w:t>
      </w:r>
    </w:p>
    <w:p w14:paraId="68CD7D6E">
      <w:pPr>
        <w:numPr>
          <w:ilvl w:val="0"/>
          <w:numId w:val="1"/>
        </w:numPr>
        <w:adjustRightInd w:val="0"/>
        <w:snapToGrid w:val="0"/>
        <w:spacing w:before="0" w:beforeLines="0" w:line="400" w:lineRule="exact"/>
        <w:ind w:firstLine="422" w:firstLineChars="200"/>
        <w:rPr>
          <w:rFonts w:hint="eastAsia" w:ascii="宋体" w:hAnsi="宋体"/>
          <w:b/>
          <w:szCs w:val="21"/>
          <w:highlight w:val="none"/>
        </w:rPr>
      </w:pPr>
      <w:r>
        <w:rPr>
          <w:rFonts w:hint="eastAsia" w:ascii="宋体" w:hAnsi="宋体"/>
          <w:b/>
          <w:szCs w:val="21"/>
          <w:highlight w:val="none"/>
        </w:rPr>
        <w:t>合同份数</w:t>
      </w:r>
    </w:p>
    <w:p w14:paraId="20E77B1C">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本合同一式</w:t>
      </w:r>
      <w:r>
        <w:rPr>
          <w:rFonts w:hint="eastAsia" w:ascii="宋体" w:hAnsi="宋体"/>
          <w:szCs w:val="21"/>
          <w:highlight w:val="none"/>
          <w:u w:val="single"/>
        </w:rPr>
        <w:t xml:space="preserve">    </w:t>
      </w:r>
      <w:r>
        <w:rPr>
          <w:rFonts w:hint="eastAsia" w:ascii="宋体" w:hAnsi="宋体"/>
          <w:szCs w:val="21"/>
          <w:highlight w:val="none"/>
        </w:rPr>
        <w:t>份，</w:t>
      </w:r>
      <w:r>
        <w:rPr>
          <w:rFonts w:hint="eastAsia" w:ascii="宋体" w:hAnsi="宋体"/>
          <w:szCs w:val="21"/>
          <w:highlight w:val="none"/>
          <w:lang w:eastAsia="zh-CN"/>
        </w:rPr>
        <w:t>甲方</w:t>
      </w:r>
      <w:r>
        <w:rPr>
          <w:rFonts w:hint="eastAsia" w:ascii="宋体" w:hAnsi="宋体"/>
          <w:szCs w:val="21"/>
          <w:highlight w:val="none"/>
        </w:rPr>
        <w:t>执</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份，</w:t>
      </w:r>
      <w:r>
        <w:rPr>
          <w:rFonts w:hint="eastAsia" w:ascii="宋体" w:hAnsi="宋体"/>
          <w:szCs w:val="21"/>
          <w:highlight w:val="none"/>
          <w:lang w:eastAsia="zh-CN"/>
        </w:rPr>
        <w:t>乙方</w:t>
      </w:r>
      <w:r>
        <w:rPr>
          <w:rFonts w:hint="eastAsia" w:ascii="宋体" w:hAnsi="宋体"/>
          <w:szCs w:val="21"/>
          <w:highlight w:val="none"/>
        </w:rPr>
        <w:t>执</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份，均具有同等法律效力。</w:t>
      </w:r>
    </w:p>
    <w:p w14:paraId="6F0BD358">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合同订立时间：</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14:paraId="27F79A21">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合同订立地点：</w:t>
      </w:r>
      <w:r>
        <w:rPr>
          <w:rFonts w:hint="eastAsia" w:ascii="宋体" w:hAnsi="宋体"/>
          <w:szCs w:val="21"/>
          <w:highlight w:val="none"/>
          <w:u w:val="single"/>
        </w:rPr>
        <w:t xml:space="preserve">     广东省佛山市</w:t>
      </w:r>
      <w:r>
        <w:rPr>
          <w:rFonts w:hint="eastAsia" w:ascii="宋体" w:hAnsi="宋体"/>
          <w:szCs w:val="21"/>
          <w:highlight w:val="none"/>
          <w:u w:val="single"/>
          <w:lang w:eastAsia="zh-CN"/>
        </w:rPr>
        <w:t>三水区</w:t>
      </w:r>
      <w:r>
        <w:rPr>
          <w:rFonts w:hint="eastAsia" w:ascii="宋体" w:hAnsi="宋体"/>
          <w:szCs w:val="21"/>
          <w:highlight w:val="none"/>
          <w:u w:val="single"/>
        </w:rPr>
        <w:t xml:space="preserve">     </w:t>
      </w:r>
    </w:p>
    <w:p w14:paraId="208CC8EB">
      <w:pPr>
        <w:adjustRightInd w:val="0"/>
        <w:snapToGrid w:val="0"/>
        <w:spacing w:before="0" w:beforeLines="0" w:line="400" w:lineRule="exact"/>
        <w:ind w:firstLine="420" w:firstLineChars="200"/>
        <w:rPr>
          <w:highlight w:val="none"/>
        </w:rPr>
      </w:pPr>
      <w:r>
        <w:rPr>
          <w:rFonts w:hint="eastAsia" w:ascii="宋体" w:hAnsi="宋体"/>
          <w:szCs w:val="21"/>
          <w:highlight w:val="none"/>
        </w:rPr>
        <w:t>附件：具体标</w:t>
      </w:r>
      <w:r>
        <w:rPr>
          <w:rFonts w:hint="eastAsia" w:ascii="宋体" w:hAnsi="宋体"/>
          <w:szCs w:val="21"/>
          <w:highlight w:val="none"/>
          <w:lang w:eastAsia="zh-CN"/>
        </w:rPr>
        <w:t>的及其</w:t>
      </w:r>
      <w:r>
        <w:rPr>
          <w:rFonts w:hint="eastAsia" w:ascii="宋体" w:hAnsi="宋体"/>
          <w:szCs w:val="21"/>
          <w:highlight w:val="none"/>
          <w:u w:val="none"/>
          <w:lang w:val="en-US" w:eastAsia="zh-CN"/>
        </w:rPr>
        <w:t>技术要求和商务要求</w:t>
      </w:r>
      <w:r>
        <w:rPr>
          <w:rFonts w:hint="eastAsia" w:ascii="宋体" w:hAnsi="宋体"/>
          <w:szCs w:val="21"/>
          <w:highlight w:val="none"/>
        </w:rPr>
        <w:t>、联合协议、分包</w:t>
      </w:r>
      <w:r>
        <w:rPr>
          <w:rFonts w:hint="eastAsia" w:ascii="宋体" w:hAnsi="宋体"/>
          <w:szCs w:val="21"/>
          <w:highlight w:val="none"/>
          <w:lang w:eastAsia="zh-CN"/>
        </w:rPr>
        <w:t>意向</w:t>
      </w:r>
      <w:r>
        <w:rPr>
          <w:rFonts w:hint="eastAsia" w:ascii="宋体" w:hAnsi="宋体"/>
          <w:szCs w:val="21"/>
          <w:highlight w:val="none"/>
        </w:rPr>
        <w:t>协议等。</w:t>
      </w:r>
    </w:p>
    <w:p w14:paraId="328BBE06">
      <w:pPr>
        <w:pStyle w:val="16"/>
        <w:spacing w:beforeLines="0" w:line="400" w:lineRule="exact"/>
        <w:rPr>
          <w:highlight w:val="none"/>
        </w:rPr>
      </w:pPr>
    </w:p>
    <w:p w14:paraId="387ED056">
      <w:pPr>
        <w:pStyle w:val="3"/>
        <w:spacing w:beforeLines="0" w:line="400" w:lineRule="exact"/>
        <w:rPr>
          <w:rFonts w:hint="eastAsia" w:ascii="宋体" w:hAnsi="宋体" w:cs="Times New Roman"/>
          <w:b w:val="0"/>
          <w:bCs w:val="0"/>
          <w:sz w:val="21"/>
          <w:szCs w:val="21"/>
          <w:highlight w:val="none"/>
          <w:lang w:val="en-US" w:eastAsia="zh-CN"/>
        </w:rPr>
      </w:pPr>
      <w:r>
        <w:rPr>
          <w:rFonts w:hint="default"/>
          <w:highlight w:val="none"/>
          <w:lang w:val="en"/>
        </w:rPr>
        <w:t xml:space="preserve">   </w:t>
      </w:r>
    </w:p>
    <w:p w14:paraId="2347ACC1">
      <w:pPr>
        <w:rPr>
          <w:rFonts w:hint="eastAsia"/>
          <w:highlight w:val="none"/>
        </w:rPr>
      </w:pPr>
      <w:r>
        <w:rPr>
          <w:rFonts w:hint="eastAsia"/>
          <w:highlight w:val="none"/>
        </w:rPr>
        <w:br w:type="page"/>
      </w:r>
    </w:p>
    <w:p w14:paraId="4B9FDC8B">
      <w:pPr>
        <w:pStyle w:val="16"/>
        <w:rPr>
          <w:rFonts w:hint="eastAsia"/>
          <w:highlight w:val="none"/>
        </w:rPr>
      </w:pPr>
    </w:p>
    <w:tbl>
      <w:tblPr>
        <w:tblStyle w:val="1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961"/>
        <w:gridCol w:w="2501"/>
        <w:gridCol w:w="2051"/>
        <w:gridCol w:w="2194"/>
      </w:tblGrid>
      <w:tr w14:paraId="1774913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6AD35532">
            <w:pPr>
              <w:adjustRightInd w:val="0"/>
              <w:snapToGrid w:val="0"/>
              <w:spacing w:line="300" w:lineRule="exact"/>
              <w:jc w:val="center"/>
              <w:rPr>
                <w:highlight w:val="none"/>
              </w:rPr>
            </w:pPr>
            <w:r>
              <w:rPr>
                <w:szCs w:val="21"/>
                <w:highlight w:val="none"/>
              </w:rPr>
              <w:t>甲方</w:t>
            </w:r>
            <w:r>
              <w:rPr>
                <w:rFonts w:hint="eastAsia"/>
                <w:szCs w:val="21"/>
                <w:highlight w:val="none"/>
              </w:rPr>
              <w:t>（</w:t>
            </w:r>
            <w:r>
              <w:rPr>
                <w:rFonts w:hint="eastAsia"/>
                <w:szCs w:val="21"/>
                <w:highlight w:val="none"/>
                <w:lang w:eastAsia="zh-CN"/>
              </w:rPr>
              <w:t>甲方</w:t>
            </w:r>
            <w:r>
              <w:rPr>
                <w:rFonts w:hint="eastAsia" w:ascii="宋体" w:hAnsi="宋体"/>
                <w:szCs w:val="21"/>
                <w:highlight w:val="none"/>
                <w:lang w:eastAsia="zh-CN"/>
              </w:rPr>
              <w:t>、受甲方委托签订合同的单位</w:t>
            </w:r>
            <w:r>
              <w:rPr>
                <w:rFonts w:hint="eastAsia" w:ascii="宋体" w:hAnsi="宋体"/>
                <w:szCs w:val="21"/>
                <w:highlight w:val="none"/>
              </w:rPr>
              <w:t>或</w:t>
            </w:r>
            <w:r>
              <w:rPr>
                <w:rFonts w:hint="eastAsia"/>
                <w:szCs w:val="21"/>
                <w:highlight w:val="none"/>
              </w:rPr>
              <w:t>采购文件约定的合同甲方）</w:t>
            </w:r>
          </w:p>
        </w:tc>
        <w:tc>
          <w:tcPr>
            <w:tcW w:w="2437" w:type="pct"/>
            <w:gridSpan w:val="2"/>
            <w:tcBorders>
              <w:left w:val="single" w:color="auto" w:sz="2" w:space="0"/>
              <w:bottom w:val="single" w:color="auto" w:sz="2" w:space="0"/>
            </w:tcBorders>
            <w:vAlign w:val="center"/>
          </w:tcPr>
          <w:p w14:paraId="0C74FDFB">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14:paraId="494C54F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4F530528">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w:t>
            </w:r>
            <w:r>
              <w:rPr>
                <w:rFonts w:hint="eastAsia"/>
                <w:szCs w:val="21"/>
                <w:highlight w:val="none"/>
                <w:lang w:eastAsia="zh-CN"/>
              </w:rPr>
              <w:t>或合同章</w:t>
            </w:r>
            <w:r>
              <w:rPr>
                <w:rFonts w:hint="eastAsia"/>
                <w:szCs w:val="21"/>
                <w:highlight w:val="none"/>
              </w:rPr>
              <w:t>）</w:t>
            </w:r>
          </w:p>
        </w:tc>
        <w:tc>
          <w:tcPr>
            <w:tcW w:w="1436" w:type="pct"/>
            <w:tcBorders>
              <w:top w:val="single" w:color="auto" w:sz="2" w:space="0"/>
              <w:left w:val="single" w:color="auto" w:sz="2" w:space="0"/>
              <w:bottom w:val="single" w:color="auto" w:sz="2" w:space="0"/>
              <w:right w:val="single" w:color="auto" w:sz="2" w:space="0"/>
            </w:tcBorders>
            <w:vAlign w:val="center"/>
          </w:tcPr>
          <w:p w14:paraId="1177F45A">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AE48B04">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w:t>
            </w:r>
            <w:r>
              <w:rPr>
                <w:rFonts w:hint="eastAsia"/>
                <w:szCs w:val="21"/>
                <w:highlight w:val="none"/>
                <w:lang w:eastAsia="zh-CN"/>
              </w:rPr>
              <w:t>或合同章</w:t>
            </w:r>
            <w:r>
              <w:rPr>
                <w:rFonts w:hint="eastAsia"/>
                <w:szCs w:val="21"/>
                <w:highlight w:val="none"/>
              </w:rPr>
              <w:t>）</w:t>
            </w:r>
          </w:p>
        </w:tc>
        <w:tc>
          <w:tcPr>
            <w:tcW w:w="1259" w:type="pct"/>
            <w:tcBorders>
              <w:top w:val="single" w:color="auto" w:sz="2" w:space="0"/>
              <w:left w:val="single" w:color="auto" w:sz="2" w:space="0"/>
              <w:bottom w:val="single" w:color="auto" w:sz="2" w:space="0"/>
            </w:tcBorders>
            <w:vAlign w:val="center"/>
          </w:tcPr>
          <w:p w14:paraId="1A94EC85">
            <w:pPr>
              <w:adjustRightInd w:val="0"/>
              <w:snapToGrid w:val="0"/>
              <w:spacing w:line="300" w:lineRule="exact"/>
              <w:jc w:val="center"/>
              <w:rPr>
                <w:spacing w:val="20"/>
                <w:szCs w:val="21"/>
                <w:highlight w:val="none"/>
              </w:rPr>
            </w:pPr>
          </w:p>
        </w:tc>
      </w:tr>
      <w:tr w14:paraId="7A8C6A0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46D48434">
            <w:pPr>
              <w:adjustRightInd w:val="0"/>
              <w:snapToGrid w:val="0"/>
              <w:spacing w:line="300" w:lineRule="exact"/>
              <w:jc w:val="center"/>
              <w:rPr>
                <w:szCs w:val="21"/>
                <w:highlight w:val="none"/>
              </w:rPr>
            </w:pPr>
            <w:r>
              <w:rPr>
                <w:szCs w:val="21"/>
                <w:highlight w:val="none"/>
              </w:rPr>
              <w:t>法定代表人</w:t>
            </w:r>
          </w:p>
          <w:p w14:paraId="20580E09">
            <w:pPr>
              <w:adjustRightInd w:val="0"/>
              <w:snapToGrid w:val="0"/>
              <w:spacing w:line="300" w:lineRule="exact"/>
              <w:ind w:firstLine="100"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color="auto" w:sz="2" w:space="0"/>
              <w:left w:val="single" w:color="auto" w:sz="2" w:space="0"/>
              <w:right w:val="single" w:color="auto" w:sz="2" w:space="0"/>
            </w:tcBorders>
            <w:vAlign w:val="center"/>
          </w:tcPr>
          <w:p w14:paraId="51405883">
            <w:pPr>
              <w:adjustRightInd w:val="0"/>
              <w:snapToGrid w:val="0"/>
              <w:spacing w:line="300" w:lineRule="exact"/>
              <w:jc w:val="center"/>
              <w:rPr>
                <w:szCs w:val="21"/>
                <w:highlight w:val="none"/>
              </w:rPr>
            </w:pPr>
          </w:p>
        </w:tc>
        <w:tc>
          <w:tcPr>
            <w:tcW w:w="1178" w:type="pct"/>
            <w:tcBorders>
              <w:top w:val="single" w:color="auto" w:sz="2" w:space="0"/>
              <w:left w:val="single" w:color="auto" w:sz="2" w:space="0"/>
              <w:right w:val="single" w:color="auto" w:sz="2" w:space="0"/>
            </w:tcBorders>
            <w:vAlign w:val="center"/>
          </w:tcPr>
          <w:p w14:paraId="4F986350">
            <w:pPr>
              <w:adjustRightInd w:val="0"/>
              <w:snapToGrid w:val="0"/>
              <w:spacing w:line="300" w:lineRule="exact"/>
              <w:jc w:val="center"/>
              <w:rPr>
                <w:szCs w:val="21"/>
                <w:highlight w:val="none"/>
              </w:rPr>
            </w:pPr>
            <w:r>
              <w:rPr>
                <w:szCs w:val="21"/>
                <w:highlight w:val="none"/>
              </w:rPr>
              <w:t>法定代表人</w:t>
            </w:r>
          </w:p>
          <w:p w14:paraId="12DA349E">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color="auto" w:sz="2" w:space="0"/>
              <w:left w:val="single" w:color="auto" w:sz="2" w:space="0"/>
              <w:bottom w:val="single" w:color="auto" w:sz="2" w:space="0"/>
            </w:tcBorders>
            <w:vAlign w:val="center"/>
          </w:tcPr>
          <w:p w14:paraId="40E5CAF3">
            <w:pPr>
              <w:adjustRightInd w:val="0"/>
              <w:snapToGrid w:val="0"/>
              <w:spacing w:line="300" w:lineRule="exact"/>
              <w:jc w:val="center"/>
              <w:rPr>
                <w:szCs w:val="21"/>
                <w:highlight w:val="none"/>
              </w:rPr>
            </w:pPr>
          </w:p>
        </w:tc>
      </w:tr>
      <w:tr w14:paraId="102837C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16954A4A">
            <w:pPr>
              <w:adjustRightInd w:val="0"/>
              <w:snapToGrid w:val="0"/>
              <w:spacing w:line="300" w:lineRule="exact"/>
              <w:jc w:val="center"/>
              <w:rPr>
                <w:szCs w:val="21"/>
                <w:highlight w:val="none"/>
              </w:rPr>
            </w:pPr>
          </w:p>
        </w:tc>
        <w:tc>
          <w:tcPr>
            <w:tcW w:w="1436" w:type="pct"/>
            <w:vMerge w:val="continue"/>
            <w:tcBorders>
              <w:left w:val="single" w:color="auto" w:sz="2" w:space="0"/>
              <w:bottom w:val="single" w:color="auto" w:sz="2" w:space="0"/>
              <w:right w:val="single" w:color="auto" w:sz="2" w:space="0"/>
            </w:tcBorders>
            <w:vAlign w:val="center"/>
          </w:tcPr>
          <w:p w14:paraId="62A90882">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94FAD70">
            <w:pPr>
              <w:adjustRightInd w:val="0"/>
              <w:snapToGrid w:val="0"/>
              <w:spacing w:line="300" w:lineRule="exact"/>
              <w:jc w:val="center"/>
              <w:rPr>
                <w:rFonts w:hint="eastAsia" w:eastAsia="宋体"/>
                <w:szCs w:val="21"/>
                <w:highlight w:val="none"/>
                <w:lang w:eastAsia="zh-CN"/>
              </w:rPr>
            </w:pPr>
            <w:r>
              <w:rPr>
                <w:rFonts w:hint="eastAsia"/>
                <w:szCs w:val="21"/>
                <w:highlight w:val="none"/>
                <w:lang w:eastAsia="zh-CN"/>
              </w:rPr>
              <w:t>拥有者性别</w:t>
            </w:r>
          </w:p>
        </w:tc>
        <w:tc>
          <w:tcPr>
            <w:tcW w:w="1259" w:type="pct"/>
            <w:tcBorders>
              <w:top w:val="single" w:color="auto" w:sz="2" w:space="0"/>
              <w:left w:val="single" w:color="auto" w:sz="2" w:space="0"/>
              <w:bottom w:val="single" w:color="auto" w:sz="2" w:space="0"/>
            </w:tcBorders>
            <w:vAlign w:val="center"/>
          </w:tcPr>
          <w:p w14:paraId="29B766B2">
            <w:pPr>
              <w:adjustRightInd w:val="0"/>
              <w:snapToGrid w:val="0"/>
              <w:spacing w:line="300" w:lineRule="exact"/>
              <w:jc w:val="center"/>
              <w:rPr>
                <w:spacing w:val="20"/>
                <w:szCs w:val="21"/>
                <w:highlight w:val="none"/>
              </w:rPr>
            </w:pPr>
          </w:p>
        </w:tc>
      </w:tr>
      <w:tr w14:paraId="7A82CFA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A559A7F">
            <w:pPr>
              <w:adjustRightInd w:val="0"/>
              <w:snapToGrid w:val="0"/>
              <w:spacing w:line="300" w:lineRule="exact"/>
              <w:jc w:val="center"/>
              <w:rPr>
                <w:rFonts w:hint="eastAsia" w:eastAsia="宋体"/>
                <w:szCs w:val="21"/>
                <w:highlight w:val="none"/>
                <w:lang w:eastAsia="zh-CN"/>
              </w:rPr>
            </w:pPr>
            <w:r>
              <w:rPr>
                <w:rFonts w:hint="eastAsia"/>
                <w:szCs w:val="21"/>
                <w:highlight w:val="none"/>
                <w:lang w:eastAsia="zh-CN"/>
              </w:rPr>
              <w:t>住</w:t>
            </w:r>
            <w:r>
              <w:rPr>
                <w:rFonts w:hint="eastAsia"/>
                <w:szCs w:val="21"/>
                <w:highlight w:val="none"/>
                <w:lang w:val="en-US" w:eastAsia="zh-CN"/>
              </w:rPr>
              <w:t xml:space="preserve">  </w:t>
            </w:r>
            <w:r>
              <w:rPr>
                <w:rFonts w:hint="eastAsia"/>
                <w:szCs w:val="21"/>
                <w:highlight w:val="none"/>
                <w:lang w:eastAsia="zh-CN"/>
              </w:rPr>
              <w:t>所</w:t>
            </w:r>
          </w:p>
        </w:tc>
        <w:tc>
          <w:tcPr>
            <w:tcW w:w="1436" w:type="pct"/>
            <w:tcBorders>
              <w:top w:val="single" w:color="auto" w:sz="2" w:space="0"/>
              <w:left w:val="single" w:color="auto" w:sz="2" w:space="0"/>
              <w:bottom w:val="single" w:color="auto" w:sz="2" w:space="0"/>
              <w:right w:val="single" w:color="auto" w:sz="2" w:space="0"/>
            </w:tcBorders>
            <w:vAlign w:val="center"/>
          </w:tcPr>
          <w:p w14:paraId="15D746B6">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0D1C7C5">
            <w:pPr>
              <w:adjustRightInd w:val="0"/>
              <w:snapToGrid w:val="0"/>
              <w:spacing w:line="300" w:lineRule="exact"/>
              <w:jc w:val="center"/>
              <w:rPr>
                <w:rFonts w:hint="eastAsia" w:eastAsia="宋体"/>
                <w:szCs w:val="21"/>
                <w:highlight w:val="none"/>
                <w:lang w:eastAsia="zh-CN"/>
              </w:rPr>
            </w:pPr>
            <w:r>
              <w:rPr>
                <w:rFonts w:hint="eastAsia"/>
                <w:szCs w:val="21"/>
                <w:highlight w:val="none"/>
                <w:lang w:eastAsia="zh-CN"/>
              </w:rPr>
              <w:t>住</w:t>
            </w:r>
            <w:r>
              <w:rPr>
                <w:rFonts w:hint="eastAsia"/>
                <w:szCs w:val="21"/>
                <w:highlight w:val="none"/>
                <w:lang w:val="en-US" w:eastAsia="zh-CN"/>
              </w:rPr>
              <w:t xml:space="preserve">  </w:t>
            </w:r>
            <w:r>
              <w:rPr>
                <w:rFonts w:hint="eastAsia"/>
                <w:szCs w:val="21"/>
                <w:highlight w:val="none"/>
                <w:lang w:eastAsia="zh-CN"/>
              </w:rPr>
              <w:t>所</w:t>
            </w:r>
          </w:p>
        </w:tc>
        <w:tc>
          <w:tcPr>
            <w:tcW w:w="1259" w:type="pct"/>
            <w:tcBorders>
              <w:top w:val="single" w:color="auto" w:sz="2" w:space="0"/>
              <w:left w:val="single" w:color="auto" w:sz="2" w:space="0"/>
              <w:bottom w:val="single" w:color="auto" w:sz="2" w:space="0"/>
            </w:tcBorders>
            <w:vAlign w:val="center"/>
          </w:tcPr>
          <w:p w14:paraId="6355FC72">
            <w:pPr>
              <w:adjustRightInd w:val="0"/>
              <w:snapToGrid w:val="0"/>
              <w:spacing w:line="300" w:lineRule="exact"/>
              <w:jc w:val="center"/>
              <w:rPr>
                <w:spacing w:val="20"/>
                <w:szCs w:val="21"/>
                <w:highlight w:val="none"/>
              </w:rPr>
            </w:pPr>
          </w:p>
        </w:tc>
      </w:tr>
      <w:tr w14:paraId="1C5C5DD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0A32CBF">
            <w:pPr>
              <w:adjustRightInd w:val="0"/>
              <w:snapToGrid w:val="0"/>
              <w:spacing w:line="300" w:lineRule="exact"/>
              <w:jc w:val="center"/>
              <w:rPr>
                <w:szCs w:val="21"/>
                <w:highlight w:val="none"/>
              </w:rPr>
            </w:pPr>
            <w:r>
              <w:rPr>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18EBD918">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314BF769">
            <w:pPr>
              <w:adjustRightInd w:val="0"/>
              <w:snapToGrid w:val="0"/>
              <w:spacing w:line="300" w:lineRule="exact"/>
              <w:jc w:val="center"/>
              <w:rPr>
                <w:szCs w:val="21"/>
                <w:highlight w:val="none"/>
              </w:rPr>
            </w:pPr>
            <w:r>
              <w:rPr>
                <w:szCs w:val="21"/>
                <w:highlight w:val="none"/>
              </w:rPr>
              <w:t>联 系 人</w:t>
            </w:r>
          </w:p>
        </w:tc>
        <w:tc>
          <w:tcPr>
            <w:tcW w:w="1259" w:type="pct"/>
            <w:tcBorders>
              <w:top w:val="single" w:color="auto" w:sz="2" w:space="0"/>
              <w:left w:val="single" w:color="auto" w:sz="2" w:space="0"/>
              <w:bottom w:val="single" w:color="auto" w:sz="2" w:space="0"/>
            </w:tcBorders>
            <w:vAlign w:val="center"/>
          </w:tcPr>
          <w:p w14:paraId="536B5140">
            <w:pPr>
              <w:adjustRightInd w:val="0"/>
              <w:snapToGrid w:val="0"/>
              <w:spacing w:line="300" w:lineRule="exact"/>
              <w:jc w:val="center"/>
              <w:rPr>
                <w:spacing w:val="20"/>
                <w:szCs w:val="21"/>
                <w:highlight w:val="none"/>
              </w:rPr>
            </w:pPr>
          </w:p>
        </w:tc>
      </w:tr>
      <w:tr w14:paraId="6213BE6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459875F">
            <w:pPr>
              <w:adjustRightInd w:val="0"/>
              <w:snapToGrid w:val="0"/>
              <w:spacing w:line="300" w:lineRule="exact"/>
              <w:jc w:val="center"/>
              <w:rPr>
                <w:szCs w:val="21"/>
                <w:highlight w:val="none"/>
              </w:rPr>
            </w:pPr>
            <w:r>
              <w:rPr>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67DA6051">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0FA2173">
            <w:pPr>
              <w:adjustRightInd w:val="0"/>
              <w:snapToGrid w:val="0"/>
              <w:spacing w:line="300" w:lineRule="exact"/>
              <w:jc w:val="center"/>
              <w:rPr>
                <w:szCs w:val="21"/>
                <w:highlight w:val="none"/>
              </w:rPr>
            </w:pPr>
            <w:r>
              <w:rPr>
                <w:szCs w:val="21"/>
                <w:highlight w:val="none"/>
              </w:rPr>
              <w:t>联系电话</w:t>
            </w:r>
          </w:p>
        </w:tc>
        <w:tc>
          <w:tcPr>
            <w:tcW w:w="1259" w:type="pct"/>
            <w:tcBorders>
              <w:top w:val="single" w:color="auto" w:sz="2" w:space="0"/>
              <w:left w:val="single" w:color="auto" w:sz="2" w:space="0"/>
              <w:bottom w:val="single" w:color="auto" w:sz="2" w:space="0"/>
            </w:tcBorders>
            <w:vAlign w:val="center"/>
          </w:tcPr>
          <w:p w14:paraId="2D644C86">
            <w:pPr>
              <w:adjustRightInd w:val="0"/>
              <w:snapToGrid w:val="0"/>
              <w:spacing w:line="300" w:lineRule="exact"/>
              <w:jc w:val="center"/>
              <w:rPr>
                <w:spacing w:val="20"/>
                <w:szCs w:val="21"/>
                <w:highlight w:val="none"/>
              </w:rPr>
            </w:pPr>
          </w:p>
        </w:tc>
      </w:tr>
      <w:tr w14:paraId="62EAB6A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08E3E4A">
            <w:pPr>
              <w:adjustRightInd w:val="0"/>
              <w:snapToGrid w:val="0"/>
              <w:spacing w:line="300" w:lineRule="exact"/>
              <w:jc w:val="center"/>
              <w:rPr>
                <w:rFonts w:hint="eastAsia" w:eastAsia="宋体"/>
                <w:szCs w:val="21"/>
                <w:highlight w:val="none"/>
                <w:lang w:eastAsia="zh-CN"/>
              </w:rPr>
            </w:pPr>
            <w:r>
              <w:rPr>
                <w:rFonts w:hint="eastAsia"/>
                <w:szCs w:val="21"/>
                <w:highlight w:val="none"/>
                <w:lang w:eastAsia="zh-CN"/>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63351639">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0C798A3">
            <w:pPr>
              <w:adjustRightInd w:val="0"/>
              <w:snapToGrid w:val="0"/>
              <w:spacing w:line="300" w:lineRule="exact"/>
              <w:jc w:val="center"/>
              <w:rPr>
                <w:szCs w:val="21"/>
                <w:highlight w:val="none"/>
              </w:rPr>
            </w:pPr>
            <w:r>
              <w:rPr>
                <w:rFonts w:hint="eastAsia"/>
                <w:szCs w:val="21"/>
                <w:highlight w:val="none"/>
                <w:lang w:eastAsia="zh-CN"/>
              </w:rPr>
              <w:t>通信地址</w:t>
            </w:r>
          </w:p>
        </w:tc>
        <w:tc>
          <w:tcPr>
            <w:tcW w:w="1259" w:type="pct"/>
            <w:tcBorders>
              <w:top w:val="single" w:color="auto" w:sz="2" w:space="0"/>
              <w:left w:val="single" w:color="auto" w:sz="2" w:space="0"/>
              <w:bottom w:val="single" w:color="auto" w:sz="2" w:space="0"/>
            </w:tcBorders>
            <w:vAlign w:val="center"/>
          </w:tcPr>
          <w:p w14:paraId="1CDDE5C9">
            <w:pPr>
              <w:adjustRightInd w:val="0"/>
              <w:snapToGrid w:val="0"/>
              <w:spacing w:line="300" w:lineRule="exact"/>
              <w:jc w:val="center"/>
              <w:rPr>
                <w:spacing w:val="20"/>
                <w:szCs w:val="21"/>
                <w:highlight w:val="none"/>
              </w:rPr>
            </w:pPr>
          </w:p>
        </w:tc>
      </w:tr>
      <w:tr w14:paraId="1315BC1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D219B6D">
            <w:pPr>
              <w:adjustRightInd w:val="0"/>
              <w:snapToGrid w:val="0"/>
              <w:spacing w:line="300" w:lineRule="exact"/>
              <w:jc w:val="center"/>
              <w:rPr>
                <w:szCs w:val="21"/>
                <w:highlight w:val="none"/>
              </w:rPr>
            </w:pPr>
            <w:r>
              <w:rPr>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1558C6FE">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3D5315BD">
            <w:pPr>
              <w:adjustRightInd w:val="0"/>
              <w:snapToGrid w:val="0"/>
              <w:spacing w:line="300" w:lineRule="exact"/>
              <w:jc w:val="center"/>
              <w:rPr>
                <w:szCs w:val="21"/>
                <w:highlight w:val="none"/>
              </w:rPr>
            </w:pPr>
            <w:r>
              <w:rPr>
                <w:szCs w:val="21"/>
                <w:highlight w:val="none"/>
              </w:rPr>
              <w:t>邮政编码</w:t>
            </w:r>
          </w:p>
        </w:tc>
        <w:tc>
          <w:tcPr>
            <w:tcW w:w="1259" w:type="pct"/>
            <w:tcBorders>
              <w:top w:val="single" w:color="auto" w:sz="2" w:space="0"/>
              <w:left w:val="single" w:color="auto" w:sz="2" w:space="0"/>
              <w:bottom w:val="single" w:color="auto" w:sz="2" w:space="0"/>
            </w:tcBorders>
            <w:vAlign w:val="center"/>
          </w:tcPr>
          <w:p w14:paraId="31EA766E">
            <w:pPr>
              <w:adjustRightInd w:val="0"/>
              <w:snapToGrid w:val="0"/>
              <w:spacing w:line="300" w:lineRule="exact"/>
              <w:jc w:val="center"/>
              <w:rPr>
                <w:spacing w:val="20"/>
                <w:szCs w:val="21"/>
                <w:highlight w:val="none"/>
              </w:rPr>
            </w:pPr>
          </w:p>
        </w:tc>
      </w:tr>
      <w:tr w14:paraId="5A74F7E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4044B55">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26B77031">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F14F9F9">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color="auto" w:sz="2" w:space="0"/>
              <w:left w:val="single" w:color="auto" w:sz="2" w:space="0"/>
              <w:bottom w:val="single" w:color="auto" w:sz="2" w:space="0"/>
            </w:tcBorders>
            <w:vAlign w:val="center"/>
          </w:tcPr>
          <w:p w14:paraId="6B456863">
            <w:pPr>
              <w:adjustRightInd w:val="0"/>
              <w:snapToGrid w:val="0"/>
              <w:spacing w:line="300" w:lineRule="exact"/>
              <w:jc w:val="center"/>
              <w:rPr>
                <w:spacing w:val="20"/>
                <w:szCs w:val="21"/>
                <w:highlight w:val="none"/>
              </w:rPr>
            </w:pPr>
          </w:p>
        </w:tc>
      </w:tr>
      <w:tr w14:paraId="58D9291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7036267">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6994A422">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BF26099">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color="auto" w:sz="2" w:space="0"/>
              <w:left w:val="single" w:color="auto" w:sz="2" w:space="0"/>
              <w:bottom w:val="single" w:color="auto" w:sz="2" w:space="0"/>
            </w:tcBorders>
            <w:vAlign w:val="center"/>
          </w:tcPr>
          <w:p w14:paraId="5B7BFC08">
            <w:pPr>
              <w:adjustRightInd w:val="0"/>
              <w:snapToGrid w:val="0"/>
              <w:spacing w:line="300" w:lineRule="exact"/>
              <w:jc w:val="center"/>
              <w:rPr>
                <w:spacing w:val="20"/>
                <w:szCs w:val="21"/>
                <w:highlight w:val="none"/>
              </w:rPr>
            </w:pPr>
          </w:p>
        </w:tc>
      </w:tr>
      <w:tr w14:paraId="5797819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2E2EC38">
            <w:pPr>
              <w:adjustRightInd w:val="0"/>
              <w:snapToGrid w:val="0"/>
              <w:spacing w:line="300" w:lineRule="exact"/>
              <w:jc w:val="center"/>
              <w:rPr>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63429E75">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D4FA299">
            <w:pPr>
              <w:adjustRightInd w:val="0"/>
              <w:snapToGrid w:val="0"/>
              <w:spacing w:line="300" w:lineRule="exact"/>
              <w:jc w:val="center"/>
              <w:rPr>
                <w:szCs w:val="21"/>
                <w:highlight w:val="none"/>
              </w:rPr>
            </w:pPr>
            <w:r>
              <w:rPr>
                <w:szCs w:val="21"/>
                <w:highlight w:val="none"/>
              </w:rPr>
              <w:t>开户名称</w:t>
            </w:r>
          </w:p>
        </w:tc>
        <w:tc>
          <w:tcPr>
            <w:tcW w:w="1259" w:type="pct"/>
            <w:tcBorders>
              <w:top w:val="single" w:color="auto" w:sz="2" w:space="0"/>
              <w:left w:val="single" w:color="auto" w:sz="2" w:space="0"/>
              <w:bottom w:val="single" w:color="auto" w:sz="2" w:space="0"/>
            </w:tcBorders>
            <w:vAlign w:val="center"/>
          </w:tcPr>
          <w:p w14:paraId="6C387D08">
            <w:pPr>
              <w:adjustRightInd w:val="0"/>
              <w:snapToGrid w:val="0"/>
              <w:spacing w:line="300" w:lineRule="exact"/>
              <w:jc w:val="center"/>
              <w:rPr>
                <w:spacing w:val="20"/>
                <w:szCs w:val="21"/>
                <w:highlight w:val="none"/>
              </w:rPr>
            </w:pPr>
          </w:p>
        </w:tc>
      </w:tr>
      <w:tr w14:paraId="3CE4A49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80BF1B8">
            <w:pPr>
              <w:adjustRightInd w:val="0"/>
              <w:snapToGrid w:val="0"/>
              <w:spacing w:line="300" w:lineRule="exact"/>
              <w:jc w:val="center"/>
              <w:rPr>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7436B364">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CCF754F">
            <w:pPr>
              <w:adjustRightInd w:val="0"/>
              <w:snapToGrid w:val="0"/>
              <w:spacing w:line="300" w:lineRule="exact"/>
              <w:jc w:val="center"/>
              <w:rPr>
                <w:szCs w:val="21"/>
                <w:highlight w:val="none"/>
              </w:rPr>
            </w:pPr>
            <w:r>
              <w:rPr>
                <w:szCs w:val="21"/>
                <w:highlight w:val="none"/>
              </w:rPr>
              <w:t>开户银行</w:t>
            </w:r>
          </w:p>
        </w:tc>
        <w:tc>
          <w:tcPr>
            <w:tcW w:w="1259" w:type="pct"/>
            <w:tcBorders>
              <w:top w:val="single" w:color="auto" w:sz="2" w:space="0"/>
              <w:left w:val="single" w:color="auto" w:sz="2" w:space="0"/>
              <w:bottom w:val="single" w:color="auto" w:sz="2" w:space="0"/>
            </w:tcBorders>
            <w:vAlign w:val="center"/>
          </w:tcPr>
          <w:p w14:paraId="59801549">
            <w:pPr>
              <w:adjustRightInd w:val="0"/>
              <w:snapToGrid w:val="0"/>
              <w:spacing w:line="300" w:lineRule="exact"/>
              <w:jc w:val="center"/>
              <w:rPr>
                <w:spacing w:val="20"/>
                <w:szCs w:val="21"/>
                <w:highlight w:val="none"/>
              </w:rPr>
            </w:pPr>
          </w:p>
        </w:tc>
      </w:tr>
      <w:tr w14:paraId="640C84A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FFC04E5">
            <w:pPr>
              <w:adjustRightInd w:val="0"/>
              <w:snapToGrid w:val="0"/>
              <w:spacing w:line="300" w:lineRule="exact"/>
              <w:jc w:val="center"/>
              <w:rPr>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28F097C8">
            <w:pPr>
              <w:adjustRightInd w:val="0"/>
              <w:snapToGrid w:val="0"/>
              <w:spacing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8666BDB">
            <w:pPr>
              <w:adjustRightInd w:val="0"/>
              <w:snapToGrid w:val="0"/>
              <w:spacing w:line="300" w:lineRule="exact"/>
              <w:jc w:val="center"/>
              <w:rPr>
                <w:szCs w:val="21"/>
                <w:highlight w:val="none"/>
              </w:rPr>
            </w:pPr>
            <w:r>
              <w:rPr>
                <w:szCs w:val="21"/>
                <w:highlight w:val="none"/>
              </w:rPr>
              <w:t>银行账号</w:t>
            </w:r>
          </w:p>
        </w:tc>
        <w:tc>
          <w:tcPr>
            <w:tcW w:w="1259" w:type="pct"/>
            <w:tcBorders>
              <w:top w:val="single" w:color="auto" w:sz="2" w:space="0"/>
              <w:left w:val="single" w:color="auto" w:sz="2" w:space="0"/>
              <w:bottom w:val="single" w:color="auto" w:sz="2" w:space="0"/>
            </w:tcBorders>
            <w:vAlign w:val="center"/>
          </w:tcPr>
          <w:p w14:paraId="19DD954E">
            <w:pPr>
              <w:adjustRightInd w:val="0"/>
              <w:snapToGrid w:val="0"/>
              <w:spacing w:line="300" w:lineRule="exact"/>
              <w:jc w:val="center"/>
              <w:rPr>
                <w:spacing w:val="20"/>
                <w:szCs w:val="21"/>
                <w:highlight w:val="none"/>
              </w:rPr>
            </w:pPr>
          </w:p>
        </w:tc>
      </w:tr>
      <w:tr w14:paraId="0423607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3A421362">
            <w:pPr>
              <w:pStyle w:val="6"/>
              <w:adjustRightInd w:val="0"/>
              <w:snapToGrid w:val="0"/>
              <w:spacing w:before="156" w:beforeLines="50" w:after="0" w:line="360" w:lineRule="auto"/>
              <w:ind w:left="0" w:leftChars="0"/>
              <w:jc w:val="left"/>
              <w:rPr>
                <w:spacing w:val="20"/>
                <w:szCs w:val="21"/>
                <w:highlight w:val="none"/>
              </w:rPr>
            </w:pPr>
            <w:r>
              <w:rPr>
                <w:rFonts w:hint="eastAsia" w:ascii="宋体" w:hAnsi="宋体"/>
                <w:szCs w:val="21"/>
                <w:highlight w:val="none"/>
              </w:rPr>
              <w:t>注：涉及联合体或其他合同主体的信息应按上表格式加列。</w:t>
            </w:r>
          </w:p>
        </w:tc>
      </w:tr>
    </w:tbl>
    <w:p w14:paraId="57A0D3E3">
      <w:pPr>
        <w:pStyle w:val="3"/>
        <w:adjustRightInd w:val="0"/>
        <w:snapToGrid w:val="0"/>
        <w:spacing w:before="156" w:beforeLines="50"/>
        <w:jc w:val="center"/>
        <w:rPr>
          <w:rFonts w:ascii="黑体" w:hAnsi="黑体" w:eastAsia="黑体"/>
          <w:sz w:val="28"/>
          <w:szCs w:val="28"/>
          <w:highlight w:val="none"/>
        </w:rPr>
      </w:pPr>
      <w:r>
        <w:rPr>
          <w:rFonts w:ascii="宋体" w:hAnsi="宋体"/>
          <w:sz w:val="21"/>
          <w:szCs w:val="21"/>
          <w:highlight w:val="none"/>
          <w:u w:val="single"/>
        </w:rPr>
        <w:br w:type="page"/>
      </w:r>
      <w:bookmarkStart w:id="2" w:name="_Toc27624"/>
      <w:r>
        <w:rPr>
          <w:rFonts w:hint="eastAsia" w:ascii="黑体" w:hAnsi="黑体" w:eastAsia="黑体"/>
          <w:b w:val="0"/>
          <w:bCs w:val="0"/>
          <w:sz w:val="28"/>
          <w:szCs w:val="28"/>
          <w:highlight w:val="none"/>
        </w:rPr>
        <w:t>第二节 政府采购合同通用条款</w:t>
      </w:r>
      <w:bookmarkEnd w:id="2"/>
    </w:p>
    <w:p w14:paraId="016FE8BC">
      <w:pPr>
        <w:tabs>
          <w:tab w:val="left" w:pos="8820"/>
          <w:tab w:val="left" w:pos="9345"/>
          <w:tab w:val="left" w:pos="9765"/>
        </w:tabs>
        <w:adjustRightInd w:val="0"/>
        <w:snapToGrid w:val="0"/>
        <w:spacing w:before="0" w:line="400" w:lineRule="exact"/>
        <w:jc w:val="left"/>
        <w:rPr>
          <w:rFonts w:ascii="宋体" w:hAnsi="宋体"/>
          <w:b/>
          <w:bCs/>
          <w:sz w:val="24"/>
          <w:highlight w:val="none"/>
        </w:rPr>
      </w:pPr>
      <w:r>
        <w:rPr>
          <w:rFonts w:hint="eastAsia" w:ascii="宋体" w:hAnsi="宋体"/>
          <w:b/>
          <w:sz w:val="24"/>
          <w:highlight w:val="none"/>
        </w:rPr>
        <w:t>1.</w:t>
      </w:r>
      <w:r>
        <w:rPr>
          <w:rFonts w:hint="eastAsia" w:ascii="宋体" w:hAnsi="宋体"/>
          <w:b/>
          <w:sz w:val="24"/>
          <w:highlight w:val="none"/>
          <w:lang w:val="en-US" w:eastAsia="zh-CN"/>
        </w:rPr>
        <w:t xml:space="preserve"> </w:t>
      </w:r>
      <w:r>
        <w:rPr>
          <w:rFonts w:hint="eastAsia" w:ascii="宋体" w:hAnsi="宋体"/>
          <w:b/>
          <w:bCs/>
          <w:sz w:val="24"/>
          <w:highlight w:val="none"/>
        </w:rPr>
        <w:t>定义</w:t>
      </w:r>
    </w:p>
    <w:p w14:paraId="07CA7831">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1.1合同当事人</w:t>
      </w:r>
    </w:p>
    <w:p w14:paraId="4C14F32A">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甲方</w:t>
      </w:r>
      <w:r>
        <w:rPr>
          <w:rFonts w:hint="eastAsia" w:ascii="宋体" w:hAnsi="宋体"/>
          <w:color w:val="auto"/>
          <w:szCs w:val="21"/>
          <w:highlight w:val="none"/>
        </w:rPr>
        <w:t>（以下称甲方）是指使用财政性资金，通过政府采购方式向供应商购买货物</w:t>
      </w:r>
      <w:r>
        <w:rPr>
          <w:rFonts w:hint="eastAsia" w:ascii="宋体" w:hAnsi="宋体"/>
          <w:color w:val="auto"/>
          <w:szCs w:val="21"/>
          <w:highlight w:val="none"/>
          <w:lang w:val="en-US" w:eastAsia="zh-CN"/>
        </w:rPr>
        <w:t>及其相关服务的</w:t>
      </w:r>
      <w:r>
        <w:rPr>
          <w:rFonts w:hint="eastAsia" w:ascii="宋体" w:hAnsi="宋体"/>
          <w:color w:val="auto"/>
          <w:szCs w:val="21"/>
          <w:highlight w:val="none"/>
        </w:rPr>
        <w:t>国家机关、事业单位、团体组织。</w:t>
      </w:r>
    </w:p>
    <w:p w14:paraId="39106984">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（2）供应商（以下称</w:t>
      </w:r>
      <w:r>
        <w:rPr>
          <w:rFonts w:hint="eastAsia" w:ascii="宋体" w:hAnsi="宋体"/>
          <w:color w:val="auto"/>
          <w:szCs w:val="21"/>
          <w:highlight w:val="none"/>
          <w:lang w:eastAsia="zh-CN"/>
        </w:rPr>
        <w:t>乙</w:t>
      </w:r>
      <w:r>
        <w:rPr>
          <w:rFonts w:hint="eastAsia" w:ascii="宋体" w:hAnsi="宋体"/>
          <w:color w:val="auto"/>
          <w:szCs w:val="21"/>
          <w:highlight w:val="none"/>
        </w:rPr>
        <w:t>方）是指参加政府采购活动并且中标（成交），向</w:t>
      </w:r>
      <w:r>
        <w:rPr>
          <w:rFonts w:hint="eastAsia" w:ascii="宋体" w:hAnsi="宋体"/>
          <w:color w:val="auto"/>
          <w:szCs w:val="21"/>
          <w:highlight w:val="none"/>
          <w:lang w:eastAsia="zh-CN"/>
        </w:rPr>
        <w:t>甲方</w:t>
      </w:r>
      <w:r>
        <w:rPr>
          <w:rFonts w:hint="eastAsia" w:ascii="宋体" w:hAnsi="宋体"/>
          <w:color w:val="auto"/>
          <w:szCs w:val="21"/>
          <w:highlight w:val="none"/>
        </w:rPr>
        <w:t>提供</w:t>
      </w:r>
      <w:r>
        <w:rPr>
          <w:rFonts w:hint="eastAsia" w:ascii="宋体" w:hAnsi="宋体"/>
          <w:color w:val="auto"/>
          <w:szCs w:val="21"/>
          <w:highlight w:val="none"/>
          <w:lang w:val="en-US" w:eastAsia="zh-CN"/>
        </w:rPr>
        <w:t>合同约定的货物及其相关服务的法人、非法人组织或者自然人</w:t>
      </w:r>
      <w:r>
        <w:rPr>
          <w:rFonts w:hint="eastAsia" w:ascii="宋体" w:hAnsi="宋体"/>
          <w:color w:val="auto"/>
          <w:szCs w:val="21"/>
          <w:highlight w:val="none"/>
        </w:rPr>
        <w:t>。</w:t>
      </w:r>
    </w:p>
    <w:p w14:paraId="3AA8C3D0">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（3）其他合同主体是指除</w:t>
      </w:r>
      <w:r>
        <w:rPr>
          <w:rFonts w:hint="eastAsia" w:ascii="宋体" w:hAnsi="宋体"/>
          <w:color w:val="auto"/>
          <w:szCs w:val="21"/>
          <w:highlight w:val="none"/>
          <w:lang w:eastAsia="zh-CN"/>
        </w:rPr>
        <w:t>甲方</w:t>
      </w:r>
      <w:r>
        <w:rPr>
          <w:rFonts w:hint="eastAsia" w:ascii="宋体" w:hAnsi="宋体"/>
          <w:color w:val="auto"/>
          <w:szCs w:val="21"/>
          <w:highlight w:val="none"/>
        </w:rPr>
        <w:t>和供应商以外，</w:t>
      </w:r>
      <w:r>
        <w:rPr>
          <w:rFonts w:hint="eastAsia" w:ascii="宋体" w:hAnsi="宋体" w:eastAsia="宋体" w:cs="宋体"/>
          <w:bCs/>
          <w:color w:val="000000" w:themeColor="text1"/>
          <w:szCs w:val="21"/>
          <w:highlight w:val="none"/>
          <w14:textFill>
            <w14:solidFill>
              <w14:schemeClr w14:val="tx1"/>
            </w14:solidFill>
          </w14:textFill>
        </w:rPr>
        <w:t>依法参与合同缔结或履行，享有权利、承担义务的合同当事人</w:t>
      </w:r>
      <w:r>
        <w:rPr>
          <w:rFonts w:hint="eastAsia" w:ascii="宋体" w:hAnsi="宋体"/>
          <w:color w:val="auto"/>
          <w:szCs w:val="21"/>
          <w:highlight w:val="none"/>
        </w:rPr>
        <w:t>。</w:t>
      </w:r>
    </w:p>
    <w:p w14:paraId="0C836E0D">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1.2本合同下列术语应解释为：</w:t>
      </w:r>
    </w:p>
    <w:p w14:paraId="0EE9E6B7">
      <w:pPr>
        <w:adjustRightInd w:val="0"/>
        <w:snapToGrid w:val="0"/>
        <w:spacing w:before="0" w:beforeLines="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（1）“合同”系指</w:t>
      </w:r>
      <w:r>
        <w:rPr>
          <w:rFonts w:hint="eastAsia" w:ascii="宋体" w:hAnsi="宋体" w:eastAsia="宋体" w:cs="宋体"/>
          <w:bCs/>
          <w:color w:val="000000" w:themeColor="text1"/>
          <w:szCs w:val="21"/>
          <w:highlight w:val="none"/>
          <w14:textFill>
            <w14:solidFill>
              <w14:schemeClr w14:val="tx1"/>
            </w14:solidFill>
          </w14:textFill>
        </w:rPr>
        <w:t>合同当事人意思表示达成一致的任何协议，包括签署的</w:t>
      </w:r>
      <w:r>
        <w:rPr>
          <w:rFonts w:hint="eastAsia" w:ascii="宋体" w:hAnsi="宋体"/>
          <w:color w:val="auto"/>
          <w:szCs w:val="21"/>
          <w:highlight w:val="none"/>
          <w:lang w:eastAsia="zh-CN"/>
        </w:rPr>
        <w:t>政府采购</w:t>
      </w:r>
      <w:r>
        <w:rPr>
          <w:rFonts w:hint="eastAsia" w:ascii="宋体" w:hAnsi="宋体"/>
          <w:color w:val="auto"/>
          <w:szCs w:val="21"/>
          <w:highlight w:val="none"/>
        </w:rPr>
        <w:t>合同协议书及其变更、补充</w:t>
      </w:r>
      <w:r>
        <w:rPr>
          <w:rFonts w:hint="eastAsia" w:ascii="宋体" w:hAnsi="宋体"/>
          <w:color w:val="auto"/>
          <w:szCs w:val="21"/>
          <w:highlight w:val="none"/>
          <w:lang w:eastAsia="zh-CN"/>
        </w:rPr>
        <w:t>协议，</w:t>
      </w:r>
      <w:r>
        <w:rPr>
          <w:rFonts w:hint="eastAsia" w:ascii="宋体" w:hAnsi="宋体"/>
          <w:szCs w:val="21"/>
          <w:highlight w:val="none"/>
        </w:rPr>
        <w:t>政府采购合同专用条款</w:t>
      </w:r>
      <w:r>
        <w:rPr>
          <w:rFonts w:hint="eastAsia" w:ascii="宋体" w:hAnsi="宋体"/>
          <w:szCs w:val="21"/>
          <w:highlight w:val="none"/>
          <w:lang w:eastAsia="zh-CN"/>
        </w:rPr>
        <w:t>，</w:t>
      </w:r>
      <w:r>
        <w:rPr>
          <w:rFonts w:hint="eastAsia" w:ascii="宋体" w:hAnsi="宋体"/>
          <w:szCs w:val="21"/>
          <w:highlight w:val="none"/>
        </w:rPr>
        <w:t>政府采购合同通用条款</w:t>
      </w:r>
      <w:r>
        <w:rPr>
          <w:rFonts w:hint="eastAsia" w:ascii="宋体" w:hAnsi="宋体"/>
          <w:szCs w:val="21"/>
          <w:highlight w:val="none"/>
          <w:lang w:eastAsia="zh-CN"/>
        </w:rPr>
        <w:t>，</w:t>
      </w:r>
      <w:r>
        <w:rPr>
          <w:rFonts w:hint="eastAsia" w:ascii="宋体" w:hAnsi="宋体"/>
          <w:color w:val="auto"/>
          <w:szCs w:val="21"/>
          <w:highlight w:val="none"/>
        </w:rPr>
        <w:t>中标</w:t>
      </w:r>
      <w:r>
        <w:rPr>
          <w:rFonts w:hint="eastAsia" w:ascii="宋体" w:hAnsi="宋体"/>
          <w:color w:val="auto"/>
          <w:szCs w:val="21"/>
          <w:highlight w:val="none"/>
          <w:lang w:eastAsia="zh-CN"/>
        </w:rPr>
        <w:t>（成交）</w:t>
      </w:r>
      <w:r>
        <w:rPr>
          <w:rFonts w:hint="eastAsia" w:ascii="宋体" w:hAnsi="宋体"/>
          <w:color w:val="auto"/>
          <w:szCs w:val="21"/>
          <w:highlight w:val="none"/>
        </w:rPr>
        <w:t>通知书</w:t>
      </w:r>
      <w:r>
        <w:rPr>
          <w:rFonts w:hint="eastAsia" w:ascii="宋体" w:hAnsi="宋体"/>
          <w:color w:val="auto"/>
          <w:szCs w:val="21"/>
          <w:highlight w:val="none"/>
          <w:lang w:eastAsia="zh-CN"/>
        </w:rPr>
        <w:t>，</w:t>
      </w:r>
      <w:r>
        <w:rPr>
          <w:rFonts w:hint="eastAsia" w:ascii="宋体" w:hAnsi="宋体"/>
          <w:szCs w:val="21"/>
          <w:highlight w:val="none"/>
        </w:rPr>
        <w:t>投标（响应）文件</w:t>
      </w:r>
      <w:r>
        <w:rPr>
          <w:rFonts w:hint="eastAsia" w:ascii="宋体" w:hAnsi="宋体"/>
          <w:szCs w:val="21"/>
          <w:highlight w:val="none"/>
          <w:lang w:eastAsia="zh-CN"/>
        </w:rPr>
        <w:t>，</w:t>
      </w:r>
      <w:r>
        <w:rPr>
          <w:rFonts w:hint="eastAsia" w:ascii="宋体" w:hAnsi="宋体"/>
          <w:szCs w:val="21"/>
          <w:highlight w:val="none"/>
        </w:rPr>
        <w:t>采购文件</w:t>
      </w:r>
      <w:r>
        <w:rPr>
          <w:rFonts w:hint="eastAsia" w:ascii="宋体" w:hAnsi="宋体"/>
          <w:szCs w:val="21"/>
          <w:highlight w:val="none"/>
          <w:lang w:eastAsia="zh-CN"/>
        </w:rPr>
        <w:t>，</w:t>
      </w:r>
      <w:r>
        <w:rPr>
          <w:rFonts w:hint="eastAsia" w:ascii="宋体" w:hAnsi="宋体"/>
          <w:szCs w:val="21"/>
          <w:highlight w:val="none"/>
        </w:rPr>
        <w:t>有关技术文件</w:t>
      </w:r>
      <w:r>
        <w:rPr>
          <w:rFonts w:hint="eastAsia" w:ascii="宋体" w:hAnsi="宋体"/>
          <w:szCs w:val="21"/>
          <w:highlight w:val="none"/>
          <w:lang w:eastAsia="zh-CN"/>
        </w:rPr>
        <w:t>和</w:t>
      </w:r>
      <w:r>
        <w:rPr>
          <w:rFonts w:hint="eastAsia" w:ascii="宋体" w:hAnsi="宋体"/>
          <w:szCs w:val="21"/>
          <w:highlight w:val="none"/>
        </w:rPr>
        <w:t>图纸</w:t>
      </w:r>
      <w:r>
        <w:rPr>
          <w:rFonts w:hint="eastAsia" w:ascii="宋体" w:hAnsi="宋体"/>
          <w:szCs w:val="21"/>
          <w:highlight w:val="none"/>
          <w:lang w:eastAsia="zh-CN"/>
        </w:rPr>
        <w:t>，以及</w:t>
      </w:r>
      <w:r>
        <w:rPr>
          <w:rFonts w:hint="eastAsia" w:ascii="宋体" w:hAnsi="宋体" w:eastAsia="宋体" w:cs="宋体"/>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r>
        <w:rPr>
          <w:rFonts w:hint="eastAsia" w:ascii="宋体" w:hAnsi="宋体"/>
          <w:color w:val="auto"/>
          <w:szCs w:val="21"/>
          <w:highlight w:val="none"/>
        </w:rPr>
        <w:t>。</w:t>
      </w:r>
    </w:p>
    <w:p w14:paraId="487FB986">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）“合同价</w:t>
      </w:r>
      <w:r>
        <w:rPr>
          <w:rFonts w:hint="eastAsia" w:ascii="宋体" w:hAnsi="宋体"/>
          <w:color w:val="auto"/>
          <w:szCs w:val="21"/>
          <w:highlight w:val="none"/>
          <w:lang w:val="en-US" w:eastAsia="zh-CN"/>
        </w:rPr>
        <w:t>款</w:t>
      </w:r>
      <w:r>
        <w:rPr>
          <w:rFonts w:hint="eastAsia" w:ascii="宋体" w:hAnsi="宋体"/>
          <w:color w:val="auto"/>
          <w:szCs w:val="21"/>
          <w:highlight w:val="none"/>
        </w:rPr>
        <w:t>”系指根据本合同规定乙方在全面履行合同义务后甲方应支付给乙方的价款。</w:t>
      </w:r>
    </w:p>
    <w:p w14:paraId="5C11817A">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包括软件）及相关的其备品备件、工具、手册及</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技术资料和材料</w:t>
      </w:r>
      <w:r>
        <w:rPr>
          <w:rFonts w:hint="eastAsia" w:ascii="宋体" w:hAnsi="宋体"/>
          <w:color w:val="000000" w:themeColor="text1"/>
          <w:szCs w:val="21"/>
          <w:highlight w:val="none"/>
          <w:lang w:eastAsia="zh-CN"/>
          <w14:textFill>
            <w14:solidFill>
              <w14:schemeClr w14:val="tx1"/>
            </w14:solidFill>
          </w14:textFill>
        </w:rPr>
        <w:t>等</w:t>
      </w:r>
      <w:r>
        <w:rPr>
          <w:rFonts w:hint="eastAsia" w:ascii="宋体" w:hAnsi="宋体"/>
          <w:color w:val="000000" w:themeColor="text1"/>
          <w:szCs w:val="21"/>
          <w:highlight w:val="none"/>
          <w14:textFill>
            <w14:solidFill>
              <w14:schemeClr w14:val="tx1"/>
            </w14:solidFill>
          </w14:textFill>
        </w:rPr>
        <w:t>。</w:t>
      </w:r>
    </w:p>
    <w:p w14:paraId="5DB93147">
      <w:pPr>
        <w:adjustRightInd w:val="0"/>
        <w:snapToGrid w:val="0"/>
        <w:spacing w:before="0" w:line="400" w:lineRule="exact"/>
        <w:ind w:firstLine="420" w:firstLineChars="200"/>
        <w:jc w:val="lef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auto"/>
          <w:szCs w:val="21"/>
          <w:highlight w:val="none"/>
          <w:lang w:val="en-US" w:eastAsia="zh-CN"/>
        </w:rPr>
        <w:t>相关</w:t>
      </w:r>
      <w:r>
        <w:rPr>
          <w:rFonts w:hint="eastAsia" w:ascii="宋体" w:hAnsi="宋体"/>
          <w:color w:val="000000" w:themeColor="text1"/>
          <w:szCs w:val="21"/>
          <w:highlight w:val="none"/>
          <w14:textFill>
            <w14:solidFill>
              <w14:schemeClr w14:val="tx1"/>
            </w14:solidFill>
          </w14:textFill>
        </w:rPr>
        <w:t>服务”系指根据合同规定，乙方应提供的</w:t>
      </w:r>
      <w:r>
        <w:rPr>
          <w:rFonts w:hint="eastAsia" w:ascii="宋体" w:hAnsi="宋体"/>
          <w:color w:val="000000" w:themeColor="text1"/>
          <w:szCs w:val="21"/>
          <w:highlight w:val="none"/>
          <w:lang w:val="en-US" w:eastAsia="zh-CN"/>
          <w14:textFill>
            <w14:solidFill>
              <w14:schemeClr w14:val="tx1"/>
            </w14:solidFill>
          </w14:textFill>
        </w:rPr>
        <w:t>与货物有关的</w:t>
      </w:r>
      <w:r>
        <w:rPr>
          <w:rFonts w:hint="eastAsia" w:ascii="宋体" w:hAnsi="宋体"/>
          <w:color w:val="000000" w:themeColor="text1"/>
          <w:szCs w:val="21"/>
          <w:highlight w:val="none"/>
          <w14:textFill>
            <w14:solidFill>
              <w14:schemeClr w14:val="tx1"/>
            </w14:solidFill>
          </w14:textFill>
        </w:rPr>
        <w:t>技术、管理和</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服务，包括但不限于：管理和质量保证、运输、保险、检验、现场准备、安装、集成、调试、培训、维修、</w:t>
      </w:r>
      <w:r>
        <w:rPr>
          <w:rFonts w:hint="eastAsia" w:ascii="宋体" w:hAnsi="宋体"/>
          <w:color w:val="000000" w:themeColor="text1"/>
          <w:szCs w:val="21"/>
          <w:highlight w:val="none"/>
          <w:lang w:eastAsia="zh-CN"/>
          <w14:textFill>
            <w14:solidFill>
              <w14:schemeClr w14:val="tx1"/>
            </w14:solidFill>
          </w14:textFill>
        </w:rPr>
        <w:t>废弃处置、</w:t>
      </w:r>
      <w:r>
        <w:rPr>
          <w:rFonts w:hint="eastAsia" w:ascii="宋体" w:hAnsi="宋体"/>
          <w:color w:val="000000" w:themeColor="text1"/>
          <w:szCs w:val="21"/>
          <w:highlight w:val="none"/>
          <w14:textFill>
            <w14:solidFill>
              <w14:schemeClr w14:val="tx1"/>
            </w14:solidFill>
          </w14:textFill>
        </w:rPr>
        <w:t>技术支持等以及合同中规定乙方应承担的</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义务。</w:t>
      </w:r>
    </w:p>
    <w:p w14:paraId="4E4E4715">
      <w:pPr>
        <w:adjustRightInd w:val="0"/>
        <w:snapToGrid w:val="0"/>
        <w:spacing w:before="0" w:line="400" w:lineRule="exact"/>
        <w:ind w:firstLine="420" w:firstLineChars="200"/>
        <w:jc w:val="lef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）“分包”系指中标</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成交</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供应商按采购文件、投标（响应）文件的规定，根据分包意向协议，将中标</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成交</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项目中的部分履约内容，分给具有相应资质条件的供应商履行合同的行为。</w:t>
      </w:r>
    </w:p>
    <w:p w14:paraId="335F13F6">
      <w:pPr>
        <w:tabs>
          <w:tab w:val="left" w:pos="570"/>
          <w:tab w:val="left" w:pos="9240"/>
          <w:tab w:val="left" w:pos="9555"/>
        </w:tabs>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w:t>
      </w:r>
      <w:r>
        <w:rPr>
          <w:rFonts w:hint="eastAsia" w:ascii="宋体" w:hAnsi="宋体"/>
          <w:szCs w:val="21"/>
          <w:highlight w:val="none"/>
        </w:rPr>
        <w:t>“联合体”系指</w:t>
      </w:r>
      <w:r>
        <w:rPr>
          <w:rFonts w:hint="eastAsia" w:ascii="宋体" w:hAnsi="宋体"/>
          <w:szCs w:val="21"/>
          <w:highlight w:val="none"/>
          <w:lang w:eastAsia="zh-CN"/>
        </w:rPr>
        <w:t>由</w:t>
      </w:r>
      <w:r>
        <w:rPr>
          <w:rFonts w:hint="eastAsia" w:ascii="宋体" w:hAnsi="宋体"/>
          <w:szCs w:val="21"/>
          <w:highlight w:val="none"/>
        </w:rPr>
        <w:t>两个以上的自然人、法人或者</w:t>
      </w:r>
      <w:r>
        <w:rPr>
          <w:rFonts w:hint="eastAsia" w:ascii="宋体" w:hAnsi="宋体"/>
          <w:szCs w:val="21"/>
          <w:highlight w:val="none"/>
          <w:lang w:val="en-US" w:eastAsia="zh-CN"/>
        </w:rPr>
        <w:t>非法人</w:t>
      </w:r>
      <w:r>
        <w:rPr>
          <w:rFonts w:hint="eastAsia" w:ascii="宋体" w:hAnsi="宋体"/>
          <w:szCs w:val="21"/>
          <w:highlight w:val="none"/>
        </w:rPr>
        <w:t>组织组成，</w:t>
      </w:r>
      <w:r>
        <w:rPr>
          <w:rFonts w:hint="eastAsia" w:ascii="宋体" w:hAnsi="宋体"/>
          <w:szCs w:val="21"/>
          <w:highlight w:val="none"/>
          <w:lang w:eastAsia="zh-CN"/>
        </w:rPr>
        <w:t>以一个供应商的身份共同参加政府采购的主体</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Cs w:val="21"/>
          <w:highlight w:val="none"/>
          <w:lang w:eastAsia="zh-CN"/>
          <w14:textFill>
            <w14:solidFill>
              <w14:schemeClr w14:val="tx1"/>
            </w14:solidFill>
          </w14:textFill>
        </w:rPr>
        <w:t>甲方</w:t>
      </w:r>
      <w:r>
        <w:rPr>
          <w:rFonts w:hint="eastAsia" w:ascii="宋体" w:hAnsi="宋体"/>
          <w:color w:val="000000" w:themeColor="text1"/>
          <w:szCs w:val="21"/>
          <w:highlight w:val="none"/>
          <w14:textFill>
            <w14:solidFill>
              <w14:schemeClr w14:val="tx1"/>
            </w14:solidFill>
          </w14:textFill>
        </w:rPr>
        <w:t>承担连带责任。联合体具体要求见【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24E68991">
      <w:pPr>
        <w:tabs>
          <w:tab w:val="left" w:pos="570"/>
          <w:tab w:val="left" w:pos="9240"/>
          <w:tab w:val="left" w:pos="9555"/>
        </w:tabs>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）其他术语解释，见【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0D84E395">
      <w:pPr>
        <w:numPr>
          <w:ilvl w:val="0"/>
          <w:numId w:val="4"/>
        </w:num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合同标的及金额</w:t>
      </w:r>
    </w:p>
    <w:p w14:paraId="368E8A55">
      <w:pPr>
        <w:autoSpaceDE w:val="0"/>
        <w:autoSpaceDN w:val="0"/>
        <w:adjustRightInd w:val="0"/>
        <w:snapToGrid w:val="0"/>
        <w:spacing w:before="0" w:line="400" w:lineRule="exact"/>
        <w:ind w:firstLine="420" w:firstLineChars="200"/>
        <w:jc w:val="lef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.1 合同标的及金额应与中标（成交）结果一致。乙方为履行本合同而发生的所有费用均应包含在合同</w:t>
      </w:r>
      <w:r>
        <w:rPr>
          <w:rFonts w:hint="eastAsia" w:ascii="宋体" w:hAnsi="宋体"/>
          <w:color w:val="000000" w:themeColor="text1"/>
          <w:szCs w:val="21"/>
          <w:highlight w:val="none"/>
          <w:lang w:eastAsia="zh-CN"/>
          <w14:textFill>
            <w14:solidFill>
              <w14:schemeClr w14:val="tx1"/>
            </w14:solidFill>
          </w14:textFill>
        </w:rPr>
        <w:t>价款</w:t>
      </w:r>
      <w:r>
        <w:rPr>
          <w:rFonts w:hint="eastAsia" w:ascii="宋体" w:hAnsi="宋体"/>
          <w:color w:val="000000" w:themeColor="text1"/>
          <w:szCs w:val="21"/>
          <w:highlight w:val="none"/>
          <w14:textFill>
            <w14:solidFill>
              <w14:schemeClr w14:val="tx1"/>
            </w14:solidFill>
          </w14:textFill>
        </w:rPr>
        <w:t>中，甲方不再另行支付</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任何费用。</w:t>
      </w:r>
    </w:p>
    <w:p w14:paraId="336B8CCE">
      <w:pPr>
        <w:adjustRightInd w:val="0"/>
        <w:snapToGrid w:val="0"/>
        <w:spacing w:before="0" w:line="400" w:lineRule="exact"/>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3</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履行合同的时间、地点和方式</w:t>
      </w:r>
    </w:p>
    <w:p w14:paraId="03BE8BD0">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 xml:space="preserve">.1 </w:t>
      </w:r>
      <w:r>
        <w:rPr>
          <w:rFonts w:hint="eastAsia" w:ascii="宋体" w:hAnsi="宋体" w:eastAsia="宋体" w:cs="宋体"/>
          <w:szCs w:val="21"/>
          <w:highlight w:val="none"/>
        </w:rPr>
        <w:t>乙方应当在约定的时间、地点</w:t>
      </w:r>
      <w:r>
        <w:rPr>
          <w:rFonts w:hint="eastAsia" w:ascii="宋体" w:hAnsi="宋体" w:cs="宋体"/>
          <w:szCs w:val="21"/>
          <w:highlight w:val="none"/>
          <w:lang w:eastAsia="zh-CN"/>
        </w:rPr>
        <w:t>，按照约定</w:t>
      </w:r>
      <w:r>
        <w:rPr>
          <w:rFonts w:hint="eastAsia" w:ascii="宋体" w:hAnsi="宋体" w:eastAsia="宋体" w:cs="宋体"/>
          <w:szCs w:val="21"/>
          <w:highlight w:val="none"/>
        </w:rPr>
        <w:t>方式履行合同。</w:t>
      </w:r>
    </w:p>
    <w:p w14:paraId="269CFA67">
      <w:p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4</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甲方的权利和义务</w:t>
      </w:r>
    </w:p>
    <w:p w14:paraId="7AC9FE0D">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lang w:eastAsia="zh-CN"/>
          <w14:textFill>
            <w14:solidFill>
              <w14:schemeClr w14:val="tx1"/>
            </w14:solidFill>
          </w14:textFill>
        </w:rPr>
        <w:t>应</w:t>
      </w:r>
      <w:r>
        <w:rPr>
          <w:rFonts w:ascii="宋体" w:hAnsi="宋体"/>
          <w:color w:val="000000" w:themeColor="text1"/>
          <w:szCs w:val="21"/>
          <w:highlight w:val="none"/>
          <w14:textFill>
            <w14:solidFill>
              <w14:schemeClr w14:val="tx1"/>
            </w14:solidFill>
          </w14:textFill>
        </w:rPr>
        <w:t>确定</w:t>
      </w:r>
      <w:r>
        <w:rPr>
          <w:rFonts w:hint="eastAsia" w:ascii="宋体" w:hAnsi="宋体"/>
          <w:color w:val="000000" w:themeColor="text1"/>
          <w:szCs w:val="21"/>
          <w:highlight w:val="none"/>
          <w:lang w:val="en-US" w:eastAsia="zh-CN"/>
          <w14:textFill>
            <w14:solidFill>
              <w14:schemeClr w14:val="tx1"/>
            </w14:solidFill>
          </w14:textFill>
        </w:rPr>
        <w:t>项目负责人（或项目联系人）</w:t>
      </w:r>
      <w:r>
        <w:rPr>
          <w:rFonts w:ascii="宋体" w:hAnsi="宋体"/>
          <w:color w:val="000000" w:themeColor="text1"/>
          <w:szCs w:val="21"/>
          <w:highlight w:val="none"/>
          <w14:textFill>
            <w14:solidFill>
              <w14:schemeClr w14:val="tx1"/>
            </w14:solidFill>
          </w14:textFill>
        </w:rPr>
        <w:t>，负责与本合同有关的事务。</w:t>
      </w:r>
      <w:r>
        <w:rPr>
          <w:rFonts w:hint="eastAsia" w:ascii="宋体" w:hAnsi="宋体"/>
          <w:color w:val="000000" w:themeColor="text1"/>
          <w:szCs w:val="21"/>
          <w:highlight w:val="none"/>
          <w14:textFill>
            <w14:solidFill>
              <w14:schemeClr w14:val="tx1"/>
            </w14:solidFill>
          </w14:textFill>
        </w:rPr>
        <w:t>甲方有权对乙方的履约行为进行检查，并</w:t>
      </w:r>
      <w:r>
        <w:rPr>
          <w:rFonts w:ascii="宋体" w:hAnsi="宋体"/>
          <w:color w:val="000000" w:themeColor="text1"/>
          <w:szCs w:val="21"/>
          <w:highlight w:val="none"/>
          <w14:textFill>
            <w14:solidFill>
              <w14:schemeClr w14:val="tx1"/>
            </w14:solidFill>
          </w14:textFill>
        </w:rPr>
        <w:t>及时确认乙方提交的事项</w:t>
      </w:r>
      <w:r>
        <w:rPr>
          <w:rFonts w:hint="eastAsia" w:ascii="宋体" w:hAnsi="宋体"/>
          <w:color w:val="000000" w:themeColor="text1"/>
          <w:szCs w:val="21"/>
          <w:highlight w:val="none"/>
          <w14:textFill>
            <w14:solidFill>
              <w14:schemeClr w14:val="tx1"/>
            </w14:solidFill>
          </w14:textFill>
        </w:rPr>
        <w:t>。甲方应当</w:t>
      </w:r>
      <w:r>
        <w:rPr>
          <w:rFonts w:ascii="宋体" w:hAnsi="宋体"/>
          <w:color w:val="000000" w:themeColor="text1"/>
          <w:szCs w:val="21"/>
          <w:highlight w:val="none"/>
          <w14:textFill>
            <w14:solidFill>
              <w14:schemeClr w14:val="tx1"/>
            </w14:solidFill>
          </w14:textFill>
        </w:rPr>
        <w:t>配合乙方完成</w:t>
      </w:r>
      <w:r>
        <w:rPr>
          <w:rFonts w:hint="eastAsia" w:ascii="宋体" w:hAnsi="宋体"/>
          <w:color w:val="000000" w:themeColor="text1"/>
          <w:szCs w:val="21"/>
          <w:highlight w:val="none"/>
          <w14:textFill>
            <w14:solidFill>
              <w14:schemeClr w14:val="tx1"/>
            </w14:solidFill>
          </w14:textFill>
        </w:rPr>
        <w:t>相关项目</w:t>
      </w:r>
      <w:r>
        <w:rPr>
          <w:rFonts w:ascii="宋体" w:hAnsi="宋体"/>
          <w:color w:val="000000" w:themeColor="text1"/>
          <w:szCs w:val="21"/>
          <w:highlight w:val="none"/>
          <w14:textFill>
            <w14:solidFill>
              <w14:schemeClr w14:val="tx1"/>
            </w14:solidFill>
          </w14:textFill>
        </w:rPr>
        <w:t>实施工作。</w:t>
      </w:r>
    </w:p>
    <w:p w14:paraId="591FDB47">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 xml:space="preserve">.2 </w:t>
      </w:r>
      <w:r>
        <w:rPr>
          <w:rFonts w:ascii="宋体" w:hAnsi="宋体"/>
          <w:color w:val="000000" w:themeColor="text1"/>
          <w:szCs w:val="21"/>
          <w:highlight w:val="none"/>
          <w14:textFill>
            <w14:solidFill>
              <w14:schemeClr w14:val="tx1"/>
            </w14:solidFill>
          </w14:textFill>
        </w:rPr>
        <w:t>甲方有权要求乙方按时提交各阶段有关</w:t>
      </w:r>
      <w:r>
        <w:rPr>
          <w:rFonts w:hint="eastAsia" w:ascii="宋体" w:hAnsi="宋体"/>
          <w:color w:val="000000" w:themeColor="text1"/>
          <w:szCs w:val="21"/>
          <w:highlight w:val="none"/>
          <w14:textFill>
            <w14:solidFill>
              <w14:schemeClr w14:val="tx1"/>
            </w14:solidFill>
          </w14:textFill>
        </w:rPr>
        <w:t>安排计划</w:t>
      </w:r>
      <w:r>
        <w:rPr>
          <w:rFonts w:ascii="宋体" w:hAnsi="宋体"/>
          <w:color w:val="000000" w:themeColor="text1"/>
          <w:szCs w:val="21"/>
          <w:highlight w:val="none"/>
          <w14:textFill>
            <w14:solidFill>
              <w14:schemeClr w14:val="tx1"/>
            </w14:solidFill>
          </w14:textFill>
        </w:rPr>
        <w:t>，并有权</w:t>
      </w:r>
      <w:r>
        <w:rPr>
          <w:rFonts w:hint="eastAsia" w:ascii="宋体" w:hAnsi="宋体"/>
          <w:color w:val="000000" w:themeColor="text1"/>
          <w:szCs w:val="21"/>
          <w:highlight w:val="none"/>
          <w14:textFill>
            <w14:solidFill>
              <w14:schemeClr w14:val="tx1"/>
            </w14:solidFill>
          </w14:textFill>
        </w:rPr>
        <w:t>定期核对乙方提供货物数量、规格、质量等内容。甲方</w:t>
      </w:r>
      <w:r>
        <w:rPr>
          <w:rFonts w:ascii="宋体" w:hAnsi="宋体"/>
          <w:color w:val="000000" w:themeColor="text1"/>
          <w:szCs w:val="21"/>
          <w:highlight w:val="none"/>
          <w14:textFill>
            <w14:solidFill>
              <w14:schemeClr w14:val="tx1"/>
            </w14:solidFill>
          </w14:textFill>
        </w:rPr>
        <w:t>有权督促乙方工作并要求乙方</w:t>
      </w:r>
      <w:r>
        <w:rPr>
          <w:rFonts w:hint="eastAsia" w:ascii="宋体" w:hAnsi="宋体"/>
          <w:color w:val="000000" w:themeColor="text1"/>
          <w:szCs w:val="21"/>
          <w:highlight w:val="none"/>
          <w14:textFill>
            <w14:solidFill>
              <w14:schemeClr w14:val="tx1"/>
            </w14:solidFill>
          </w14:textFill>
        </w:rPr>
        <w:t>更</w:t>
      </w:r>
      <w:r>
        <w:rPr>
          <w:rFonts w:ascii="宋体" w:hAnsi="宋体"/>
          <w:color w:val="000000" w:themeColor="text1"/>
          <w:szCs w:val="21"/>
          <w:highlight w:val="none"/>
          <w14:textFill>
            <w14:solidFill>
              <w14:schemeClr w14:val="tx1"/>
            </w14:solidFill>
          </w14:textFill>
        </w:rPr>
        <w:t>换不符合要求的</w:t>
      </w:r>
      <w:r>
        <w:rPr>
          <w:rFonts w:hint="eastAsia" w:ascii="宋体" w:hAnsi="宋体"/>
          <w:color w:val="000000" w:themeColor="text1"/>
          <w:szCs w:val="21"/>
          <w:highlight w:val="none"/>
          <w14:textFill>
            <w14:solidFill>
              <w14:schemeClr w14:val="tx1"/>
            </w14:solidFill>
          </w14:textFill>
        </w:rPr>
        <w:t>货物</w:t>
      </w:r>
      <w:r>
        <w:rPr>
          <w:rFonts w:ascii="宋体" w:hAnsi="宋体"/>
          <w:color w:val="000000" w:themeColor="text1"/>
          <w:szCs w:val="21"/>
          <w:highlight w:val="none"/>
          <w14:textFill>
            <w14:solidFill>
              <w14:schemeClr w14:val="tx1"/>
            </w14:solidFill>
          </w14:textFill>
        </w:rPr>
        <w:t>。</w:t>
      </w:r>
    </w:p>
    <w:p w14:paraId="4908EE13">
      <w:pPr>
        <w:autoSpaceDE w:val="0"/>
        <w:autoSpaceDN w:val="0"/>
        <w:adjustRightInd w:val="0"/>
        <w:snapToGrid w:val="0"/>
        <w:spacing w:before="0"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甲方</w:t>
      </w:r>
      <w:r>
        <w:rPr>
          <w:rFonts w:hint="eastAsia" w:ascii="宋体" w:hAnsi="宋体"/>
          <w:color w:val="000000" w:themeColor="text1"/>
          <w:szCs w:val="21"/>
          <w:highlight w:val="none"/>
          <w14:textFill>
            <w14:solidFill>
              <w14:schemeClr w14:val="tx1"/>
            </w14:solidFill>
          </w14:textFill>
        </w:rPr>
        <w:t>有权要求乙方对缺陷部分予以修复，并按合同约定享有货物保修及其他合同约定的权利。</w:t>
      </w:r>
    </w:p>
    <w:p w14:paraId="5B0BC749">
      <w:pPr>
        <w:snapToGrid w:val="0"/>
        <w:spacing w:line="400" w:lineRule="exact"/>
        <w:ind w:firstLine="420" w:firstLineChars="200"/>
        <w:rPr>
          <w:rFonts w:hint="eastAsia" w:eastAsia="华文楷体"/>
          <w:highlight w:val="none"/>
          <w:lang w:val="en-US" w:eastAsia="zh-CN"/>
        </w:rPr>
      </w:pPr>
      <w:r>
        <w:rPr>
          <w:rFonts w:hint="default" w:ascii="宋体" w:hAnsi="宋体"/>
          <w:color w:val="000000" w:themeColor="text1"/>
          <w:szCs w:val="21"/>
          <w:highlight w:val="none"/>
          <w:lang w:val="en-US" w:eastAsia="zh-CN"/>
          <w14:textFill>
            <w14:solidFill>
              <w14:schemeClr w14:val="tx1"/>
            </w14:solidFill>
          </w14:textFill>
        </w:rPr>
        <w:t>4.4 甲方应当按照合同约定及时对交付的货物进行验收</w:t>
      </w:r>
      <w:r>
        <w:rPr>
          <w:rFonts w:hint="eastAsia" w:ascii="宋体" w:hAnsi="宋体"/>
          <w:color w:val="000000" w:themeColor="text1"/>
          <w:szCs w:val="21"/>
          <w:highlight w:val="none"/>
          <w:lang w:val="en-US" w:eastAsia="zh-CN"/>
          <w14:textFill>
            <w14:solidFill>
              <w14:schemeClr w14:val="tx1"/>
            </w14:solidFill>
          </w14:textFill>
        </w:rPr>
        <w:t>，</w:t>
      </w:r>
      <w:r>
        <w:rPr>
          <w:rFonts w:hint="eastAsia" w:ascii="宋体" w:hAnsi="宋体" w:cs="宋体"/>
          <w:b w:val="0"/>
          <w:bCs w:val="0"/>
          <w:szCs w:val="21"/>
          <w:highlight w:val="none"/>
          <w:lang w:eastAsia="zh-CN"/>
        </w:rPr>
        <w:t>未</w:t>
      </w:r>
      <w:r>
        <w:rPr>
          <w:rFonts w:hint="eastAsia" w:ascii="宋体" w:hAnsi="宋体"/>
          <w:color w:val="000000" w:themeColor="text1"/>
          <w:szCs w:val="21"/>
          <w:highlight w:val="none"/>
          <w:lang w:val="en-US" w:eastAsia="zh-CN"/>
          <w14:textFill>
            <w14:solidFill>
              <w14:schemeClr w14:val="tx1"/>
            </w14:solidFill>
          </w14:textFill>
        </w:rPr>
        <w:t>在</w:t>
      </w:r>
      <w:r>
        <w:rPr>
          <w:rFonts w:hint="eastAsia" w:ascii="宋体" w:hAnsi="宋体" w:eastAsia="宋体" w:cs="宋体"/>
          <w:b/>
          <w:bCs/>
          <w:szCs w:val="21"/>
          <w:highlight w:val="none"/>
        </w:rPr>
        <w:t>【政府采购合同专用条款】</w:t>
      </w:r>
      <w:r>
        <w:rPr>
          <w:rFonts w:hint="eastAsia" w:ascii="宋体" w:hAnsi="宋体" w:cs="宋体"/>
          <w:b w:val="0"/>
          <w:bCs w:val="0"/>
          <w:szCs w:val="21"/>
          <w:highlight w:val="none"/>
          <w:lang w:eastAsia="zh-CN"/>
        </w:rPr>
        <w:t>约定的期限内对乙方履约提出任何异议或者向乙方作出任何说明的，</w:t>
      </w:r>
      <w:r>
        <w:rPr>
          <w:rFonts w:hint="eastAsia" w:ascii="宋体" w:hAnsi="宋体"/>
          <w:color w:val="000000" w:themeColor="text1"/>
          <w:szCs w:val="21"/>
          <w:highlight w:val="none"/>
          <w:lang w:val="en-US" w:eastAsia="zh-CN"/>
          <w14:textFill>
            <w14:solidFill>
              <w14:schemeClr w14:val="tx1"/>
            </w14:solidFill>
          </w14:textFill>
        </w:rPr>
        <w:t>视为验收通过。</w:t>
      </w:r>
    </w:p>
    <w:p w14:paraId="37EE5C8F">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hint="default" w:ascii="宋体" w:hAnsi="宋体"/>
          <w:color w:val="000000" w:themeColor="text1"/>
          <w:szCs w:val="21"/>
          <w:highlight w:val="none"/>
          <w:lang w:val="en-US" w:eastAsia="zh-CN"/>
          <w14:textFill>
            <w14:solidFill>
              <w14:schemeClr w14:val="tx1"/>
            </w14:solidFill>
          </w14:textFill>
        </w:rPr>
        <w:t>5</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甲方应当根据合同约定</w:t>
      </w:r>
      <w:r>
        <w:rPr>
          <w:rFonts w:hint="eastAsia" w:ascii="宋体" w:hAnsi="宋体"/>
          <w:color w:val="000000" w:themeColor="text1"/>
          <w:szCs w:val="21"/>
          <w:highlight w:val="none"/>
          <w:lang w:eastAsia="zh-CN"/>
          <w14:textFill>
            <w14:solidFill>
              <w14:schemeClr w14:val="tx1"/>
            </w14:solidFill>
          </w14:textFill>
        </w:rPr>
        <w:t>及</w:t>
      </w:r>
      <w:r>
        <w:rPr>
          <w:rFonts w:hint="eastAsia" w:ascii="宋体" w:hAnsi="宋体"/>
          <w:color w:val="000000" w:themeColor="text1"/>
          <w:szCs w:val="21"/>
          <w:highlight w:val="none"/>
          <w14:textFill>
            <w14:solidFill>
              <w14:schemeClr w14:val="tx1"/>
            </w14:solidFill>
          </w14:textFill>
        </w:rPr>
        <w:t>时向乙方支付</w:t>
      </w:r>
      <w:r>
        <w:rPr>
          <w:rFonts w:hint="eastAsia" w:ascii="宋体" w:hAnsi="宋体"/>
          <w:color w:val="000000" w:themeColor="text1"/>
          <w:szCs w:val="21"/>
          <w:highlight w:val="none"/>
          <w:lang w:eastAsia="zh-CN"/>
          <w14:textFill>
            <w14:solidFill>
              <w14:schemeClr w14:val="tx1"/>
            </w14:solidFill>
          </w14:textFill>
        </w:rPr>
        <w:t>合同价款</w:t>
      </w:r>
      <w:r>
        <w:rPr>
          <w:rFonts w:hint="default" w:ascii="宋体" w:hAnsi="宋体"/>
          <w:color w:val="000000" w:themeColor="text1"/>
          <w:szCs w:val="21"/>
          <w:highlight w:val="none"/>
          <w:lang w:eastAsia="zh-CN"/>
          <w14:textFill>
            <w14:solidFill>
              <w14:schemeClr w14:val="tx1"/>
            </w14:solidFill>
          </w14:textFill>
        </w:rPr>
        <w:t>，不得以内部人员变更、履行内部付款流程等为由，拒绝或迟延支付。</w:t>
      </w:r>
    </w:p>
    <w:p w14:paraId="1FE38AD0">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国家法律法规规定</w:t>
      </w:r>
      <w:r>
        <w:rPr>
          <w:rFonts w:hint="eastAsia" w:ascii="宋体" w:hAnsi="宋体"/>
          <w:color w:val="000000" w:themeColor="text1"/>
          <w:szCs w:val="21"/>
          <w:highlight w:val="none"/>
          <w:lang w:eastAsia="zh-CN"/>
          <w14:textFill>
            <w14:solidFill>
              <w14:schemeClr w14:val="tx1"/>
            </w14:solidFill>
          </w14:textFill>
        </w:rPr>
        <w:t>及</w:t>
      </w:r>
      <w:r>
        <w:rPr>
          <w:rFonts w:hint="eastAsia" w:ascii="宋体" w:hAnsi="宋体" w:eastAsia="宋体" w:cs="宋体"/>
          <w:b/>
          <w:bCs/>
          <w:szCs w:val="21"/>
          <w:highlight w:val="none"/>
        </w:rPr>
        <w:t>【政府采购合同专用条款】</w:t>
      </w:r>
      <w:r>
        <w:rPr>
          <w:rFonts w:hint="eastAsia" w:ascii="宋体" w:hAnsi="宋体"/>
          <w:color w:val="000000" w:themeColor="text1"/>
          <w:szCs w:val="21"/>
          <w:highlight w:val="none"/>
          <w:lang w:eastAsia="zh-CN"/>
          <w14:textFill>
            <w14:solidFill>
              <w14:schemeClr w14:val="tx1"/>
            </w14:solidFill>
          </w14:textFill>
        </w:rPr>
        <w:t>约定应</w:t>
      </w:r>
      <w:r>
        <w:rPr>
          <w:rFonts w:hint="eastAsia" w:ascii="宋体" w:hAnsi="宋体"/>
          <w:color w:val="000000" w:themeColor="text1"/>
          <w:szCs w:val="21"/>
          <w:highlight w:val="none"/>
          <w14:textFill>
            <w14:solidFill>
              <w14:schemeClr w14:val="tx1"/>
            </w14:solidFill>
          </w14:textFill>
        </w:rPr>
        <w:t>由甲方承担的其他义务和责任。</w:t>
      </w:r>
    </w:p>
    <w:p w14:paraId="2E9D204F">
      <w:p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5</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乙方的权利和义务</w:t>
      </w:r>
    </w:p>
    <w:p w14:paraId="1867E480">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 xml:space="preserve">.1 </w:t>
      </w:r>
      <w:r>
        <w:rPr>
          <w:rFonts w:ascii="宋体" w:hAnsi="宋体"/>
          <w:color w:val="000000" w:themeColor="text1"/>
          <w:szCs w:val="21"/>
          <w:highlight w:val="none"/>
          <w14:textFill>
            <w14:solidFill>
              <w14:schemeClr w14:val="tx1"/>
            </w14:solidFill>
          </w14:textFill>
        </w:rPr>
        <w:t>签署合同后，乙方</w:t>
      </w:r>
      <w:r>
        <w:rPr>
          <w:rFonts w:hint="eastAsia" w:ascii="宋体" w:hAnsi="宋体"/>
          <w:color w:val="000000" w:themeColor="text1"/>
          <w:szCs w:val="21"/>
          <w:highlight w:val="none"/>
          <w:lang w:eastAsia="zh-CN"/>
          <w14:textFill>
            <w14:solidFill>
              <w14:schemeClr w14:val="tx1"/>
            </w14:solidFill>
          </w14:textFill>
        </w:rPr>
        <w:t>应</w:t>
      </w:r>
      <w:r>
        <w:rPr>
          <w:rFonts w:ascii="宋体" w:hAnsi="宋体"/>
          <w:color w:val="000000" w:themeColor="text1"/>
          <w:szCs w:val="21"/>
          <w:highlight w:val="none"/>
          <w14:textFill>
            <w14:solidFill>
              <w14:schemeClr w14:val="tx1"/>
            </w14:solidFill>
          </w14:textFill>
        </w:rPr>
        <w:t>确定</w:t>
      </w:r>
      <w:r>
        <w:rPr>
          <w:rFonts w:hint="eastAsia" w:ascii="宋体" w:hAnsi="宋体"/>
          <w:color w:val="000000" w:themeColor="text1"/>
          <w:szCs w:val="21"/>
          <w:highlight w:val="none"/>
          <w:lang w:val="en-US" w:eastAsia="zh-CN"/>
          <w14:textFill>
            <w14:solidFill>
              <w14:schemeClr w14:val="tx1"/>
            </w14:solidFill>
          </w14:textFill>
        </w:rPr>
        <w:t>项目负责人（或项目联系人）</w:t>
      </w:r>
      <w:r>
        <w:rPr>
          <w:rFonts w:ascii="宋体" w:hAnsi="宋体"/>
          <w:color w:val="000000" w:themeColor="text1"/>
          <w:szCs w:val="21"/>
          <w:highlight w:val="none"/>
          <w14:textFill>
            <w14:solidFill>
              <w14:schemeClr w14:val="tx1"/>
            </w14:solidFill>
          </w14:textFill>
        </w:rPr>
        <w:t>，负责与本合同有关的事务。</w:t>
      </w:r>
    </w:p>
    <w:p w14:paraId="0D99E6CC">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2 乙方应按照合同要求</w:t>
      </w:r>
      <w:r>
        <w:rPr>
          <w:rFonts w:hint="eastAsia" w:ascii="宋体" w:hAnsi="宋体"/>
          <w:color w:val="000000" w:themeColor="text1"/>
          <w:szCs w:val="21"/>
          <w:highlight w:val="none"/>
          <w14:textFill>
            <w14:solidFill>
              <w14:schemeClr w14:val="tx1"/>
            </w14:solidFill>
          </w14:textFill>
        </w:rPr>
        <w:t>履约</w:t>
      </w:r>
      <w:r>
        <w:rPr>
          <w:rFonts w:ascii="宋体" w:hAnsi="宋体"/>
          <w:color w:val="000000" w:themeColor="text1"/>
          <w:szCs w:val="21"/>
          <w:highlight w:val="none"/>
          <w14:textFill>
            <w14:solidFill>
              <w14:schemeClr w14:val="tx1"/>
            </w14:solidFill>
          </w14:textFill>
        </w:rPr>
        <w:t>，充分合理安排，确保</w:t>
      </w:r>
      <w:r>
        <w:rPr>
          <w:rFonts w:hint="eastAsia" w:ascii="宋体" w:hAnsi="宋体"/>
          <w:color w:val="000000" w:themeColor="text1"/>
          <w:szCs w:val="21"/>
          <w:highlight w:val="none"/>
          <w14:textFill>
            <w14:solidFill>
              <w14:schemeClr w14:val="tx1"/>
            </w14:solidFill>
          </w14:textFill>
        </w:rPr>
        <w:t>提供的货物</w:t>
      </w:r>
      <w:r>
        <w:rPr>
          <w:rFonts w:hint="eastAsia" w:ascii="宋体" w:hAnsi="宋体"/>
          <w:color w:val="000000" w:themeColor="text1"/>
          <w:szCs w:val="21"/>
          <w:highlight w:val="none"/>
          <w:lang w:eastAsia="zh-CN"/>
          <w14:textFill>
            <w14:solidFill>
              <w14:schemeClr w14:val="tx1"/>
            </w14:solidFill>
          </w14:textFill>
        </w:rPr>
        <w:t>及相关</w:t>
      </w:r>
      <w:r>
        <w:rPr>
          <w:rFonts w:hint="eastAsia" w:ascii="宋体" w:hAnsi="宋体"/>
          <w:color w:val="000000" w:themeColor="text1"/>
          <w:szCs w:val="21"/>
          <w:highlight w:val="none"/>
          <w14:textFill>
            <w14:solidFill>
              <w14:schemeClr w14:val="tx1"/>
            </w14:solidFill>
          </w14:textFill>
        </w:rPr>
        <w:t>服务符合合同</w:t>
      </w:r>
      <w:r>
        <w:rPr>
          <w:rFonts w:hint="eastAsia" w:ascii="宋体" w:hAnsi="宋体"/>
          <w:color w:val="000000" w:themeColor="text1"/>
          <w:szCs w:val="21"/>
          <w:highlight w:val="none"/>
          <w:lang w:eastAsia="zh-CN"/>
          <w14:textFill>
            <w14:solidFill>
              <w14:schemeClr w14:val="tx1"/>
            </w14:solidFill>
          </w14:textFill>
        </w:rPr>
        <w:t>有关</w:t>
      </w:r>
      <w:r>
        <w:rPr>
          <w:rFonts w:ascii="宋体" w:hAnsi="宋体"/>
          <w:color w:val="000000" w:themeColor="text1"/>
          <w:szCs w:val="21"/>
          <w:highlight w:val="none"/>
          <w14:textFill>
            <w14:solidFill>
              <w14:schemeClr w14:val="tx1"/>
            </w14:solidFill>
          </w14:textFill>
        </w:rPr>
        <w:t>要求</w:t>
      </w:r>
      <w:r>
        <w:rPr>
          <w:rFonts w:hint="eastAsia" w:ascii="宋体" w:hAnsi="宋体"/>
          <w:color w:val="000000" w:themeColor="text1"/>
          <w:szCs w:val="21"/>
          <w:highlight w:val="none"/>
          <w14:textFill>
            <w14:solidFill>
              <w14:schemeClr w14:val="tx1"/>
            </w14:solidFill>
          </w14:textFill>
        </w:rPr>
        <w:t>。接受项目行业管理部门及政府有关部门的指导，配合甲方的履约检查</w:t>
      </w:r>
      <w:r>
        <w:rPr>
          <w:rFonts w:hint="eastAsia" w:ascii="宋体" w:hAnsi="宋体"/>
          <w:color w:val="000000" w:themeColor="text1"/>
          <w:szCs w:val="21"/>
          <w:highlight w:val="none"/>
          <w:lang w:eastAsia="zh-CN"/>
          <w14:textFill>
            <w14:solidFill>
              <w14:schemeClr w14:val="tx1"/>
            </w14:solidFill>
          </w14:textFill>
        </w:rPr>
        <w:t>及验收</w:t>
      </w:r>
      <w:r>
        <w:rPr>
          <w:rFonts w:hint="eastAsia" w:ascii="宋体" w:hAnsi="宋体"/>
          <w:color w:val="000000" w:themeColor="text1"/>
          <w:szCs w:val="21"/>
          <w:highlight w:val="none"/>
          <w14:textFill>
            <w14:solidFill>
              <w14:schemeClr w14:val="tx1"/>
            </w14:solidFill>
          </w14:textFill>
        </w:rPr>
        <w:t>，并</w:t>
      </w:r>
      <w:r>
        <w:rPr>
          <w:rFonts w:ascii="宋体" w:hAnsi="宋体"/>
          <w:color w:val="000000" w:themeColor="text1"/>
          <w:szCs w:val="21"/>
          <w:highlight w:val="none"/>
          <w14:textFill>
            <w14:solidFill>
              <w14:schemeClr w14:val="tx1"/>
            </w14:solidFill>
          </w14:textFill>
        </w:rPr>
        <w:t>负责项目实施过程中的所有协调工作。</w:t>
      </w:r>
    </w:p>
    <w:p w14:paraId="4832D50F">
      <w:pPr>
        <w:autoSpaceDE w:val="0"/>
        <w:autoSpaceDN w:val="0"/>
        <w:adjustRightInd w:val="0"/>
        <w:snapToGrid w:val="0"/>
        <w:spacing w:before="0"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乙方有权</w:t>
      </w:r>
      <w:r>
        <w:rPr>
          <w:rFonts w:hint="eastAsia" w:ascii="宋体" w:hAnsi="宋体" w:cs="宋体"/>
          <w:color w:val="000000" w:themeColor="text1"/>
          <w:szCs w:val="21"/>
          <w:highlight w:val="none"/>
          <w14:textFill>
            <w14:solidFill>
              <w14:schemeClr w14:val="tx1"/>
            </w14:solidFill>
          </w14:textFill>
        </w:rPr>
        <w:t>根据合同约定向甲方收取</w:t>
      </w:r>
      <w:r>
        <w:rPr>
          <w:rFonts w:hint="eastAsia" w:ascii="宋体" w:hAnsi="宋体" w:cs="宋体"/>
          <w:color w:val="000000" w:themeColor="text1"/>
          <w:szCs w:val="21"/>
          <w:highlight w:val="none"/>
          <w:lang w:eastAsia="zh-CN"/>
          <w14:textFill>
            <w14:solidFill>
              <w14:schemeClr w14:val="tx1"/>
            </w14:solidFill>
          </w14:textFill>
        </w:rPr>
        <w:t>合同价款</w:t>
      </w:r>
      <w:r>
        <w:rPr>
          <w:rFonts w:hint="eastAsia" w:ascii="宋体" w:hAnsi="宋体" w:cs="宋体"/>
          <w:color w:val="000000" w:themeColor="text1"/>
          <w:szCs w:val="21"/>
          <w:highlight w:val="none"/>
          <w14:textFill>
            <w14:solidFill>
              <w14:schemeClr w14:val="tx1"/>
            </w14:solidFill>
          </w14:textFill>
        </w:rPr>
        <w:t>。</w:t>
      </w:r>
    </w:p>
    <w:p w14:paraId="7D11852B">
      <w:pPr>
        <w:autoSpaceDE w:val="0"/>
        <w:autoSpaceDN w:val="0"/>
        <w:adjustRightInd w:val="0"/>
        <w:snapToGrid w:val="0"/>
        <w:spacing w:before="0" w:line="400" w:lineRule="exac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国家法律法规规定</w:t>
      </w:r>
      <w:r>
        <w:rPr>
          <w:rFonts w:hint="eastAsia" w:ascii="宋体" w:hAnsi="宋体"/>
          <w:color w:val="000000" w:themeColor="text1"/>
          <w:szCs w:val="21"/>
          <w:highlight w:val="none"/>
          <w:lang w:eastAsia="zh-CN"/>
          <w14:textFill>
            <w14:solidFill>
              <w14:schemeClr w14:val="tx1"/>
            </w14:solidFill>
          </w14:textFill>
        </w:rPr>
        <w:t>及</w:t>
      </w:r>
      <w:r>
        <w:rPr>
          <w:rFonts w:hint="eastAsia" w:ascii="宋体" w:hAnsi="宋体" w:eastAsia="宋体" w:cs="宋体"/>
          <w:b/>
          <w:bCs/>
          <w:szCs w:val="21"/>
          <w:highlight w:val="none"/>
        </w:rPr>
        <w:t>【政府采购合同专用条款】</w:t>
      </w:r>
      <w:r>
        <w:rPr>
          <w:rFonts w:hint="eastAsia" w:ascii="宋体" w:hAnsi="宋体" w:cs="宋体"/>
          <w:b w:val="0"/>
          <w:bCs w:val="0"/>
          <w:szCs w:val="21"/>
          <w:highlight w:val="none"/>
          <w:lang w:eastAsia="zh-CN"/>
        </w:rPr>
        <w:t>约定应</w:t>
      </w:r>
      <w:r>
        <w:rPr>
          <w:rFonts w:hint="eastAsia" w:ascii="宋体" w:hAnsi="宋体" w:cs="宋体"/>
          <w:color w:val="000000" w:themeColor="text1"/>
          <w:szCs w:val="21"/>
          <w:highlight w:val="none"/>
          <w14:textFill>
            <w14:solidFill>
              <w14:schemeClr w14:val="tx1"/>
            </w14:solidFill>
          </w14:textFill>
        </w:rPr>
        <w:t>由乙方承担的其他义务和责任。</w:t>
      </w:r>
    </w:p>
    <w:p w14:paraId="4D7595DE">
      <w:pPr>
        <w:numPr>
          <w:ilvl w:val="0"/>
          <w:numId w:val="5"/>
        </w:numPr>
        <w:autoSpaceDE w:val="0"/>
        <w:autoSpaceDN w:val="0"/>
        <w:adjustRightInd w:val="0"/>
        <w:snapToGrid w:val="0"/>
        <w:spacing w:before="0"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合同履</w:t>
      </w:r>
      <w:r>
        <w:rPr>
          <w:rFonts w:hint="eastAsia" w:ascii="宋体" w:hAnsi="宋体"/>
          <w:b/>
          <w:bCs/>
          <w:color w:val="000000" w:themeColor="text1"/>
          <w:sz w:val="24"/>
          <w:highlight w:val="none"/>
          <w:lang w:val="en-US" w:eastAsia="zh-CN"/>
          <w14:textFill>
            <w14:solidFill>
              <w14:schemeClr w14:val="tx1"/>
            </w14:solidFill>
          </w14:textFill>
        </w:rPr>
        <w:t>行</w:t>
      </w:r>
    </w:p>
    <w:p w14:paraId="63FDB9E4">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.1 甲乙双方应当按照</w:t>
      </w:r>
      <w:r>
        <w:rPr>
          <w:rFonts w:hint="eastAsia" w:ascii="宋体" w:hAnsi="宋体" w:eastAsia="宋体" w:cs="宋体"/>
          <w:b/>
          <w:bCs/>
          <w:szCs w:val="21"/>
          <w:highlight w:val="none"/>
        </w:rPr>
        <w:t>【政府采购合同专用条款】</w:t>
      </w:r>
      <w:r>
        <w:rPr>
          <w:rFonts w:hint="eastAsia" w:ascii="宋体" w:hAnsi="宋体"/>
          <w:color w:val="000000" w:themeColor="text1"/>
          <w:szCs w:val="21"/>
          <w:highlight w:val="none"/>
          <w14:textFill>
            <w14:solidFill>
              <w14:schemeClr w14:val="tx1"/>
            </w14:solidFill>
          </w14:textFill>
        </w:rPr>
        <w:t>约定顺序履行合同义务；如果没有先后顺序的，应当同时履行。</w:t>
      </w:r>
    </w:p>
    <w:p w14:paraId="2F74C29A">
      <w:pPr>
        <w:autoSpaceDE w:val="0"/>
        <w:autoSpaceDN w:val="0"/>
        <w:adjustRightInd w:val="0"/>
        <w:snapToGrid w:val="0"/>
        <w:spacing w:before="0" w:line="400" w:lineRule="exact"/>
        <w:ind w:firstLine="420" w:firstLineChars="200"/>
        <w:jc w:val="left"/>
        <w:rPr>
          <w:highlight w:val="none"/>
        </w:rPr>
      </w:pPr>
      <w:r>
        <w:rPr>
          <w:rFonts w:hint="eastAsia" w:ascii="宋体" w:hAnsi="宋体"/>
          <w:color w:val="000000" w:themeColor="text1"/>
          <w:szCs w:val="21"/>
          <w:highlight w:val="none"/>
          <w:lang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.2 甲乙双方按照合同约定顺序履行合同义务时，应当先履行一方未履行的，后履行一方有权拒绝其履行请求。先履行一方履行不符合约定的，后履行一方有权拒绝其相应的履行请求。</w:t>
      </w:r>
    </w:p>
    <w:p w14:paraId="4CA1C732">
      <w:pPr>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7</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货物包装、运输</w:t>
      </w:r>
      <w:r>
        <w:rPr>
          <w:rFonts w:hint="eastAsia" w:ascii="宋体" w:hAnsi="宋体"/>
          <w:b/>
          <w:bCs/>
          <w:color w:val="000000" w:themeColor="text1"/>
          <w:sz w:val="24"/>
          <w:highlight w:val="none"/>
          <w:lang w:eastAsia="zh-CN"/>
          <w14:textFill>
            <w14:solidFill>
              <w14:schemeClr w14:val="tx1"/>
            </w14:solidFill>
          </w14:textFill>
        </w:rPr>
        <w:t>、</w:t>
      </w:r>
      <w:r>
        <w:rPr>
          <w:rFonts w:hint="eastAsia" w:ascii="宋体" w:hAnsi="宋体"/>
          <w:b/>
          <w:bCs/>
          <w:color w:val="000000" w:themeColor="text1"/>
          <w:sz w:val="24"/>
          <w:highlight w:val="none"/>
          <w14:textFill>
            <w14:solidFill>
              <w14:schemeClr w14:val="tx1"/>
            </w14:solidFill>
          </w14:textFill>
        </w:rPr>
        <w:t>保险</w:t>
      </w:r>
      <w:r>
        <w:rPr>
          <w:rFonts w:hint="eastAsia" w:ascii="宋体" w:hAnsi="宋体"/>
          <w:b/>
          <w:bCs/>
          <w:color w:val="000000" w:themeColor="text1"/>
          <w:sz w:val="24"/>
          <w:highlight w:val="none"/>
          <w:lang w:eastAsia="zh-CN"/>
          <w14:textFill>
            <w14:solidFill>
              <w14:schemeClr w14:val="tx1"/>
            </w14:solidFill>
          </w14:textFill>
        </w:rPr>
        <w:t>和交付</w:t>
      </w:r>
      <w:r>
        <w:rPr>
          <w:rFonts w:hint="eastAsia" w:ascii="宋体" w:hAnsi="宋体"/>
          <w:b/>
          <w:bCs/>
          <w:color w:val="000000" w:themeColor="text1"/>
          <w:sz w:val="24"/>
          <w:highlight w:val="none"/>
          <w14:textFill>
            <w14:solidFill>
              <w14:schemeClr w14:val="tx1"/>
            </w14:solidFill>
          </w14:textFill>
        </w:rPr>
        <w:t>要求</w:t>
      </w:r>
    </w:p>
    <w:p w14:paraId="132FDB9F">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.1 本合同</w:t>
      </w:r>
      <w:r>
        <w:rPr>
          <w:rFonts w:hint="eastAsia" w:ascii="宋体" w:hAnsi="宋体"/>
          <w:bCs/>
          <w:color w:val="000000" w:themeColor="text1"/>
          <w:szCs w:val="21"/>
          <w:highlight w:val="none"/>
          <w14:textFill>
            <w14:solidFill>
              <w14:schemeClr w14:val="tx1"/>
            </w14:solidFill>
          </w14:textFill>
        </w:rPr>
        <w:t>涉及商品包装</w:t>
      </w:r>
      <w:r>
        <w:rPr>
          <w:rFonts w:hint="eastAsia" w:ascii="宋体" w:hAnsi="宋体"/>
          <w:bCs/>
          <w:color w:val="000000" w:themeColor="text1"/>
          <w:szCs w:val="21"/>
          <w:highlight w:val="none"/>
          <w:lang w:eastAsia="zh-CN"/>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快递包装的，</w:t>
      </w:r>
      <w:r>
        <w:rPr>
          <w:rFonts w:hint="eastAsia" w:ascii="宋体" w:hAnsi="宋体"/>
          <w:color w:val="000000" w:themeColor="text1"/>
          <w:szCs w:val="21"/>
          <w:highlight w:val="none"/>
          <w14:textFill>
            <w14:solidFill>
              <w14:schemeClr w14:val="tx1"/>
            </w14:solidFill>
          </w14:textFill>
        </w:rPr>
        <w:t>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w:t>
      </w:r>
      <w:r>
        <w:rPr>
          <w:rFonts w:hint="eastAsia" w:ascii="宋体" w:hAnsi="宋体"/>
          <w:bCs/>
          <w:color w:val="000000" w:themeColor="text1"/>
          <w:szCs w:val="21"/>
          <w:highlight w:val="none"/>
          <w:lang w:eastAsia="zh-CN"/>
          <w14:textFill>
            <w14:solidFill>
              <w14:schemeClr w14:val="tx1"/>
            </w14:solidFill>
          </w14:textFill>
        </w:rPr>
        <w:t>约</w:t>
      </w:r>
      <w:r>
        <w:rPr>
          <w:rFonts w:hint="eastAsia" w:ascii="宋体" w:hAnsi="宋体"/>
          <w:bCs/>
          <w:color w:val="000000" w:themeColor="text1"/>
          <w:szCs w:val="21"/>
          <w:highlight w:val="none"/>
          <w14:textFill>
            <w14:solidFill>
              <w14:schemeClr w14:val="tx1"/>
            </w14:solidFill>
          </w14:textFill>
        </w:rPr>
        <w:t>定</w:t>
      </w:r>
      <w:r>
        <w:rPr>
          <w:rFonts w:hint="eastAsia" w:ascii="宋体" w:hAnsi="宋体"/>
          <w:bCs/>
          <w:color w:val="000000" w:themeColor="text1"/>
          <w:szCs w:val="21"/>
          <w:highlight w:val="none"/>
          <w:lang w:eastAsia="zh-CN"/>
          <w14:textFill>
            <w14:solidFill>
              <w14:schemeClr w14:val="tx1"/>
            </w14:solidFill>
          </w14:textFill>
        </w:rPr>
        <w:t>外</w:t>
      </w:r>
      <w:r>
        <w:rPr>
          <w:rFonts w:hint="eastAsia" w:ascii="宋体" w:hAnsi="宋体"/>
          <w:bC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 w:val="0"/>
          <w:bCs/>
          <w:color w:val="000000" w:themeColor="text1"/>
          <w:szCs w:val="21"/>
          <w:highlight w:val="none"/>
          <w:lang w:eastAsia="zh-CN"/>
          <w14:textFill>
            <w14:solidFill>
              <w14:schemeClr w14:val="tx1"/>
            </w14:solidFill>
          </w14:textFill>
        </w:rPr>
        <w:t>约定的</w:t>
      </w:r>
      <w:r>
        <w:rPr>
          <w:rFonts w:hint="eastAsia" w:ascii="宋体" w:hAnsi="宋体"/>
          <w:color w:val="000000" w:themeColor="text1"/>
          <w:szCs w:val="21"/>
          <w:highlight w:val="none"/>
          <w14:textFill>
            <w14:solidFill>
              <w14:schemeClr w14:val="tx1"/>
            </w14:solidFill>
          </w14:textFill>
        </w:rPr>
        <w:t>指定现场。</w:t>
      </w:r>
    </w:p>
    <w:p w14:paraId="4B256528">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.2 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w:t>
      </w:r>
      <w:r>
        <w:rPr>
          <w:rFonts w:hint="eastAsia" w:ascii="宋体" w:hAnsi="宋体"/>
          <w:bCs/>
          <w:color w:val="000000" w:themeColor="text1"/>
          <w:szCs w:val="21"/>
          <w:highlight w:val="none"/>
          <w:lang w:eastAsia="zh-CN"/>
          <w14:textFill>
            <w14:solidFill>
              <w14:schemeClr w14:val="tx1"/>
            </w14:solidFill>
          </w14:textFill>
        </w:rPr>
        <w:t>约</w:t>
      </w:r>
      <w:r>
        <w:rPr>
          <w:rFonts w:hint="eastAsia" w:ascii="宋体" w:hAnsi="宋体"/>
          <w:bCs/>
          <w:color w:val="000000" w:themeColor="text1"/>
          <w:szCs w:val="21"/>
          <w:highlight w:val="none"/>
          <w14:textFill>
            <w14:solidFill>
              <w14:schemeClr w14:val="tx1"/>
            </w14:solidFill>
          </w14:textFill>
        </w:rPr>
        <w:t>定</w:t>
      </w:r>
      <w:r>
        <w:rPr>
          <w:rFonts w:hint="eastAsia" w:ascii="宋体" w:hAnsi="宋体"/>
          <w:bCs/>
          <w:color w:val="000000" w:themeColor="text1"/>
          <w:szCs w:val="21"/>
          <w:highlight w:val="none"/>
          <w:lang w:eastAsia="zh-CN"/>
          <w14:textFill>
            <w14:solidFill>
              <w14:schemeClr w14:val="tx1"/>
            </w14:solidFill>
          </w14:textFill>
        </w:rPr>
        <w:t>外</w:t>
      </w:r>
      <w:r>
        <w:rPr>
          <w:rFonts w:hint="eastAsia" w:ascii="宋体" w:hAnsi="宋体"/>
          <w:bC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乙方负责办理将货物运抵本合同规定的交货地点</w:t>
      </w:r>
      <w:r>
        <w:rPr>
          <w:rFonts w:hint="eastAsia" w:ascii="宋体" w:hAnsi="宋体"/>
          <w:color w:val="000000" w:themeColor="text1"/>
          <w:szCs w:val="21"/>
          <w:highlight w:val="none"/>
          <w:lang w:eastAsia="zh-CN"/>
          <w14:textFill>
            <w14:solidFill>
              <w14:schemeClr w14:val="tx1"/>
            </w14:solidFill>
          </w14:textFill>
        </w:rPr>
        <w:t>，并装卸、交付至甲方</w:t>
      </w:r>
      <w:r>
        <w:rPr>
          <w:rFonts w:hint="eastAsia" w:ascii="宋体" w:hAnsi="宋体"/>
          <w:color w:val="000000" w:themeColor="text1"/>
          <w:szCs w:val="21"/>
          <w:highlight w:val="none"/>
          <w14:textFill>
            <w14:solidFill>
              <w14:schemeClr w14:val="tx1"/>
            </w14:solidFill>
          </w14:textFill>
        </w:rPr>
        <w:t>的一切运输事项，相关费用应</w:t>
      </w:r>
      <w:r>
        <w:rPr>
          <w:rFonts w:hint="eastAsia" w:ascii="宋体" w:hAnsi="宋体"/>
          <w:color w:val="000000" w:themeColor="text1"/>
          <w:szCs w:val="21"/>
          <w:highlight w:val="none"/>
          <w:lang w:eastAsia="zh-CN"/>
          <w14:textFill>
            <w14:solidFill>
              <w14:schemeClr w14:val="tx1"/>
            </w14:solidFill>
          </w14:textFill>
        </w:rPr>
        <w:t>包含</w:t>
      </w:r>
      <w:r>
        <w:rPr>
          <w:rFonts w:hint="eastAsia" w:ascii="宋体" w:hAnsi="宋体"/>
          <w:color w:val="000000" w:themeColor="text1"/>
          <w:szCs w:val="21"/>
          <w:highlight w:val="none"/>
          <w14:textFill>
            <w14:solidFill>
              <w14:schemeClr w14:val="tx1"/>
            </w14:solidFill>
          </w14:textFill>
        </w:rPr>
        <w:t>在合同</w:t>
      </w:r>
      <w:r>
        <w:rPr>
          <w:rFonts w:hint="eastAsia" w:ascii="宋体" w:hAnsi="宋体"/>
          <w:color w:val="000000" w:themeColor="text1"/>
          <w:szCs w:val="21"/>
          <w:highlight w:val="none"/>
          <w:lang w:eastAsia="zh-CN"/>
          <w14:textFill>
            <w14:solidFill>
              <w14:schemeClr w14:val="tx1"/>
            </w14:solidFill>
          </w14:textFill>
        </w:rPr>
        <w:t>价款</w:t>
      </w:r>
      <w:r>
        <w:rPr>
          <w:rFonts w:hint="eastAsia" w:ascii="宋体" w:hAnsi="宋体"/>
          <w:color w:val="000000" w:themeColor="text1"/>
          <w:szCs w:val="21"/>
          <w:highlight w:val="none"/>
          <w14:textFill>
            <w14:solidFill>
              <w14:schemeClr w14:val="tx1"/>
            </w14:solidFill>
          </w14:textFill>
        </w:rPr>
        <w:t>中。</w:t>
      </w:r>
    </w:p>
    <w:p w14:paraId="5EF9605B">
      <w:pPr>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.3 货物保险要求按</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规定执行</w:t>
      </w:r>
      <w:r>
        <w:rPr>
          <w:rFonts w:hint="eastAsia" w:ascii="宋体" w:hAnsi="宋体"/>
          <w:color w:val="000000" w:themeColor="text1"/>
          <w:szCs w:val="21"/>
          <w:highlight w:val="none"/>
          <w14:textFill>
            <w14:solidFill>
              <w14:schemeClr w14:val="tx1"/>
            </w14:solidFill>
          </w14:textFill>
        </w:rPr>
        <w:t>。</w:t>
      </w:r>
    </w:p>
    <w:p w14:paraId="08554D25">
      <w:pPr>
        <w:autoSpaceDE w:val="0"/>
        <w:autoSpaceDN w:val="0"/>
        <w:adjustRightInd w:val="0"/>
        <w:snapToGrid w:val="0"/>
        <w:spacing w:before="0"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 xml:space="preserve">.4 </w:t>
      </w:r>
      <w:r>
        <w:rPr>
          <w:rFonts w:hint="eastAsia" w:ascii="宋体" w:hAnsi="宋体"/>
          <w:color w:val="000000" w:themeColor="text1"/>
          <w:szCs w:val="21"/>
          <w:highlight w:val="none"/>
          <w:lang w:val="en-US" w:eastAsia="zh-CN"/>
          <w14:textFill>
            <w14:solidFill>
              <w14:schemeClr w14:val="tx1"/>
            </w14:solidFill>
          </w14:textFill>
        </w:rPr>
        <w:t>除采购活动</w:t>
      </w:r>
      <w:r>
        <w:rPr>
          <w:rFonts w:hint="eastAsia" w:ascii="宋体" w:hAnsi="宋体"/>
          <w:color w:val="000000" w:themeColor="text1"/>
          <w:szCs w:val="21"/>
          <w:highlight w:val="none"/>
          <w14:textFill>
            <w14:solidFill>
              <w14:schemeClr w14:val="tx1"/>
            </w14:solidFill>
          </w14:textFill>
        </w:rPr>
        <w:t>对商品包装</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快递包装</w:t>
      </w:r>
      <w:r>
        <w:rPr>
          <w:rFonts w:hint="eastAsia" w:ascii="宋体" w:hAnsi="宋体"/>
          <w:color w:val="000000" w:themeColor="text1"/>
          <w:szCs w:val="21"/>
          <w:highlight w:val="none"/>
          <w:lang w:val="en-US" w:eastAsia="zh-CN"/>
          <w14:textFill>
            <w14:solidFill>
              <w14:schemeClr w14:val="tx1"/>
            </w14:solidFill>
          </w14:textFill>
        </w:rPr>
        <w:t>达成具体约定外</w:t>
      </w:r>
      <w:r>
        <w:rPr>
          <w:rFonts w:hint="eastAsia" w:ascii="宋体" w:hAnsi="宋体"/>
          <w:color w:val="000000" w:themeColor="text1"/>
          <w:szCs w:val="21"/>
          <w:highlight w:val="none"/>
          <w14:textFill>
            <w14:solidFill>
              <w14:schemeClr w14:val="tx1"/>
            </w14:solidFill>
          </w14:textFill>
        </w:rPr>
        <w:t>，乙方提供产品及相关快递服务</w:t>
      </w:r>
      <w:r>
        <w:rPr>
          <w:rFonts w:hint="eastAsia" w:ascii="宋体" w:hAnsi="宋体"/>
          <w:color w:val="000000" w:themeColor="text1"/>
          <w:szCs w:val="21"/>
          <w:highlight w:val="none"/>
          <w:lang w:val="en-US" w:eastAsia="zh-CN"/>
          <w14:textFill>
            <w14:solidFill>
              <w14:schemeClr w14:val="tx1"/>
            </w14:solidFill>
          </w14:textFill>
        </w:rPr>
        <w:t>涉及到</w:t>
      </w:r>
      <w:r>
        <w:rPr>
          <w:rFonts w:hint="eastAsia" w:ascii="宋体" w:hAnsi="宋体"/>
          <w:color w:val="000000" w:themeColor="text1"/>
          <w:szCs w:val="21"/>
          <w:highlight w:val="none"/>
          <w14:textFill>
            <w14:solidFill>
              <w14:schemeClr w14:val="tx1"/>
            </w14:solidFill>
          </w14:textFill>
        </w:rPr>
        <w:t>具体包装要求</w:t>
      </w:r>
      <w:r>
        <w:rPr>
          <w:rFonts w:hint="eastAsia" w:ascii="宋体" w:hAnsi="宋体"/>
          <w:color w:val="000000" w:themeColor="text1"/>
          <w:szCs w:val="21"/>
          <w:highlight w:val="none"/>
          <w:lang w:val="en-US" w:eastAsia="zh-CN"/>
          <w14:textFill>
            <w14:solidFill>
              <w14:schemeClr w14:val="tx1"/>
            </w14:solidFill>
          </w14:textFill>
        </w:rPr>
        <w:t>的，</w:t>
      </w:r>
      <w:r>
        <w:rPr>
          <w:rFonts w:hint="eastAsia" w:ascii="宋体" w:hAnsi="宋体"/>
          <w:color w:val="000000" w:themeColor="text1"/>
          <w:szCs w:val="21"/>
          <w:highlight w:val="none"/>
          <w14:textFill>
            <w14:solidFill>
              <w14:schemeClr w14:val="tx1"/>
            </w14:solidFill>
          </w14:textFill>
        </w:rPr>
        <w:t>应</w:t>
      </w:r>
      <w:r>
        <w:rPr>
          <w:rFonts w:hint="eastAsia" w:ascii="宋体" w:hAnsi="宋体"/>
          <w:color w:val="000000" w:themeColor="text1"/>
          <w:szCs w:val="21"/>
          <w:highlight w:val="none"/>
          <w:lang w:val="en-US" w:eastAsia="zh-CN"/>
          <w14:textFill>
            <w14:solidFill>
              <w14:schemeClr w14:val="tx1"/>
            </w14:solidFill>
          </w14:textFill>
        </w:rPr>
        <w:t>不低于</w:t>
      </w:r>
      <w:r>
        <w:rPr>
          <w:rFonts w:hint="eastAsia" w:ascii="宋体" w:hAnsi="宋体"/>
          <w:color w:val="000000" w:themeColor="text1"/>
          <w:szCs w:val="21"/>
          <w:highlight w:val="none"/>
          <w14:textFill>
            <w14:solidFill>
              <w14:schemeClr w14:val="tx1"/>
            </w14:solidFill>
          </w14:textFill>
        </w:rPr>
        <w:t>《商品包装政府采购需求标准（试行）</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快递包装政府采购需求标准（试行）》</w:t>
      </w:r>
      <w:r>
        <w:rPr>
          <w:rFonts w:hint="eastAsia" w:ascii="宋体" w:hAnsi="宋体"/>
          <w:color w:val="000000" w:themeColor="text1"/>
          <w:szCs w:val="21"/>
          <w:highlight w:val="none"/>
          <w:lang w:val="en-US" w:eastAsia="zh-CN"/>
          <w14:textFill>
            <w14:solidFill>
              <w14:schemeClr w14:val="tx1"/>
            </w14:solidFill>
          </w14:textFill>
        </w:rPr>
        <w:t>标准</w:t>
      </w:r>
      <w:r>
        <w:rPr>
          <w:rFonts w:hint="eastAsia" w:ascii="宋体" w:hAnsi="宋体"/>
          <w:color w:val="000000" w:themeColor="text1"/>
          <w:szCs w:val="21"/>
          <w:highlight w:val="none"/>
          <w14:textFill>
            <w14:solidFill>
              <w14:schemeClr w14:val="tx1"/>
            </w14:solidFill>
          </w14:textFill>
        </w:rPr>
        <w:t>，并作为履约验收的内容，必要时甲方可以要求乙方在履约验收环节出具检测报告。</w:t>
      </w:r>
    </w:p>
    <w:p w14:paraId="7B209441">
      <w:pPr>
        <w:autoSpaceDE w:val="0"/>
        <w:autoSpaceDN w:val="0"/>
        <w:adjustRightInd w:val="0"/>
        <w:snapToGrid w:val="0"/>
        <w:spacing w:before="0"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highlight w:val="none"/>
        </w:rPr>
        <w:t>乙方在运输到达之前</w:t>
      </w:r>
      <w:r>
        <w:rPr>
          <w:rFonts w:hint="eastAsia" w:ascii="宋体" w:hAnsi="宋体" w:cs="宋体"/>
          <w:color w:val="000000"/>
          <w:szCs w:val="21"/>
          <w:highlight w:val="none"/>
          <w:lang w:eastAsia="zh-CN"/>
        </w:rPr>
        <w:t>应</w:t>
      </w:r>
      <w:r>
        <w:rPr>
          <w:rFonts w:hint="eastAsia" w:ascii="宋体" w:hAnsi="宋体" w:eastAsia="宋体" w:cs="宋体"/>
          <w:color w:val="000000"/>
          <w:szCs w:val="21"/>
          <w:highlight w:val="none"/>
        </w:rPr>
        <w:t>提前通知</w:t>
      </w:r>
      <w:r>
        <w:rPr>
          <w:rFonts w:hint="eastAsia" w:ascii="宋体" w:hAnsi="宋体" w:cs="宋体"/>
          <w:color w:val="000000"/>
          <w:szCs w:val="21"/>
          <w:highlight w:val="none"/>
          <w:lang w:eastAsia="zh-CN"/>
        </w:rPr>
        <w:t>甲方</w:t>
      </w:r>
      <w:r>
        <w:rPr>
          <w:rFonts w:hint="eastAsia" w:ascii="宋体" w:hAnsi="宋体" w:eastAsia="宋体" w:cs="宋体"/>
          <w:color w:val="000000"/>
          <w:szCs w:val="21"/>
          <w:highlight w:val="none"/>
        </w:rPr>
        <w:t>，并提示货物运输装卸的注意事项</w:t>
      </w:r>
      <w:r>
        <w:rPr>
          <w:rFonts w:hint="eastAsia" w:ascii="宋体" w:hAnsi="宋体" w:cs="宋体"/>
          <w:color w:val="000000"/>
          <w:szCs w:val="21"/>
          <w:highlight w:val="none"/>
          <w:lang w:eastAsia="zh-CN"/>
        </w:rPr>
        <w:t>，甲方配合乙方做好货物的接收工作。</w:t>
      </w:r>
    </w:p>
    <w:p w14:paraId="19956AB1">
      <w:pPr>
        <w:pStyle w:val="15"/>
        <w:rPr>
          <w:rFonts w:hint="default" w:eastAsia="华文楷体"/>
          <w:sz w:val="21"/>
          <w:highlight w:val="none"/>
          <w:lang w:val="en-US" w:eastAsia="zh-CN"/>
        </w:rPr>
      </w:pPr>
      <w:r>
        <w:rPr>
          <w:rFonts w:hint="eastAsia" w:ascii="宋体" w:hAnsi="宋体" w:eastAsia="宋体" w:cs="Times New Roman"/>
          <w:color w:val="000000" w:themeColor="text1"/>
          <w:kern w:val="2"/>
          <w:sz w:val="21"/>
          <w:szCs w:val="21"/>
          <w:highlight w:val="none"/>
          <w:lang w:val="en-US" w:eastAsia="zh-CN"/>
          <w14:textFill>
            <w14:solidFill>
              <w14:schemeClr w14:val="tx1"/>
            </w14:solidFill>
          </w14:textFill>
        </w:rPr>
        <w:t xml:space="preserve">7.6 </w:t>
      </w:r>
      <w:r>
        <w:rPr>
          <w:rFonts w:hint="eastAsia" w:ascii="宋体" w:hAnsi="宋体" w:eastAsia="宋体" w:cs="Times New Roman"/>
          <w:color w:val="000000"/>
          <w:kern w:val="2"/>
          <w:sz w:val="21"/>
          <w:szCs w:val="21"/>
          <w:highlight w:val="none"/>
        </w:rPr>
        <w:t>如因包装</w:t>
      </w:r>
      <w:r>
        <w:rPr>
          <w:rFonts w:hint="eastAsia" w:ascii="宋体" w:hAnsi="宋体" w:eastAsia="宋体" w:cs="Times New Roman"/>
          <w:color w:val="000000"/>
          <w:kern w:val="2"/>
          <w:sz w:val="21"/>
          <w:szCs w:val="21"/>
          <w:highlight w:val="none"/>
          <w:lang w:eastAsia="zh-CN"/>
        </w:rPr>
        <w:t>、运输</w:t>
      </w:r>
      <w:r>
        <w:rPr>
          <w:rFonts w:hint="eastAsia" w:ascii="宋体" w:hAnsi="宋体" w:eastAsia="宋体" w:cs="Times New Roman"/>
          <w:color w:val="000000"/>
          <w:kern w:val="2"/>
          <w:sz w:val="21"/>
          <w:szCs w:val="21"/>
          <w:highlight w:val="none"/>
        </w:rPr>
        <w:t>问题导致货物</w:t>
      </w:r>
      <w:r>
        <w:rPr>
          <w:rFonts w:hint="eastAsia" w:ascii="宋体" w:hAnsi="宋体" w:eastAsia="宋体" w:cs="Times New Roman"/>
          <w:color w:val="000000" w:themeColor="text1"/>
          <w:kern w:val="2"/>
          <w:sz w:val="21"/>
          <w:szCs w:val="21"/>
          <w:highlight w:val="none"/>
          <w:lang w:eastAsia="zh-CN"/>
          <w14:textFill>
            <w14:solidFill>
              <w14:schemeClr w14:val="tx1"/>
            </w14:solidFill>
          </w14:textFill>
        </w:rPr>
        <w:t>损毁、丢失</w:t>
      </w:r>
      <w:r>
        <w:rPr>
          <w:rFonts w:hint="eastAsia" w:ascii="宋体" w:hAnsi="宋体" w:eastAsia="宋体" w:cs="Times New Roman"/>
          <w:color w:val="000000"/>
          <w:kern w:val="2"/>
          <w:sz w:val="21"/>
          <w:szCs w:val="21"/>
          <w:highlight w:val="none"/>
        </w:rPr>
        <w:t>或者品质下降，</w:t>
      </w:r>
      <w:r>
        <w:rPr>
          <w:rFonts w:hint="eastAsia" w:ascii="宋体" w:hAnsi="宋体" w:eastAsia="宋体" w:cs="Times New Roman"/>
          <w:color w:val="000000"/>
          <w:kern w:val="2"/>
          <w:sz w:val="21"/>
          <w:szCs w:val="21"/>
          <w:highlight w:val="none"/>
          <w:lang w:eastAsia="zh-CN"/>
        </w:rPr>
        <w:t>甲方</w:t>
      </w:r>
      <w:r>
        <w:rPr>
          <w:rFonts w:hint="eastAsia" w:ascii="宋体" w:hAnsi="宋体" w:eastAsia="宋体" w:cs="Times New Roman"/>
          <w:color w:val="000000"/>
          <w:kern w:val="2"/>
          <w:sz w:val="21"/>
          <w:szCs w:val="21"/>
          <w:highlight w:val="none"/>
        </w:rPr>
        <w:t>有权要求降价、换货、拒收部分或整批货物，由此</w:t>
      </w:r>
      <w:r>
        <w:rPr>
          <w:rFonts w:hint="eastAsia" w:ascii="宋体" w:hAnsi="宋体" w:eastAsia="宋体" w:cs="Times New Roman"/>
          <w:color w:val="000000"/>
          <w:kern w:val="2"/>
          <w:sz w:val="21"/>
          <w:szCs w:val="21"/>
          <w:highlight w:val="none"/>
          <w:lang w:eastAsia="zh-CN"/>
        </w:rPr>
        <w:t>产生</w:t>
      </w:r>
      <w:r>
        <w:rPr>
          <w:rFonts w:hint="eastAsia" w:ascii="宋体" w:hAnsi="宋体" w:eastAsia="宋体" w:cs="Times New Roman"/>
          <w:color w:val="000000"/>
          <w:kern w:val="2"/>
          <w:sz w:val="21"/>
          <w:szCs w:val="21"/>
          <w:highlight w:val="none"/>
        </w:rPr>
        <w:t>的费用和损失，均由</w:t>
      </w:r>
      <w:r>
        <w:rPr>
          <w:rFonts w:hint="eastAsia" w:ascii="宋体" w:hAnsi="宋体" w:eastAsia="宋体" w:cs="Times New Roman"/>
          <w:color w:val="000000"/>
          <w:kern w:val="2"/>
          <w:sz w:val="21"/>
          <w:szCs w:val="21"/>
          <w:highlight w:val="none"/>
          <w:lang w:eastAsia="zh-CN"/>
        </w:rPr>
        <w:t>乙方</w:t>
      </w:r>
      <w:r>
        <w:rPr>
          <w:rFonts w:hint="eastAsia" w:ascii="宋体" w:hAnsi="宋体" w:eastAsia="宋体" w:cs="Times New Roman"/>
          <w:color w:val="000000"/>
          <w:kern w:val="2"/>
          <w:sz w:val="21"/>
          <w:szCs w:val="21"/>
          <w:highlight w:val="none"/>
        </w:rPr>
        <w:t>承担。</w:t>
      </w:r>
    </w:p>
    <w:p w14:paraId="2FEF0264">
      <w:pPr>
        <w:adjustRightInd w:val="0"/>
        <w:snapToGrid w:val="0"/>
        <w:spacing w:before="0" w:line="400" w:lineRule="exact"/>
        <w:jc w:val="left"/>
        <w:rPr>
          <w:rFonts w:ascii="宋体" w:hAnsi="宋体"/>
          <w:b/>
          <w:color w:val="auto"/>
          <w:sz w:val="24"/>
          <w:highlight w:val="none"/>
        </w:rPr>
      </w:pPr>
      <w:r>
        <w:rPr>
          <w:rFonts w:hint="eastAsia" w:ascii="宋体" w:hAnsi="宋体"/>
          <w:b/>
          <w:color w:val="000000" w:themeColor="text1"/>
          <w:sz w:val="24"/>
          <w:highlight w:val="none"/>
          <w:lang w:eastAsia="zh-CN"/>
          <w14:textFill>
            <w14:solidFill>
              <w14:schemeClr w14:val="tx1"/>
            </w14:solidFill>
          </w14:textFill>
        </w:rPr>
        <w:t>8</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auto"/>
          <w:sz w:val="24"/>
          <w:highlight w:val="none"/>
        </w:rPr>
        <w:t>质量标准和保证</w:t>
      </w:r>
    </w:p>
    <w:p w14:paraId="482BEB44">
      <w:pPr>
        <w:pStyle w:val="7"/>
        <w:adjustRightInd w:val="0"/>
        <w:snapToGrid w:val="0"/>
        <w:spacing w:before="0" w:line="400" w:lineRule="exact"/>
        <w:ind w:firstLine="420" w:firstLineChars="200"/>
        <w:jc w:val="left"/>
        <w:rPr>
          <w:rFonts w:hAnsi="宋体"/>
          <w:b/>
          <w:color w:val="auto"/>
          <w:highlight w:val="none"/>
        </w:rPr>
      </w:pPr>
      <w:r>
        <w:rPr>
          <w:rFonts w:hint="eastAsia" w:hAnsi="宋体"/>
          <w:color w:val="auto"/>
          <w:highlight w:val="none"/>
          <w:lang w:eastAsia="zh-CN"/>
        </w:rPr>
        <w:t>8</w:t>
      </w:r>
      <w:r>
        <w:rPr>
          <w:rFonts w:hint="eastAsia" w:hAnsi="宋体"/>
          <w:color w:val="auto"/>
          <w:highlight w:val="none"/>
        </w:rPr>
        <w:t>.1 质量标准</w:t>
      </w:r>
    </w:p>
    <w:p w14:paraId="71D7F1ED">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（1）本合同下</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w:t>
      </w:r>
      <w:r>
        <w:rPr>
          <w:rFonts w:hint="eastAsia" w:ascii="宋体" w:hAnsi="宋体"/>
          <w:color w:val="auto"/>
          <w:szCs w:val="21"/>
          <w:highlight w:val="none"/>
          <w:lang w:eastAsia="zh-CN"/>
        </w:rPr>
        <w:t>合同</w:t>
      </w:r>
      <w:r>
        <w:rPr>
          <w:rFonts w:hint="eastAsia" w:ascii="宋体" w:hAnsi="宋体" w:cs="宋体"/>
          <w:color w:val="000000"/>
          <w:szCs w:val="21"/>
          <w:highlight w:val="none"/>
          <w:lang w:eastAsia="zh-CN"/>
        </w:rPr>
        <w:t>约</w:t>
      </w:r>
      <w:r>
        <w:rPr>
          <w:rFonts w:hint="eastAsia" w:ascii="宋体" w:hAnsi="宋体" w:eastAsia="宋体" w:cs="宋体"/>
          <w:color w:val="000000"/>
          <w:szCs w:val="21"/>
          <w:highlight w:val="none"/>
        </w:rPr>
        <w:t>定的</w:t>
      </w:r>
      <w:r>
        <w:rPr>
          <w:rFonts w:hint="eastAsia" w:ascii="宋体" w:hAnsi="宋体" w:eastAsia="宋体" w:cs="宋体"/>
          <w:szCs w:val="21"/>
          <w:highlight w:val="none"/>
        </w:rPr>
        <w:t>品牌、规格型号、技术性能、配置、质量、数量等要求。</w:t>
      </w:r>
      <w:r>
        <w:rPr>
          <w:rFonts w:hint="eastAsia" w:ascii="宋体" w:hAnsi="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w:t>
      </w:r>
    </w:p>
    <w:p w14:paraId="56E867DF">
      <w:pPr>
        <w:pStyle w:val="7"/>
        <w:adjustRightInd w:val="0"/>
        <w:snapToGrid w:val="0"/>
        <w:spacing w:before="0" w:line="400" w:lineRule="exact"/>
        <w:ind w:firstLine="420" w:firstLineChars="200"/>
        <w:jc w:val="left"/>
        <w:rPr>
          <w:rFonts w:hAnsi="宋体"/>
          <w:color w:val="auto"/>
          <w:highlight w:val="none"/>
        </w:rPr>
      </w:pPr>
      <w:r>
        <w:rPr>
          <w:rFonts w:hint="eastAsia" w:hAnsi="宋体"/>
          <w:color w:val="auto"/>
          <w:highlight w:val="none"/>
        </w:rPr>
        <w:t>（2）采用中华人民共和国法定计量单位。</w:t>
      </w:r>
    </w:p>
    <w:p w14:paraId="4F2217F1">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（3）乙方所</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的货物应符合国家有关安全、环保、卫生</w:t>
      </w:r>
      <w:r>
        <w:rPr>
          <w:rFonts w:hint="eastAsia" w:ascii="宋体" w:hAnsi="宋体"/>
          <w:color w:val="auto"/>
          <w:szCs w:val="21"/>
          <w:highlight w:val="none"/>
          <w:lang w:eastAsia="zh-CN"/>
        </w:rPr>
        <w:t>的</w:t>
      </w:r>
      <w:r>
        <w:rPr>
          <w:rFonts w:hint="eastAsia" w:ascii="宋体" w:hAnsi="宋体"/>
          <w:color w:val="auto"/>
          <w:szCs w:val="21"/>
          <w:highlight w:val="none"/>
        </w:rPr>
        <w:t>规定。</w:t>
      </w:r>
    </w:p>
    <w:p w14:paraId="2CD7606B">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（4）乙方应向甲方提交所</w:t>
      </w:r>
      <w:r>
        <w:rPr>
          <w:rFonts w:hint="eastAsia" w:ascii="宋体" w:hAnsi="宋体"/>
          <w:color w:val="auto"/>
          <w:szCs w:val="21"/>
          <w:highlight w:val="none"/>
          <w:lang w:eastAsia="zh-CN"/>
        </w:rPr>
        <w:t>提供</w:t>
      </w:r>
      <w:r>
        <w:rPr>
          <w:rFonts w:hint="eastAsia" w:ascii="宋体" w:hAnsi="宋体"/>
          <w:color w:val="auto"/>
          <w:szCs w:val="21"/>
          <w:highlight w:val="none"/>
        </w:rPr>
        <w:t>货物的技术文件，包括相应的中文技术文件，如：产品目录、图纸、操作手册、使用说明、维护手册或服务指南</w:t>
      </w:r>
      <w:r>
        <w:rPr>
          <w:rFonts w:hint="eastAsia" w:ascii="宋体" w:hAnsi="宋体"/>
          <w:color w:val="auto"/>
          <w:szCs w:val="21"/>
          <w:highlight w:val="none"/>
          <w:lang w:eastAsia="zh-CN"/>
        </w:rPr>
        <w:t>等</w:t>
      </w:r>
      <w:r>
        <w:rPr>
          <w:rFonts w:hint="eastAsia" w:ascii="宋体" w:hAnsi="宋体"/>
          <w:color w:val="auto"/>
          <w:szCs w:val="21"/>
          <w:highlight w:val="none"/>
        </w:rPr>
        <w:t>。</w:t>
      </w:r>
      <w:r>
        <w:rPr>
          <w:rFonts w:hint="eastAsia" w:ascii="宋体" w:hAnsi="宋体"/>
          <w:color w:val="auto"/>
          <w:szCs w:val="21"/>
          <w:highlight w:val="none"/>
          <w:lang w:eastAsia="zh-CN"/>
        </w:rPr>
        <w:t>上述</w:t>
      </w:r>
      <w:r>
        <w:rPr>
          <w:rFonts w:hint="eastAsia" w:ascii="宋体" w:hAnsi="宋体"/>
          <w:color w:val="auto"/>
          <w:szCs w:val="21"/>
          <w:highlight w:val="none"/>
        </w:rPr>
        <w:t>文件应包装好随货物一同发运。</w:t>
      </w:r>
    </w:p>
    <w:p w14:paraId="5018D9D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8</w:t>
      </w:r>
      <w:r>
        <w:rPr>
          <w:rFonts w:hint="eastAsia" w:ascii="宋体" w:hAnsi="宋体"/>
          <w:color w:val="auto"/>
          <w:szCs w:val="21"/>
          <w:highlight w:val="none"/>
        </w:rPr>
        <w:t>.2 保证</w:t>
      </w:r>
    </w:p>
    <w:p w14:paraId="643089C4">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（1）乙方应保证</w:t>
      </w:r>
      <w:r>
        <w:rPr>
          <w:rFonts w:hint="eastAsia" w:ascii="宋体" w:hAnsi="宋体"/>
          <w:color w:val="auto"/>
          <w:szCs w:val="21"/>
          <w:highlight w:val="none"/>
          <w:lang w:eastAsia="zh-CN"/>
        </w:rPr>
        <w:t>提供的货物</w:t>
      </w:r>
      <w:r>
        <w:rPr>
          <w:rFonts w:hint="eastAsia" w:ascii="宋体" w:hAnsi="宋体"/>
          <w:color w:val="auto"/>
          <w:szCs w:val="21"/>
          <w:highlight w:val="none"/>
        </w:rPr>
        <w:t>完全符合合同规定的质量、规格和性能要求。乙方应保证货物在正确安装、正常使用和保养条件下，</w:t>
      </w:r>
      <w:r>
        <w:rPr>
          <w:rFonts w:hint="eastAsia" w:ascii="宋体" w:hAnsi="宋体" w:eastAsia="宋体" w:cs="宋体"/>
          <w:szCs w:val="21"/>
          <w:highlight w:val="none"/>
        </w:rPr>
        <w:t>在其使用寿命期内具</w:t>
      </w:r>
      <w:r>
        <w:rPr>
          <w:rFonts w:hint="eastAsia" w:ascii="宋体" w:hAnsi="宋体" w:cs="宋体"/>
          <w:szCs w:val="21"/>
          <w:highlight w:val="none"/>
          <w:lang w:eastAsia="zh-CN"/>
        </w:rPr>
        <w:t>备合同约定</w:t>
      </w:r>
      <w:r>
        <w:rPr>
          <w:rFonts w:hint="eastAsia" w:ascii="宋体" w:hAnsi="宋体" w:eastAsia="宋体" w:cs="宋体"/>
          <w:szCs w:val="21"/>
          <w:highlight w:val="none"/>
        </w:rPr>
        <w:t>的性能</w:t>
      </w:r>
      <w:r>
        <w:rPr>
          <w:rFonts w:hint="eastAsia" w:ascii="宋体" w:hAnsi="宋体"/>
          <w:color w:val="auto"/>
          <w:szCs w:val="21"/>
          <w:highlight w:val="none"/>
        </w:rPr>
        <w:t>。</w:t>
      </w:r>
      <w:r>
        <w:rPr>
          <w:rFonts w:hint="eastAsia" w:ascii="宋体" w:hAnsi="宋体"/>
          <w:color w:val="auto"/>
          <w:szCs w:val="21"/>
          <w:highlight w:val="none"/>
          <w:lang w:eastAsia="zh-CN"/>
        </w:rPr>
        <w:t>存在</w:t>
      </w:r>
      <w:r>
        <w:rPr>
          <w:rFonts w:hint="eastAsia" w:ascii="宋体" w:hAnsi="宋体"/>
          <w:color w:val="auto"/>
          <w:szCs w:val="21"/>
          <w:highlight w:val="none"/>
        </w:rPr>
        <w:t>质量保证期的，货物最终交付验收</w:t>
      </w:r>
      <w:r>
        <w:rPr>
          <w:rFonts w:hint="eastAsia" w:ascii="宋体" w:hAnsi="宋体"/>
          <w:color w:val="auto"/>
          <w:szCs w:val="21"/>
          <w:highlight w:val="none"/>
          <w:lang w:eastAsia="zh-CN"/>
        </w:rPr>
        <w:t>合格</w:t>
      </w:r>
      <w:r>
        <w:rPr>
          <w:rFonts w:hint="eastAsia" w:ascii="宋体" w:hAnsi="宋体"/>
          <w:color w:val="auto"/>
          <w:szCs w:val="21"/>
          <w:highlight w:val="none"/>
        </w:rPr>
        <w:t>后</w:t>
      </w:r>
      <w:r>
        <w:rPr>
          <w:rFonts w:hint="eastAsia" w:ascii="宋体" w:hAnsi="宋体"/>
          <w:color w:val="auto"/>
          <w:szCs w:val="21"/>
          <w:highlight w:val="none"/>
          <w:lang w:eastAsia="zh-CN"/>
        </w:rPr>
        <w:t>在</w:t>
      </w:r>
      <w:r>
        <w:rPr>
          <w:rFonts w:hint="eastAsia" w:ascii="宋体" w:hAnsi="宋体"/>
          <w:b/>
          <w:color w:val="auto"/>
          <w:szCs w:val="21"/>
          <w:highlight w:val="none"/>
        </w:rPr>
        <w:t>【政府采购合同专用条款】</w:t>
      </w:r>
      <w:r>
        <w:rPr>
          <w:rFonts w:hint="eastAsia" w:ascii="宋体" w:hAnsi="宋体"/>
          <w:color w:val="auto"/>
          <w:szCs w:val="21"/>
          <w:highlight w:val="none"/>
        </w:rPr>
        <w:t>规定或乙方</w:t>
      </w:r>
      <w:r>
        <w:rPr>
          <w:rFonts w:hint="eastAsia" w:ascii="宋体" w:hAnsi="宋体"/>
          <w:color w:val="auto"/>
          <w:szCs w:val="21"/>
          <w:highlight w:val="none"/>
          <w:lang w:eastAsia="zh-CN"/>
        </w:rPr>
        <w:t>书面</w:t>
      </w:r>
      <w:r>
        <w:rPr>
          <w:rFonts w:hint="eastAsia" w:ascii="宋体" w:hAnsi="宋体"/>
          <w:color w:val="auto"/>
          <w:szCs w:val="21"/>
          <w:highlight w:val="none"/>
        </w:rPr>
        <w:t>承诺（两者以较长的为准）的质量保证期内，本保证保持有效。</w:t>
      </w:r>
    </w:p>
    <w:p w14:paraId="269D422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（2）在质量保证期内所发现的缺陷，甲方应尽快以书面形式通知乙方。</w:t>
      </w:r>
    </w:p>
    <w:p w14:paraId="28C86267">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（3）乙方收到通知后</w:t>
      </w:r>
      <w:r>
        <w:rPr>
          <w:rFonts w:hint="eastAsia" w:ascii="宋体" w:hAnsi="宋体"/>
          <w:color w:val="auto"/>
          <w:szCs w:val="21"/>
          <w:highlight w:val="none"/>
          <w:lang w:eastAsia="zh-CN"/>
        </w:rPr>
        <w:t>，</w:t>
      </w:r>
      <w:r>
        <w:rPr>
          <w:rFonts w:hint="eastAsia" w:ascii="宋体" w:hAnsi="宋体"/>
          <w:color w:val="auto"/>
          <w:szCs w:val="21"/>
          <w:highlight w:val="none"/>
        </w:rPr>
        <w:t>应在</w:t>
      </w:r>
      <w:r>
        <w:rPr>
          <w:rFonts w:hint="eastAsia" w:ascii="宋体" w:hAnsi="宋体"/>
          <w:b/>
          <w:color w:val="auto"/>
          <w:szCs w:val="21"/>
          <w:highlight w:val="none"/>
        </w:rPr>
        <w:t>【政府采购合同专用条款】</w:t>
      </w:r>
      <w:r>
        <w:rPr>
          <w:rFonts w:hint="eastAsia" w:ascii="宋体" w:hAnsi="宋体"/>
          <w:color w:val="auto"/>
          <w:szCs w:val="21"/>
          <w:highlight w:val="none"/>
        </w:rPr>
        <w:t>规定的响应时间内以合理的速度免费维修或更换有缺陷的货物或部件。</w:t>
      </w:r>
    </w:p>
    <w:p w14:paraId="079AC915">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auto"/>
          <w:szCs w:val="21"/>
          <w:highlight w:val="none"/>
        </w:rPr>
        <w:t>.1条规定以书面形式</w:t>
      </w:r>
      <w:r>
        <w:rPr>
          <w:rFonts w:hint="eastAsia" w:ascii="宋体" w:hAnsi="宋体"/>
          <w:color w:val="000000" w:themeColor="text1"/>
          <w:szCs w:val="21"/>
          <w:highlight w:val="none"/>
          <w:lang w:eastAsia="zh-CN"/>
          <w14:textFill>
            <w14:solidFill>
              <w14:schemeClr w14:val="tx1"/>
            </w14:solidFill>
          </w14:textFill>
        </w:rPr>
        <w:t>追究</w:t>
      </w:r>
      <w:r>
        <w:rPr>
          <w:rFonts w:hint="eastAsia" w:ascii="宋体" w:hAnsi="宋体"/>
          <w:color w:val="auto"/>
          <w:szCs w:val="21"/>
          <w:highlight w:val="none"/>
        </w:rPr>
        <w:t>乙方</w:t>
      </w:r>
      <w:r>
        <w:rPr>
          <w:rFonts w:hint="eastAsia" w:ascii="宋体" w:hAnsi="宋体"/>
          <w:color w:val="000000" w:themeColor="text1"/>
          <w:szCs w:val="21"/>
          <w:highlight w:val="none"/>
          <w:lang w:eastAsia="zh-CN"/>
          <w14:textFill>
            <w14:solidFill>
              <w14:schemeClr w14:val="tx1"/>
            </w14:solidFill>
          </w14:textFill>
        </w:rPr>
        <w:t>的违约责任</w:t>
      </w:r>
      <w:r>
        <w:rPr>
          <w:rFonts w:hint="eastAsia" w:ascii="宋体" w:hAnsi="宋体"/>
          <w:color w:val="auto"/>
          <w:szCs w:val="21"/>
          <w:highlight w:val="none"/>
        </w:rPr>
        <w:t>。</w:t>
      </w:r>
    </w:p>
    <w:p w14:paraId="19A90BB5">
      <w:pPr>
        <w:adjustRightInd w:val="0"/>
        <w:snapToGrid w:val="0"/>
        <w:spacing w:before="0" w:line="400" w:lineRule="exact"/>
        <w:ind w:firstLine="420" w:firstLineChars="200"/>
        <w:jc w:val="left"/>
        <w:rPr>
          <w:color w:val="auto"/>
          <w:highlight w:val="none"/>
        </w:rPr>
      </w:pPr>
      <w:r>
        <w:rPr>
          <w:rFonts w:hint="eastAsia" w:ascii="宋体" w:hAnsi="宋体"/>
          <w:color w:val="auto"/>
          <w:szCs w:val="21"/>
          <w:highlight w:val="none"/>
        </w:rPr>
        <w:t>（5）乙方在约定的时间内未能弥补缺陷，甲方可采取必要的补救措施，但其风险和费用将由乙方承担，甲方根据合同</w:t>
      </w:r>
      <w:r>
        <w:rPr>
          <w:rFonts w:hint="eastAsia" w:ascii="宋体" w:hAnsi="宋体"/>
          <w:color w:val="auto"/>
          <w:szCs w:val="21"/>
          <w:highlight w:val="none"/>
          <w:lang w:eastAsia="zh-CN"/>
        </w:rPr>
        <w:t>约定</w:t>
      </w:r>
      <w:r>
        <w:rPr>
          <w:rFonts w:hint="eastAsia" w:ascii="宋体" w:hAnsi="宋体"/>
          <w:color w:val="auto"/>
          <w:szCs w:val="21"/>
          <w:highlight w:val="none"/>
        </w:rPr>
        <w:t>对乙方行使的其他权利不受影响。</w:t>
      </w:r>
    </w:p>
    <w:p w14:paraId="3001236E">
      <w:pPr>
        <w:adjustRightInd w:val="0"/>
        <w:snapToGrid w:val="0"/>
        <w:spacing w:before="0" w:line="400" w:lineRule="exact"/>
        <w:jc w:val="left"/>
        <w:rPr>
          <w:rFonts w:ascii="宋体" w:hAnsi="宋体"/>
          <w:b/>
          <w:bCs/>
          <w:color w:val="auto"/>
          <w:sz w:val="24"/>
          <w:highlight w:val="none"/>
        </w:rPr>
      </w:pPr>
      <w:r>
        <w:rPr>
          <w:rFonts w:hint="eastAsia" w:ascii="宋体" w:hAnsi="宋体"/>
          <w:b/>
          <w:bCs/>
          <w:color w:val="000000" w:themeColor="text1"/>
          <w:sz w:val="24"/>
          <w:highlight w:val="none"/>
          <w:lang w:eastAsia="zh-CN"/>
          <w14:textFill>
            <w14:solidFill>
              <w14:schemeClr w14:val="tx1"/>
            </w14:solidFill>
          </w14:textFill>
        </w:rPr>
        <w:t>9</w:t>
      </w:r>
      <w:r>
        <w:rPr>
          <w:rFonts w:hint="eastAsia" w:ascii="宋体" w:hAnsi="宋体"/>
          <w:b/>
          <w:bCs/>
          <w:color w:val="auto"/>
          <w:sz w:val="24"/>
          <w:highlight w:val="none"/>
        </w:rPr>
        <w:t>.</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auto"/>
          <w:sz w:val="24"/>
          <w:highlight w:val="none"/>
        </w:rPr>
        <w:t>权利瑕疵担保</w:t>
      </w:r>
    </w:p>
    <w:p w14:paraId="4033249C">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.1 乙方保证对其出售的货物享有合法的权利。</w:t>
      </w:r>
    </w:p>
    <w:p w14:paraId="039C8644">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 xml:space="preserve">.2 </w:t>
      </w:r>
      <w:r>
        <w:rPr>
          <w:rFonts w:hint="eastAsia" w:ascii="宋体" w:hAnsi="宋体" w:eastAsia="宋体" w:cs="宋体"/>
          <w:szCs w:val="15"/>
          <w:highlight w:val="none"/>
        </w:rPr>
        <w:t>乙方保证在交付的货物上不存在抵押权等担保物权。</w:t>
      </w:r>
    </w:p>
    <w:p w14:paraId="472EBE7A">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.3 如甲方使用</w:t>
      </w:r>
      <w:r>
        <w:rPr>
          <w:rFonts w:hint="eastAsia" w:ascii="宋体" w:hAnsi="宋体"/>
          <w:color w:val="000000" w:themeColor="text1"/>
          <w:szCs w:val="21"/>
          <w:highlight w:val="none"/>
          <w:lang w:val="en-US" w:eastAsia="zh-CN"/>
          <w14:textFill>
            <w14:solidFill>
              <w14:schemeClr w14:val="tx1"/>
            </w14:solidFill>
          </w14:textFill>
        </w:rPr>
        <w:t>上述</w:t>
      </w:r>
      <w:r>
        <w:rPr>
          <w:rFonts w:hint="eastAsia" w:ascii="宋体" w:hAnsi="宋体"/>
          <w:color w:val="000000" w:themeColor="text1"/>
          <w:szCs w:val="21"/>
          <w:highlight w:val="none"/>
          <w14:textFill>
            <w14:solidFill>
              <w14:schemeClr w14:val="tx1"/>
            </w14:solidFill>
          </w14:textFill>
        </w:rPr>
        <w:t>货物构成</w:t>
      </w:r>
      <w:r>
        <w:rPr>
          <w:rFonts w:hint="eastAsia" w:ascii="宋体" w:hAnsi="宋体"/>
          <w:color w:val="000000" w:themeColor="text1"/>
          <w:szCs w:val="21"/>
          <w:highlight w:val="none"/>
          <w:lang w:val="en-US" w:eastAsia="zh-CN"/>
          <w14:textFill>
            <w14:solidFill>
              <w14:schemeClr w14:val="tx1"/>
            </w14:solidFill>
          </w14:textFill>
        </w:rPr>
        <w:t>对第三人</w:t>
      </w:r>
      <w:r>
        <w:rPr>
          <w:rFonts w:hint="eastAsia" w:ascii="宋体" w:hAnsi="宋体"/>
          <w:color w:val="000000" w:themeColor="text1"/>
          <w:szCs w:val="21"/>
          <w:highlight w:val="none"/>
          <w14:textFill>
            <w14:solidFill>
              <w14:schemeClr w14:val="tx1"/>
            </w14:solidFill>
          </w14:textFill>
        </w:rPr>
        <w:t>侵权的，则由乙方承担全部责任。</w:t>
      </w:r>
    </w:p>
    <w:p w14:paraId="537B16EB">
      <w:p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w:t>
      </w:r>
      <w:r>
        <w:rPr>
          <w:rFonts w:hint="eastAsia" w:ascii="宋体" w:hAnsi="宋体"/>
          <w:b/>
          <w:bCs/>
          <w:color w:val="000000" w:themeColor="text1"/>
          <w:sz w:val="24"/>
          <w:highlight w:val="none"/>
          <w:lang w:eastAsia="zh-CN"/>
          <w14:textFill>
            <w14:solidFill>
              <w14:schemeClr w14:val="tx1"/>
            </w14:solidFill>
          </w14:textFill>
        </w:rPr>
        <w:t>0</w:t>
      </w:r>
      <w:r>
        <w:rPr>
          <w:rFonts w:hint="eastAsia" w:ascii="宋体" w:hAnsi="宋体"/>
          <w:b/>
          <w:bCs/>
          <w:color w:val="000000" w:themeColor="text1"/>
          <w:sz w:val="24"/>
          <w:highlight w:val="none"/>
          <w14:textFill>
            <w14:solidFill>
              <w14:schemeClr w14:val="tx1"/>
            </w14:solidFill>
          </w14:textFill>
        </w:rPr>
        <w:t>.</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知识产权保护</w:t>
      </w:r>
    </w:p>
    <w:p w14:paraId="50088FF9">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lang w:eastAsia="zh-CN"/>
          <w14:textFill>
            <w14:solidFill>
              <w14:schemeClr w14:val="tx1"/>
            </w14:solidFill>
          </w14:textFill>
        </w:rPr>
        <w:t>0</w:t>
      </w:r>
      <w:r>
        <w:rPr>
          <w:rFonts w:hint="eastAsia" w:ascii="宋体" w:hAnsi="宋体"/>
          <w:color w:val="000000" w:themeColor="text1"/>
          <w:szCs w:val="21"/>
          <w:highlight w:val="none"/>
          <w14:textFill>
            <w14:solidFill>
              <w14:schemeClr w14:val="tx1"/>
            </w14:solidFill>
          </w14:textFill>
        </w:rPr>
        <w:t>.1 乙方对其所销售的货物应当享有知识产权或经权利人合法授权，保证没有侵犯任</w:t>
      </w:r>
      <w:r>
        <w:rPr>
          <w:rFonts w:hint="eastAsia" w:ascii="宋体" w:hAnsi="宋体"/>
          <w:color w:val="auto"/>
          <w:szCs w:val="21"/>
          <w:highlight w:val="none"/>
        </w:rPr>
        <w:t>何第三人的知识产权等权利。</w:t>
      </w:r>
      <w:bookmarkStart w:id="3" w:name="_Hlk163047038"/>
      <w:r>
        <w:rPr>
          <w:rFonts w:hint="eastAsia" w:ascii="宋体" w:hAnsi="宋体" w:eastAsia="宋体" w:cs="宋体"/>
          <w:szCs w:val="15"/>
          <w:highlight w:val="none"/>
        </w:rPr>
        <w:t>因违反前述约定对第三人构成侵权的，应当由乙方向第三人承担法律责任；甲方依法向第三人赔偿后，有权向乙方追偿。甲方有其他损失的，乙方应当赔偿</w:t>
      </w:r>
      <w:bookmarkEnd w:id="3"/>
      <w:r>
        <w:rPr>
          <w:rFonts w:hint="eastAsia" w:ascii="宋体" w:hAnsi="宋体"/>
          <w:color w:val="auto"/>
          <w:szCs w:val="21"/>
          <w:highlight w:val="none"/>
        </w:rPr>
        <w:t>。</w:t>
      </w:r>
    </w:p>
    <w:p w14:paraId="58CC33AF">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1</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保密义务</w:t>
      </w:r>
    </w:p>
    <w:p w14:paraId="0B60F18B">
      <w:pPr>
        <w:autoSpaceDE w:val="0"/>
        <w:autoSpaceDN w:val="0"/>
        <w:adjustRightInd w:val="0"/>
        <w:snapToGrid w:val="0"/>
        <w:spacing w:before="0" w:line="400" w:lineRule="exact"/>
        <w:ind w:firstLine="420" w:firstLineChars="200"/>
        <w:jc w:val="left"/>
        <w:rPr>
          <w:rFonts w:hint="eastAsia" w:ascii="宋体" w:hAnsi="宋体" w:eastAsia="宋体" w:cs="宋体"/>
          <w:szCs w:val="15"/>
          <w:highlight w:val="none"/>
        </w:rPr>
      </w:pPr>
      <w:r>
        <w:rPr>
          <w:rFonts w:hint="eastAsia" w:ascii="宋体" w:hAnsi="宋体" w:cs="宋体"/>
          <w:szCs w:val="15"/>
          <w:highlight w:val="none"/>
          <w:lang w:val="en-US" w:eastAsia="zh-CN"/>
        </w:rPr>
        <w:t xml:space="preserve">11.1 </w:t>
      </w:r>
      <w:r>
        <w:rPr>
          <w:rFonts w:hint="eastAsia" w:ascii="宋体" w:hAnsi="宋体" w:eastAsia="宋体" w:cs="宋体"/>
          <w:szCs w:val="15"/>
          <w:highlight w:val="none"/>
        </w:rPr>
        <w:t>甲、乙双方</w:t>
      </w:r>
      <w:r>
        <w:rPr>
          <w:rFonts w:hint="eastAsia" w:ascii="宋体" w:hAnsi="宋体" w:cs="宋体"/>
          <w:szCs w:val="15"/>
          <w:highlight w:val="none"/>
          <w:lang w:eastAsia="zh-CN"/>
        </w:rPr>
        <w:t>对</w:t>
      </w:r>
      <w:r>
        <w:rPr>
          <w:rFonts w:hint="eastAsia" w:ascii="宋体" w:hAnsi="宋体" w:eastAsia="宋体" w:cs="宋体"/>
          <w:szCs w:val="15"/>
          <w:highlight w:val="none"/>
        </w:rPr>
        <w:t>采购和合同履行过程中所获悉的</w:t>
      </w:r>
      <w:r>
        <w:rPr>
          <w:rFonts w:hint="eastAsia" w:ascii="宋体" w:hAnsi="宋体" w:cs="宋体"/>
          <w:szCs w:val="15"/>
          <w:highlight w:val="none"/>
          <w:lang w:eastAsia="zh-CN"/>
        </w:rPr>
        <w:t>国家秘密、工作秘密、</w:t>
      </w:r>
      <w:r>
        <w:rPr>
          <w:rFonts w:hint="eastAsia" w:ascii="宋体" w:hAnsi="宋体" w:eastAsia="宋体" w:cs="宋体"/>
          <w:szCs w:val="15"/>
          <w:highlight w:val="none"/>
        </w:rPr>
        <w:t>商业秘密或者其他应当保密的信息，均有保密义务</w:t>
      </w:r>
      <w:r>
        <w:rPr>
          <w:rFonts w:hint="eastAsia" w:ascii="宋体" w:hAnsi="宋体" w:cs="宋体"/>
          <w:szCs w:val="15"/>
          <w:highlight w:val="none"/>
          <w:lang w:eastAsia="zh-CN"/>
        </w:rPr>
        <w:t>且不受合同有效期所限，直至该信息成为公开信息</w:t>
      </w:r>
      <w:r>
        <w:rPr>
          <w:rFonts w:hint="eastAsia" w:ascii="宋体" w:hAnsi="宋体" w:eastAsia="宋体" w:cs="宋体"/>
          <w:szCs w:val="15"/>
          <w:highlight w:val="none"/>
        </w:rPr>
        <w:t>。泄露、不正当地使用</w:t>
      </w:r>
      <w:r>
        <w:rPr>
          <w:rFonts w:hint="eastAsia" w:ascii="宋体" w:hAnsi="宋体" w:cs="宋体"/>
          <w:szCs w:val="15"/>
          <w:highlight w:val="none"/>
          <w:lang w:eastAsia="zh-CN"/>
        </w:rPr>
        <w:t>国家秘密、工作秘密、</w:t>
      </w:r>
      <w:r>
        <w:rPr>
          <w:rFonts w:hint="eastAsia" w:ascii="宋体" w:hAnsi="宋体" w:eastAsia="宋体" w:cs="宋体"/>
          <w:szCs w:val="15"/>
          <w:highlight w:val="none"/>
        </w:rPr>
        <w:t>商业秘密或者</w:t>
      </w:r>
      <w:r>
        <w:rPr>
          <w:rFonts w:hint="eastAsia" w:ascii="宋体" w:hAnsi="宋体" w:cs="宋体"/>
          <w:szCs w:val="15"/>
          <w:highlight w:val="none"/>
          <w:lang w:eastAsia="zh-CN"/>
        </w:rPr>
        <w:t>其他应当保密的</w:t>
      </w:r>
      <w:r>
        <w:rPr>
          <w:rFonts w:hint="eastAsia" w:ascii="宋体" w:hAnsi="宋体" w:eastAsia="宋体" w:cs="宋体"/>
          <w:szCs w:val="15"/>
          <w:highlight w:val="none"/>
        </w:rPr>
        <w:t>信息，应当承担</w:t>
      </w:r>
      <w:r>
        <w:rPr>
          <w:rFonts w:hint="eastAsia" w:ascii="宋体" w:hAnsi="宋体" w:cs="宋体"/>
          <w:szCs w:val="15"/>
          <w:highlight w:val="none"/>
          <w:lang w:eastAsia="zh-CN"/>
        </w:rPr>
        <w:t>相应</w:t>
      </w:r>
      <w:r>
        <w:rPr>
          <w:rFonts w:hint="eastAsia" w:ascii="宋体" w:hAnsi="宋体" w:eastAsia="宋体" w:cs="宋体"/>
          <w:szCs w:val="15"/>
          <w:highlight w:val="none"/>
        </w:rPr>
        <w:t>责任。其他应当保密的信息由双方在</w:t>
      </w:r>
      <w:r>
        <w:rPr>
          <w:rFonts w:hint="eastAsia" w:ascii="宋体" w:hAnsi="宋体" w:eastAsia="宋体" w:cs="宋体"/>
          <w:b/>
          <w:bCs/>
          <w:szCs w:val="15"/>
          <w:highlight w:val="none"/>
        </w:rPr>
        <w:t>【政府采购合同专用条款】</w:t>
      </w:r>
      <w:r>
        <w:rPr>
          <w:rFonts w:hint="eastAsia" w:ascii="宋体" w:hAnsi="宋体" w:eastAsia="宋体" w:cs="宋体"/>
          <w:szCs w:val="15"/>
          <w:highlight w:val="none"/>
        </w:rPr>
        <w:t>中约定。</w:t>
      </w:r>
    </w:p>
    <w:p w14:paraId="459CA588">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2</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合同价款支付</w:t>
      </w:r>
    </w:p>
    <w:p w14:paraId="06FEADFD">
      <w:pPr>
        <w:autoSpaceDE/>
        <w:autoSpaceDN/>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1</w:t>
      </w:r>
      <w:r>
        <w:rPr>
          <w:rFonts w:hint="eastAsia" w:ascii="宋体" w:hAnsi="宋体"/>
          <w:color w:val="auto"/>
          <w:szCs w:val="21"/>
          <w:highlight w:val="none"/>
          <w:lang w:eastAsia="zh-CN"/>
        </w:rPr>
        <w:t>2</w:t>
      </w:r>
      <w:r>
        <w:rPr>
          <w:rFonts w:hint="eastAsia" w:ascii="宋体" w:hAnsi="宋体"/>
          <w:color w:val="auto"/>
          <w:szCs w:val="21"/>
          <w:highlight w:val="none"/>
        </w:rPr>
        <w:t xml:space="preserve">.1 </w:t>
      </w:r>
      <w:r>
        <w:rPr>
          <w:rFonts w:hint="eastAsia" w:ascii="宋体" w:hAnsi="宋体"/>
          <w:color w:val="auto"/>
          <w:szCs w:val="21"/>
          <w:highlight w:val="none"/>
          <w:lang w:eastAsia="zh-CN"/>
        </w:rPr>
        <w:t>合同价款支付</w:t>
      </w:r>
      <w:r>
        <w:rPr>
          <w:rFonts w:hint="eastAsia" w:ascii="宋体" w:hAnsi="宋体"/>
          <w:color w:val="auto"/>
          <w:szCs w:val="21"/>
          <w:highlight w:val="none"/>
        </w:rPr>
        <w:t>按照国库集中支付</w:t>
      </w:r>
      <w:r>
        <w:rPr>
          <w:rFonts w:hint="eastAsia" w:ascii="宋体" w:hAnsi="宋体"/>
          <w:color w:val="auto"/>
          <w:szCs w:val="21"/>
          <w:highlight w:val="none"/>
          <w:lang w:eastAsia="zh-CN"/>
        </w:rPr>
        <w:t>制度及财政管理相关</w:t>
      </w:r>
      <w:r>
        <w:rPr>
          <w:rFonts w:hint="eastAsia" w:ascii="宋体" w:hAnsi="宋体"/>
          <w:color w:val="auto"/>
          <w:szCs w:val="21"/>
          <w:highlight w:val="none"/>
        </w:rPr>
        <w:t>规定执行。</w:t>
      </w:r>
    </w:p>
    <w:p w14:paraId="4ADB072D">
      <w:pPr>
        <w:pStyle w:val="3"/>
        <w:spacing w:line="400" w:lineRule="exact"/>
        <w:ind w:firstLine="420" w:firstLineChars="200"/>
        <w:rPr>
          <w:rFonts w:hint="eastAsia" w:eastAsia="宋体"/>
          <w:color w:val="auto"/>
          <w:highlight w:val="none"/>
          <w:lang w:eastAsia="zh-CN"/>
        </w:rPr>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kern w:val="2"/>
          <w:sz w:val="21"/>
          <w:szCs w:val="21"/>
          <w:highlight w:val="none"/>
        </w:rPr>
        <w:t>对于满足合同约定支付条件的，</w:t>
      </w:r>
      <w:r>
        <w:rPr>
          <w:rFonts w:hint="eastAsia" w:ascii="宋体" w:hAnsi="宋体" w:eastAsia="宋体" w:cs="Times New Roman"/>
          <w:b w:val="0"/>
          <w:bCs w:val="0"/>
          <w:color w:val="auto"/>
          <w:kern w:val="2"/>
          <w:sz w:val="21"/>
          <w:szCs w:val="21"/>
          <w:highlight w:val="none"/>
          <w:lang w:val="en-US" w:eastAsia="zh-CN"/>
        </w:rPr>
        <w:t>甲方</w:t>
      </w:r>
      <w:r>
        <w:rPr>
          <w:rFonts w:hint="eastAsia" w:ascii="宋体" w:hAnsi="宋体" w:eastAsia="宋体" w:cs="Times New Roman"/>
          <w:b w:val="0"/>
          <w:bCs w:val="0"/>
          <w:i w:val="0"/>
          <w:iCs w:val="0"/>
          <w:caps w:val="0"/>
          <w:color w:val="auto"/>
          <w:spacing w:val="0"/>
          <w:sz w:val="21"/>
          <w:szCs w:val="21"/>
          <w:highlight w:val="none"/>
          <w:shd w:val="clear"/>
          <w:vertAlign w:val="baseline"/>
        </w:rPr>
        <w:t>原则上应当自收到发票后10个工作日内</w:t>
      </w:r>
      <w:r>
        <w:rPr>
          <w:rFonts w:hint="eastAsia" w:ascii="宋体" w:hAnsi="宋体" w:eastAsia="宋体" w:cs="Times New Roman"/>
          <w:b w:val="0"/>
          <w:bCs w:val="0"/>
          <w:color w:val="auto"/>
          <w:kern w:val="2"/>
          <w:sz w:val="21"/>
          <w:szCs w:val="21"/>
          <w:highlight w:val="none"/>
        </w:rPr>
        <w:t>将资金支付到合同约定的</w:t>
      </w:r>
      <w:r>
        <w:rPr>
          <w:rFonts w:hint="eastAsia" w:ascii="宋体" w:hAnsi="宋体" w:cs="Times New Roman"/>
          <w:b w:val="0"/>
          <w:bCs w:val="0"/>
          <w:color w:val="auto"/>
          <w:kern w:val="2"/>
          <w:sz w:val="21"/>
          <w:szCs w:val="21"/>
          <w:highlight w:val="none"/>
          <w:lang w:eastAsia="zh-CN"/>
        </w:rPr>
        <w:t>乙方</w:t>
      </w:r>
      <w:r>
        <w:rPr>
          <w:rFonts w:hint="eastAsia" w:ascii="宋体" w:hAnsi="宋体" w:eastAsia="宋体" w:cs="Times New Roman"/>
          <w:b w:val="0"/>
          <w:bCs w:val="0"/>
          <w:color w:val="auto"/>
          <w:kern w:val="2"/>
          <w:sz w:val="21"/>
          <w:szCs w:val="21"/>
          <w:highlight w:val="none"/>
        </w:rPr>
        <w:t>账户，不得以机构变动、人员更替、政策调整等为由迟延付款，不得将采购文件和合同中未规定的义务作为向</w:t>
      </w:r>
      <w:r>
        <w:rPr>
          <w:rFonts w:hint="eastAsia" w:ascii="宋体" w:hAnsi="宋体" w:eastAsia="宋体" w:cs="Times New Roman"/>
          <w:b w:val="0"/>
          <w:bCs w:val="0"/>
          <w:color w:val="auto"/>
          <w:kern w:val="2"/>
          <w:sz w:val="21"/>
          <w:szCs w:val="21"/>
          <w:highlight w:val="none"/>
          <w:lang w:val="en-US" w:eastAsia="zh-CN"/>
        </w:rPr>
        <w:t>乙方</w:t>
      </w:r>
      <w:r>
        <w:rPr>
          <w:rFonts w:hint="eastAsia" w:ascii="宋体" w:hAnsi="宋体" w:eastAsia="宋体" w:cs="Times New Roman"/>
          <w:b w:val="0"/>
          <w:bCs w:val="0"/>
          <w:color w:val="auto"/>
          <w:kern w:val="2"/>
          <w:sz w:val="21"/>
          <w:szCs w:val="21"/>
          <w:highlight w:val="none"/>
        </w:rPr>
        <w:t>付款的条件。具体合同价款支付时间在【</w:t>
      </w:r>
      <w:r>
        <w:rPr>
          <w:rFonts w:hint="eastAsia" w:ascii="宋体" w:hAnsi="宋体" w:eastAsia="宋体" w:cs="Times New Roman"/>
          <w:b/>
          <w:bCs/>
          <w:color w:val="auto"/>
          <w:kern w:val="2"/>
          <w:sz w:val="21"/>
          <w:szCs w:val="21"/>
          <w:highlight w:val="none"/>
        </w:rPr>
        <w:t>政府采购合同专用条款</w:t>
      </w:r>
      <w:r>
        <w:rPr>
          <w:rFonts w:hint="eastAsia" w:ascii="宋体" w:hAnsi="宋体" w:eastAsia="宋体" w:cs="Times New Roman"/>
          <w:b w:val="0"/>
          <w:bCs w:val="0"/>
          <w:color w:val="auto"/>
          <w:kern w:val="2"/>
          <w:sz w:val="21"/>
          <w:szCs w:val="21"/>
          <w:highlight w:val="none"/>
        </w:rPr>
        <w:t>】中</w:t>
      </w:r>
      <w:r>
        <w:rPr>
          <w:rFonts w:hint="eastAsia" w:ascii="宋体" w:hAnsi="宋体" w:cs="Times New Roman"/>
          <w:b w:val="0"/>
          <w:bCs w:val="0"/>
          <w:color w:val="auto"/>
          <w:kern w:val="2"/>
          <w:sz w:val="21"/>
          <w:szCs w:val="21"/>
          <w:highlight w:val="none"/>
          <w:lang w:eastAsia="zh-CN"/>
        </w:rPr>
        <w:t>约</w:t>
      </w:r>
      <w:r>
        <w:rPr>
          <w:rFonts w:hint="eastAsia" w:ascii="宋体" w:hAnsi="宋体" w:eastAsia="宋体" w:cs="Times New Roman"/>
          <w:b w:val="0"/>
          <w:bCs w:val="0"/>
          <w:color w:val="auto"/>
          <w:kern w:val="2"/>
          <w:sz w:val="21"/>
          <w:szCs w:val="21"/>
          <w:highlight w:val="none"/>
        </w:rPr>
        <w:t>定。</w:t>
      </w:r>
    </w:p>
    <w:p w14:paraId="40025A48">
      <w:pPr>
        <w:pStyle w:val="5"/>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1</w:t>
      </w:r>
      <w:r>
        <w:rPr>
          <w:rFonts w:hint="eastAsia" w:ascii="宋体" w:hAnsi="宋体"/>
          <w:b/>
          <w:bCs/>
          <w:color w:val="auto"/>
          <w:sz w:val="24"/>
          <w:szCs w:val="24"/>
          <w:highlight w:val="none"/>
          <w:lang w:eastAsia="zh-CN"/>
        </w:rPr>
        <w:t>3</w:t>
      </w: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履约保证金</w:t>
      </w:r>
    </w:p>
    <w:p w14:paraId="105B1218">
      <w:pPr>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 xml:space="preserve">.1 </w:t>
      </w:r>
      <w:r>
        <w:rPr>
          <w:rFonts w:hint="eastAsia" w:ascii="宋体" w:hAnsi="宋体" w:eastAsia="宋体" w:cs="宋体"/>
          <w:szCs w:val="15"/>
          <w:highlight w:val="none"/>
        </w:rPr>
        <w:t>乙方应当以支票、汇票、本票或者金融机构、担保机构出具的保函等非现金形式提交。</w:t>
      </w:r>
    </w:p>
    <w:p w14:paraId="73FA6E08">
      <w:pPr>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.2 如果乙方</w:t>
      </w:r>
      <w:r>
        <w:rPr>
          <w:rFonts w:hint="eastAsia" w:ascii="宋体" w:hAnsi="宋体"/>
          <w:color w:val="auto"/>
          <w:szCs w:val="21"/>
          <w:highlight w:val="none"/>
          <w:lang w:eastAsia="zh-CN"/>
        </w:rPr>
        <w:t>出现</w:t>
      </w:r>
      <w:r>
        <w:rPr>
          <w:rFonts w:hint="eastAsia" w:ascii="宋体" w:hAnsi="宋体" w:eastAsia="宋体" w:cs="宋体"/>
          <w:b/>
          <w:bCs/>
          <w:szCs w:val="15"/>
          <w:highlight w:val="none"/>
        </w:rPr>
        <w:t>【政府采购合同专用条款】</w:t>
      </w:r>
      <w:r>
        <w:rPr>
          <w:rFonts w:hint="eastAsia" w:ascii="宋体" w:hAnsi="宋体" w:cs="宋体"/>
          <w:b w:val="0"/>
          <w:bCs w:val="0"/>
          <w:szCs w:val="15"/>
          <w:highlight w:val="none"/>
          <w:lang w:eastAsia="zh-CN"/>
        </w:rPr>
        <w:t>约定</w:t>
      </w:r>
      <w:r>
        <w:rPr>
          <w:rFonts w:hint="eastAsia" w:ascii="宋体" w:hAnsi="宋体" w:cs="宋体"/>
          <w:b w:val="0"/>
          <w:bCs w:val="0"/>
          <w:szCs w:val="15"/>
          <w:highlight w:val="none"/>
          <w:lang w:eastAsia="zh-CN"/>
        </w:rPr>
        <w:t>情形的</w:t>
      </w:r>
      <w:r>
        <w:rPr>
          <w:rFonts w:hint="eastAsia" w:ascii="宋体" w:hAnsi="宋体"/>
          <w:color w:val="auto"/>
          <w:szCs w:val="21"/>
          <w:highlight w:val="none"/>
        </w:rPr>
        <w:t>，履约保证金不予退还；如果乙方未能按合同约定全面履行义务，甲方有权从履约保证金中取得补偿或赔偿，</w:t>
      </w:r>
      <w:r>
        <w:rPr>
          <w:rFonts w:hint="eastAsia" w:ascii="宋体" w:hAnsi="宋体"/>
          <w:color w:val="auto"/>
          <w:szCs w:val="21"/>
          <w:highlight w:val="none"/>
          <w:lang w:eastAsia="zh-CN"/>
        </w:rPr>
        <w:t>且</w:t>
      </w:r>
      <w:r>
        <w:rPr>
          <w:rFonts w:hint="eastAsia" w:ascii="宋体" w:hAnsi="宋体"/>
          <w:color w:val="auto"/>
          <w:szCs w:val="21"/>
          <w:highlight w:val="none"/>
        </w:rPr>
        <w:t>不影响甲方要求乙方承担合同约定的超过履约保证金的违约责任的权利。</w:t>
      </w:r>
    </w:p>
    <w:p w14:paraId="76452B11">
      <w:pPr>
        <w:spacing w:line="400" w:lineRule="exact"/>
        <w:ind w:firstLine="420"/>
        <w:rPr>
          <w:color w:val="auto"/>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.3 甲方在项目通过验收后按照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规定的时间内将履约保证金退还乙方；逾期退还的，乙方可要求甲方支付违约金，违约金按照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规定支付。</w:t>
      </w:r>
    </w:p>
    <w:p w14:paraId="42AD02BD">
      <w:p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4</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b/>
          <w:color w:val="auto"/>
          <w:sz w:val="24"/>
          <w:highlight w:val="none"/>
        </w:rPr>
        <w:t>售后</w:t>
      </w:r>
      <w:r>
        <w:rPr>
          <w:rFonts w:hint="eastAsia" w:ascii="宋体" w:hAnsi="宋体"/>
          <w:b/>
          <w:color w:val="auto"/>
          <w:sz w:val="24"/>
          <w:highlight w:val="none"/>
        </w:rPr>
        <w:t>服务</w:t>
      </w:r>
    </w:p>
    <w:p w14:paraId="1FB4C78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4</w:t>
      </w:r>
      <w:r>
        <w:rPr>
          <w:rFonts w:hint="eastAsia" w:ascii="宋体" w:hAnsi="宋体"/>
          <w:color w:val="auto"/>
          <w:szCs w:val="21"/>
          <w:highlight w:val="none"/>
        </w:rPr>
        <w:t>.1 除项目不涉及或采购活动中明确约定无须承担外，乙方还应提供下列服务：</w:t>
      </w:r>
    </w:p>
    <w:p w14:paraId="6565E3AB">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（1）货物的现场移动、安装、调试、启动监督及技术支持；</w:t>
      </w:r>
    </w:p>
    <w:p w14:paraId="734CDF1B">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（2）提供货物组装和维修所需的专用工具和辅助材料；</w:t>
      </w:r>
    </w:p>
    <w:p w14:paraId="4569412A">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（3）在</w:t>
      </w:r>
      <w:r>
        <w:rPr>
          <w:rFonts w:hint="eastAsia" w:ascii="宋体" w:hAnsi="宋体" w:eastAsia="宋体" w:cs="宋体"/>
          <w:b/>
          <w:bCs/>
          <w:szCs w:val="15"/>
          <w:highlight w:val="none"/>
        </w:rPr>
        <w:t>【政府采购合同专用条款】</w:t>
      </w:r>
      <w:r>
        <w:rPr>
          <w:rFonts w:hint="eastAsia" w:ascii="宋体" w:hAnsi="宋体"/>
          <w:color w:val="auto"/>
          <w:szCs w:val="21"/>
          <w:highlight w:val="none"/>
          <w:lang w:eastAsia="zh-CN"/>
        </w:rPr>
        <w:t>约定</w:t>
      </w:r>
      <w:r>
        <w:rPr>
          <w:rFonts w:hint="eastAsia" w:ascii="宋体" w:hAnsi="宋体"/>
          <w:color w:val="auto"/>
          <w:szCs w:val="21"/>
          <w:highlight w:val="none"/>
        </w:rPr>
        <w:t>的期限内对所有的货物实施运行监督、维修，但前提条件是该服务并不能免除乙方在质量保证期内所承担的义务；</w:t>
      </w:r>
    </w:p>
    <w:p w14:paraId="1B315782">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（4）在制造商</w:t>
      </w:r>
      <w:r>
        <w:rPr>
          <w:rFonts w:hint="eastAsia" w:ascii="宋体" w:hAnsi="宋体"/>
          <w:color w:val="auto"/>
          <w:szCs w:val="21"/>
          <w:highlight w:val="none"/>
          <w:lang w:eastAsia="zh-CN"/>
        </w:rPr>
        <w:t>所在地</w:t>
      </w:r>
      <w:r>
        <w:rPr>
          <w:rFonts w:hint="eastAsia" w:ascii="宋体" w:hAnsi="宋体"/>
          <w:color w:val="auto"/>
          <w:szCs w:val="21"/>
          <w:highlight w:val="none"/>
        </w:rPr>
        <w:t>或</w:t>
      </w:r>
      <w:r>
        <w:rPr>
          <w:rFonts w:hint="eastAsia" w:ascii="宋体" w:hAnsi="宋体"/>
          <w:color w:val="auto"/>
          <w:szCs w:val="21"/>
          <w:highlight w:val="none"/>
          <w:lang w:eastAsia="zh-CN"/>
        </w:rPr>
        <w:t>指定</w:t>
      </w:r>
      <w:r>
        <w:rPr>
          <w:rFonts w:hint="eastAsia" w:ascii="宋体" w:hAnsi="宋体"/>
          <w:color w:val="auto"/>
          <w:szCs w:val="21"/>
          <w:highlight w:val="none"/>
        </w:rPr>
        <w:t>现场就货物的安装、启动、运营、维护</w:t>
      </w:r>
      <w:r>
        <w:rPr>
          <w:rFonts w:hint="eastAsia" w:ascii="宋体" w:hAnsi="宋体"/>
          <w:color w:val="auto"/>
          <w:szCs w:val="21"/>
          <w:highlight w:val="none"/>
          <w:lang w:eastAsia="zh-CN"/>
        </w:rPr>
        <w:t>、废弃处置等</w:t>
      </w:r>
      <w:r>
        <w:rPr>
          <w:rFonts w:hint="eastAsia" w:ascii="宋体" w:hAnsi="宋体"/>
          <w:color w:val="auto"/>
          <w:szCs w:val="21"/>
          <w:highlight w:val="none"/>
        </w:rPr>
        <w:t>对甲方操作人员进行培训</w:t>
      </w:r>
      <w:r>
        <w:rPr>
          <w:rFonts w:hint="eastAsia" w:ascii="宋体" w:hAnsi="宋体" w:cs="宋体"/>
          <w:szCs w:val="15"/>
          <w:highlight w:val="none"/>
          <w:lang w:eastAsia="zh-CN"/>
        </w:rPr>
        <w:t>；</w:t>
      </w:r>
    </w:p>
    <w:p w14:paraId="4106105B">
      <w:pPr>
        <w:pStyle w:val="15"/>
        <w:rPr>
          <w:rFonts w:hint="eastAsia" w:ascii="宋体" w:hAnsi="宋体" w:eastAsia="宋体" w:cs="宋体"/>
          <w:sz w:val="21"/>
          <w:szCs w:val="21"/>
          <w:highlight w:val="none"/>
        </w:rPr>
      </w:pPr>
      <w:r>
        <w:rPr>
          <w:rFonts w:hint="eastAsia" w:ascii="宋体" w:hAnsi="宋体" w:eastAsia="宋体" w:cs="宋体"/>
          <w:sz w:val="21"/>
          <w:szCs w:val="21"/>
          <w:highlight w:val="none"/>
        </w:rPr>
        <w:t>（5）依照法律、行政法规的规定或者按照</w:t>
      </w:r>
      <w:r>
        <w:rPr>
          <w:rFonts w:hint="eastAsia" w:ascii="宋体" w:hAnsi="宋体" w:eastAsia="宋体" w:cs="宋体"/>
          <w:b/>
          <w:bCs/>
          <w:sz w:val="21"/>
          <w:szCs w:val="21"/>
          <w:highlight w:val="none"/>
        </w:rPr>
        <w:t>【政府采购合同专用条款】</w:t>
      </w:r>
      <w:r>
        <w:rPr>
          <w:rFonts w:hint="eastAsia" w:ascii="宋体" w:hAnsi="宋体" w:eastAsia="宋体" w:cs="宋体"/>
          <w:sz w:val="21"/>
          <w:szCs w:val="21"/>
          <w:highlight w:val="none"/>
        </w:rPr>
        <w:t>约定，货物在有效使用年限届满后应予回收的，乙方负有自行或者委托第三人对货物予以回收的义务；</w:t>
      </w:r>
    </w:p>
    <w:p w14:paraId="1CB7D342">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b/>
          <w:color w:val="auto"/>
          <w:szCs w:val="21"/>
          <w:highlight w:val="none"/>
        </w:rPr>
        <w:t>【政府采购合同专用条款】</w:t>
      </w:r>
      <w:r>
        <w:rPr>
          <w:rFonts w:hint="eastAsia" w:ascii="宋体" w:hAnsi="宋体"/>
          <w:color w:val="auto"/>
          <w:szCs w:val="21"/>
          <w:highlight w:val="none"/>
        </w:rPr>
        <w:t>规定由乙方提供的其他服务。</w:t>
      </w:r>
    </w:p>
    <w:p w14:paraId="22866880">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4</w:t>
      </w:r>
      <w:r>
        <w:rPr>
          <w:rFonts w:hint="eastAsia" w:ascii="宋体" w:hAnsi="宋体"/>
          <w:color w:val="auto"/>
          <w:szCs w:val="21"/>
          <w:highlight w:val="none"/>
        </w:rPr>
        <w:t>.2 乙方提供的</w:t>
      </w:r>
      <w:r>
        <w:rPr>
          <w:rFonts w:hint="eastAsia" w:ascii="宋体" w:hAnsi="宋体"/>
          <w:color w:val="auto"/>
          <w:szCs w:val="21"/>
          <w:highlight w:val="none"/>
          <w:lang w:eastAsia="zh-CN"/>
        </w:rPr>
        <w:t>售后</w:t>
      </w:r>
      <w:r>
        <w:rPr>
          <w:rFonts w:hint="eastAsia" w:ascii="宋体" w:hAnsi="宋体"/>
          <w:color w:val="auto"/>
          <w:szCs w:val="21"/>
          <w:highlight w:val="none"/>
        </w:rPr>
        <w:t>服务的费用</w:t>
      </w:r>
      <w:r>
        <w:rPr>
          <w:rFonts w:hint="eastAsia" w:ascii="宋体" w:hAnsi="宋体"/>
          <w:color w:val="auto"/>
          <w:szCs w:val="21"/>
          <w:highlight w:val="none"/>
          <w:lang w:val="en-US" w:eastAsia="zh-CN"/>
        </w:rPr>
        <w:t>已</w:t>
      </w:r>
      <w:r>
        <w:rPr>
          <w:rFonts w:hint="eastAsia" w:ascii="宋体" w:hAnsi="宋体"/>
          <w:color w:val="auto"/>
          <w:szCs w:val="21"/>
          <w:highlight w:val="none"/>
        </w:rPr>
        <w:t>包含在合同价款中，甲方不再另行支付。</w:t>
      </w:r>
    </w:p>
    <w:p w14:paraId="0B21C954">
      <w:pPr>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5</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违约责任</w:t>
      </w:r>
    </w:p>
    <w:p w14:paraId="36CF6DC6">
      <w:pPr>
        <w:adjustRightInd w:val="0"/>
        <w:snapToGrid w:val="0"/>
        <w:spacing w:before="0"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.1质量瑕疵的</w:t>
      </w:r>
      <w:r>
        <w:rPr>
          <w:rFonts w:hint="eastAsia" w:ascii="宋体" w:hAnsi="宋体"/>
          <w:bCs/>
          <w:color w:val="auto"/>
          <w:szCs w:val="21"/>
          <w:highlight w:val="none"/>
          <w:lang w:eastAsia="zh-CN"/>
        </w:rPr>
        <w:t>违约责任</w:t>
      </w:r>
    </w:p>
    <w:p w14:paraId="79B131B1">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乙方</w:t>
      </w:r>
      <w:r>
        <w:rPr>
          <w:rFonts w:hint="eastAsia" w:ascii="宋体" w:hAnsi="宋体"/>
          <w:color w:val="auto"/>
          <w:szCs w:val="21"/>
          <w:highlight w:val="none"/>
          <w:lang w:eastAsia="zh-CN"/>
        </w:rPr>
        <w:t>提供</w:t>
      </w:r>
      <w:r>
        <w:rPr>
          <w:rFonts w:hint="eastAsia" w:ascii="宋体" w:hAnsi="宋体"/>
          <w:color w:val="auto"/>
          <w:szCs w:val="21"/>
          <w:highlight w:val="none"/>
        </w:rPr>
        <w:t>的产品不符合</w:t>
      </w:r>
      <w:r>
        <w:rPr>
          <w:rFonts w:hint="eastAsia" w:ascii="宋体" w:hAnsi="宋体"/>
          <w:color w:val="auto"/>
          <w:szCs w:val="21"/>
          <w:highlight w:val="none"/>
          <w:lang w:eastAsia="zh-CN"/>
        </w:rPr>
        <w:t>合同约定的</w:t>
      </w:r>
      <w:r>
        <w:rPr>
          <w:rFonts w:hint="eastAsia" w:ascii="宋体" w:hAnsi="宋体"/>
          <w:color w:val="auto"/>
          <w:szCs w:val="21"/>
          <w:highlight w:val="none"/>
        </w:rPr>
        <w:t>质量标准或存在产品质量缺陷，</w:t>
      </w:r>
      <w:r>
        <w:rPr>
          <w:rFonts w:hint="eastAsia" w:ascii="宋体" w:hAnsi="宋体"/>
          <w:color w:val="auto"/>
          <w:szCs w:val="21"/>
          <w:highlight w:val="none"/>
          <w:lang w:eastAsia="zh-CN"/>
        </w:rPr>
        <w:t>甲方有权要求乙方根据</w:t>
      </w:r>
      <w:r>
        <w:rPr>
          <w:rFonts w:hint="eastAsia" w:ascii="宋体" w:hAnsi="宋体"/>
          <w:b/>
          <w:color w:val="auto"/>
          <w:szCs w:val="21"/>
          <w:highlight w:val="none"/>
        </w:rPr>
        <w:t>【政府采购合同专用条款】</w:t>
      </w:r>
      <w:r>
        <w:rPr>
          <w:rFonts w:hint="eastAsia" w:ascii="宋体" w:hAnsi="宋体"/>
          <w:b w:val="0"/>
          <w:bCs/>
          <w:color w:val="auto"/>
          <w:szCs w:val="21"/>
          <w:highlight w:val="none"/>
          <w:lang w:eastAsia="zh-CN"/>
        </w:rPr>
        <w:t>要求</w:t>
      </w:r>
      <w:r>
        <w:rPr>
          <w:rFonts w:hint="eastAsia" w:ascii="宋体" w:hAnsi="宋体"/>
          <w:color w:val="auto"/>
          <w:szCs w:val="21"/>
          <w:highlight w:val="none"/>
          <w:lang w:eastAsia="zh-CN"/>
        </w:rPr>
        <w:t>及时修理、重作、更换，并承担由此给甲</w:t>
      </w:r>
      <w:r>
        <w:rPr>
          <w:rFonts w:hint="eastAsia" w:ascii="宋体" w:hAnsi="宋体"/>
          <w:color w:val="auto"/>
          <w:szCs w:val="21"/>
          <w:highlight w:val="none"/>
        </w:rPr>
        <w:t>方</w:t>
      </w:r>
      <w:r>
        <w:rPr>
          <w:rFonts w:hint="eastAsia" w:ascii="宋体" w:hAnsi="宋体"/>
          <w:color w:val="auto"/>
          <w:szCs w:val="21"/>
          <w:highlight w:val="none"/>
          <w:lang w:eastAsia="zh-CN"/>
        </w:rPr>
        <w:t>造成的损失</w:t>
      </w:r>
      <w:r>
        <w:rPr>
          <w:rFonts w:hint="eastAsia" w:ascii="宋体" w:hAnsi="宋体"/>
          <w:color w:val="auto"/>
          <w:szCs w:val="21"/>
          <w:highlight w:val="none"/>
        </w:rPr>
        <w:t>。</w:t>
      </w:r>
    </w:p>
    <w:p w14:paraId="6B764774">
      <w:pPr>
        <w:autoSpaceDE w:val="0"/>
        <w:autoSpaceDN w:val="0"/>
        <w:adjustRightInd w:val="0"/>
        <w:snapToGrid w:val="0"/>
        <w:spacing w:before="0" w:line="400" w:lineRule="exact"/>
        <w:ind w:firstLine="420" w:firstLineChars="200"/>
        <w:jc w:val="left"/>
        <w:rPr>
          <w:rFonts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.2 迟延交货的违约责任</w:t>
      </w:r>
    </w:p>
    <w:p w14:paraId="6AE01DD7">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（1）乙方应按照本合同规定的时间、地点交货和提供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服务。在履行合同过程中，如果乙方遇到可能</w:t>
      </w:r>
      <w:r>
        <w:rPr>
          <w:rFonts w:hint="eastAsia" w:ascii="宋体" w:hAnsi="宋体"/>
          <w:color w:val="auto"/>
          <w:szCs w:val="21"/>
          <w:highlight w:val="none"/>
          <w:lang w:eastAsia="zh-CN"/>
        </w:rPr>
        <w:t>影响</w:t>
      </w:r>
      <w:r>
        <w:rPr>
          <w:rFonts w:hint="eastAsia" w:ascii="宋体" w:hAnsi="宋体"/>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长</w:t>
      </w:r>
      <w:r>
        <w:rPr>
          <w:rFonts w:hint="eastAsia" w:ascii="宋体" w:hAnsi="宋体"/>
          <w:color w:val="auto"/>
          <w:szCs w:val="21"/>
          <w:highlight w:val="none"/>
        </w:rPr>
        <w:t>交货时间或延期提供服务。</w:t>
      </w:r>
    </w:p>
    <w:p w14:paraId="37F0C4F2">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（2）如果乙方没有按照合同规定的时间交货和提供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服务，甲方有权从货款中扣除误期赔偿费而不影响合同项下的其他补救方法，赔偿费按</w:t>
      </w:r>
      <w:r>
        <w:rPr>
          <w:rFonts w:hint="eastAsia" w:ascii="宋体" w:hAnsi="宋体"/>
          <w:b/>
          <w:color w:val="auto"/>
          <w:szCs w:val="21"/>
          <w:highlight w:val="none"/>
        </w:rPr>
        <w:t>【政府采购合同专用条款】</w:t>
      </w:r>
      <w:r>
        <w:rPr>
          <w:rFonts w:hint="eastAsia" w:ascii="宋体" w:hAnsi="宋体"/>
          <w:color w:val="auto"/>
          <w:szCs w:val="21"/>
          <w:highlight w:val="none"/>
        </w:rPr>
        <w:t>规定执行。如果涉及公共利益，且赔偿金额无法弥补公共利益损失，</w:t>
      </w:r>
      <w:r>
        <w:rPr>
          <w:rFonts w:hint="eastAsia" w:ascii="宋体" w:hAnsi="宋体"/>
          <w:color w:val="auto"/>
          <w:szCs w:val="21"/>
          <w:highlight w:val="none"/>
          <w:lang w:eastAsia="zh-CN"/>
        </w:rPr>
        <w:t>甲方</w:t>
      </w:r>
      <w:r>
        <w:rPr>
          <w:rFonts w:hint="eastAsia" w:ascii="宋体" w:hAnsi="宋体"/>
          <w:color w:val="auto"/>
          <w:szCs w:val="21"/>
          <w:highlight w:val="none"/>
        </w:rPr>
        <w:t>可要求继续履行或者</w:t>
      </w:r>
      <w:r>
        <w:rPr>
          <w:rFonts w:hint="eastAsia" w:ascii="宋体" w:hAnsi="宋体"/>
          <w:color w:val="auto"/>
          <w:szCs w:val="21"/>
          <w:highlight w:val="none"/>
          <w:lang w:eastAsia="zh-CN"/>
        </w:rPr>
        <w:t>采取其他补救措施</w:t>
      </w:r>
      <w:r>
        <w:rPr>
          <w:rFonts w:hint="eastAsia" w:ascii="宋体" w:hAnsi="宋体"/>
          <w:color w:val="auto"/>
          <w:szCs w:val="21"/>
          <w:highlight w:val="none"/>
        </w:rPr>
        <w:t>。</w:t>
      </w:r>
    </w:p>
    <w:p w14:paraId="5113B6A0">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5</w:t>
      </w:r>
      <w:r>
        <w:rPr>
          <w:rFonts w:hint="eastAsia" w:ascii="宋体" w:hAnsi="宋体"/>
          <w:color w:val="auto"/>
          <w:szCs w:val="21"/>
          <w:highlight w:val="none"/>
        </w:rPr>
        <w:t>.3 迟延支付的违约责任</w:t>
      </w:r>
    </w:p>
    <w:p w14:paraId="16DE1129">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甲方存在迟延支付乙方合同款项的，应当承担</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规定的逾期付款利息。</w:t>
      </w:r>
    </w:p>
    <w:p w14:paraId="5A4D4C3C">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.4其他违约责任根据项目实际需要按</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规定执行。</w:t>
      </w:r>
    </w:p>
    <w:p w14:paraId="725178FA">
      <w:pPr>
        <w:numPr>
          <w:ilvl w:val="0"/>
          <w:numId w:val="6"/>
        </w:num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color w:val="auto"/>
          <w:sz w:val="24"/>
          <w:highlight w:val="none"/>
        </w:rPr>
        <w:t>合同变更</w:t>
      </w:r>
      <w:r>
        <w:rPr>
          <w:rFonts w:hint="eastAsia" w:ascii="宋体" w:hAnsi="宋体"/>
          <w:b/>
          <w:color w:val="auto"/>
          <w:sz w:val="24"/>
          <w:highlight w:val="none"/>
          <w:lang w:eastAsia="zh-CN"/>
        </w:rPr>
        <w:t>、中止与终止</w:t>
      </w:r>
    </w:p>
    <w:p w14:paraId="042FD668">
      <w:pPr>
        <w:autoSpaceDE/>
        <w:autoSpaceDN/>
        <w:adjustRightInd w:val="0"/>
        <w:snapToGrid w:val="0"/>
        <w:spacing w:before="0" w:line="400" w:lineRule="exact"/>
        <w:ind w:firstLine="0" w:firstLineChars="0"/>
        <w:jc w:val="lef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.1合同的</w:t>
      </w:r>
      <w:r>
        <w:rPr>
          <w:rFonts w:hint="eastAsia" w:ascii="宋体" w:hAnsi="宋体"/>
          <w:color w:val="auto"/>
          <w:szCs w:val="21"/>
          <w:highlight w:val="none"/>
          <w:lang w:eastAsia="zh-CN"/>
        </w:rPr>
        <w:t>变更</w:t>
      </w:r>
    </w:p>
    <w:p w14:paraId="21EBEFC8">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政府采购合同履行中，</w:t>
      </w:r>
      <w:r>
        <w:rPr>
          <w:rFonts w:hint="eastAsia" w:ascii="宋体" w:hAnsi="宋体"/>
          <w:color w:val="auto"/>
          <w:szCs w:val="21"/>
          <w:highlight w:val="none"/>
        </w:rPr>
        <w:t>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一致后</w:t>
      </w:r>
      <w:r>
        <w:rPr>
          <w:rFonts w:hint="eastAsia" w:ascii="宋体" w:hAnsi="宋体"/>
          <w:color w:val="auto"/>
          <w:szCs w:val="21"/>
          <w:highlight w:val="none"/>
        </w:rPr>
        <w:t>签订补充协议。</w:t>
      </w:r>
    </w:p>
    <w:p w14:paraId="7A3E2CD4">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合同的中止</w:t>
      </w:r>
    </w:p>
    <w:p w14:paraId="702443C2">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（1）合同履行过程中因供应商就采购文件、采购过程或结果提起投诉的，甲方认为有必要的，</w:t>
      </w:r>
      <w:r>
        <w:rPr>
          <w:rFonts w:hint="eastAsia" w:ascii="宋体" w:hAnsi="宋体"/>
          <w:color w:val="auto"/>
          <w:szCs w:val="21"/>
          <w:highlight w:val="none"/>
          <w:lang w:eastAsia="zh-CN"/>
        </w:rPr>
        <w:t>可以</w:t>
      </w:r>
      <w:r>
        <w:rPr>
          <w:rFonts w:hint="eastAsia" w:ascii="宋体" w:hAnsi="宋体"/>
          <w:color w:val="auto"/>
          <w:szCs w:val="21"/>
          <w:highlight w:val="none"/>
        </w:rPr>
        <w:t>中止合同的履行。</w:t>
      </w:r>
    </w:p>
    <w:p w14:paraId="4251EBCA">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合同履行过程中，</w:t>
      </w:r>
      <w:r>
        <w:rPr>
          <w:rFonts w:hint="eastAsia" w:ascii="宋体" w:hAnsi="宋体"/>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，乙方有义务及时告知甲方</w:t>
      </w:r>
      <w:r>
        <w:rPr>
          <w:rFonts w:hint="eastAsia" w:ascii="宋体" w:hAnsi="宋体"/>
          <w:color w:val="auto"/>
          <w:szCs w:val="21"/>
          <w:highlight w:val="none"/>
        </w:rPr>
        <w:t>。甲方</w:t>
      </w:r>
      <w:r>
        <w:rPr>
          <w:rFonts w:hint="eastAsia" w:ascii="宋体" w:hAnsi="宋体"/>
          <w:color w:val="auto"/>
          <w:szCs w:val="21"/>
          <w:highlight w:val="none"/>
          <w:lang w:eastAsia="zh-CN"/>
        </w:rPr>
        <w:t>有权</w:t>
      </w:r>
      <w:r>
        <w:rPr>
          <w:rFonts w:hint="eastAsia" w:ascii="宋体" w:hAnsi="宋体"/>
          <w:color w:val="auto"/>
          <w:szCs w:val="21"/>
          <w:highlight w:val="none"/>
        </w:rPr>
        <w:t>以书面形式通知乙方中止合同</w:t>
      </w:r>
      <w:r>
        <w:rPr>
          <w:rFonts w:hint="eastAsia" w:ascii="宋体" w:hAnsi="宋体"/>
          <w:color w:val="auto"/>
          <w:szCs w:val="21"/>
          <w:highlight w:val="none"/>
          <w:lang w:eastAsia="zh-CN"/>
        </w:rPr>
        <w:t>并要求乙方在合理期限内消除相关情形或者提供适当担保。</w:t>
      </w:r>
      <w:r>
        <w:rPr>
          <w:rFonts w:hint="eastAsia" w:ascii="宋体" w:hAnsi="宋体"/>
          <w:color w:val="auto"/>
          <w:szCs w:val="21"/>
          <w:highlight w:val="none"/>
        </w:rPr>
        <w:t>乙方提供适当担保的，</w:t>
      </w:r>
      <w:r>
        <w:rPr>
          <w:rFonts w:hint="eastAsia" w:ascii="宋体" w:hAnsi="宋体"/>
          <w:color w:val="auto"/>
          <w:szCs w:val="21"/>
          <w:highlight w:val="none"/>
          <w:lang w:eastAsia="zh-CN"/>
        </w:rPr>
        <w:t>合同继续</w:t>
      </w:r>
      <w:r>
        <w:rPr>
          <w:rFonts w:hint="eastAsia" w:ascii="宋体" w:hAnsi="宋体"/>
          <w:color w:val="auto"/>
          <w:szCs w:val="21"/>
          <w:highlight w:val="none"/>
        </w:rPr>
        <w:t>履行</w:t>
      </w:r>
      <w:r>
        <w:rPr>
          <w:rFonts w:hint="eastAsia" w:ascii="宋体" w:hAnsi="宋体"/>
          <w:color w:val="auto"/>
          <w:szCs w:val="21"/>
          <w:highlight w:val="none"/>
          <w:lang w:eastAsia="zh-CN"/>
        </w:rPr>
        <w:t>；乙</w:t>
      </w:r>
      <w:r>
        <w:rPr>
          <w:rFonts w:hint="eastAsia" w:ascii="宋体" w:hAnsi="宋体"/>
          <w:color w:val="auto"/>
          <w:szCs w:val="21"/>
          <w:highlight w:val="none"/>
        </w:rPr>
        <w:t>方在合理期限内未恢复履约能力且未提供适当担保的，视为拒绝</w:t>
      </w:r>
      <w:r>
        <w:rPr>
          <w:rFonts w:hint="eastAsia" w:ascii="宋体" w:hAnsi="宋体"/>
          <w:color w:val="auto"/>
          <w:szCs w:val="21"/>
          <w:highlight w:val="none"/>
          <w:lang w:eastAsia="zh-CN"/>
        </w:rPr>
        <w:t>继续</w:t>
      </w:r>
      <w:r>
        <w:rPr>
          <w:rFonts w:hint="eastAsia" w:ascii="宋体" w:hAnsi="宋体"/>
          <w:color w:val="auto"/>
          <w:szCs w:val="21"/>
          <w:highlight w:val="none"/>
        </w:rPr>
        <w:t>履约，甲方</w:t>
      </w:r>
      <w:r>
        <w:rPr>
          <w:rFonts w:hint="eastAsia" w:ascii="宋体" w:hAnsi="宋体"/>
          <w:color w:val="auto"/>
          <w:szCs w:val="21"/>
          <w:highlight w:val="none"/>
          <w:lang w:eastAsia="zh-CN"/>
        </w:rPr>
        <w:t>有权</w:t>
      </w:r>
      <w:r>
        <w:rPr>
          <w:rFonts w:hint="eastAsia" w:ascii="宋体" w:hAnsi="宋体"/>
          <w:color w:val="auto"/>
          <w:szCs w:val="21"/>
          <w:highlight w:val="none"/>
        </w:rPr>
        <w:t>解除合同并要求乙方承担</w:t>
      </w:r>
      <w:r>
        <w:rPr>
          <w:rFonts w:hint="eastAsia" w:ascii="宋体" w:hAnsi="宋体"/>
          <w:color w:val="auto"/>
          <w:szCs w:val="21"/>
          <w:highlight w:val="none"/>
          <w:lang w:eastAsia="zh-CN"/>
        </w:rPr>
        <w:t>由此给甲方造成的损失</w:t>
      </w:r>
      <w:r>
        <w:rPr>
          <w:rFonts w:hint="eastAsia" w:ascii="宋体" w:hAnsi="宋体"/>
          <w:color w:val="auto"/>
          <w:szCs w:val="21"/>
          <w:highlight w:val="none"/>
        </w:rPr>
        <w:t>。</w:t>
      </w:r>
    </w:p>
    <w:p w14:paraId="64ED33A9">
      <w:pPr>
        <w:pStyle w:val="15"/>
        <w:jc w:val="both"/>
        <w:rPr>
          <w:sz w:val="21"/>
          <w:highlight w:val="none"/>
        </w:rPr>
      </w:pPr>
      <w:r>
        <w:rPr>
          <w:rFonts w:hint="eastAsia" w:ascii="宋体" w:hAnsi="宋体" w:eastAsia="宋体" w:cs="宋体"/>
          <w:sz w:val="21"/>
          <w:highlight w:val="none"/>
        </w:rPr>
        <w:t>（3）乙方分立、合并或者变更住所的，应当及时以书面形式告知甲方。乙方没有</w:t>
      </w:r>
      <w:r>
        <w:rPr>
          <w:rFonts w:hint="eastAsia" w:ascii="宋体" w:hAnsi="宋体" w:eastAsia="宋体" w:cs="宋体"/>
          <w:sz w:val="21"/>
          <w:highlight w:val="none"/>
          <w:lang w:eastAsia="zh-CN"/>
        </w:rPr>
        <w:t>及时告知</w:t>
      </w:r>
      <w:r>
        <w:rPr>
          <w:rFonts w:hint="eastAsia" w:ascii="宋体" w:hAnsi="宋体" w:eastAsia="宋体" w:cs="宋体"/>
          <w:sz w:val="21"/>
          <w:highlight w:val="none"/>
        </w:rPr>
        <w:t>甲方，致使</w:t>
      </w:r>
      <w:r>
        <w:rPr>
          <w:rFonts w:hint="eastAsia" w:ascii="宋体" w:hAnsi="宋体" w:eastAsia="宋体" w:cs="宋体"/>
          <w:sz w:val="21"/>
          <w:highlight w:val="none"/>
          <w:lang w:eastAsia="zh-CN"/>
        </w:rPr>
        <w:t>合同</w:t>
      </w:r>
      <w:r>
        <w:rPr>
          <w:rFonts w:hint="eastAsia" w:ascii="宋体" w:hAnsi="宋体" w:eastAsia="宋体" w:cs="宋体"/>
          <w:sz w:val="21"/>
          <w:highlight w:val="none"/>
        </w:rPr>
        <w:t>履行发生困难的，甲方可以中止合同履行并要求乙方承担由此给甲方造成的损失。</w:t>
      </w:r>
    </w:p>
    <w:p w14:paraId="08E82D98">
      <w:pPr>
        <w:snapToGrid w:val="0"/>
        <w:spacing w:line="400" w:lineRule="exact"/>
        <w:ind w:firstLine="420" w:firstLineChars="200"/>
        <w:jc w:val="left"/>
        <w:rPr>
          <w:sz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）甲方不得以行政区划调整、政府换届、机构或者职能调整以及相关责任人更替为由中止合同。</w:t>
      </w:r>
    </w:p>
    <w:p w14:paraId="0A325F59">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合同的终止</w:t>
      </w:r>
    </w:p>
    <w:p w14:paraId="415FBB6B">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（1）合同因有效期限届满而终止；</w:t>
      </w:r>
    </w:p>
    <w:p w14:paraId="1DD494D4">
      <w:pPr>
        <w:snapToGrid w:val="0"/>
        <w:spacing w:line="400" w:lineRule="exact"/>
        <w:ind w:firstLine="420" w:firstLineChars="200"/>
        <w:rPr>
          <w:rFonts w:hint="eastAsia" w:ascii="宋体" w:hAnsi="宋体" w:eastAsia="宋体" w:cs="宋体"/>
          <w:szCs w:val="21"/>
          <w:highlight w:val="none"/>
          <w:lang w:eastAsia="zh-CN"/>
        </w:rPr>
      </w:pPr>
      <w:r>
        <w:rPr>
          <w:rFonts w:hint="eastAsia" w:ascii="宋体" w:hAnsi="宋体"/>
          <w:color w:val="auto"/>
          <w:szCs w:val="21"/>
          <w:highlight w:val="none"/>
        </w:rPr>
        <w:t>（2）乙方未</w:t>
      </w:r>
      <w:r>
        <w:rPr>
          <w:rFonts w:hint="eastAsia" w:ascii="宋体" w:hAnsi="宋体"/>
          <w:color w:val="auto"/>
          <w:szCs w:val="21"/>
          <w:highlight w:val="none"/>
          <w:lang w:eastAsia="zh-CN"/>
        </w:rPr>
        <w:t>按</w:t>
      </w:r>
      <w:r>
        <w:rPr>
          <w:rFonts w:hint="eastAsia" w:ascii="宋体" w:hAnsi="宋体"/>
          <w:color w:val="auto"/>
          <w:szCs w:val="21"/>
          <w:highlight w:val="none"/>
        </w:rPr>
        <w:t>合同约定履行，构成根本性违约的，甲方有权终止合同</w:t>
      </w:r>
      <w:r>
        <w:rPr>
          <w:rFonts w:hint="eastAsia" w:ascii="宋体" w:hAnsi="宋体"/>
          <w:color w:val="auto"/>
          <w:szCs w:val="21"/>
          <w:highlight w:val="none"/>
          <w:lang w:eastAsia="zh-CN"/>
        </w:rPr>
        <w:t>，</w:t>
      </w:r>
      <w:r>
        <w:rPr>
          <w:rFonts w:hint="eastAsia" w:ascii="宋体" w:hAnsi="宋体" w:eastAsia="宋体" w:cs="宋体"/>
          <w:szCs w:val="21"/>
          <w:highlight w:val="none"/>
        </w:rPr>
        <w:t>并追究乙方的违约责</w:t>
      </w:r>
      <w:r>
        <w:rPr>
          <w:rFonts w:hint="eastAsia" w:ascii="宋体" w:hAnsi="宋体" w:cs="宋体"/>
          <w:szCs w:val="21"/>
          <w:highlight w:val="none"/>
          <w:lang w:val="en-US" w:eastAsia="zh-CN"/>
        </w:rPr>
        <w:t>任</w:t>
      </w:r>
      <w:r>
        <w:rPr>
          <w:rFonts w:hint="eastAsia" w:ascii="宋体" w:hAnsi="宋体"/>
          <w:color w:val="auto"/>
          <w:szCs w:val="21"/>
          <w:highlight w:val="none"/>
        </w:rPr>
        <w:t>。</w:t>
      </w:r>
    </w:p>
    <w:p w14:paraId="46EFF9C1">
      <w:pPr>
        <w:pStyle w:val="15"/>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kern w:val="2"/>
          <w:sz w:val="21"/>
          <w:szCs w:val="21"/>
          <w:highlight w:val="none"/>
          <w:lang w:val="en-US" w:eastAsia="zh-CN"/>
        </w:rPr>
        <w:t>涉及国家利益、社会公共利益的情形</w:t>
      </w:r>
    </w:p>
    <w:p w14:paraId="41827F16">
      <w:pPr>
        <w:pStyle w:val="15"/>
        <w:jc w:val="both"/>
        <w:rPr>
          <w:sz w:val="21"/>
          <w:highlight w:val="none"/>
        </w:rPr>
      </w:pPr>
      <w:r>
        <w:rPr>
          <w:rFonts w:hint="eastAsia" w:ascii="宋体" w:hAnsi="宋体" w:eastAsia="宋体" w:cs="宋体"/>
          <w:sz w:val="21"/>
          <w:highlight w:val="none"/>
        </w:rPr>
        <w:t>政府采购合同继续履行将损害国家利益和社会公共利益的，双方当事人</w:t>
      </w:r>
      <w:r>
        <w:rPr>
          <w:rFonts w:hint="eastAsia" w:ascii="宋体" w:hAnsi="宋体" w:eastAsia="宋体" w:cs="宋体"/>
          <w:sz w:val="21"/>
          <w:highlight w:val="none"/>
          <w:lang w:val="en-US" w:eastAsia="zh-CN"/>
        </w:rPr>
        <w:t>应当变更、</w:t>
      </w:r>
      <w:r>
        <w:rPr>
          <w:rFonts w:hint="eastAsia" w:ascii="宋体" w:hAnsi="宋体" w:eastAsia="宋体" w:cs="宋体"/>
          <w:sz w:val="21"/>
          <w:highlight w:val="none"/>
        </w:rPr>
        <w:t>中止</w:t>
      </w:r>
      <w:r>
        <w:rPr>
          <w:rFonts w:hint="eastAsia" w:ascii="宋体" w:hAnsi="宋体" w:eastAsia="宋体" w:cs="宋体"/>
          <w:sz w:val="21"/>
          <w:highlight w:val="none"/>
          <w:lang w:eastAsia="zh-CN"/>
        </w:rPr>
        <w:t>或者终止</w:t>
      </w:r>
      <w:r>
        <w:rPr>
          <w:rFonts w:hint="eastAsia" w:ascii="宋体" w:hAnsi="宋体" w:eastAsia="宋体" w:cs="宋体"/>
          <w:sz w:val="21"/>
          <w:highlight w:val="none"/>
        </w:rPr>
        <w:t>合同。有过错的一方应当承担赔偿责任，双方都有过错的，各自承担相应的责任。</w:t>
      </w:r>
    </w:p>
    <w:p w14:paraId="191B103D">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val="en-US" w:eastAsia="zh-CN"/>
        </w:rPr>
        <w:t>7</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合同分包</w:t>
      </w:r>
    </w:p>
    <w:p w14:paraId="241AEB4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.1 乙方不得</w:t>
      </w:r>
      <w:r>
        <w:rPr>
          <w:rFonts w:hint="eastAsia" w:ascii="宋体" w:hAnsi="宋体"/>
          <w:color w:val="auto"/>
          <w:szCs w:val="21"/>
          <w:highlight w:val="none"/>
          <w:lang w:eastAsia="zh-CN"/>
        </w:rPr>
        <w:t>将合同转包给其他供应商。涉及合同分包的，乙方</w:t>
      </w:r>
      <w:r>
        <w:rPr>
          <w:rFonts w:hint="eastAsia" w:ascii="宋体" w:hAnsi="宋体"/>
          <w:color w:val="auto"/>
          <w:szCs w:val="21"/>
          <w:highlight w:val="none"/>
          <w:lang w:val="en-US" w:eastAsia="zh-CN"/>
        </w:rPr>
        <w:t>应</w:t>
      </w:r>
      <w:r>
        <w:rPr>
          <w:rFonts w:hint="eastAsia" w:ascii="宋体" w:hAnsi="宋体"/>
          <w:color w:val="auto"/>
          <w:szCs w:val="21"/>
          <w:highlight w:val="none"/>
          <w:lang w:eastAsia="zh-CN"/>
        </w:rPr>
        <w:t>根据采购文件和投标（响应）文件规定进行</w:t>
      </w:r>
      <w:r>
        <w:rPr>
          <w:rFonts w:hint="eastAsia" w:ascii="宋体" w:hAnsi="宋体"/>
          <w:color w:val="auto"/>
          <w:szCs w:val="21"/>
          <w:highlight w:val="none"/>
        </w:rPr>
        <w:t>合同分包。</w:t>
      </w:r>
    </w:p>
    <w:p w14:paraId="3337DF09">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.2 乙方执行政府采购政策向中小企业依法分包的</w:t>
      </w:r>
      <w:r>
        <w:rPr>
          <w:rFonts w:hint="eastAsia" w:ascii="宋体" w:hAnsi="宋体"/>
          <w:color w:val="auto"/>
          <w:szCs w:val="21"/>
          <w:highlight w:val="none"/>
          <w:lang w:eastAsia="zh-CN"/>
        </w:rPr>
        <w:t>，</w:t>
      </w:r>
      <w:r>
        <w:rPr>
          <w:rFonts w:hint="eastAsia" w:ascii="宋体" w:hAnsi="宋体"/>
          <w:color w:val="auto"/>
          <w:szCs w:val="21"/>
          <w:highlight w:val="none"/>
        </w:rPr>
        <w:t>乙方应当按采购文件</w:t>
      </w:r>
      <w:r>
        <w:rPr>
          <w:rFonts w:hint="eastAsia" w:ascii="宋体" w:hAnsi="宋体"/>
          <w:color w:val="auto"/>
          <w:szCs w:val="21"/>
          <w:highlight w:val="none"/>
          <w:lang w:eastAsia="zh-CN"/>
        </w:rPr>
        <w:t>和</w:t>
      </w:r>
      <w:r>
        <w:rPr>
          <w:rFonts w:hint="eastAsia" w:ascii="宋体" w:hAnsi="宋体"/>
          <w:color w:val="auto"/>
          <w:szCs w:val="21"/>
          <w:highlight w:val="none"/>
        </w:rPr>
        <w:t>投标（响应）文件签订分包</w:t>
      </w:r>
      <w:r>
        <w:rPr>
          <w:rFonts w:hint="eastAsia" w:ascii="宋体" w:hAnsi="宋体"/>
          <w:color w:val="auto"/>
          <w:szCs w:val="21"/>
          <w:highlight w:val="none"/>
          <w:lang w:eastAsia="zh-CN"/>
        </w:rPr>
        <w:t>意向</w:t>
      </w:r>
      <w:r>
        <w:rPr>
          <w:rFonts w:hint="eastAsia" w:ascii="宋体" w:hAnsi="宋体"/>
          <w:color w:val="auto"/>
          <w:szCs w:val="21"/>
          <w:highlight w:val="none"/>
        </w:rPr>
        <w:t>协议，分包</w:t>
      </w:r>
      <w:r>
        <w:rPr>
          <w:rFonts w:hint="eastAsia" w:ascii="宋体" w:hAnsi="宋体"/>
          <w:color w:val="auto"/>
          <w:szCs w:val="21"/>
          <w:highlight w:val="none"/>
          <w:lang w:eastAsia="zh-CN"/>
        </w:rPr>
        <w:t>意向</w:t>
      </w:r>
      <w:r>
        <w:rPr>
          <w:rFonts w:hint="eastAsia" w:ascii="宋体" w:hAnsi="宋体"/>
          <w:color w:val="auto"/>
          <w:szCs w:val="21"/>
          <w:highlight w:val="none"/>
        </w:rPr>
        <w:t>协议属于本合同组成部分。</w:t>
      </w:r>
    </w:p>
    <w:p w14:paraId="589555FB">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1</w:t>
      </w:r>
      <w:r>
        <w:rPr>
          <w:rFonts w:hint="eastAsia" w:ascii="宋体" w:hAnsi="宋体"/>
          <w:b/>
          <w:bCs/>
          <w:color w:val="auto"/>
          <w:sz w:val="24"/>
          <w:highlight w:val="none"/>
          <w:lang w:val="en-US" w:eastAsia="zh-CN"/>
        </w:rPr>
        <w:t>8</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不可抗力</w:t>
      </w:r>
    </w:p>
    <w:p w14:paraId="4D9A012E">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.1 不可抗力是指合同双方不能预见、不能避免且不能克服的客观情况。</w:t>
      </w:r>
    </w:p>
    <w:p w14:paraId="4C72B9A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.2 任何一方对由于不可抗力造成的部分或全部不能履行合同不承担违约责任。但迟延履行后发生不可抗力的，不能免除责任。</w:t>
      </w:r>
    </w:p>
    <w:p w14:paraId="62C806CE">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.3 遇有不可抗力的一方，应及时将事件情况以书面形式</w:t>
      </w:r>
      <w:r>
        <w:rPr>
          <w:rFonts w:hint="eastAsia" w:ascii="宋体" w:hAnsi="宋体"/>
          <w:color w:val="auto"/>
          <w:szCs w:val="21"/>
          <w:highlight w:val="none"/>
          <w:lang w:eastAsia="zh-CN"/>
        </w:rPr>
        <w:t>告</w:t>
      </w:r>
      <w:r>
        <w:rPr>
          <w:rFonts w:hint="eastAsia" w:ascii="宋体" w:hAnsi="宋体"/>
          <w:color w:val="auto"/>
          <w:szCs w:val="21"/>
          <w:highlight w:val="none"/>
        </w:rPr>
        <w:t>知另一方，并在事件发生后及时向另一方提交合同不能履行或部分不能履行或需要延期履行</w:t>
      </w:r>
      <w:r>
        <w:rPr>
          <w:rFonts w:hint="eastAsia" w:ascii="宋体" w:hAnsi="宋体"/>
          <w:color w:val="auto"/>
          <w:szCs w:val="21"/>
          <w:highlight w:val="none"/>
          <w:lang w:eastAsia="zh-CN"/>
        </w:rPr>
        <w:t>的详细</w:t>
      </w:r>
      <w:r>
        <w:rPr>
          <w:rFonts w:hint="eastAsia" w:ascii="宋体" w:hAnsi="宋体"/>
          <w:color w:val="auto"/>
          <w:szCs w:val="21"/>
          <w:highlight w:val="none"/>
        </w:rPr>
        <w:t>报告</w:t>
      </w:r>
      <w:r>
        <w:rPr>
          <w:rFonts w:hint="eastAsia" w:ascii="宋体" w:hAnsi="宋体"/>
          <w:color w:val="auto"/>
          <w:szCs w:val="21"/>
          <w:highlight w:val="none"/>
          <w:lang w:eastAsia="zh-CN"/>
        </w:rPr>
        <w:t>，以</w:t>
      </w:r>
      <w:r>
        <w:rPr>
          <w:rFonts w:hint="eastAsia" w:ascii="宋体" w:hAnsi="宋体"/>
          <w:color w:val="auto"/>
          <w:szCs w:val="21"/>
          <w:highlight w:val="none"/>
          <w:lang w:val="en-US" w:eastAsia="zh-CN"/>
        </w:rPr>
        <w:t>及证明不可抗力发生及其持续时间的证据</w:t>
      </w:r>
      <w:r>
        <w:rPr>
          <w:rFonts w:hint="eastAsia" w:ascii="宋体" w:hAnsi="宋体"/>
          <w:color w:val="auto"/>
          <w:szCs w:val="21"/>
          <w:highlight w:val="none"/>
        </w:rPr>
        <w:t>。</w:t>
      </w:r>
    </w:p>
    <w:p w14:paraId="2FED7BBD">
      <w:pPr>
        <w:autoSpaceDE w:val="0"/>
        <w:autoSpaceDN w:val="0"/>
        <w:adjustRightInd w:val="0"/>
        <w:snapToGrid w:val="0"/>
        <w:spacing w:before="0" w:line="400" w:lineRule="exact"/>
        <w:jc w:val="left"/>
        <w:rPr>
          <w:rFonts w:hint="eastAsia" w:ascii="宋体" w:hAnsi="宋体"/>
          <w:b/>
          <w:bCs/>
          <w:color w:val="auto"/>
          <w:sz w:val="24"/>
          <w:highlight w:val="none"/>
        </w:rPr>
      </w:pPr>
      <w:r>
        <w:rPr>
          <w:rFonts w:hint="eastAsia" w:ascii="宋体" w:hAnsi="宋体"/>
          <w:b/>
          <w:bCs/>
          <w:color w:val="auto"/>
          <w:sz w:val="24"/>
          <w:highlight w:val="none"/>
          <w:lang w:val="en-US" w:eastAsia="zh-CN"/>
        </w:rPr>
        <w:t>19</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解决争议的方法</w:t>
      </w:r>
    </w:p>
    <w:p w14:paraId="51FC0BF4">
      <w:pPr>
        <w:pStyle w:val="15"/>
        <w:jc w:val="both"/>
        <w:rPr>
          <w:rFonts w:hint="eastAsia" w:ascii="宋体" w:hAnsi="宋体" w:eastAsia="宋体" w:cs="宋体"/>
          <w:sz w:val="21"/>
          <w:highlight w:val="none"/>
        </w:rPr>
      </w:pPr>
      <w:r>
        <w:rPr>
          <w:rFonts w:hint="eastAsia" w:ascii="宋体" w:hAnsi="宋体" w:eastAsia="宋体" w:cs="宋体"/>
          <w:sz w:val="21"/>
          <w:highlight w:val="none"/>
          <w:lang w:val="en-US" w:eastAsia="zh-CN"/>
        </w:rPr>
        <w:t>19</w:t>
      </w:r>
      <w:r>
        <w:rPr>
          <w:rFonts w:hint="eastAsia" w:ascii="宋体" w:hAnsi="宋体" w:eastAsia="宋体" w:cs="宋体"/>
          <w:sz w:val="21"/>
          <w:highlight w:val="none"/>
        </w:rPr>
        <w:t>.1 因本合同及合同有关事项发生的争议，由</w:t>
      </w:r>
      <w:r>
        <w:rPr>
          <w:rFonts w:hint="eastAsia" w:ascii="宋体" w:hAnsi="宋体" w:eastAsia="宋体" w:cs="宋体"/>
          <w:sz w:val="21"/>
          <w:highlight w:val="none"/>
          <w:lang w:eastAsia="zh-CN"/>
        </w:rPr>
        <w:t>甲乙双</w:t>
      </w:r>
      <w:r>
        <w:rPr>
          <w:rFonts w:hint="eastAsia" w:ascii="宋体" w:hAnsi="宋体" w:eastAsia="宋体" w:cs="宋体"/>
          <w:sz w:val="21"/>
          <w:highlight w:val="none"/>
        </w:rPr>
        <w:t>方友好协商解决。协商不成时，可以</w:t>
      </w:r>
      <w:r>
        <w:rPr>
          <w:rFonts w:hint="eastAsia" w:ascii="宋体" w:hAnsi="宋体" w:eastAsia="宋体" w:cs="宋体"/>
          <w:sz w:val="21"/>
          <w:highlight w:val="none"/>
          <w:lang w:eastAsia="zh-CN"/>
        </w:rPr>
        <w:t>向有关组织申请</w:t>
      </w:r>
      <w:r>
        <w:rPr>
          <w:rFonts w:hint="eastAsia" w:ascii="宋体" w:hAnsi="宋体" w:eastAsia="宋体" w:cs="宋体"/>
          <w:sz w:val="21"/>
          <w:highlight w:val="none"/>
        </w:rPr>
        <w:t>调解。合同一方或</w:t>
      </w:r>
      <w:r>
        <w:rPr>
          <w:rFonts w:hint="eastAsia" w:ascii="宋体" w:hAnsi="宋体" w:eastAsia="宋体" w:cs="宋体"/>
          <w:sz w:val="21"/>
          <w:highlight w:val="none"/>
          <w:lang w:eastAsia="zh-CN"/>
        </w:rPr>
        <w:t>双</w:t>
      </w:r>
      <w:r>
        <w:rPr>
          <w:rFonts w:hint="eastAsia" w:ascii="宋体" w:hAnsi="宋体" w:eastAsia="宋体" w:cs="宋体"/>
          <w:sz w:val="21"/>
          <w:highlight w:val="none"/>
        </w:rPr>
        <w:t>方不愿调解或调解不成的，可以通过仲裁或诉讼的方式解决争议。</w:t>
      </w:r>
    </w:p>
    <w:p w14:paraId="5CA22B26">
      <w:pPr>
        <w:pStyle w:val="15"/>
        <w:jc w:val="both"/>
        <w:rPr>
          <w:rFonts w:hint="eastAsia" w:ascii="宋体" w:hAnsi="宋体" w:eastAsia="宋体" w:cs="宋体"/>
          <w:sz w:val="21"/>
          <w:highlight w:val="none"/>
        </w:rPr>
      </w:pPr>
      <w:r>
        <w:rPr>
          <w:rFonts w:hint="eastAsia" w:ascii="宋体" w:hAnsi="宋体" w:eastAsia="宋体" w:cs="宋体"/>
          <w:sz w:val="21"/>
          <w:highlight w:val="none"/>
          <w:lang w:val="en-US" w:eastAsia="zh-CN"/>
        </w:rPr>
        <w:t>19</w:t>
      </w:r>
      <w:r>
        <w:rPr>
          <w:rFonts w:hint="eastAsia" w:ascii="宋体" w:hAnsi="宋体" w:eastAsia="宋体" w:cs="宋体"/>
          <w:sz w:val="21"/>
          <w:highlight w:val="none"/>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highlight w:val="none"/>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highlight w:val="none"/>
        </w:rPr>
        <w:t>中进一步约定选择与争议有实际联系的地点的人民法院管辖，但管辖法院的约定不得违反级别管辖和专属管辖的规定。</w:t>
      </w:r>
    </w:p>
    <w:p w14:paraId="79AC0171">
      <w:pPr>
        <w:pStyle w:val="15"/>
        <w:jc w:val="both"/>
        <w:rPr>
          <w:rFonts w:hint="eastAsia" w:ascii="宋体" w:hAnsi="宋体" w:eastAsia="宋体" w:cs="宋体"/>
          <w:sz w:val="21"/>
          <w:highlight w:val="none"/>
        </w:rPr>
      </w:pPr>
      <w:r>
        <w:rPr>
          <w:rFonts w:hint="eastAsia" w:ascii="宋体" w:hAnsi="宋体" w:eastAsia="宋体" w:cs="宋体"/>
          <w:sz w:val="21"/>
          <w:highlight w:val="none"/>
          <w:lang w:val="en-US" w:eastAsia="zh-CN"/>
        </w:rPr>
        <w:t>19</w:t>
      </w:r>
      <w:r>
        <w:rPr>
          <w:rFonts w:hint="eastAsia" w:ascii="宋体" w:hAnsi="宋体" w:eastAsia="宋体" w:cs="宋体"/>
          <w:sz w:val="21"/>
          <w:highlight w:val="none"/>
        </w:rPr>
        <w:t>.3 如</w:t>
      </w:r>
      <w:r>
        <w:rPr>
          <w:rFonts w:hint="eastAsia" w:ascii="宋体" w:hAnsi="宋体" w:eastAsia="宋体" w:cs="宋体"/>
          <w:sz w:val="21"/>
          <w:highlight w:val="none"/>
          <w:lang w:eastAsia="zh-CN"/>
        </w:rPr>
        <w:t>甲乙双方</w:t>
      </w:r>
      <w:r>
        <w:rPr>
          <w:rFonts w:hint="eastAsia" w:ascii="宋体" w:hAnsi="宋体" w:eastAsia="宋体" w:cs="宋体"/>
          <w:sz w:val="21"/>
          <w:highlight w:val="none"/>
        </w:rPr>
        <w:t>有争议的事项不影响合同其他部分的履行，在争议解决期间，合同其他部分应</w:t>
      </w:r>
      <w:r>
        <w:rPr>
          <w:rFonts w:hint="eastAsia" w:ascii="宋体" w:hAnsi="宋体" w:eastAsia="宋体" w:cs="宋体"/>
          <w:sz w:val="21"/>
          <w:highlight w:val="none"/>
          <w:lang w:eastAsia="zh-CN"/>
        </w:rPr>
        <w:t>当</w:t>
      </w:r>
      <w:r>
        <w:rPr>
          <w:rFonts w:hint="eastAsia" w:ascii="宋体" w:hAnsi="宋体" w:eastAsia="宋体" w:cs="宋体"/>
          <w:sz w:val="21"/>
          <w:highlight w:val="none"/>
        </w:rPr>
        <w:t>继续履行。</w:t>
      </w:r>
    </w:p>
    <w:p w14:paraId="393ABAA9">
      <w:pPr>
        <w:autoSpaceDE w:val="0"/>
        <w:autoSpaceDN w:val="0"/>
        <w:adjustRightInd w:val="0"/>
        <w:snapToGrid w:val="0"/>
        <w:spacing w:before="0" w:line="400" w:lineRule="exact"/>
        <w:jc w:val="left"/>
        <w:rPr>
          <w:rFonts w:ascii="宋体" w:hAnsi="宋体"/>
          <w:color w:val="auto"/>
          <w:sz w:val="24"/>
          <w:highlight w:val="none"/>
        </w:rPr>
      </w:pPr>
      <w:r>
        <w:rPr>
          <w:rFonts w:hint="eastAsia" w:ascii="宋体" w:hAnsi="宋体"/>
          <w:b/>
          <w:color w:val="auto"/>
          <w:sz w:val="24"/>
          <w:highlight w:val="none"/>
          <w:lang w:val="en-US" w:eastAsia="zh-CN"/>
        </w:rPr>
        <w:t>20</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政府采购政策</w:t>
      </w:r>
    </w:p>
    <w:p w14:paraId="2A3BE49C">
      <w:pPr>
        <w:autoSpaceDE w:val="0"/>
        <w:autoSpaceDN w:val="0"/>
        <w:adjustRightInd w:val="0"/>
        <w:snapToGrid w:val="0"/>
        <w:spacing w:before="0" w:line="400" w:lineRule="exact"/>
        <w:ind w:firstLine="420" w:firstLineChars="20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highlight w:val="none"/>
          <w:lang w:val="en-GB"/>
        </w:rPr>
        <w:t>本合同应当按照规定执行政府采购政策。</w:t>
      </w:r>
    </w:p>
    <w:p w14:paraId="09648A6B">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lang w:val="en-US" w:eastAsia="zh-CN"/>
        </w:rPr>
        <w:t>0</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highlight w:val="none"/>
          <w:lang w:eastAsia="zh-CN"/>
        </w:rPr>
        <w:t>甲乙双方</w:t>
      </w:r>
      <w:r>
        <w:rPr>
          <w:rFonts w:hint="eastAsia" w:ascii="宋体" w:hAnsi="宋体" w:eastAsia="宋体" w:cs="宋体"/>
          <w:highlight w:val="none"/>
          <w:lang w:val="en-GB"/>
        </w:rPr>
        <w:t>未按规定要求执行政府采购政策造成损失的</w:t>
      </w:r>
      <w:r>
        <w:rPr>
          <w:rFonts w:hint="eastAsia" w:ascii="宋体" w:hAnsi="宋体"/>
          <w:color w:val="auto"/>
          <w:szCs w:val="21"/>
          <w:highlight w:val="none"/>
        </w:rPr>
        <w:t>，有过错的一方应当承担赔偿责任，双方都有过错的，各自承担相应的责任。</w:t>
      </w:r>
    </w:p>
    <w:p w14:paraId="428EB586">
      <w:pPr>
        <w:pStyle w:val="5"/>
        <w:spacing w:after="0" w:line="400" w:lineRule="exact"/>
        <w:ind w:firstLine="420" w:firstLineChars="200"/>
        <w:rPr>
          <w:color w:val="auto"/>
          <w:highlight w:val="none"/>
        </w:rPr>
      </w:pPr>
      <w:r>
        <w:rPr>
          <w:rFonts w:ascii="宋体" w:hAnsi="宋体"/>
          <w:color w:val="auto"/>
          <w:szCs w:val="21"/>
          <w:highlight w:val="none"/>
        </w:rPr>
        <w:t>2</w:t>
      </w:r>
      <w:r>
        <w:rPr>
          <w:rFonts w:hint="eastAsia" w:ascii="宋体" w:hAnsi="宋体"/>
          <w:color w:val="auto"/>
          <w:szCs w:val="21"/>
          <w:highlight w:val="none"/>
          <w:lang w:val="en-US" w:eastAsia="zh-CN"/>
        </w:rPr>
        <w:t>0</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 xml:space="preserve"> 对于</w:t>
      </w:r>
      <w:r>
        <w:rPr>
          <w:rFonts w:hint="eastAsia" w:ascii="宋体" w:hAnsi="宋体"/>
          <w:color w:val="auto"/>
          <w:szCs w:val="21"/>
          <w:highlight w:val="none"/>
          <w:lang w:eastAsia="zh-CN"/>
        </w:rPr>
        <w:t>为落实中小企业支持政策，</w:t>
      </w:r>
      <w:r>
        <w:rPr>
          <w:rFonts w:hint="eastAsia" w:ascii="宋体" w:hAnsi="宋体"/>
          <w:color w:val="auto"/>
          <w:szCs w:val="21"/>
          <w:highlight w:val="none"/>
        </w:rPr>
        <w:t>通过采购项目</w:t>
      </w:r>
      <w:r>
        <w:rPr>
          <w:rFonts w:hint="eastAsia" w:ascii="宋体" w:hAnsi="宋体"/>
          <w:color w:val="auto"/>
          <w:szCs w:val="21"/>
          <w:highlight w:val="none"/>
          <w:lang w:eastAsia="zh-CN"/>
        </w:rPr>
        <w:t>整体</w:t>
      </w:r>
      <w:r>
        <w:rPr>
          <w:rFonts w:hint="eastAsia" w:ascii="宋体" w:hAnsi="宋体"/>
          <w:color w:val="auto"/>
          <w:szCs w:val="21"/>
          <w:highlight w:val="none"/>
        </w:rPr>
        <w:t>预留、</w:t>
      </w:r>
      <w:r>
        <w:rPr>
          <w:rFonts w:hint="eastAsia" w:ascii="宋体" w:hAnsi="宋体"/>
          <w:color w:val="auto"/>
          <w:szCs w:val="21"/>
          <w:highlight w:val="none"/>
          <w:lang w:eastAsia="zh-CN"/>
        </w:rPr>
        <w:t>设置</w:t>
      </w:r>
      <w:r>
        <w:rPr>
          <w:rFonts w:hint="eastAsia" w:ascii="宋体" w:hAnsi="宋体"/>
          <w:color w:val="auto"/>
          <w:szCs w:val="21"/>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55E5245">
      <w:pPr>
        <w:autoSpaceDE w:val="0"/>
        <w:autoSpaceDN w:val="0"/>
        <w:adjustRightInd w:val="0"/>
        <w:snapToGrid w:val="0"/>
        <w:spacing w:before="0" w:line="400" w:lineRule="exact"/>
        <w:jc w:val="left"/>
        <w:rPr>
          <w:rFonts w:hint="eastAsia" w:ascii="宋体" w:hAnsi="宋体"/>
          <w:b/>
          <w:color w:val="auto"/>
          <w:sz w:val="24"/>
          <w:highlight w:val="none"/>
        </w:rPr>
      </w:pPr>
      <w:r>
        <w:rPr>
          <w:rFonts w:hint="eastAsia" w:ascii="宋体" w:hAnsi="宋体"/>
          <w:b/>
          <w:color w:val="auto"/>
          <w:sz w:val="24"/>
          <w:highlight w:val="none"/>
        </w:rPr>
        <w:t>2</w:t>
      </w:r>
      <w:r>
        <w:rPr>
          <w:rFonts w:hint="eastAsia" w:ascii="宋体" w:hAnsi="宋体"/>
          <w:b/>
          <w:color w:val="auto"/>
          <w:sz w:val="24"/>
          <w:highlight w:val="none"/>
          <w:lang w:val="en-US" w:eastAsia="zh-CN"/>
        </w:rPr>
        <w:t>1</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法律适用</w:t>
      </w:r>
    </w:p>
    <w:p w14:paraId="04C360F3">
      <w:pPr>
        <w:pStyle w:val="15"/>
        <w:jc w:val="both"/>
        <w:rPr>
          <w:rFonts w:hint="eastAsia" w:ascii="宋体" w:hAnsi="宋体" w:eastAsia="宋体" w:cs="宋体"/>
          <w:sz w:val="21"/>
          <w:highlight w:val="none"/>
        </w:rPr>
      </w:pPr>
      <w:r>
        <w:rPr>
          <w:rFonts w:hint="eastAsia" w:ascii="宋体" w:hAnsi="宋体" w:eastAsia="宋体" w:cs="宋体"/>
          <w:sz w:val="21"/>
          <w:highlight w:val="none"/>
        </w:rPr>
        <w:t>2</w:t>
      </w:r>
      <w:r>
        <w:rPr>
          <w:rFonts w:hint="eastAsia" w:ascii="宋体" w:hAnsi="宋体" w:eastAsia="宋体" w:cs="宋体"/>
          <w:sz w:val="21"/>
          <w:highlight w:val="none"/>
          <w:lang w:val="en-US" w:eastAsia="zh-CN"/>
        </w:rPr>
        <w:t>1</w:t>
      </w:r>
      <w:r>
        <w:rPr>
          <w:rFonts w:hint="eastAsia" w:ascii="宋体" w:hAnsi="宋体" w:eastAsia="宋体" w:cs="宋体"/>
          <w:sz w:val="21"/>
          <w:highlight w:val="none"/>
        </w:rPr>
        <w:t>.1 本合同的订立、生效、解释、履行及与本合同有关的争议解决，均适用法律、行政法规。</w:t>
      </w:r>
    </w:p>
    <w:p w14:paraId="4F78D728">
      <w:pPr>
        <w:pStyle w:val="15"/>
        <w:jc w:val="both"/>
        <w:rPr>
          <w:rFonts w:hint="eastAsia" w:ascii="宋体" w:hAnsi="宋体" w:eastAsia="宋体" w:cs="宋体"/>
          <w:sz w:val="21"/>
          <w:highlight w:val="none"/>
        </w:rPr>
      </w:pPr>
      <w:r>
        <w:rPr>
          <w:rFonts w:hint="eastAsia" w:ascii="宋体" w:hAnsi="宋体" w:eastAsia="宋体" w:cs="宋体"/>
          <w:sz w:val="21"/>
          <w:highlight w:val="none"/>
        </w:rPr>
        <w:t>2</w:t>
      </w:r>
      <w:r>
        <w:rPr>
          <w:rFonts w:hint="eastAsia" w:ascii="宋体" w:hAnsi="宋体" w:eastAsia="宋体" w:cs="宋体"/>
          <w:sz w:val="21"/>
          <w:highlight w:val="none"/>
          <w:lang w:val="en-US" w:eastAsia="zh-CN"/>
        </w:rPr>
        <w:t>1</w:t>
      </w:r>
      <w:r>
        <w:rPr>
          <w:rFonts w:hint="eastAsia" w:ascii="宋体" w:hAnsi="宋体" w:eastAsia="宋体" w:cs="宋体"/>
          <w:sz w:val="21"/>
          <w:highlight w:val="none"/>
        </w:rPr>
        <w:t>.2 本合同条款与法律、行政法规的强制性规定不一致的，双方当事人应按照法律、行政法规的强制性规定修改本合同的相关条款。</w:t>
      </w:r>
    </w:p>
    <w:p w14:paraId="26C1E730">
      <w:pPr>
        <w:numPr>
          <w:ilvl w:val="-1"/>
          <w:numId w:val="0"/>
        </w:num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通知</w:t>
      </w:r>
    </w:p>
    <w:p w14:paraId="09301FD0">
      <w:pPr>
        <w:pStyle w:val="15"/>
        <w:jc w:val="both"/>
        <w:rPr>
          <w:rFonts w:hint="eastAsia" w:ascii="宋体" w:hAnsi="宋体" w:eastAsia="宋体" w:cs="宋体"/>
          <w:sz w:val="21"/>
          <w:highlight w:val="none"/>
        </w:rPr>
      </w:pPr>
      <w:r>
        <w:rPr>
          <w:rFonts w:hint="eastAsia" w:ascii="宋体" w:hAnsi="宋体" w:eastAsia="宋体" w:cs="宋体"/>
          <w:sz w:val="21"/>
          <w:highlight w:val="none"/>
        </w:rPr>
        <w:t>2</w:t>
      </w:r>
      <w:r>
        <w:rPr>
          <w:rFonts w:hint="eastAsia" w:ascii="宋体" w:hAnsi="宋体" w:eastAsia="宋体" w:cs="宋体"/>
          <w:sz w:val="21"/>
          <w:highlight w:val="none"/>
          <w:lang w:val="en-US" w:eastAsia="zh-CN"/>
        </w:rPr>
        <w:t>2</w:t>
      </w:r>
      <w:r>
        <w:rPr>
          <w:rFonts w:hint="eastAsia" w:ascii="宋体" w:hAnsi="宋体" w:eastAsia="宋体" w:cs="宋体"/>
          <w:sz w:val="21"/>
          <w:highlight w:val="none"/>
        </w:rPr>
        <w:t>.1</w:t>
      </w:r>
      <w:r>
        <w:rPr>
          <w:rFonts w:hint="eastAsia" w:ascii="宋体" w:hAnsi="宋体" w:eastAsia="宋体" w:cs="宋体"/>
          <w:sz w:val="21"/>
          <w:highlight w:val="none"/>
          <w:lang w:val="en-US" w:eastAsia="zh-CN"/>
        </w:rPr>
        <w:t xml:space="preserve"> </w:t>
      </w:r>
      <w:r>
        <w:rPr>
          <w:rFonts w:hint="eastAsia" w:ascii="宋体" w:hAnsi="宋体" w:eastAsia="宋体" w:cs="宋体"/>
          <w:sz w:val="21"/>
          <w:highlight w:val="none"/>
        </w:rPr>
        <w:t>本合同任何一方向对方发出的通知、信件、数据电文等，应当发送至本合同第一部分《政府采购合同协议书》所约定的通讯地址、联系人、联系电话或电子邮箱。</w:t>
      </w:r>
    </w:p>
    <w:p w14:paraId="73144941">
      <w:pPr>
        <w:pStyle w:val="15"/>
        <w:ind w:firstLine="0" w:firstLineChars="0"/>
        <w:jc w:val="both"/>
        <w:rPr>
          <w:sz w:val="21"/>
          <w:highlight w:val="none"/>
        </w:rPr>
      </w:pPr>
      <w:r>
        <w:rPr>
          <w:rFonts w:hint="eastAsia" w:ascii="宋体" w:hAnsi="宋体" w:eastAsia="宋体" w:cs="宋体"/>
          <w:sz w:val="21"/>
          <w:highlight w:val="none"/>
          <w:lang w:val="en-US" w:eastAsia="zh-CN"/>
        </w:rPr>
        <w:t xml:space="preserve">    </w:t>
      </w:r>
      <w:r>
        <w:rPr>
          <w:rFonts w:hint="eastAsia" w:ascii="宋体" w:hAnsi="宋体" w:eastAsia="宋体" w:cs="宋体"/>
          <w:sz w:val="21"/>
          <w:highlight w:val="none"/>
        </w:rPr>
        <w:t>2</w:t>
      </w:r>
      <w:r>
        <w:rPr>
          <w:rFonts w:hint="eastAsia" w:ascii="宋体" w:hAnsi="宋体" w:eastAsia="宋体" w:cs="宋体"/>
          <w:sz w:val="21"/>
          <w:highlight w:val="none"/>
          <w:lang w:val="en-US" w:eastAsia="zh-CN"/>
        </w:rPr>
        <w:t>2</w:t>
      </w:r>
      <w:r>
        <w:rPr>
          <w:rFonts w:hint="eastAsia" w:ascii="宋体" w:hAnsi="宋体" w:eastAsia="宋体" w:cs="宋体"/>
          <w:sz w:val="21"/>
          <w:highlight w:val="none"/>
        </w:rPr>
        <w:t>.2</w:t>
      </w:r>
      <w:r>
        <w:rPr>
          <w:rFonts w:hint="eastAsia" w:ascii="宋体" w:hAnsi="宋体" w:eastAsia="宋体" w:cs="宋体"/>
          <w:sz w:val="21"/>
          <w:highlight w:val="none"/>
          <w:lang w:val="en-US" w:eastAsia="zh-CN"/>
        </w:rPr>
        <w:t xml:space="preserve"> </w:t>
      </w:r>
      <w:r>
        <w:rPr>
          <w:rFonts w:hint="eastAsia" w:ascii="宋体" w:hAnsi="宋体" w:eastAsia="宋体" w:cs="宋体"/>
          <w:sz w:val="21"/>
          <w:highlight w:val="none"/>
        </w:rPr>
        <w:t>一方当事人变更名称、</w:t>
      </w:r>
      <w:r>
        <w:rPr>
          <w:rFonts w:hint="eastAsia" w:ascii="宋体" w:hAnsi="宋体" w:eastAsia="宋体" w:cs="宋体"/>
          <w:sz w:val="21"/>
          <w:highlight w:val="none"/>
          <w:lang w:eastAsia="zh-CN"/>
        </w:rPr>
        <w:t>住所</w:t>
      </w:r>
      <w:r>
        <w:rPr>
          <w:rFonts w:hint="eastAsia" w:ascii="宋体" w:hAnsi="宋体" w:eastAsia="宋体" w:cs="宋体"/>
          <w:sz w:val="21"/>
          <w:highlight w:val="none"/>
        </w:rPr>
        <w:t>、联系人、联系电话或电子邮箱</w:t>
      </w:r>
      <w:r>
        <w:rPr>
          <w:rFonts w:hint="eastAsia" w:ascii="宋体" w:hAnsi="宋体" w:eastAsia="宋体" w:cs="宋体"/>
          <w:sz w:val="21"/>
          <w:highlight w:val="none"/>
          <w:lang w:eastAsia="zh-CN"/>
        </w:rPr>
        <w:t>等信息</w:t>
      </w:r>
      <w:r>
        <w:rPr>
          <w:rFonts w:hint="eastAsia" w:ascii="宋体" w:hAnsi="宋体" w:eastAsia="宋体" w:cs="宋体"/>
          <w:sz w:val="21"/>
          <w:highlight w:val="none"/>
        </w:rPr>
        <w:t>的，应当在变更后3日内及时书面通知对方，对方实际收到变更通知前的送达仍为有效送达。</w:t>
      </w:r>
    </w:p>
    <w:p w14:paraId="616FB3CF">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本合同一方给另一方的通知均应采用书面形式，传真或快递送到本合同中规定的对方的地址和办理签收手续。</w:t>
      </w:r>
    </w:p>
    <w:p w14:paraId="1595546E">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通知以送达之日或通知书中规定的生效之日起生效，两者中以较迟之日为准。</w:t>
      </w:r>
    </w:p>
    <w:p w14:paraId="2E63D122">
      <w:pPr>
        <w:numPr>
          <w:ilvl w:val="0"/>
          <w:numId w:val="7"/>
        </w:numPr>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合同未尽事项</w:t>
      </w:r>
    </w:p>
    <w:p w14:paraId="39433117">
      <w:pPr>
        <w:adjustRightInd w:val="0"/>
        <w:snapToGrid w:val="0"/>
        <w:spacing w:before="0"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2</w:t>
      </w:r>
      <w:r>
        <w:rPr>
          <w:rFonts w:hint="eastAsia" w:ascii="宋体" w:hAnsi="宋体"/>
          <w:bCs/>
          <w:color w:val="auto"/>
          <w:szCs w:val="21"/>
          <w:highlight w:val="none"/>
          <w:lang w:val="en-US" w:eastAsia="zh-CN"/>
        </w:rPr>
        <w:t>3</w:t>
      </w:r>
      <w:r>
        <w:rPr>
          <w:rFonts w:hint="eastAsia" w:ascii="宋体" w:hAnsi="宋体"/>
          <w:bCs/>
          <w:color w:val="auto"/>
          <w:szCs w:val="21"/>
          <w:highlight w:val="none"/>
        </w:rPr>
        <w:t>.1合同未尽事项见</w:t>
      </w:r>
      <w:r>
        <w:rPr>
          <w:rFonts w:hint="eastAsia" w:ascii="宋体" w:hAnsi="宋体"/>
          <w:b/>
          <w:color w:val="auto"/>
          <w:szCs w:val="21"/>
          <w:highlight w:val="none"/>
        </w:rPr>
        <w:t>【政府采购合同专用条款】</w:t>
      </w:r>
      <w:r>
        <w:rPr>
          <w:rFonts w:hint="eastAsia" w:ascii="宋体" w:hAnsi="宋体"/>
          <w:bCs/>
          <w:color w:val="auto"/>
          <w:szCs w:val="21"/>
          <w:highlight w:val="none"/>
        </w:rPr>
        <w:t>。</w:t>
      </w:r>
    </w:p>
    <w:p w14:paraId="3427FEE2">
      <w:pPr>
        <w:adjustRightInd w:val="0"/>
        <w:snapToGrid w:val="0"/>
        <w:spacing w:line="400" w:lineRule="exact"/>
        <w:ind w:firstLine="0" w:firstLineChars="0"/>
        <w:jc w:val="left"/>
        <w:rPr>
          <w:rFonts w:ascii="黑体" w:hAnsi="华文中宋" w:eastAsia="黑体"/>
          <w:color w:val="auto"/>
          <w:sz w:val="28"/>
          <w:szCs w:val="28"/>
          <w:highlight w:val="none"/>
        </w:rPr>
      </w:pPr>
      <w:r>
        <w:rPr>
          <w:rFonts w:hint="eastAsia" w:ascii="宋体" w:hAnsi="宋体"/>
          <w:bCs/>
          <w:color w:val="auto"/>
          <w:szCs w:val="21"/>
          <w:highlight w:val="none"/>
          <w:lang w:val="en-US" w:eastAsia="zh-CN"/>
        </w:rPr>
        <w:t xml:space="preserve">    23.2 合同附件与合同正文具有同等的法律效力。</w:t>
      </w:r>
      <w:bookmarkStart w:id="4" w:name="_Toc20313"/>
    </w:p>
    <w:p w14:paraId="3332F792">
      <w:pPr>
        <w:adjustRightInd w:val="0"/>
        <w:snapToGrid w:val="0"/>
        <w:jc w:val="center"/>
        <w:rPr>
          <w:rFonts w:hint="eastAsia" w:ascii="黑体" w:hAnsi="华文中宋" w:eastAsia="黑体"/>
          <w:b w:val="0"/>
          <w:bCs w:val="0"/>
          <w:sz w:val="28"/>
          <w:szCs w:val="28"/>
          <w:highlight w:val="none"/>
        </w:rPr>
      </w:pPr>
      <w:r>
        <w:rPr>
          <w:rFonts w:hint="eastAsia" w:ascii="黑体" w:hAnsi="华文中宋" w:eastAsia="黑体"/>
          <w:b w:val="0"/>
          <w:bCs w:val="0"/>
          <w:sz w:val="28"/>
          <w:szCs w:val="28"/>
          <w:highlight w:val="none"/>
        </w:rPr>
        <w:br w:type="page"/>
      </w:r>
    </w:p>
    <w:p w14:paraId="5850CB3E">
      <w:pPr>
        <w:pStyle w:val="3"/>
        <w:adjustRightInd w:val="0"/>
        <w:snapToGrid w:val="0"/>
        <w:jc w:val="center"/>
        <w:rPr>
          <w:rFonts w:ascii="黑体" w:hAnsi="华文中宋" w:eastAsia="黑体"/>
          <w:b w:val="0"/>
          <w:bCs w:val="0"/>
          <w:sz w:val="28"/>
          <w:szCs w:val="28"/>
          <w:highlight w:val="none"/>
        </w:rPr>
      </w:pPr>
      <w:r>
        <w:rPr>
          <w:rFonts w:hint="eastAsia" w:ascii="黑体" w:hAnsi="华文中宋" w:eastAsia="黑体"/>
          <w:b w:val="0"/>
          <w:bCs w:val="0"/>
          <w:sz w:val="28"/>
          <w:szCs w:val="28"/>
          <w:highlight w:val="none"/>
        </w:rPr>
        <w:t>第三节 政府采购合同专用条款</w:t>
      </w:r>
      <w:bookmarkEnd w:id="4"/>
    </w:p>
    <w:tbl>
      <w:tblPr>
        <w:tblStyle w:val="11"/>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4F77BE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5AC8444">
            <w:pPr>
              <w:adjustRightInd w:val="0"/>
              <w:snapToGrid w:val="0"/>
              <w:jc w:val="center"/>
              <w:rPr>
                <w:rFonts w:ascii="宋体" w:hAnsi="宋体"/>
                <w:szCs w:val="21"/>
                <w:highlight w:val="none"/>
              </w:rPr>
            </w:pPr>
            <w:r>
              <w:rPr>
                <w:rFonts w:hint="eastAsia" w:ascii="宋体" w:hAnsi="宋体"/>
                <w:szCs w:val="21"/>
                <w:highlight w:val="none"/>
              </w:rPr>
              <w:t>第二节</w:t>
            </w:r>
          </w:p>
          <w:p w14:paraId="2AAE0483">
            <w:pPr>
              <w:adjustRightInd w:val="0"/>
              <w:snapToGrid w:val="0"/>
              <w:jc w:val="center"/>
              <w:rPr>
                <w:rFonts w:ascii="宋体" w:hAnsi="宋体"/>
                <w:szCs w:val="21"/>
                <w:highlight w:val="none"/>
              </w:rPr>
            </w:pPr>
            <w:r>
              <w:rPr>
                <w:rFonts w:hint="eastAsia" w:ascii="宋体" w:hAnsi="宋体"/>
                <w:szCs w:val="21"/>
                <w:highlight w:val="none"/>
              </w:rPr>
              <w:t>第1.2（</w:t>
            </w:r>
            <w:r>
              <w:rPr>
                <w:rFonts w:hint="eastAsia" w:ascii="宋体" w:hAnsi="宋体"/>
                <w:szCs w:val="21"/>
                <w:highlight w:val="none"/>
                <w:lang w:val="en-US" w:eastAsia="zh-CN"/>
              </w:rPr>
              <w:t>6</w:t>
            </w:r>
            <w:r>
              <w:rPr>
                <w:rFonts w:hint="eastAsia" w:ascii="宋体" w:hAnsi="宋体"/>
                <w:szCs w:val="21"/>
                <w:highlight w:val="none"/>
              </w:rPr>
              <w:t>）项</w:t>
            </w:r>
          </w:p>
        </w:tc>
        <w:tc>
          <w:tcPr>
            <w:tcW w:w="1742" w:type="dxa"/>
            <w:vAlign w:val="center"/>
          </w:tcPr>
          <w:p w14:paraId="51CEAC3D">
            <w:pPr>
              <w:adjustRightInd w:val="0"/>
              <w:snapToGrid w:val="0"/>
              <w:jc w:val="left"/>
              <w:rPr>
                <w:rFonts w:ascii="宋体" w:hAnsi="宋体"/>
                <w:szCs w:val="21"/>
                <w:highlight w:val="none"/>
              </w:rPr>
            </w:pPr>
            <w:r>
              <w:rPr>
                <w:rFonts w:hint="eastAsia" w:ascii="宋体" w:hAnsi="宋体"/>
                <w:szCs w:val="21"/>
                <w:highlight w:val="none"/>
                <w:lang w:eastAsia="zh-CN"/>
              </w:rPr>
              <w:t>联合体具体要求</w:t>
            </w:r>
          </w:p>
        </w:tc>
        <w:tc>
          <w:tcPr>
            <w:tcW w:w="5170" w:type="dxa"/>
            <w:vAlign w:val="center"/>
          </w:tcPr>
          <w:p w14:paraId="48D6750E">
            <w:pPr>
              <w:adjustRightInd w:val="0"/>
              <w:snapToGrid w:val="0"/>
              <w:jc w:val="left"/>
              <w:rPr>
                <w:rFonts w:hint="default" w:ascii="宋体" w:hAnsi="宋体" w:eastAsia="宋体"/>
                <w:szCs w:val="21"/>
                <w:highlight w:val="none"/>
                <w:lang w:val="en-US" w:eastAsia="zh-CN"/>
              </w:rPr>
            </w:pPr>
            <w:r>
              <w:rPr>
                <w:rFonts w:hint="eastAsia" w:ascii="宋体" w:hAnsi="宋体"/>
                <w:szCs w:val="21"/>
                <w:highlight w:val="none"/>
                <w:lang w:val="en-US" w:eastAsia="zh-CN"/>
              </w:rPr>
              <w:t>/</w:t>
            </w:r>
          </w:p>
        </w:tc>
      </w:tr>
      <w:tr w14:paraId="7956EB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7A4F82DE">
            <w:pPr>
              <w:adjustRightInd w:val="0"/>
              <w:snapToGrid w:val="0"/>
              <w:jc w:val="center"/>
              <w:rPr>
                <w:rFonts w:ascii="宋体" w:hAnsi="宋体"/>
                <w:szCs w:val="21"/>
                <w:highlight w:val="none"/>
              </w:rPr>
            </w:pPr>
            <w:r>
              <w:rPr>
                <w:rFonts w:hint="eastAsia" w:ascii="宋体" w:hAnsi="宋体"/>
                <w:szCs w:val="21"/>
                <w:highlight w:val="none"/>
              </w:rPr>
              <w:t>第二节</w:t>
            </w:r>
          </w:p>
          <w:p w14:paraId="5146489D">
            <w:pPr>
              <w:adjustRightInd w:val="0"/>
              <w:snapToGrid w:val="0"/>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第1.2（</w:t>
            </w:r>
            <w:r>
              <w:rPr>
                <w:rFonts w:hint="eastAsia" w:ascii="宋体" w:hAnsi="宋体"/>
                <w:szCs w:val="21"/>
                <w:highlight w:val="none"/>
                <w:lang w:val="en-US" w:eastAsia="zh-CN"/>
              </w:rPr>
              <w:t>7</w:t>
            </w:r>
            <w:r>
              <w:rPr>
                <w:rFonts w:hint="eastAsia" w:ascii="宋体" w:hAnsi="宋体"/>
                <w:szCs w:val="21"/>
                <w:highlight w:val="none"/>
              </w:rPr>
              <w:t>）项</w:t>
            </w:r>
          </w:p>
        </w:tc>
        <w:tc>
          <w:tcPr>
            <w:tcW w:w="1742" w:type="dxa"/>
            <w:vAlign w:val="center"/>
          </w:tcPr>
          <w:p w14:paraId="31B03CDF">
            <w:pPr>
              <w:adjustRightInd w:val="0"/>
              <w:snapToGrid w:val="0"/>
              <w:jc w:val="lef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其他术语解释</w:t>
            </w:r>
          </w:p>
        </w:tc>
        <w:tc>
          <w:tcPr>
            <w:tcW w:w="5170" w:type="dxa"/>
            <w:vAlign w:val="center"/>
          </w:tcPr>
          <w:p w14:paraId="2169E5FC">
            <w:pPr>
              <w:adjustRightInd w:val="0"/>
              <w:snapToGrid w:val="0"/>
              <w:jc w:val="left"/>
              <w:rPr>
                <w:rFonts w:hint="default" w:ascii="宋体" w:hAnsi="宋体" w:eastAsia="宋体" w:cs="Times New Roman"/>
                <w:kern w:val="2"/>
                <w:sz w:val="21"/>
                <w:szCs w:val="21"/>
                <w:highlight w:val="none"/>
                <w:lang w:val="en-US" w:eastAsia="zh-CN" w:bidi="ar-SA"/>
              </w:rPr>
            </w:pPr>
            <w:r>
              <w:rPr>
                <w:rFonts w:hint="eastAsia" w:ascii="宋体" w:hAnsi="宋体" w:cs="Times New Roman"/>
                <w:kern w:val="2"/>
                <w:sz w:val="21"/>
                <w:szCs w:val="21"/>
                <w:highlight w:val="none"/>
                <w:lang w:val="en-US" w:eastAsia="zh-CN" w:bidi="ar-SA"/>
              </w:rPr>
              <w:t>/</w:t>
            </w:r>
          </w:p>
        </w:tc>
      </w:tr>
      <w:tr w14:paraId="483901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68AE333">
            <w:pPr>
              <w:adjustRightInd w:val="0"/>
              <w:snapToGrid w:val="0"/>
              <w:jc w:val="center"/>
              <w:rPr>
                <w:rFonts w:ascii="宋体" w:hAnsi="宋体"/>
                <w:szCs w:val="21"/>
                <w:highlight w:val="none"/>
              </w:rPr>
            </w:pPr>
            <w:r>
              <w:rPr>
                <w:rFonts w:hint="eastAsia" w:ascii="宋体" w:hAnsi="宋体"/>
                <w:szCs w:val="21"/>
                <w:highlight w:val="none"/>
              </w:rPr>
              <w:t>第二节</w:t>
            </w:r>
          </w:p>
          <w:p w14:paraId="5FD4B5AD">
            <w:pPr>
              <w:adjustRightInd w:val="0"/>
              <w:snapToGrid w:val="0"/>
              <w:jc w:val="center"/>
              <w:rPr>
                <w:rFonts w:hint="default" w:ascii="宋体" w:hAnsi="宋体" w:eastAsia="宋体"/>
                <w:szCs w:val="21"/>
                <w:highlight w:val="none"/>
                <w:lang w:val="en-US" w:eastAsia="zh-CN"/>
              </w:rPr>
            </w:pPr>
            <w:r>
              <w:rPr>
                <w:rFonts w:hint="eastAsia" w:ascii="宋体" w:hAnsi="宋体"/>
                <w:szCs w:val="21"/>
                <w:highlight w:val="none"/>
                <w:lang w:eastAsia="zh-CN"/>
              </w:rPr>
              <w:t>第</w:t>
            </w:r>
            <w:r>
              <w:rPr>
                <w:rFonts w:hint="eastAsia" w:ascii="宋体" w:hAnsi="宋体"/>
                <w:szCs w:val="21"/>
                <w:highlight w:val="none"/>
                <w:lang w:val="en-US" w:eastAsia="zh-CN"/>
              </w:rPr>
              <w:t>4.4款</w:t>
            </w:r>
          </w:p>
        </w:tc>
        <w:tc>
          <w:tcPr>
            <w:tcW w:w="1742" w:type="dxa"/>
            <w:vAlign w:val="center"/>
          </w:tcPr>
          <w:p w14:paraId="6BD39131">
            <w:pPr>
              <w:adjustRightInd w:val="0"/>
              <w:snapToGrid w:val="0"/>
              <w:jc w:val="left"/>
              <w:rPr>
                <w:rFonts w:hint="eastAsia" w:ascii="宋体" w:hAnsi="宋体" w:eastAsia="宋体"/>
                <w:szCs w:val="21"/>
                <w:highlight w:val="none"/>
                <w:lang w:eastAsia="zh-CN"/>
              </w:rPr>
            </w:pPr>
            <w:r>
              <w:rPr>
                <w:rFonts w:hint="eastAsia" w:ascii="宋体" w:hAnsi="宋体"/>
                <w:szCs w:val="21"/>
                <w:highlight w:val="none"/>
                <w:lang w:eastAsia="zh-CN"/>
              </w:rPr>
              <w:t>履约验收中甲方提出异议或作出说明的期限</w:t>
            </w:r>
          </w:p>
        </w:tc>
        <w:tc>
          <w:tcPr>
            <w:tcW w:w="5170" w:type="dxa"/>
            <w:vAlign w:val="center"/>
          </w:tcPr>
          <w:p w14:paraId="51DF9E7B">
            <w:pPr>
              <w:adjustRightInd w:val="0"/>
              <w:snapToGrid w:val="0"/>
              <w:jc w:val="left"/>
              <w:rPr>
                <w:rFonts w:hint="eastAsia" w:ascii="宋体" w:hAnsi="宋体" w:eastAsia="宋体" w:cs="Times New Roman"/>
                <w:kern w:val="2"/>
                <w:sz w:val="21"/>
                <w:szCs w:val="21"/>
                <w:highlight w:val="none"/>
                <w:lang w:val="en-US" w:eastAsia="zh-CN" w:bidi="ar-SA"/>
              </w:rPr>
            </w:pPr>
            <w:r>
              <w:rPr>
                <w:rFonts w:hint="eastAsia" w:ascii="宋体" w:hAnsi="宋体" w:cs="Times New Roman"/>
                <w:kern w:val="2"/>
                <w:sz w:val="21"/>
                <w:szCs w:val="21"/>
                <w:highlight w:val="none"/>
                <w:lang w:val="en-US" w:eastAsia="zh-CN" w:bidi="ar-SA"/>
              </w:rPr>
              <w:t>1、</w:t>
            </w:r>
            <w:r>
              <w:rPr>
                <w:rFonts w:hint="eastAsia" w:ascii="宋体" w:hAnsi="宋体" w:eastAsia="宋体" w:cs="Times New Roman"/>
                <w:kern w:val="2"/>
                <w:sz w:val="21"/>
                <w:szCs w:val="21"/>
                <w:highlight w:val="none"/>
                <w:lang w:val="en-US" w:eastAsia="zh-CN" w:bidi="ar-SA"/>
              </w:rPr>
              <w:t>甲方如对乙方提供的服务有异议时，应在妥善保存证据的同时，向乙方提出书面异议。</w:t>
            </w:r>
          </w:p>
          <w:p w14:paraId="078E588A">
            <w:pPr>
              <w:adjustRightInd w:val="0"/>
              <w:snapToGrid w:val="0"/>
              <w:jc w:val="left"/>
              <w:rPr>
                <w:rFonts w:hint="eastAsia" w:ascii="宋体" w:hAnsi="宋体" w:eastAsia="宋体" w:cs="Times New Roman"/>
                <w:kern w:val="2"/>
                <w:sz w:val="21"/>
                <w:szCs w:val="21"/>
                <w:highlight w:val="none"/>
                <w:lang w:val="en-US" w:eastAsia="zh-CN" w:bidi="ar-SA"/>
              </w:rPr>
            </w:pPr>
            <w:r>
              <w:rPr>
                <w:rFonts w:hint="eastAsia" w:ascii="宋体" w:hAnsi="宋体" w:cs="Times New Roman"/>
                <w:kern w:val="2"/>
                <w:sz w:val="21"/>
                <w:szCs w:val="21"/>
                <w:highlight w:val="none"/>
                <w:lang w:val="en-US" w:eastAsia="zh-CN" w:bidi="ar-SA"/>
              </w:rPr>
              <w:t>2、</w:t>
            </w:r>
            <w:r>
              <w:rPr>
                <w:rFonts w:hint="eastAsia" w:ascii="宋体" w:hAnsi="宋体" w:eastAsia="宋体" w:cs="Times New Roman"/>
                <w:kern w:val="2"/>
                <w:sz w:val="21"/>
                <w:szCs w:val="21"/>
                <w:highlight w:val="none"/>
                <w:lang w:val="en-US" w:eastAsia="zh-CN" w:bidi="ar-SA"/>
              </w:rPr>
              <w:t>乙方在接到甲方书面异议后，应在2天内负责处理并函复甲方处理情况，否则，即视为默认甲方提出的异议和处理意见。</w:t>
            </w:r>
          </w:p>
          <w:p w14:paraId="2AF66EBF">
            <w:pPr>
              <w:adjustRightInd w:val="0"/>
              <w:snapToGrid w:val="0"/>
              <w:jc w:val="left"/>
              <w:rPr>
                <w:rFonts w:ascii="宋体" w:hAnsi="宋体" w:eastAsia="宋体" w:cs="Times New Roman"/>
                <w:kern w:val="2"/>
                <w:sz w:val="21"/>
                <w:szCs w:val="21"/>
                <w:highlight w:val="none"/>
                <w:lang w:val="en-US" w:eastAsia="zh-CN" w:bidi="ar-SA"/>
              </w:rPr>
            </w:pPr>
            <w:r>
              <w:rPr>
                <w:rFonts w:hint="eastAsia" w:ascii="宋体" w:hAnsi="宋体" w:cs="Times New Roman"/>
                <w:kern w:val="2"/>
                <w:sz w:val="21"/>
                <w:szCs w:val="21"/>
                <w:highlight w:val="none"/>
                <w:lang w:val="en-US" w:eastAsia="zh-CN" w:bidi="ar-SA"/>
              </w:rPr>
              <w:t>3、</w:t>
            </w:r>
            <w:r>
              <w:rPr>
                <w:rFonts w:hint="eastAsia" w:ascii="宋体" w:hAnsi="宋体" w:eastAsia="宋体" w:cs="Times New Roman"/>
                <w:kern w:val="2"/>
                <w:sz w:val="21"/>
                <w:szCs w:val="21"/>
                <w:highlight w:val="none"/>
                <w:lang w:val="en-US" w:eastAsia="zh-CN" w:bidi="ar-SA"/>
              </w:rPr>
              <w:t>甲方因违章操作、保管、保养不善等人为原因造成乙方不能正常提供服务，甲方所提出的异议乙方有权不予接受。</w:t>
            </w:r>
          </w:p>
        </w:tc>
      </w:tr>
      <w:tr w14:paraId="148B69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FD72E0E">
            <w:pPr>
              <w:adjustRightInd w:val="0"/>
              <w:snapToGrid w:val="0"/>
              <w:jc w:val="center"/>
              <w:rPr>
                <w:rFonts w:ascii="宋体" w:hAnsi="宋体"/>
                <w:szCs w:val="21"/>
                <w:highlight w:val="none"/>
              </w:rPr>
            </w:pPr>
            <w:r>
              <w:rPr>
                <w:rFonts w:hint="eastAsia" w:ascii="宋体" w:hAnsi="宋体"/>
                <w:szCs w:val="21"/>
                <w:highlight w:val="none"/>
              </w:rPr>
              <w:t>第二节</w:t>
            </w:r>
          </w:p>
          <w:p w14:paraId="3C9B6B9F">
            <w:pPr>
              <w:adjustRightInd w:val="0"/>
              <w:snapToGrid w:val="0"/>
              <w:jc w:val="center"/>
              <w:rPr>
                <w:rFonts w:hint="eastAsia" w:ascii="宋体" w:hAnsi="宋体"/>
                <w:szCs w:val="21"/>
                <w:highlight w:val="none"/>
              </w:rPr>
            </w:pPr>
            <w:r>
              <w:rPr>
                <w:rFonts w:hint="eastAsia" w:ascii="宋体" w:hAnsi="宋体"/>
                <w:szCs w:val="21"/>
                <w:highlight w:val="none"/>
                <w:lang w:eastAsia="zh-CN"/>
              </w:rPr>
              <w:t>第</w:t>
            </w:r>
            <w:r>
              <w:rPr>
                <w:rFonts w:hint="eastAsia" w:ascii="宋体" w:hAnsi="宋体"/>
                <w:szCs w:val="21"/>
                <w:highlight w:val="none"/>
                <w:lang w:val="en-US" w:eastAsia="zh-CN"/>
              </w:rPr>
              <w:t>4.6款</w:t>
            </w:r>
          </w:p>
        </w:tc>
        <w:tc>
          <w:tcPr>
            <w:tcW w:w="1742" w:type="dxa"/>
            <w:vAlign w:val="center"/>
          </w:tcPr>
          <w:p w14:paraId="7DBBBEC0">
            <w:pPr>
              <w:adjustRightInd w:val="0"/>
              <w:snapToGrid w:val="0"/>
              <w:jc w:val="left"/>
              <w:rPr>
                <w:rFonts w:hint="eastAsia" w:ascii="宋体" w:hAnsi="宋体" w:eastAsia="宋体"/>
                <w:szCs w:val="21"/>
                <w:highlight w:val="none"/>
                <w:lang w:eastAsia="zh-CN"/>
              </w:rPr>
            </w:pPr>
            <w:r>
              <w:rPr>
                <w:rFonts w:hint="eastAsia" w:ascii="宋体" w:hAnsi="宋体"/>
                <w:szCs w:val="21"/>
                <w:highlight w:val="none"/>
                <w:lang w:eastAsia="zh-CN"/>
              </w:rPr>
              <w:t>约定甲方承担的其他义务和责任</w:t>
            </w:r>
          </w:p>
        </w:tc>
        <w:tc>
          <w:tcPr>
            <w:tcW w:w="5170" w:type="dxa"/>
            <w:vAlign w:val="center"/>
          </w:tcPr>
          <w:p w14:paraId="49F44A68">
            <w:pPr>
              <w:adjustRightInd w:val="0"/>
              <w:snapToGrid w:val="0"/>
              <w:jc w:val="left"/>
              <w:rPr>
                <w:rFonts w:ascii="宋体" w:hAnsi="宋体" w:eastAsia="宋体" w:cs="Times New Roman"/>
                <w:kern w:val="2"/>
                <w:sz w:val="21"/>
                <w:szCs w:val="21"/>
                <w:highlight w:val="none"/>
                <w:lang w:val="en-US" w:eastAsia="zh-CN" w:bidi="ar-SA"/>
              </w:rPr>
            </w:pPr>
            <w:r>
              <w:rPr>
                <w:rFonts w:hint="eastAsia" w:ascii="宋体" w:hAnsi="宋体" w:cs="Times New Roman"/>
                <w:kern w:val="2"/>
                <w:sz w:val="21"/>
                <w:szCs w:val="21"/>
                <w:highlight w:val="none"/>
                <w:lang w:val="en-US" w:eastAsia="zh-CN" w:bidi="ar-SA"/>
              </w:rPr>
              <w:t>详见“技术要求和商务要求”</w:t>
            </w:r>
          </w:p>
        </w:tc>
      </w:tr>
      <w:tr w14:paraId="64A0F3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9B7446A">
            <w:pPr>
              <w:adjustRightInd w:val="0"/>
              <w:snapToGrid w:val="0"/>
              <w:jc w:val="center"/>
              <w:rPr>
                <w:rFonts w:hint="eastAsia" w:ascii="宋体" w:hAnsi="宋体"/>
                <w:szCs w:val="21"/>
                <w:highlight w:val="none"/>
                <w:lang w:eastAsia="zh-CN"/>
              </w:rPr>
            </w:pPr>
            <w:r>
              <w:rPr>
                <w:rFonts w:hint="eastAsia" w:ascii="宋体" w:hAnsi="宋体"/>
                <w:szCs w:val="21"/>
                <w:highlight w:val="none"/>
                <w:lang w:eastAsia="zh-CN"/>
              </w:rPr>
              <w:t>第二节</w:t>
            </w:r>
          </w:p>
          <w:p w14:paraId="42FAFC11">
            <w:pPr>
              <w:snapToGrid w:val="0"/>
              <w:jc w:val="center"/>
              <w:rPr>
                <w:rFonts w:hint="default"/>
                <w:highlight w:val="none"/>
                <w:lang w:val="en-US" w:eastAsia="zh-CN"/>
              </w:rPr>
            </w:pPr>
            <w:r>
              <w:rPr>
                <w:rFonts w:hint="eastAsia" w:ascii="宋体" w:hAnsi="宋体"/>
                <w:szCs w:val="21"/>
                <w:highlight w:val="none"/>
                <w:lang w:eastAsia="zh-CN"/>
              </w:rPr>
              <w:t>第</w:t>
            </w:r>
            <w:r>
              <w:rPr>
                <w:rFonts w:hint="eastAsia" w:ascii="宋体" w:hAnsi="宋体"/>
                <w:szCs w:val="21"/>
                <w:highlight w:val="none"/>
                <w:lang w:val="en-US" w:eastAsia="zh-CN"/>
              </w:rPr>
              <w:t>5.4款</w:t>
            </w:r>
          </w:p>
        </w:tc>
        <w:tc>
          <w:tcPr>
            <w:tcW w:w="1742" w:type="dxa"/>
            <w:vAlign w:val="center"/>
          </w:tcPr>
          <w:p w14:paraId="1FA9541B">
            <w:pPr>
              <w:adjustRightInd w:val="0"/>
              <w:snapToGrid w:val="0"/>
              <w:jc w:val="left"/>
              <w:rPr>
                <w:rFonts w:hint="eastAsia" w:ascii="宋体" w:hAnsi="宋体"/>
                <w:szCs w:val="21"/>
                <w:highlight w:val="none"/>
                <w:lang w:eastAsia="zh-CN"/>
              </w:rPr>
            </w:pPr>
            <w:r>
              <w:rPr>
                <w:rFonts w:hint="eastAsia" w:ascii="宋体" w:hAnsi="宋体"/>
                <w:szCs w:val="21"/>
                <w:highlight w:val="none"/>
                <w:lang w:eastAsia="zh-CN"/>
              </w:rPr>
              <w:t>约定乙方承担的其他义务和责任</w:t>
            </w:r>
          </w:p>
        </w:tc>
        <w:tc>
          <w:tcPr>
            <w:tcW w:w="5170" w:type="dxa"/>
            <w:vAlign w:val="center"/>
          </w:tcPr>
          <w:p w14:paraId="15C08C94">
            <w:pPr>
              <w:adjustRightInd w:val="0"/>
              <w:snapToGrid w:val="0"/>
              <w:jc w:val="left"/>
              <w:rPr>
                <w:rFonts w:ascii="宋体" w:hAnsi="宋体" w:eastAsia="宋体" w:cs="Times New Roman"/>
                <w:kern w:val="2"/>
                <w:sz w:val="21"/>
                <w:szCs w:val="21"/>
                <w:highlight w:val="none"/>
                <w:lang w:val="en-US" w:eastAsia="zh-CN" w:bidi="ar-SA"/>
              </w:rPr>
            </w:pPr>
            <w:r>
              <w:rPr>
                <w:rFonts w:hint="eastAsia" w:ascii="宋体" w:hAnsi="宋体" w:cs="Times New Roman"/>
                <w:kern w:val="2"/>
                <w:sz w:val="21"/>
                <w:szCs w:val="21"/>
                <w:highlight w:val="none"/>
                <w:lang w:val="en-US" w:eastAsia="zh-CN" w:bidi="ar-SA"/>
              </w:rPr>
              <w:t>详见“技术要求和商务要求”</w:t>
            </w:r>
          </w:p>
        </w:tc>
      </w:tr>
      <w:tr w14:paraId="31E0D3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25015CB">
            <w:pPr>
              <w:adjustRightInd w:val="0"/>
              <w:snapToGrid w:val="0"/>
              <w:jc w:val="center"/>
              <w:rPr>
                <w:rFonts w:hint="eastAsia" w:ascii="宋体" w:hAnsi="宋体"/>
                <w:szCs w:val="21"/>
                <w:highlight w:val="none"/>
                <w:lang w:eastAsia="zh-CN"/>
              </w:rPr>
            </w:pPr>
            <w:r>
              <w:rPr>
                <w:rFonts w:hint="eastAsia" w:ascii="宋体" w:hAnsi="宋体"/>
                <w:szCs w:val="21"/>
                <w:highlight w:val="none"/>
                <w:lang w:eastAsia="zh-CN"/>
              </w:rPr>
              <w:t>第二节</w:t>
            </w:r>
          </w:p>
          <w:p w14:paraId="23FE3B51">
            <w:pPr>
              <w:snapToGrid w:val="0"/>
              <w:jc w:val="center"/>
              <w:rPr>
                <w:rFonts w:hint="eastAsia" w:ascii="宋体" w:hAnsi="宋体"/>
                <w:szCs w:val="21"/>
                <w:highlight w:val="none"/>
                <w:lang w:eastAsia="zh-CN"/>
              </w:rPr>
            </w:pPr>
            <w:r>
              <w:rPr>
                <w:rFonts w:hint="eastAsia" w:ascii="宋体" w:hAnsi="宋体"/>
                <w:szCs w:val="21"/>
                <w:highlight w:val="none"/>
                <w:lang w:eastAsia="zh-CN"/>
              </w:rPr>
              <w:t>第</w:t>
            </w:r>
            <w:r>
              <w:rPr>
                <w:rFonts w:hint="eastAsia" w:ascii="宋体" w:hAnsi="宋体"/>
                <w:szCs w:val="21"/>
                <w:highlight w:val="none"/>
                <w:lang w:val="en-US" w:eastAsia="zh-CN"/>
              </w:rPr>
              <w:t>6.1款</w:t>
            </w:r>
          </w:p>
        </w:tc>
        <w:tc>
          <w:tcPr>
            <w:tcW w:w="1742" w:type="dxa"/>
            <w:vAlign w:val="center"/>
          </w:tcPr>
          <w:p w14:paraId="507D4464">
            <w:pPr>
              <w:adjustRightInd w:val="0"/>
              <w:snapToGrid w:val="0"/>
              <w:jc w:val="left"/>
              <w:rPr>
                <w:rFonts w:hint="eastAsia" w:ascii="宋体" w:hAnsi="宋体"/>
                <w:szCs w:val="21"/>
                <w:highlight w:val="none"/>
                <w:lang w:eastAsia="zh-CN"/>
              </w:rPr>
            </w:pPr>
            <w:r>
              <w:rPr>
                <w:rFonts w:hint="eastAsia" w:ascii="宋体" w:hAnsi="宋体"/>
                <w:szCs w:val="21"/>
                <w:highlight w:val="none"/>
                <w:lang w:eastAsia="zh-CN"/>
              </w:rPr>
              <w:t>履行合同义务的顺序</w:t>
            </w:r>
          </w:p>
        </w:tc>
        <w:tc>
          <w:tcPr>
            <w:tcW w:w="5170" w:type="dxa"/>
            <w:vAlign w:val="center"/>
          </w:tcPr>
          <w:p w14:paraId="74EC9B7C">
            <w:pPr>
              <w:adjustRightInd w:val="0"/>
              <w:snapToGrid w:val="0"/>
              <w:jc w:val="left"/>
              <w:rPr>
                <w:rFonts w:hint="default" w:ascii="宋体" w:hAnsi="宋体" w:eastAsia="宋体" w:cs="Times New Roman"/>
                <w:kern w:val="2"/>
                <w:sz w:val="21"/>
                <w:szCs w:val="21"/>
                <w:highlight w:val="none"/>
                <w:lang w:val="en-US" w:eastAsia="zh-CN" w:bidi="ar-SA"/>
              </w:rPr>
            </w:pPr>
            <w:r>
              <w:rPr>
                <w:rFonts w:hint="eastAsia" w:ascii="宋体" w:hAnsi="宋体" w:cs="Times New Roman"/>
                <w:kern w:val="2"/>
                <w:sz w:val="21"/>
                <w:szCs w:val="21"/>
                <w:highlight w:val="none"/>
                <w:lang w:val="en-US" w:eastAsia="zh-CN" w:bidi="ar-SA"/>
              </w:rPr>
              <w:t>详见“技术要求和商务要求”</w:t>
            </w:r>
          </w:p>
        </w:tc>
      </w:tr>
      <w:tr w14:paraId="7A70B9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590F5F2D">
            <w:pPr>
              <w:adjustRightInd w:val="0"/>
              <w:snapToGrid w:val="0"/>
              <w:jc w:val="center"/>
              <w:rPr>
                <w:rFonts w:ascii="宋体" w:hAnsi="宋体"/>
                <w:szCs w:val="21"/>
                <w:highlight w:val="none"/>
              </w:rPr>
            </w:pPr>
            <w:r>
              <w:rPr>
                <w:rFonts w:hint="eastAsia" w:ascii="宋体" w:hAnsi="宋体"/>
                <w:szCs w:val="21"/>
                <w:highlight w:val="none"/>
              </w:rPr>
              <w:t>第二节</w:t>
            </w:r>
          </w:p>
          <w:p w14:paraId="2616DE56">
            <w:pPr>
              <w:adjustRightInd w:val="0"/>
              <w:snapToGrid w:val="0"/>
              <w:jc w:val="center"/>
              <w:rPr>
                <w:rFonts w:ascii="宋体" w:hAnsi="宋体"/>
                <w:szCs w:val="21"/>
                <w:highlight w:val="none"/>
              </w:rPr>
            </w:pPr>
            <w:r>
              <w:rPr>
                <w:rFonts w:hint="eastAsia" w:ascii="宋体" w:hAnsi="宋体"/>
                <w:szCs w:val="21"/>
                <w:highlight w:val="none"/>
              </w:rPr>
              <w:t>第</w:t>
            </w:r>
            <w:r>
              <w:rPr>
                <w:rFonts w:hint="eastAsia" w:ascii="宋体" w:hAnsi="宋体"/>
                <w:szCs w:val="21"/>
                <w:highlight w:val="none"/>
                <w:lang w:val="en-US" w:eastAsia="zh-CN"/>
              </w:rPr>
              <w:t>7</w:t>
            </w:r>
            <w:r>
              <w:rPr>
                <w:rFonts w:hint="eastAsia" w:ascii="宋体" w:hAnsi="宋体"/>
                <w:szCs w:val="21"/>
                <w:highlight w:val="none"/>
              </w:rPr>
              <w:t>.1</w:t>
            </w:r>
            <w:r>
              <w:rPr>
                <w:rFonts w:hint="eastAsia" w:ascii="宋体" w:hAnsi="宋体"/>
                <w:szCs w:val="21"/>
                <w:highlight w:val="none"/>
                <w:lang w:val="en-US" w:eastAsia="zh-CN"/>
              </w:rPr>
              <w:t>款</w:t>
            </w:r>
          </w:p>
        </w:tc>
        <w:tc>
          <w:tcPr>
            <w:tcW w:w="1742" w:type="dxa"/>
            <w:vAlign w:val="center"/>
          </w:tcPr>
          <w:p w14:paraId="4E39C1FA">
            <w:pPr>
              <w:adjustRightInd w:val="0"/>
              <w:snapToGrid w:val="0"/>
              <w:jc w:val="left"/>
              <w:rPr>
                <w:rFonts w:ascii="宋体" w:hAnsi="宋体"/>
                <w:szCs w:val="21"/>
                <w:highlight w:val="none"/>
              </w:rPr>
            </w:pPr>
            <w:r>
              <w:rPr>
                <w:rFonts w:hint="eastAsia" w:ascii="宋体" w:hAnsi="宋体"/>
                <w:szCs w:val="21"/>
                <w:highlight w:val="none"/>
              </w:rPr>
              <w:t>包装</w:t>
            </w:r>
            <w:r>
              <w:rPr>
                <w:rFonts w:hint="eastAsia" w:ascii="宋体" w:hAnsi="宋体"/>
                <w:szCs w:val="21"/>
                <w:highlight w:val="none"/>
                <w:lang w:eastAsia="zh-CN"/>
              </w:rPr>
              <w:t>特殊要求</w:t>
            </w:r>
          </w:p>
        </w:tc>
        <w:tc>
          <w:tcPr>
            <w:tcW w:w="5170" w:type="dxa"/>
            <w:vAlign w:val="center"/>
          </w:tcPr>
          <w:p w14:paraId="0DF24325">
            <w:pPr>
              <w:rPr>
                <w:rFonts w:hint="eastAsia" w:eastAsia="宋体"/>
                <w:highlight w:val="none"/>
                <w:lang w:val="en-US" w:eastAsia="zh-CN"/>
              </w:rPr>
            </w:pPr>
            <w:r>
              <w:rPr>
                <w:rFonts w:hint="eastAsia" w:ascii="宋体" w:hAnsi="宋体" w:cs="Times New Roman"/>
                <w:kern w:val="2"/>
                <w:sz w:val="21"/>
                <w:szCs w:val="21"/>
                <w:highlight w:val="none"/>
                <w:lang w:val="en-US" w:eastAsia="zh-CN" w:bidi="ar-SA"/>
              </w:rPr>
              <w:t>详见“技术要求和商务要求”</w:t>
            </w:r>
          </w:p>
        </w:tc>
      </w:tr>
      <w:tr w14:paraId="1A48D2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04BF5048">
            <w:pPr>
              <w:adjustRightInd w:val="0"/>
              <w:snapToGrid w:val="0"/>
              <w:jc w:val="center"/>
              <w:rPr>
                <w:rFonts w:hint="eastAsia" w:ascii="宋体" w:hAnsi="宋体"/>
                <w:szCs w:val="21"/>
                <w:highlight w:val="none"/>
              </w:rPr>
            </w:pPr>
          </w:p>
        </w:tc>
        <w:tc>
          <w:tcPr>
            <w:tcW w:w="1742" w:type="dxa"/>
            <w:vAlign w:val="center"/>
          </w:tcPr>
          <w:p w14:paraId="7EFAB97D">
            <w:pPr>
              <w:adjustRightInd w:val="0"/>
              <w:snapToGrid w:val="0"/>
              <w:jc w:val="left"/>
              <w:rPr>
                <w:rFonts w:hint="eastAsia" w:ascii="宋体" w:hAnsi="宋体" w:eastAsia="宋体"/>
                <w:szCs w:val="21"/>
                <w:highlight w:val="none"/>
                <w:lang w:eastAsia="zh-CN"/>
              </w:rPr>
            </w:pPr>
            <w:r>
              <w:rPr>
                <w:rFonts w:hint="eastAsia" w:ascii="宋体" w:hAnsi="宋体"/>
                <w:szCs w:val="21"/>
                <w:highlight w:val="none"/>
                <w:lang w:eastAsia="zh-CN"/>
              </w:rPr>
              <w:t>指定现场</w:t>
            </w:r>
          </w:p>
        </w:tc>
        <w:tc>
          <w:tcPr>
            <w:tcW w:w="5170" w:type="dxa"/>
            <w:vAlign w:val="center"/>
          </w:tcPr>
          <w:p w14:paraId="440A6CF6">
            <w:pPr>
              <w:rPr>
                <w:rFonts w:hint="eastAsia" w:eastAsia="宋体"/>
                <w:highlight w:val="none"/>
                <w:lang w:val="en-US" w:eastAsia="zh-CN"/>
              </w:rPr>
            </w:pPr>
            <w:r>
              <w:rPr>
                <w:rFonts w:hint="eastAsia" w:ascii="宋体" w:hAnsi="宋体" w:cs="Times New Roman"/>
                <w:kern w:val="2"/>
                <w:sz w:val="21"/>
                <w:szCs w:val="21"/>
                <w:highlight w:val="none"/>
                <w:lang w:val="en-US" w:eastAsia="zh-CN" w:bidi="ar-SA"/>
              </w:rPr>
              <w:t>详见“技术要求和商务要求”</w:t>
            </w:r>
          </w:p>
        </w:tc>
      </w:tr>
      <w:tr w14:paraId="5839CB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63568A6E">
            <w:pPr>
              <w:adjustRightInd w:val="0"/>
              <w:snapToGrid w:val="0"/>
              <w:jc w:val="center"/>
              <w:rPr>
                <w:rFonts w:ascii="宋体" w:hAnsi="宋体"/>
                <w:szCs w:val="21"/>
                <w:highlight w:val="none"/>
              </w:rPr>
            </w:pPr>
            <w:r>
              <w:rPr>
                <w:rFonts w:hint="eastAsia" w:ascii="宋体" w:hAnsi="宋体"/>
                <w:szCs w:val="21"/>
                <w:highlight w:val="none"/>
              </w:rPr>
              <w:t>第二节</w:t>
            </w:r>
          </w:p>
          <w:p w14:paraId="57B478BF">
            <w:pPr>
              <w:adjustRightInd w:val="0"/>
              <w:snapToGrid w:val="0"/>
              <w:jc w:val="center"/>
              <w:rPr>
                <w:rFonts w:hint="eastAsia" w:ascii="宋体" w:hAnsi="宋体"/>
                <w:szCs w:val="21"/>
                <w:highlight w:val="none"/>
              </w:rPr>
            </w:pPr>
            <w:r>
              <w:rPr>
                <w:rFonts w:hint="eastAsia" w:ascii="宋体" w:hAnsi="宋体"/>
                <w:szCs w:val="21"/>
                <w:highlight w:val="none"/>
              </w:rPr>
              <w:t>第</w:t>
            </w:r>
            <w:r>
              <w:rPr>
                <w:rFonts w:hint="eastAsia" w:ascii="宋体" w:hAnsi="宋体"/>
                <w:szCs w:val="21"/>
                <w:highlight w:val="none"/>
                <w:lang w:val="en-US" w:eastAsia="zh-CN"/>
              </w:rPr>
              <w:t>7</w:t>
            </w:r>
            <w:r>
              <w:rPr>
                <w:rFonts w:hint="eastAsia" w:ascii="宋体" w:hAnsi="宋体"/>
                <w:szCs w:val="21"/>
                <w:highlight w:val="none"/>
              </w:rPr>
              <w:t>.2</w:t>
            </w:r>
            <w:r>
              <w:rPr>
                <w:rFonts w:hint="eastAsia" w:ascii="宋体" w:hAnsi="宋体"/>
                <w:szCs w:val="21"/>
                <w:highlight w:val="none"/>
                <w:lang w:val="en-US" w:eastAsia="zh-CN"/>
              </w:rPr>
              <w:t>款</w:t>
            </w:r>
          </w:p>
        </w:tc>
        <w:tc>
          <w:tcPr>
            <w:tcW w:w="1742" w:type="dxa"/>
            <w:vAlign w:val="center"/>
          </w:tcPr>
          <w:p w14:paraId="49A0182F">
            <w:pPr>
              <w:adjustRightInd w:val="0"/>
              <w:snapToGrid w:val="0"/>
              <w:jc w:val="left"/>
              <w:rPr>
                <w:rFonts w:hint="eastAsia" w:ascii="宋体" w:hAnsi="宋体" w:eastAsia="宋体"/>
                <w:szCs w:val="21"/>
                <w:highlight w:val="none"/>
                <w:lang w:eastAsia="zh-CN"/>
              </w:rPr>
            </w:pPr>
            <w:r>
              <w:rPr>
                <w:rFonts w:hint="eastAsia" w:ascii="宋体" w:hAnsi="宋体"/>
                <w:szCs w:val="21"/>
                <w:highlight w:val="none"/>
                <w:lang w:eastAsia="zh-CN"/>
              </w:rPr>
              <w:t>运输特殊要求</w:t>
            </w:r>
          </w:p>
        </w:tc>
        <w:tc>
          <w:tcPr>
            <w:tcW w:w="5170" w:type="dxa"/>
            <w:vAlign w:val="center"/>
          </w:tcPr>
          <w:p w14:paraId="6A3A0584">
            <w:pPr>
              <w:rPr>
                <w:rFonts w:hint="eastAsia" w:eastAsia="宋体"/>
                <w:highlight w:val="none"/>
                <w:lang w:val="en-US" w:eastAsia="zh-CN"/>
              </w:rPr>
            </w:pPr>
            <w:r>
              <w:rPr>
                <w:rFonts w:hint="eastAsia" w:ascii="宋体" w:hAnsi="宋体" w:cs="Times New Roman"/>
                <w:kern w:val="2"/>
                <w:sz w:val="21"/>
                <w:szCs w:val="21"/>
                <w:highlight w:val="none"/>
                <w:lang w:val="en-US" w:eastAsia="zh-CN" w:bidi="ar-SA"/>
              </w:rPr>
              <w:t>详见“技术要求和商务要求”</w:t>
            </w:r>
          </w:p>
        </w:tc>
      </w:tr>
      <w:tr w14:paraId="3855E0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67722400">
            <w:pPr>
              <w:adjustRightInd w:val="0"/>
              <w:snapToGrid w:val="0"/>
              <w:jc w:val="center"/>
              <w:rPr>
                <w:rFonts w:ascii="宋体" w:hAnsi="宋体"/>
                <w:szCs w:val="21"/>
                <w:highlight w:val="none"/>
              </w:rPr>
            </w:pPr>
            <w:r>
              <w:rPr>
                <w:rFonts w:hint="eastAsia" w:ascii="宋体" w:hAnsi="宋体"/>
                <w:szCs w:val="21"/>
                <w:highlight w:val="none"/>
              </w:rPr>
              <w:t>第二节</w:t>
            </w:r>
          </w:p>
          <w:p w14:paraId="3D496047">
            <w:pPr>
              <w:adjustRightInd w:val="0"/>
              <w:snapToGrid w:val="0"/>
              <w:jc w:val="center"/>
              <w:rPr>
                <w:rFonts w:hint="eastAsia" w:ascii="宋体" w:hAnsi="宋体"/>
                <w:szCs w:val="21"/>
                <w:highlight w:val="none"/>
              </w:rPr>
            </w:pPr>
            <w:r>
              <w:rPr>
                <w:rFonts w:hint="eastAsia" w:ascii="宋体" w:hAnsi="宋体"/>
                <w:szCs w:val="21"/>
                <w:highlight w:val="none"/>
              </w:rPr>
              <w:t>第</w:t>
            </w:r>
            <w:r>
              <w:rPr>
                <w:rFonts w:hint="eastAsia" w:ascii="宋体" w:hAnsi="宋体"/>
                <w:szCs w:val="21"/>
                <w:highlight w:val="none"/>
                <w:lang w:val="en-US" w:eastAsia="zh-CN"/>
              </w:rPr>
              <w:t>7</w:t>
            </w:r>
            <w:r>
              <w:rPr>
                <w:rFonts w:hint="eastAsia" w:ascii="宋体" w:hAnsi="宋体"/>
                <w:szCs w:val="21"/>
                <w:highlight w:val="none"/>
              </w:rPr>
              <w:t>.3</w:t>
            </w:r>
            <w:r>
              <w:rPr>
                <w:rFonts w:hint="eastAsia" w:ascii="宋体" w:hAnsi="宋体"/>
                <w:szCs w:val="21"/>
                <w:highlight w:val="none"/>
                <w:lang w:val="en-US" w:eastAsia="zh-CN"/>
              </w:rPr>
              <w:t>款</w:t>
            </w:r>
          </w:p>
        </w:tc>
        <w:tc>
          <w:tcPr>
            <w:tcW w:w="1742" w:type="dxa"/>
            <w:vAlign w:val="center"/>
          </w:tcPr>
          <w:p w14:paraId="01A70CCC">
            <w:pPr>
              <w:adjustRightInd w:val="0"/>
              <w:snapToGrid w:val="0"/>
              <w:jc w:val="left"/>
              <w:rPr>
                <w:rFonts w:hint="eastAsia" w:ascii="宋体" w:hAnsi="宋体" w:eastAsia="宋体"/>
                <w:szCs w:val="21"/>
                <w:highlight w:val="none"/>
                <w:lang w:eastAsia="zh-CN"/>
              </w:rPr>
            </w:pPr>
            <w:r>
              <w:rPr>
                <w:rFonts w:hint="eastAsia" w:ascii="宋体" w:hAnsi="宋体"/>
                <w:szCs w:val="21"/>
                <w:highlight w:val="none"/>
                <w:lang w:eastAsia="zh-CN"/>
              </w:rPr>
              <w:t>保险要求</w:t>
            </w:r>
          </w:p>
        </w:tc>
        <w:tc>
          <w:tcPr>
            <w:tcW w:w="5170" w:type="dxa"/>
            <w:vAlign w:val="center"/>
          </w:tcPr>
          <w:p w14:paraId="53C7138C">
            <w:pPr>
              <w:rPr>
                <w:rFonts w:hint="eastAsia"/>
                <w:highlight w:val="none"/>
              </w:rPr>
            </w:pPr>
            <w:r>
              <w:rPr>
                <w:rFonts w:hint="eastAsia" w:ascii="宋体" w:hAnsi="宋体" w:cs="Times New Roman"/>
                <w:kern w:val="2"/>
                <w:sz w:val="21"/>
                <w:szCs w:val="21"/>
                <w:highlight w:val="none"/>
                <w:lang w:val="en-US" w:eastAsia="zh-CN" w:bidi="ar-SA"/>
              </w:rPr>
              <w:t>详见“技术要求和商务要求”</w:t>
            </w:r>
          </w:p>
        </w:tc>
      </w:tr>
      <w:tr w14:paraId="666F5A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77BA19C">
            <w:pPr>
              <w:adjustRightInd w:val="0"/>
              <w:snapToGrid w:val="0"/>
              <w:jc w:val="center"/>
              <w:rPr>
                <w:rFonts w:ascii="宋体" w:hAnsi="宋体"/>
                <w:szCs w:val="21"/>
                <w:highlight w:val="none"/>
              </w:rPr>
            </w:pPr>
            <w:r>
              <w:rPr>
                <w:rFonts w:hint="eastAsia" w:ascii="宋体" w:hAnsi="宋体"/>
                <w:szCs w:val="21"/>
                <w:highlight w:val="none"/>
              </w:rPr>
              <w:t>第二节</w:t>
            </w:r>
          </w:p>
          <w:p w14:paraId="147F04C8">
            <w:pPr>
              <w:adjustRightInd w:val="0"/>
              <w:snapToGrid w:val="0"/>
              <w:jc w:val="center"/>
              <w:rPr>
                <w:rFonts w:ascii="宋体" w:hAnsi="宋体"/>
                <w:szCs w:val="21"/>
                <w:highlight w:val="none"/>
              </w:rPr>
            </w:pPr>
            <w:r>
              <w:rPr>
                <w:rFonts w:hint="eastAsia" w:ascii="宋体" w:hAnsi="宋体"/>
                <w:szCs w:val="21"/>
                <w:highlight w:val="none"/>
              </w:rPr>
              <w:t>第</w:t>
            </w:r>
            <w:r>
              <w:rPr>
                <w:rFonts w:hint="eastAsia" w:ascii="宋体" w:hAnsi="宋体"/>
                <w:szCs w:val="21"/>
                <w:highlight w:val="none"/>
                <w:lang w:val="en-US" w:eastAsia="zh-CN"/>
              </w:rPr>
              <w:t>8</w:t>
            </w:r>
            <w:r>
              <w:rPr>
                <w:rFonts w:hint="eastAsia" w:ascii="宋体" w:hAnsi="宋体"/>
                <w:szCs w:val="21"/>
                <w:highlight w:val="none"/>
              </w:rPr>
              <w:t>.2（1）项</w:t>
            </w:r>
          </w:p>
        </w:tc>
        <w:tc>
          <w:tcPr>
            <w:tcW w:w="1742" w:type="dxa"/>
            <w:vAlign w:val="center"/>
          </w:tcPr>
          <w:p w14:paraId="20295D94">
            <w:pPr>
              <w:adjustRightInd w:val="0"/>
              <w:snapToGrid w:val="0"/>
              <w:jc w:val="left"/>
              <w:rPr>
                <w:rFonts w:ascii="宋体" w:hAnsi="宋体"/>
                <w:szCs w:val="21"/>
                <w:highlight w:val="none"/>
              </w:rPr>
            </w:pPr>
            <w:r>
              <w:rPr>
                <w:rFonts w:hint="eastAsia" w:ascii="宋体" w:hAnsi="宋体"/>
                <w:szCs w:val="21"/>
                <w:highlight w:val="none"/>
              </w:rPr>
              <w:t>质量保证期</w:t>
            </w:r>
          </w:p>
        </w:tc>
        <w:tc>
          <w:tcPr>
            <w:tcW w:w="5170" w:type="dxa"/>
            <w:vAlign w:val="center"/>
          </w:tcPr>
          <w:p w14:paraId="2516193B">
            <w:pPr>
              <w:autoSpaceDE w:val="0"/>
              <w:autoSpaceDN w:val="0"/>
              <w:adjustRightInd w:val="0"/>
              <w:snapToGrid w:val="0"/>
              <w:jc w:val="left"/>
              <w:rPr>
                <w:rFonts w:ascii="宋体" w:hAnsi="宋体"/>
                <w:szCs w:val="21"/>
                <w:highlight w:val="none"/>
              </w:rPr>
            </w:pPr>
            <w:r>
              <w:rPr>
                <w:rFonts w:hint="eastAsia" w:ascii="宋体" w:hAnsi="宋体" w:cs="Times New Roman"/>
                <w:kern w:val="2"/>
                <w:sz w:val="21"/>
                <w:szCs w:val="21"/>
                <w:highlight w:val="none"/>
                <w:lang w:val="en-US" w:eastAsia="zh-CN" w:bidi="ar-SA"/>
              </w:rPr>
              <w:t>详见“技术要求和商务要求”</w:t>
            </w:r>
          </w:p>
        </w:tc>
      </w:tr>
      <w:tr w14:paraId="4D7259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3BFEF85">
            <w:pPr>
              <w:adjustRightInd w:val="0"/>
              <w:snapToGrid w:val="0"/>
              <w:jc w:val="center"/>
              <w:rPr>
                <w:rFonts w:ascii="宋体" w:hAnsi="宋体"/>
                <w:szCs w:val="21"/>
                <w:highlight w:val="none"/>
              </w:rPr>
            </w:pPr>
            <w:r>
              <w:rPr>
                <w:rFonts w:hint="eastAsia" w:ascii="宋体" w:hAnsi="宋体"/>
                <w:szCs w:val="21"/>
                <w:highlight w:val="none"/>
              </w:rPr>
              <w:t>第二节</w:t>
            </w:r>
          </w:p>
          <w:p w14:paraId="62F9C8ED">
            <w:pPr>
              <w:adjustRightInd w:val="0"/>
              <w:snapToGrid w:val="0"/>
              <w:jc w:val="center"/>
              <w:rPr>
                <w:rFonts w:ascii="宋体" w:hAnsi="宋体"/>
                <w:szCs w:val="21"/>
                <w:highlight w:val="none"/>
              </w:rPr>
            </w:pPr>
            <w:r>
              <w:rPr>
                <w:rFonts w:hint="eastAsia" w:ascii="宋体" w:hAnsi="宋体"/>
                <w:szCs w:val="21"/>
                <w:highlight w:val="none"/>
              </w:rPr>
              <w:t>第</w:t>
            </w:r>
            <w:r>
              <w:rPr>
                <w:rFonts w:hint="eastAsia" w:ascii="宋体" w:hAnsi="宋体"/>
                <w:szCs w:val="21"/>
                <w:highlight w:val="none"/>
                <w:lang w:val="en-US" w:eastAsia="zh-CN"/>
              </w:rPr>
              <w:t>8</w:t>
            </w:r>
            <w:r>
              <w:rPr>
                <w:rFonts w:hint="eastAsia" w:ascii="宋体" w:hAnsi="宋体"/>
                <w:szCs w:val="21"/>
                <w:highlight w:val="none"/>
              </w:rPr>
              <w:t>.2（3）项</w:t>
            </w:r>
          </w:p>
        </w:tc>
        <w:tc>
          <w:tcPr>
            <w:tcW w:w="1742" w:type="dxa"/>
            <w:vAlign w:val="center"/>
          </w:tcPr>
          <w:p w14:paraId="34C1A536">
            <w:pPr>
              <w:adjustRightInd w:val="0"/>
              <w:snapToGrid w:val="0"/>
              <w:jc w:val="left"/>
              <w:rPr>
                <w:rFonts w:hint="eastAsia" w:ascii="宋体" w:hAnsi="宋体"/>
                <w:szCs w:val="21"/>
                <w:highlight w:val="none"/>
                <w:lang w:eastAsia="zh-CN"/>
              </w:rPr>
            </w:pPr>
            <w:r>
              <w:rPr>
                <w:rFonts w:hint="eastAsia" w:ascii="宋体" w:hAnsi="宋体"/>
                <w:szCs w:val="21"/>
                <w:highlight w:val="none"/>
                <w:lang w:eastAsia="zh-CN"/>
              </w:rPr>
              <w:t>货物质量缺陷</w:t>
            </w:r>
          </w:p>
          <w:p w14:paraId="60032E61">
            <w:pPr>
              <w:adjustRightInd w:val="0"/>
              <w:snapToGrid w:val="0"/>
              <w:jc w:val="left"/>
              <w:rPr>
                <w:rFonts w:ascii="宋体" w:hAnsi="宋体"/>
                <w:szCs w:val="21"/>
                <w:highlight w:val="none"/>
              </w:rPr>
            </w:pPr>
            <w:r>
              <w:rPr>
                <w:rFonts w:hint="eastAsia" w:ascii="宋体" w:hAnsi="宋体"/>
                <w:szCs w:val="21"/>
                <w:highlight w:val="none"/>
              </w:rPr>
              <w:t>响应时间</w:t>
            </w:r>
          </w:p>
        </w:tc>
        <w:tc>
          <w:tcPr>
            <w:tcW w:w="5170" w:type="dxa"/>
            <w:vAlign w:val="center"/>
          </w:tcPr>
          <w:p w14:paraId="11B2DF98">
            <w:pPr>
              <w:adjustRightInd w:val="0"/>
              <w:snapToGrid w:val="0"/>
              <w:jc w:val="left"/>
              <w:rPr>
                <w:rFonts w:ascii="宋体" w:hAnsi="宋体"/>
                <w:szCs w:val="21"/>
                <w:highlight w:val="none"/>
              </w:rPr>
            </w:pPr>
            <w:r>
              <w:rPr>
                <w:rFonts w:hint="eastAsia" w:ascii="宋体" w:hAnsi="宋体" w:cs="Times New Roman"/>
                <w:kern w:val="2"/>
                <w:sz w:val="21"/>
                <w:szCs w:val="21"/>
                <w:highlight w:val="none"/>
                <w:lang w:val="en-US" w:eastAsia="zh-CN" w:bidi="ar-SA"/>
              </w:rPr>
              <w:t>详见“技术要求和商务要求”</w:t>
            </w:r>
          </w:p>
        </w:tc>
      </w:tr>
      <w:tr w14:paraId="587DFC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BF41FFF">
            <w:pPr>
              <w:snapToGrid w:val="0"/>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第二节</w:t>
            </w:r>
          </w:p>
          <w:p w14:paraId="65B32355">
            <w:pPr>
              <w:pStyle w:val="15"/>
              <w:ind w:firstLine="0" w:firstLineChars="0"/>
              <w:jc w:val="center"/>
              <w:rPr>
                <w:rFonts w:hint="default"/>
                <w:highlight w:val="none"/>
                <w:lang w:val="en-US" w:eastAsia="zh-CN"/>
              </w:rPr>
            </w:pPr>
            <w:r>
              <w:rPr>
                <w:rFonts w:hint="eastAsia" w:ascii="宋体" w:hAnsi="宋体" w:eastAsia="宋体" w:cs="宋体"/>
                <w:szCs w:val="21"/>
                <w:highlight w:val="none"/>
                <w:lang w:val="en-US" w:eastAsia="zh-CN"/>
              </w:rPr>
              <w:t>第11.1款</w:t>
            </w:r>
          </w:p>
        </w:tc>
        <w:tc>
          <w:tcPr>
            <w:tcW w:w="1742" w:type="dxa"/>
            <w:vAlign w:val="center"/>
          </w:tcPr>
          <w:p w14:paraId="1E657AC8">
            <w:pPr>
              <w:adjustRightInd w:val="0"/>
              <w:snapToGrid w:val="0"/>
              <w:jc w:val="both"/>
              <w:rPr>
                <w:rFonts w:hint="default" w:ascii="宋体" w:hAnsi="宋体" w:eastAsia="宋体"/>
                <w:szCs w:val="21"/>
                <w:highlight w:val="none"/>
                <w:lang w:val="en-US" w:eastAsia="zh-CN"/>
              </w:rPr>
            </w:pPr>
            <w:r>
              <w:rPr>
                <w:rFonts w:hint="eastAsia" w:ascii="宋体" w:hAnsi="宋体"/>
                <w:szCs w:val="21"/>
                <w:highlight w:val="none"/>
                <w:lang w:val="en-US" w:eastAsia="zh-CN"/>
              </w:rPr>
              <w:t>其他应当保密的信息</w:t>
            </w:r>
          </w:p>
        </w:tc>
        <w:tc>
          <w:tcPr>
            <w:tcW w:w="5170" w:type="dxa"/>
            <w:vAlign w:val="center"/>
          </w:tcPr>
          <w:p w14:paraId="076059BA">
            <w:pPr>
              <w:adjustRightInd w:val="0"/>
              <w:snapToGrid w:val="0"/>
              <w:jc w:val="left"/>
              <w:rPr>
                <w:rFonts w:ascii="宋体" w:hAnsi="宋体"/>
                <w:szCs w:val="21"/>
                <w:highlight w:val="none"/>
              </w:rPr>
            </w:pPr>
            <w:r>
              <w:rPr>
                <w:rFonts w:hint="eastAsia" w:ascii="宋体" w:hAnsi="宋体" w:cs="Times New Roman"/>
                <w:kern w:val="2"/>
                <w:sz w:val="21"/>
                <w:szCs w:val="21"/>
                <w:highlight w:val="none"/>
                <w:lang w:val="en-US" w:eastAsia="zh-CN" w:bidi="ar-SA"/>
              </w:rPr>
              <w:t>详见“技术要求和商务要求”</w:t>
            </w:r>
          </w:p>
        </w:tc>
      </w:tr>
      <w:tr w14:paraId="6B1112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1EAD901A">
            <w:pPr>
              <w:adjustRightInd w:val="0"/>
              <w:snapToGrid w:val="0"/>
              <w:jc w:val="center"/>
              <w:rPr>
                <w:rFonts w:ascii="宋体" w:hAnsi="宋体"/>
                <w:szCs w:val="21"/>
                <w:highlight w:val="none"/>
              </w:rPr>
            </w:pPr>
            <w:r>
              <w:rPr>
                <w:rFonts w:hint="eastAsia" w:ascii="宋体" w:hAnsi="宋体"/>
                <w:szCs w:val="21"/>
                <w:highlight w:val="none"/>
              </w:rPr>
              <w:t>第二节</w:t>
            </w:r>
          </w:p>
          <w:p w14:paraId="0C0BC630">
            <w:pPr>
              <w:adjustRightInd w:val="0"/>
              <w:snapToGrid w:val="0"/>
              <w:jc w:val="center"/>
              <w:rPr>
                <w:rFonts w:ascii="宋体" w:hAnsi="宋体"/>
                <w:szCs w:val="21"/>
                <w:highlight w:val="none"/>
              </w:rPr>
            </w:pPr>
            <w:r>
              <w:rPr>
                <w:rFonts w:hint="eastAsia" w:ascii="宋体" w:hAnsi="宋体"/>
                <w:szCs w:val="21"/>
                <w:highlight w:val="none"/>
              </w:rPr>
              <w:t>第1</w:t>
            </w:r>
            <w:r>
              <w:rPr>
                <w:rFonts w:hint="eastAsia" w:ascii="宋体" w:hAnsi="宋体"/>
                <w:szCs w:val="21"/>
                <w:highlight w:val="none"/>
                <w:lang w:val="en-US" w:eastAsia="zh-CN"/>
              </w:rPr>
              <w:t>2</w:t>
            </w:r>
            <w:r>
              <w:rPr>
                <w:rFonts w:hint="eastAsia" w:ascii="宋体" w:hAnsi="宋体"/>
                <w:szCs w:val="21"/>
                <w:highlight w:val="none"/>
              </w:rPr>
              <w:t>.2款</w:t>
            </w:r>
          </w:p>
        </w:tc>
        <w:tc>
          <w:tcPr>
            <w:tcW w:w="1742" w:type="dxa"/>
            <w:vAlign w:val="center"/>
          </w:tcPr>
          <w:p w14:paraId="42AB7071">
            <w:pPr>
              <w:adjustRightInd w:val="0"/>
              <w:snapToGrid w:val="0"/>
              <w:jc w:val="left"/>
              <w:rPr>
                <w:rFonts w:hint="eastAsia" w:ascii="宋体" w:hAnsi="宋体" w:eastAsia="宋体"/>
                <w:szCs w:val="21"/>
                <w:highlight w:val="none"/>
                <w:lang w:eastAsia="zh-CN"/>
              </w:rPr>
            </w:pPr>
            <w:r>
              <w:rPr>
                <w:rFonts w:hint="eastAsia" w:ascii="宋体" w:hAnsi="宋体"/>
                <w:szCs w:val="21"/>
                <w:highlight w:val="none"/>
              </w:rPr>
              <w:t>合同价款支付</w:t>
            </w:r>
            <w:r>
              <w:rPr>
                <w:rFonts w:hint="eastAsia" w:ascii="宋体" w:hAnsi="宋体"/>
                <w:szCs w:val="21"/>
                <w:highlight w:val="none"/>
                <w:lang w:eastAsia="zh-CN"/>
              </w:rPr>
              <w:t>时间</w:t>
            </w:r>
          </w:p>
        </w:tc>
        <w:tc>
          <w:tcPr>
            <w:tcW w:w="5170" w:type="dxa"/>
            <w:vAlign w:val="center"/>
          </w:tcPr>
          <w:p w14:paraId="477086A6">
            <w:pPr>
              <w:adjustRightInd w:val="0"/>
              <w:snapToGrid w:val="0"/>
              <w:jc w:val="left"/>
              <w:rPr>
                <w:rFonts w:ascii="宋体" w:hAnsi="宋体"/>
                <w:szCs w:val="21"/>
                <w:highlight w:val="none"/>
              </w:rPr>
            </w:pPr>
            <w:r>
              <w:rPr>
                <w:rFonts w:hint="eastAsia" w:ascii="宋体" w:hAnsi="宋体" w:cs="Times New Roman"/>
                <w:kern w:val="2"/>
                <w:sz w:val="21"/>
                <w:szCs w:val="21"/>
                <w:highlight w:val="none"/>
                <w:lang w:val="en-US" w:eastAsia="zh-CN" w:bidi="ar-SA"/>
              </w:rPr>
              <w:t>详见“技术要求和商务要求”</w:t>
            </w:r>
          </w:p>
        </w:tc>
      </w:tr>
      <w:tr w14:paraId="424A89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26D227C8">
            <w:pPr>
              <w:adjustRightInd w:val="0"/>
              <w:snapToGrid w:val="0"/>
              <w:jc w:val="center"/>
              <w:rPr>
                <w:rFonts w:hint="eastAsia" w:ascii="宋体" w:hAnsi="宋体"/>
                <w:szCs w:val="21"/>
                <w:highlight w:val="none"/>
              </w:rPr>
            </w:pPr>
            <w:r>
              <w:rPr>
                <w:rFonts w:hint="eastAsia" w:ascii="宋体" w:hAnsi="宋体"/>
                <w:szCs w:val="21"/>
                <w:highlight w:val="none"/>
              </w:rPr>
              <w:t>第二节</w:t>
            </w:r>
          </w:p>
          <w:p w14:paraId="025F71FA">
            <w:pPr>
              <w:adjustRightInd w:val="0"/>
              <w:snapToGrid w:val="0"/>
              <w:jc w:val="center"/>
              <w:rPr>
                <w:rFonts w:hint="eastAsia" w:ascii="宋体" w:hAnsi="宋体"/>
                <w:szCs w:val="21"/>
                <w:highlight w:val="none"/>
              </w:rPr>
            </w:pPr>
            <w:r>
              <w:rPr>
                <w:rFonts w:hint="eastAsia" w:ascii="宋体" w:hAnsi="宋体"/>
                <w:szCs w:val="21"/>
                <w:highlight w:val="none"/>
              </w:rPr>
              <w:t>第</w:t>
            </w:r>
            <w:r>
              <w:rPr>
                <w:rFonts w:hint="eastAsia" w:ascii="宋体" w:hAnsi="宋体"/>
                <w:szCs w:val="21"/>
                <w:highlight w:val="none"/>
                <w:lang w:val="en-US" w:eastAsia="zh-CN"/>
              </w:rPr>
              <w:t>13.2</w:t>
            </w:r>
            <w:r>
              <w:rPr>
                <w:rFonts w:hint="eastAsia" w:ascii="宋体" w:hAnsi="宋体"/>
                <w:szCs w:val="21"/>
                <w:highlight w:val="none"/>
              </w:rPr>
              <w:t>款</w:t>
            </w:r>
          </w:p>
        </w:tc>
        <w:tc>
          <w:tcPr>
            <w:tcW w:w="1742" w:type="dxa"/>
            <w:vAlign w:val="center"/>
          </w:tcPr>
          <w:p w14:paraId="54C3246C">
            <w:pPr>
              <w:adjustRightInd w:val="0"/>
              <w:snapToGrid w:val="0"/>
              <w:jc w:val="left"/>
              <w:rPr>
                <w:rFonts w:hint="default" w:ascii="宋体" w:hAnsi="宋体" w:eastAsia="宋体"/>
                <w:szCs w:val="21"/>
                <w:highlight w:val="none"/>
                <w:lang w:val="en-US" w:eastAsia="zh-CN"/>
              </w:rPr>
            </w:pPr>
            <w:r>
              <w:rPr>
                <w:rFonts w:hint="eastAsia" w:ascii="宋体" w:hAnsi="宋体"/>
                <w:szCs w:val="21"/>
                <w:highlight w:val="none"/>
                <w:lang w:val="en-US" w:eastAsia="zh-CN"/>
              </w:rPr>
              <w:t>履约保证金不予退还的情形</w:t>
            </w:r>
          </w:p>
        </w:tc>
        <w:tc>
          <w:tcPr>
            <w:tcW w:w="5170" w:type="dxa"/>
            <w:vAlign w:val="center"/>
          </w:tcPr>
          <w:p w14:paraId="7307A12B">
            <w:pPr>
              <w:adjustRightInd w:val="0"/>
              <w:snapToGrid w:val="0"/>
              <w:jc w:val="left"/>
              <w:rPr>
                <w:rFonts w:ascii="宋体" w:hAnsi="宋体"/>
                <w:szCs w:val="21"/>
                <w:highlight w:val="none"/>
              </w:rPr>
            </w:pPr>
            <w:r>
              <w:rPr>
                <w:rFonts w:hint="eastAsia" w:ascii="宋体" w:hAnsi="宋体" w:cs="Times New Roman"/>
                <w:kern w:val="2"/>
                <w:sz w:val="21"/>
                <w:szCs w:val="21"/>
                <w:highlight w:val="none"/>
                <w:lang w:val="en-US" w:eastAsia="zh-CN" w:bidi="ar-SA"/>
              </w:rPr>
              <w:t>详见“技术要求和商务要求”</w:t>
            </w:r>
          </w:p>
        </w:tc>
      </w:tr>
      <w:tr w14:paraId="63A8F7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290267F">
            <w:pPr>
              <w:adjustRightInd w:val="0"/>
              <w:snapToGrid w:val="0"/>
              <w:jc w:val="center"/>
              <w:rPr>
                <w:rFonts w:hint="eastAsia" w:ascii="宋体" w:hAnsi="宋体"/>
                <w:szCs w:val="21"/>
                <w:highlight w:val="none"/>
              </w:rPr>
            </w:pPr>
            <w:r>
              <w:rPr>
                <w:rFonts w:hint="eastAsia" w:ascii="宋体" w:hAnsi="宋体"/>
                <w:szCs w:val="21"/>
                <w:highlight w:val="none"/>
              </w:rPr>
              <w:t>第二节</w:t>
            </w:r>
          </w:p>
          <w:p w14:paraId="5D43A0B3">
            <w:pPr>
              <w:adjustRightInd w:val="0"/>
              <w:snapToGrid w:val="0"/>
              <w:jc w:val="center"/>
              <w:rPr>
                <w:rFonts w:hint="eastAsia" w:ascii="宋体" w:hAnsi="宋体"/>
                <w:szCs w:val="21"/>
                <w:highlight w:val="none"/>
              </w:rPr>
            </w:pPr>
            <w:r>
              <w:rPr>
                <w:rFonts w:hint="eastAsia" w:ascii="宋体" w:hAnsi="宋体"/>
                <w:szCs w:val="21"/>
                <w:highlight w:val="none"/>
              </w:rPr>
              <w:t>第</w:t>
            </w:r>
            <w:r>
              <w:rPr>
                <w:rFonts w:hint="eastAsia" w:ascii="宋体" w:hAnsi="宋体"/>
                <w:szCs w:val="21"/>
                <w:highlight w:val="none"/>
                <w:lang w:val="en-US" w:eastAsia="zh-CN"/>
              </w:rPr>
              <w:t>13.3</w:t>
            </w:r>
            <w:r>
              <w:rPr>
                <w:rFonts w:hint="eastAsia" w:ascii="宋体" w:hAnsi="宋体"/>
                <w:szCs w:val="21"/>
                <w:highlight w:val="none"/>
              </w:rPr>
              <w:t>款</w:t>
            </w:r>
          </w:p>
        </w:tc>
        <w:tc>
          <w:tcPr>
            <w:tcW w:w="1742" w:type="dxa"/>
            <w:vAlign w:val="center"/>
          </w:tcPr>
          <w:p w14:paraId="48ED2E27">
            <w:pPr>
              <w:adjustRightInd w:val="0"/>
              <w:snapToGrid w:val="0"/>
              <w:jc w:val="left"/>
              <w:rPr>
                <w:rFonts w:ascii="宋体" w:hAnsi="宋体"/>
                <w:szCs w:val="21"/>
                <w:highlight w:val="none"/>
              </w:rPr>
            </w:pPr>
            <w:r>
              <w:rPr>
                <w:rFonts w:hint="eastAsia" w:ascii="宋体" w:hAnsi="宋体"/>
                <w:szCs w:val="21"/>
                <w:highlight w:val="none"/>
              </w:rPr>
              <w:t>履约保证金退还时间及</w:t>
            </w:r>
            <w:r>
              <w:rPr>
                <w:rFonts w:hint="eastAsia" w:ascii="宋体" w:hAnsi="宋体"/>
                <w:szCs w:val="21"/>
                <w:highlight w:val="none"/>
                <w:lang w:eastAsia="zh-CN"/>
              </w:rPr>
              <w:t>逾期退还的</w:t>
            </w:r>
            <w:r>
              <w:rPr>
                <w:rFonts w:hint="eastAsia" w:ascii="宋体" w:hAnsi="宋体"/>
                <w:szCs w:val="21"/>
                <w:highlight w:val="none"/>
              </w:rPr>
              <w:t>违约金</w:t>
            </w:r>
          </w:p>
        </w:tc>
        <w:tc>
          <w:tcPr>
            <w:tcW w:w="5170" w:type="dxa"/>
            <w:vAlign w:val="center"/>
          </w:tcPr>
          <w:p w14:paraId="7A852EC2">
            <w:pPr>
              <w:adjustRightInd w:val="0"/>
              <w:snapToGrid w:val="0"/>
              <w:jc w:val="left"/>
              <w:rPr>
                <w:rFonts w:ascii="宋体" w:hAnsi="宋体"/>
                <w:szCs w:val="21"/>
                <w:highlight w:val="none"/>
              </w:rPr>
            </w:pPr>
            <w:r>
              <w:rPr>
                <w:rFonts w:hint="eastAsia" w:ascii="宋体" w:hAnsi="宋体" w:cs="Times New Roman"/>
                <w:kern w:val="2"/>
                <w:sz w:val="21"/>
                <w:szCs w:val="21"/>
                <w:highlight w:val="none"/>
                <w:lang w:val="en-US" w:eastAsia="zh-CN" w:bidi="ar-SA"/>
              </w:rPr>
              <w:t>详见“技术要求和商务要求”</w:t>
            </w:r>
          </w:p>
        </w:tc>
      </w:tr>
      <w:tr w14:paraId="2CE612E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0865F51F">
            <w:pPr>
              <w:adjustRightInd w:val="0"/>
              <w:snapToGrid w:val="0"/>
              <w:jc w:val="center"/>
              <w:rPr>
                <w:rFonts w:ascii="宋体" w:hAnsi="宋体"/>
                <w:szCs w:val="21"/>
                <w:highlight w:val="none"/>
              </w:rPr>
            </w:pPr>
            <w:r>
              <w:rPr>
                <w:rFonts w:hint="eastAsia" w:ascii="宋体" w:hAnsi="宋体"/>
                <w:szCs w:val="21"/>
                <w:highlight w:val="none"/>
              </w:rPr>
              <w:t>第二节</w:t>
            </w:r>
          </w:p>
          <w:p w14:paraId="5D76228B">
            <w:pPr>
              <w:adjustRightInd w:val="0"/>
              <w:snapToGrid w:val="0"/>
              <w:jc w:val="center"/>
              <w:rPr>
                <w:rFonts w:hint="eastAsia" w:ascii="宋体" w:hAnsi="宋体"/>
                <w:szCs w:val="21"/>
                <w:highlight w:val="none"/>
              </w:rPr>
            </w:pPr>
            <w:r>
              <w:rPr>
                <w:rFonts w:hint="eastAsia" w:ascii="宋体" w:hAnsi="宋体"/>
                <w:szCs w:val="21"/>
                <w:highlight w:val="none"/>
              </w:rPr>
              <w:t>第1</w:t>
            </w:r>
            <w:r>
              <w:rPr>
                <w:rFonts w:hint="eastAsia" w:ascii="宋体" w:hAnsi="宋体"/>
                <w:szCs w:val="21"/>
                <w:highlight w:val="none"/>
                <w:lang w:val="en-US" w:eastAsia="zh-CN"/>
              </w:rPr>
              <w:t>4</w:t>
            </w:r>
            <w:r>
              <w:rPr>
                <w:rFonts w:hint="eastAsia" w:ascii="宋体" w:hAnsi="宋体"/>
                <w:szCs w:val="21"/>
                <w:highlight w:val="none"/>
              </w:rPr>
              <w:t>.1（</w:t>
            </w:r>
            <w:r>
              <w:rPr>
                <w:rFonts w:hint="eastAsia" w:ascii="宋体" w:hAnsi="宋体"/>
                <w:szCs w:val="21"/>
                <w:highlight w:val="none"/>
                <w:lang w:val="en-US" w:eastAsia="zh-CN"/>
              </w:rPr>
              <w:t>3</w:t>
            </w:r>
            <w:r>
              <w:rPr>
                <w:rFonts w:hint="eastAsia" w:ascii="宋体" w:hAnsi="宋体"/>
                <w:szCs w:val="21"/>
                <w:highlight w:val="none"/>
              </w:rPr>
              <w:t>）项</w:t>
            </w:r>
          </w:p>
        </w:tc>
        <w:tc>
          <w:tcPr>
            <w:tcW w:w="1742" w:type="dxa"/>
            <w:vAlign w:val="center"/>
          </w:tcPr>
          <w:p w14:paraId="39552E76">
            <w:pPr>
              <w:adjustRightInd w:val="0"/>
              <w:snapToGrid w:val="0"/>
              <w:jc w:val="left"/>
              <w:rPr>
                <w:rFonts w:hint="eastAsia" w:ascii="宋体" w:hAnsi="宋体"/>
                <w:szCs w:val="21"/>
                <w:highlight w:val="none"/>
                <w:lang w:val="en-US" w:eastAsia="zh-CN"/>
              </w:rPr>
            </w:pPr>
            <w:r>
              <w:rPr>
                <w:rFonts w:hint="eastAsia" w:ascii="宋体" w:hAnsi="宋体"/>
                <w:szCs w:val="21"/>
                <w:highlight w:val="none"/>
                <w:lang w:val="en-US" w:eastAsia="zh-CN"/>
              </w:rPr>
              <w:t>运行监督、维修期限</w:t>
            </w:r>
          </w:p>
        </w:tc>
        <w:tc>
          <w:tcPr>
            <w:tcW w:w="5170" w:type="dxa"/>
            <w:vAlign w:val="center"/>
          </w:tcPr>
          <w:p w14:paraId="0C466C9B">
            <w:pPr>
              <w:adjustRightInd w:val="0"/>
              <w:snapToGrid w:val="0"/>
              <w:jc w:val="left"/>
              <w:rPr>
                <w:rFonts w:ascii="宋体" w:hAnsi="宋体"/>
                <w:szCs w:val="21"/>
                <w:highlight w:val="none"/>
              </w:rPr>
            </w:pPr>
            <w:r>
              <w:rPr>
                <w:rFonts w:hint="eastAsia" w:ascii="宋体" w:hAnsi="宋体" w:cs="Times New Roman"/>
                <w:kern w:val="2"/>
                <w:sz w:val="21"/>
                <w:szCs w:val="21"/>
                <w:highlight w:val="none"/>
                <w:lang w:val="en-US" w:eastAsia="zh-CN" w:bidi="ar-SA"/>
              </w:rPr>
              <w:t>详见“技术要求和商务要求”</w:t>
            </w:r>
          </w:p>
        </w:tc>
      </w:tr>
      <w:tr w14:paraId="4BA967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717B5C65">
            <w:pPr>
              <w:adjustRightInd w:val="0"/>
              <w:snapToGrid w:val="0"/>
              <w:jc w:val="center"/>
              <w:rPr>
                <w:rFonts w:ascii="宋体" w:hAnsi="宋体"/>
                <w:szCs w:val="21"/>
                <w:highlight w:val="none"/>
              </w:rPr>
            </w:pPr>
            <w:r>
              <w:rPr>
                <w:rFonts w:hint="eastAsia" w:ascii="宋体" w:hAnsi="宋体"/>
                <w:szCs w:val="21"/>
                <w:highlight w:val="none"/>
              </w:rPr>
              <w:t>第二节</w:t>
            </w:r>
          </w:p>
          <w:p w14:paraId="7A0C461B">
            <w:pPr>
              <w:adjustRightInd w:val="0"/>
              <w:snapToGrid w:val="0"/>
              <w:jc w:val="center"/>
              <w:rPr>
                <w:rFonts w:hint="eastAsia" w:ascii="宋体" w:hAnsi="宋体"/>
                <w:szCs w:val="21"/>
                <w:highlight w:val="none"/>
              </w:rPr>
            </w:pPr>
            <w:r>
              <w:rPr>
                <w:rFonts w:hint="eastAsia" w:ascii="宋体" w:hAnsi="宋体"/>
                <w:szCs w:val="21"/>
                <w:highlight w:val="none"/>
              </w:rPr>
              <w:t>第1</w:t>
            </w:r>
            <w:r>
              <w:rPr>
                <w:rFonts w:hint="eastAsia" w:ascii="宋体" w:hAnsi="宋体"/>
                <w:szCs w:val="21"/>
                <w:highlight w:val="none"/>
                <w:lang w:val="en-US" w:eastAsia="zh-CN"/>
              </w:rPr>
              <w:t>4</w:t>
            </w:r>
            <w:r>
              <w:rPr>
                <w:rFonts w:hint="eastAsia" w:ascii="宋体" w:hAnsi="宋体"/>
                <w:szCs w:val="21"/>
                <w:highlight w:val="none"/>
              </w:rPr>
              <w:t>.1（</w:t>
            </w:r>
            <w:r>
              <w:rPr>
                <w:rFonts w:hint="eastAsia" w:ascii="宋体" w:hAnsi="宋体"/>
                <w:szCs w:val="21"/>
                <w:highlight w:val="none"/>
                <w:lang w:val="en-US" w:eastAsia="zh-CN"/>
              </w:rPr>
              <w:t>5</w:t>
            </w:r>
            <w:r>
              <w:rPr>
                <w:rFonts w:hint="eastAsia" w:ascii="宋体" w:hAnsi="宋体"/>
                <w:szCs w:val="21"/>
                <w:highlight w:val="none"/>
              </w:rPr>
              <w:t>）项</w:t>
            </w:r>
          </w:p>
        </w:tc>
        <w:tc>
          <w:tcPr>
            <w:tcW w:w="1742" w:type="dxa"/>
            <w:vAlign w:val="center"/>
          </w:tcPr>
          <w:p w14:paraId="53F21BE0">
            <w:pPr>
              <w:adjustRightInd w:val="0"/>
              <w:snapToGrid w:val="0"/>
              <w:jc w:val="left"/>
              <w:rPr>
                <w:rFonts w:hint="default" w:ascii="宋体" w:hAnsi="宋体" w:eastAsia="宋体"/>
                <w:szCs w:val="21"/>
                <w:highlight w:val="none"/>
                <w:lang w:val="en-US" w:eastAsia="zh-CN"/>
              </w:rPr>
            </w:pPr>
            <w:r>
              <w:rPr>
                <w:rFonts w:hint="eastAsia" w:ascii="宋体" w:hAnsi="宋体"/>
                <w:szCs w:val="21"/>
                <w:highlight w:val="none"/>
                <w:lang w:val="en-US" w:eastAsia="zh-CN"/>
              </w:rPr>
              <w:t>货物回收的约定</w:t>
            </w:r>
          </w:p>
        </w:tc>
        <w:tc>
          <w:tcPr>
            <w:tcW w:w="5170" w:type="dxa"/>
            <w:vAlign w:val="center"/>
          </w:tcPr>
          <w:p w14:paraId="132CA912">
            <w:pPr>
              <w:adjustRightInd w:val="0"/>
              <w:snapToGrid w:val="0"/>
              <w:jc w:val="left"/>
              <w:rPr>
                <w:rFonts w:ascii="宋体" w:hAnsi="宋体"/>
                <w:szCs w:val="21"/>
                <w:highlight w:val="none"/>
              </w:rPr>
            </w:pPr>
            <w:r>
              <w:rPr>
                <w:rFonts w:hint="eastAsia" w:ascii="宋体" w:hAnsi="宋体" w:cs="Times New Roman"/>
                <w:kern w:val="2"/>
                <w:sz w:val="21"/>
                <w:szCs w:val="21"/>
                <w:highlight w:val="none"/>
                <w:lang w:val="en-US" w:eastAsia="zh-CN" w:bidi="ar-SA"/>
              </w:rPr>
              <w:t>详见“技术要求和商务要求”</w:t>
            </w:r>
          </w:p>
        </w:tc>
      </w:tr>
      <w:tr w14:paraId="6FE5E9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A7E59EE">
            <w:pPr>
              <w:adjustRightInd w:val="0"/>
              <w:snapToGrid w:val="0"/>
              <w:jc w:val="center"/>
              <w:rPr>
                <w:rFonts w:ascii="宋体" w:hAnsi="宋体"/>
                <w:szCs w:val="21"/>
                <w:highlight w:val="none"/>
              </w:rPr>
            </w:pPr>
            <w:r>
              <w:rPr>
                <w:rFonts w:hint="eastAsia" w:ascii="宋体" w:hAnsi="宋体"/>
                <w:szCs w:val="21"/>
                <w:highlight w:val="none"/>
              </w:rPr>
              <w:t>第二节</w:t>
            </w:r>
          </w:p>
          <w:p w14:paraId="445A0DEB">
            <w:pPr>
              <w:adjustRightInd w:val="0"/>
              <w:snapToGrid w:val="0"/>
              <w:jc w:val="center"/>
              <w:rPr>
                <w:rFonts w:ascii="宋体" w:hAnsi="宋体"/>
                <w:szCs w:val="21"/>
                <w:highlight w:val="none"/>
              </w:rPr>
            </w:pPr>
            <w:r>
              <w:rPr>
                <w:rFonts w:hint="eastAsia" w:ascii="宋体" w:hAnsi="宋体"/>
                <w:szCs w:val="21"/>
                <w:highlight w:val="none"/>
              </w:rPr>
              <w:t>第1</w:t>
            </w:r>
            <w:r>
              <w:rPr>
                <w:rFonts w:hint="eastAsia" w:ascii="宋体" w:hAnsi="宋体"/>
                <w:szCs w:val="21"/>
                <w:highlight w:val="none"/>
                <w:lang w:val="en-US" w:eastAsia="zh-CN"/>
              </w:rPr>
              <w:t>4</w:t>
            </w:r>
            <w:r>
              <w:rPr>
                <w:rFonts w:hint="eastAsia" w:ascii="宋体" w:hAnsi="宋体"/>
                <w:szCs w:val="21"/>
                <w:highlight w:val="none"/>
              </w:rPr>
              <w:t>.1（</w:t>
            </w:r>
            <w:r>
              <w:rPr>
                <w:rFonts w:hint="eastAsia" w:ascii="宋体" w:hAnsi="宋体"/>
                <w:szCs w:val="21"/>
                <w:highlight w:val="none"/>
                <w:lang w:val="en-US" w:eastAsia="zh-CN"/>
              </w:rPr>
              <w:t>6</w:t>
            </w:r>
            <w:r>
              <w:rPr>
                <w:rFonts w:hint="eastAsia" w:ascii="宋体" w:hAnsi="宋体"/>
                <w:szCs w:val="21"/>
                <w:highlight w:val="none"/>
              </w:rPr>
              <w:t>）项</w:t>
            </w:r>
          </w:p>
        </w:tc>
        <w:tc>
          <w:tcPr>
            <w:tcW w:w="1742" w:type="dxa"/>
            <w:vAlign w:val="center"/>
          </w:tcPr>
          <w:p w14:paraId="3ACA243D">
            <w:pPr>
              <w:adjustRightInd w:val="0"/>
              <w:snapToGrid w:val="0"/>
              <w:jc w:val="left"/>
              <w:rPr>
                <w:rFonts w:ascii="宋体" w:hAnsi="宋体"/>
                <w:szCs w:val="21"/>
                <w:highlight w:val="none"/>
              </w:rPr>
            </w:pPr>
            <w:r>
              <w:rPr>
                <w:rFonts w:hint="eastAsia" w:ascii="宋体" w:hAnsi="宋体"/>
                <w:szCs w:val="21"/>
                <w:highlight w:val="none"/>
              </w:rPr>
              <w:t>乙方提供的其他服务</w:t>
            </w:r>
          </w:p>
        </w:tc>
        <w:tc>
          <w:tcPr>
            <w:tcW w:w="5170" w:type="dxa"/>
            <w:vAlign w:val="center"/>
          </w:tcPr>
          <w:p w14:paraId="26BF0BD4">
            <w:pPr>
              <w:adjustRightInd w:val="0"/>
              <w:snapToGrid w:val="0"/>
              <w:jc w:val="left"/>
              <w:rPr>
                <w:rFonts w:ascii="宋体" w:hAnsi="宋体"/>
                <w:szCs w:val="21"/>
                <w:highlight w:val="none"/>
              </w:rPr>
            </w:pPr>
            <w:r>
              <w:rPr>
                <w:rFonts w:hint="eastAsia" w:ascii="宋体" w:hAnsi="宋体" w:cs="Times New Roman"/>
                <w:kern w:val="2"/>
                <w:sz w:val="21"/>
                <w:szCs w:val="21"/>
                <w:highlight w:val="none"/>
                <w:lang w:val="en-US" w:eastAsia="zh-CN" w:bidi="ar-SA"/>
              </w:rPr>
              <w:t>详见“技术要求和商务要求”</w:t>
            </w:r>
          </w:p>
        </w:tc>
      </w:tr>
      <w:tr w14:paraId="50510A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45CE3E6">
            <w:pPr>
              <w:adjustRightInd w:val="0"/>
              <w:snapToGrid w:val="0"/>
              <w:jc w:val="center"/>
              <w:rPr>
                <w:rFonts w:ascii="宋体" w:hAnsi="宋体"/>
                <w:szCs w:val="21"/>
                <w:highlight w:val="none"/>
              </w:rPr>
            </w:pPr>
            <w:r>
              <w:rPr>
                <w:rFonts w:hint="eastAsia" w:ascii="宋体" w:hAnsi="宋体"/>
                <w:szCs w:val="21"/>
                <w:highlight w:val="none"/>
              </w:rPr>
              <w:t>第二节</w:t>
            </w:r>
          </w:p>
          <w:p w14:paraId="407D6A15">
            <w:pPr>
              <w:adjustRightInd w:val="0"/>
              <w:snapToGrid w:val="0"/>
              <w:jc w:val="center"/>
              <w:rPr>
                <w:rFonts w:hint="default" w:ascii="宋体" w:hAnsi="宋体" w:eastAsia="宋体"/>
                <w:szCs w:val="21"/>
                <w:highlight w:val="none"/>
                <w:lang w:val="en-US" w:eastAsia="zh-CN"/>
              </w:rPr>
            </w:pPr>
            <w:r>
              <w:rPr>
                <w:rFonts w:hint="eastAsia" w:ascii="宋体" w:hAnsi="宋体"/>
                <w:szCs w:val="21"/>
                <w:highlight w:val="none"/>
              </w:rPr>
              <w:t>第1</w:t>
            </w:r>
            <w:r>
              <w:rPr>
                <w:rFonts w:hint="eastAsia" w:ascii="宋体" w:hAnsi="宋体"/>
                <w:szCs w:val="21"/>
                <w:highlight w:val="none"/>
                <w:lang w:val="en-US" w:eastAsia="zh-CN"/>
              </w:rPr>
              <w:t>5</w:t>
            </w:r>
            <w:r>
              <w:rPr>
                <w:rFonts w:hint="eastAsia" w:ascii="宋体" w:hAnsi="宋体"/>
                <w:szCs w:val="21"/>
                <w:highlight w:val="none"/>
              </w:rPr>
              <w:t>.</w:t>
            </w:r>
            <w:r>
              <w:rPr>
                <w:rFonts w:hint="eastAsia" w:ascii="宋体" w:hAnsi="宋体"/>
                <w:szCs w:val="21"/>
                <w:highlight w:val="none"/>
                <w:lang w:val="en-US" w:eastAsia="zh-CN"/>
              </w:rPr>
              <w:t>1款</w:t>
            </w:r>
          </w:p>
        </w:tc>
        <w:tc>
          <w:tcPr>
            <w:tcW w:w="1742" w:type="dxa"/>
            <w:vAlign w:val="center"/>
          </w:tcPr>
          <w:p w14:paraId="420A2011">
            <w:pPr>
              <w:adjustRightInd w:val="0"/>
              <w:snapToGrid w:val="0"/>
              <w:jc w:val="left"/>
              <w:rPr>
                <w:rFonts w:hint="eastAsia" w:ascii="宋体" w:hAnsi="宋体"/>
                <w:szCs w:val="21"/>
                <w:highlight w:val="none"/>
              </w:rPr>
            </w:pPr>
            <w:r>
              <w:rPr>
                <w:rFonts w:hint="eastAsia" w:ascii="宋体" w:hAnsi="宋体"/>
                <w:color w:val="auto"/>
                <w:szCs w:val="21"/>
                <w:highlight w:val="none"/>
                <w:lang w:eastAsia="zh-CN"/>
              </w:rPr>
              <w:t>修理、重作、更换相关具体规定</w:t>
            </w:r>
          </w:p>
        </w:tc>
        <w:tc>
          <w:tcPr>
            <w:tcW w:w="5170" w:type="dxa"/>
            <w:vAlign w:val="center"/>
          </w:tcPr>
          <w:p w14:paraId="56C70CE6">
            <w:pPr>
              <w:adjustRightInd w:val="0"/>
              <w:snapToGrid w:val="0"/>
              <w:jc w:val="left"/>
              <w:rPr>
                <w:rFonts w:ascii="宋体" w:hAnsi="宋体"/>
                <w:szCs w:val="21"/>
                <w:highlight w:val="none"/>
              </w:rPr>
            </w:pPr>
            <w:r>
              <w:rPr>
                <w:rFonts w:hint="eastAsia" w:ascii="宋体" w:hAnsi="宋体" w:cs="Times New Roman"/>
                <w:kern w:val="2"/>
                <w:sz w:val="21"/>
                <w:szCs w:val="21"/>
                <w:highlight w:val="none"/>
                <w:lang w:val="en-US" w:eastAsia="zh-CN" w:bidi="ar-SA"/>
              </w:rPr>
              <w:t>详见“技术要求和商务要求”</w:t>
            </w:r>
          </w:p>
        </w:tc>
      </w:tr>
      <w:tr w14:paraId="736301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A72AE3F">
            <w:pPr>
              <w:adjustRightInd w:val="0"/>
              <w:snapToGrid w:val="0"/>
              <w:jc w:val="center"/>
              <w:rPr>
                <w:rFonts w:ascii="宋体" w:hAnsi="宋体"/>
                <w:szCs w:val="21"/>
                <w:highlight w:val="none"/>
              </w:rPr>
            </w:pPr>
            <w:r>
              <w:rPr>
                <w:rFonts w:hint="eastAsia" w:ascii="宋体" w:hAnsi="宋体"/>
                <w:szCs w:val="21"/>
                <w:highlight w:val="none"/>
              </w:rPr>
              <w:t>第二节</w:t>
            </w:r>
          </w:p>
          <w:p w14:paraId="0837EC87">
            <w:pPr>
              <w:adjustRightInd w:val="0"/>
              <w:snapToGrid w:val="0"/>
              <w:jc w:val="center"/>
              <w:rPr>
                <w:rFonts w:ascii="宋体" w:hAnsi="宋体"/>
                <w:szCs w:val="21"/>
                <w:highlight w:val="none"/>
              </w:rPr>
            </w:pPr>
            <w:r>
              <w:rPr>
                <w:rFonts w:hint="eastAsia" w:ascii="宋体" w:hAnsi="宋体"/>
                <w:szCs w:val="21"/>
                <w:highlight w:val="none"/>
              </w:rPr>
              <w:t>第1</w:t>
            </w:r>
            <w:r>
              <w:rPr>
                <w:rFonts w:hint="eastAsia" w:ascii="宋体" w:hAnsi="宋体"/>
                <w:szCs w:val="21"/>
                <w:highlight w:val="none"/>
                <w:lang w:val="en-US" w:eastAsia="zh-CN"/>
              </w:rPr>
              <w:t>5</w:t>
            </w:r>
            <w:r>
              <w:rPr>
                <w:rFonts w:hint="eastAsia" w:ascii="宋体" w:hAnsi="宋体"/>
                <w:szCs w:val="21"/>
                <w:highlight w:val="none"/>
              </w:rPr>
              <w:t>.2（2）项</w:t>
            </w:r>
          </w:p>
        </w:tc>
        <w:tc>
          <w:tcPr>
            <w:tcW w:w="1742" w:type="dxa"/>
            <w:vAlign w:val="center"/>
          </w:tcPr>
          <w:p w14:paraId="364C1DA5">
            <w:pPr>
              <w:adjustRightInd w:val="0"/>
              <w:snapToGrid w:val="0"/>
              <w:jc w:val="left"/>
              <w:rPr>
                <w:rFonts w:ascii="宋体" w:hAnsi="宋体"/>
                <w:szCs w:val="21"/>
                <w:highlight w:val="none"/>
              </w:rPr>
            </w:pPr>
            <w:r>
              <w:rPr>
                <w:rFonts w:hint="eastAsia" w:ascii="宋体" w:hAnsi="宋体"/>
                <w:szCs w:val="21"/>
                <w:highlight w:val="none"/>
              </w:rPr>
              <w:t>迟延交货赔偿费</w:t>
            </w:r>
          </w:p>
        </w:tc>
        <w:tc>
          <w:tcPr>
            <w:tcW w:w="5170" w:type="dxa"/>
            <w:vAlign w:val="center"/>
          </w:tcPr>
          <w:p w14:paraId="55677C73">
            <w:pPr>
              <w:adjustRightInd w:val="0"/>
              <w:snapToGrid w:val="0"/>
              <w:jc w:val="left"/>
              <w:rPr>
                <w:rFonts w:ascii="宋体" w:hAnsi="宋体"/>
                <w:szCs w:val="21"/>
                <w:highlight w:val="none"/>
                <w:u w:val="single"/>
              </w:rPr>
            </w:pPr>
            <w:r>
              <w:rPr>
                <w:rFonts w:hint="eastAsia" w:ascii="宋体" w:hAnsi="宋体" w:cs="Times New Roman"/>
                <w:kern w:val="2"/>
                <w:sz w:val="21"/>
                <w:szCs w:val="21"/>
                <w:highlight w:val="none"/>
                <w:lang w:val="en-US" w:eastAsia="zh-CN" w:bidi="ar-SA"/>
              </w:rPr>
              <w:t>详见“技术要求和商务要求”</w:t>
            </w:r>
          </w:p>
        </w:tc>
      </w:tr>
      <w:tr w14:paraId="58B695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EA2A2A7">
            <w:pPr>
              <w:adjustRightInd w:val="0"/>
              <w:snapToGrid w:val="0"/>
              <w:jc w:val="center"/>
              <w:rPr>
                <w:rFonts w:ascii="宋体" w:hAnsi="宋体"/>
                <w:szCs w:val="21"/>
                <w:highlight w:val="none"/>
              </w:rPr>
            </w:pPr>
            <w:r>
              <w:rPr>
                <w:rFonts w:hint="eastAsia" w:ascii="宋体" w:hAnsi="宋体"/>
                <w:szCs w:val="21"/>
                <w:highlight w:val="none"/>
              </w:rPr>
              <w:t>第二节</w:t>
            </w:r>
          </w:p>
          <w:p w14:paraId="16FCCEC5">
            <w:pPr>
              <w:adjustRightInd w:val="0"/>
              <w:snapToGrid w:val="0"/>
              <w:jc w:val="center"/>
              <w:rPr>
                <w:rFonts w:hint="eastAsia" w:ascii="宋体" w:hAnsi="宋体"/>
                <w:szCs w:val="21"/>
                <w:highlight w:val="none"/>
              </w:rPr>
            </w:pPr>
            <w:r>
              <w:rPr>
                <w:rFonts w:hint="eastAsia" w:ascii="宋体" w:hAnsi="宋体"/>
                <w:szCs w:val="21"/>
                <w:highlight w:val="none"/>
              </w:rPr>
              <w:t>第1</w:t>
            </w:r>
            <w:r>
              <w:rPr>
                <w:rFonts w:hint="eastAsia" w:ascii="宋体" w:hAnsi="宋体"/>
                <w:szCs w:val="21"/>
                <w:highlight w:val="none"/>
                <w:lang w:val="en-US" w:eastAsia="zh-CN"/>
              </w:rPr>
              <w:t>5</w:t>
            </w:r>
            <w:r>
              <w:rPr>
                <w:rFonts w:hint="eastAsia" w:ascii="宋体" w:hAnsi="宋体"/>
                <w:szCs w:val="21"/>
                <w:highlight w:val="none"/>
              </w:rPr>
              <w:t>.</w:t>
            </w:r>
            <w:r>
              <w:rPr>
                <w:rFonts w:hint="eastAsia" w:ascii="宋体" w:hAnsi="宋体"/>
                <w:szCs w:val="21"/>
                <w:highlight w:val="none"/>
                <w:lang w:val="en-US" w:eastAsia="zh-CN"/>
              </w:rPr>
              <w:t>3款</w:t>
            </w:r>
          </w:p>
        </w:tc>
        <w:tc>
          <w:tcPr>
            <w:tcW w:w="1742" w:type="dxa"/>
            <w:vAlign w:val="center"/>
          </w:tcPr>
          <w:p w14:paraId="58AD97CE">
            <w:pPr>
              <w:adjustRightInd w:val="0"/>
              <w:snapToGrid w:val="0"/>
              <w:jc w:val="left"/>
              <w:rPr>
                <w:rFonts w:hint="eastAsia" w:ascii="宋体" w:hAnsi="宋体"/>
                <w:szCs w:val="21"/>
                <w:highlight w:val="none"/>
              </w:rPr>
            </w:pPr>
            <w:r>
              <w:rPr>
                <w:rFonts w:hint="eastAsia" w:ascii="宋体" w:hAnsi="宋体"/>
                <w:szCs w:val="21"/>
                <w:highlight w:val="none"/>
              </w:rPr>
              <w:t>逾期付款利息</w:t>
            </w:r>
          </w:p>
        </w:tc>
        <w:tc>
          <w:tcPr>
            <w:tcW w:w="5170" w:type="dxa"/>
            <w:vAlign w:val="center"/>
          </w:tcPr>
          <w:p w14:paraId="0753EE10">
            <w:pPr>
              <w:adjustRightInd w:val="0"/>
              <w:snapToGrid w:val="0"/>
              <w:jc w:val="left"/>
              <w:rPr>
                <w:rFonts w:ascii="宋体" w:hAnsi="宋体"/>
                <w:szCs w:val="21"/>
                <w:highlight w:val="none"/>
                <w:u w:val="single"/>
              </w:rPr>
            </w:pPr>
            <w:r>
              <w:rPr>
                <w:rFonts w:hint="eastAsia" w:ascii="宋体" w:hAnsi="宋体" w:cs="Times New Roman"/>
                <w:kern w:val="2"/>
                <w:sz w:val="21"/>
                <w:szCs w:val="21"/>
                <w:highlight w:val="none"/>
                <w:lang w:val="en-US" w:eastAsia="zh-CN" w:bidi="ar-SA"/>
              </w:rPr>
              <w:t>详见“技术要求和商务要求”</w:t>
            </w:r>
          </w:p>
        </w:tc>
      </w:tr>
      <w:tr w14:paraId="62B1A5F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5E0C4E14">
            <w:pPr>
              <w:adjustRightInd w:val="0"/>
              <w:snapToGrid w:val="0"/>
              <w:jc w:val="center"/>
              <w:rPr>
                <w:rFonts w:ascii="宋体" w:hAnsi="宋体"/>
                <w:szCs w:val="21"/>
                <w:highlight w:val="none"/>
              </w:rPr>
            </w:pPr>
            <w:r>
              <w:rPr>
                <w:rFonts w:hint="eastAsia" w:ascii="宋体" w:hAnsi="宋体"/>
                <w:szCs w:val="21"/>
                <w:highlight w:val="none"/>
              </w:rPr>
              <w:t>第二节</w:t>
            </w:r>
          </w:p>
          <w:p w14:paraId="1F9D37C3">
            <w:pPr>
              <w:adjustRightInd w:val="0"/>
              <w:snapToGrid w:val="0"/>
              <w:jc w:val="center"/>
              <w:rPr>
                <w:rFonts w:ascii="宋体" w:hAnsi="宋体"/>
                <w:szCs w:val="21"/>
                <w:highlight w:val="none"/>
              </w:rPr>
            </w:pPr>
            <w:r>
              <w:rPr>
                <w:rFonts w:hint="eastAsia" w:ascii="宋体" w:hAnsi="宋体"/>
                <w:szCs w:val="21"/>
                <w:highlight w:val="none"/>
              </w:rPr>
              <w:t>第1</w:t>
            </w:r>
            <w:r>
              <w:rPr>
                <w:rFonts w:hint="eastAsia" w:ascii="宋体" w:hAnsi="宋体"/>
                <w:szCs w:val="21"/>
                <w:highlight w:val="none"/>
                <w:lang w:val="en-US" w:eastAsia="zh-CN"/>
              </w:rPr>
              <w:t>5</w:t>
            </w:r>
            <w:r>
              <w:rPr>
                <w:rFonts w:hint="eastAsia" w:ascii="宋体" w:hAnsi="宋体"/>
                <w:szCs w:val="21"/>
                <w:highlight w:val="none"/>
              </w:rPr>
              <w:t>.4</w:t>
            </w:r>
            <w:r>
              <w:rPr>
                <w:rFonts w:hint="eastAsia" w:ascii="宋体" w:hAnsi="宋体"/>
                <w:szCs w:val="21"/>
                <w:highlight w:val="none"/>
                <w:lang w:val="en-US" w:eastAsia="zh-CN"/>
              </w:rPr>
              <w:t>款</w:t>
            </w:r>
          </w:p>
        </w:tc>
        <w:tc>
          <w:tcPr>
            <w:tcW w:w="1742" w:type="dxa"/>
            <w:tcBorders>
              <w:left w:val="single" w:color="auto" w:sz="2" w:space="0"/>
              <w:bottom w:val="single" w:color="auto" w:sz="2" w:space="0"/>
              <w:right w:val="single" w:color="auto" w:sz="2" w:space="0"/>
            </w:tcBorders>
            <w:vAlign w:val="center"/>
          </w:tcPr>
          <w:p w14:paraId="26D89CD2">
            <w:pPr>
              <w:adjustRightInd w:val="0"/>
              <w:snapToGrid w:val="0"/>
              <w:jc w:val="left"/>
              <w:rPr>
                <w:rFonts w:ascii="宋体" w:hAnsi="宋体"/>
                <w:szCs w:val="21"/>
                <w:highlight w:val="none"/>
              </w:rPr>
            </w:pPr>
            <w:r>
              <w:rPr>
                <w:rFonts w:hint="eastAsia" w:ascii="宋体" w:hAnsi="宋体"/>
                <w:szCs w:val="21"/>
                <w:highlight w:val="none"/>
              </w:rPr>
              <w:t>其他违约责任</w:t>
            </w:r>
          </w:p>
        </w:tc>
        <w:tc>
          <w:tcPr>
            <w:tcW w:w="5170" w:type="dxa"/>
            <w:tcBorders>
              <w:left w:val="single" w:color="auto" w:sz="2" w:space="0"/>
              <w:bottom w:val="single" w:color="auto" w:sz="2" w:space="0"/>
            </w:tcBorders>
            <w:vAlign w:val="center"/>
          </w:tcPr>
          <w:p w14:paraId="6884B44D">
            <w:pPr>
              <w:adjustRightInd w:val="0"/>
              <w:snapToGrid w:val="0"/>
              <w:jc w:val="left"/>
              <w:rPr>
                <w:rFonts w:ascii="宋体" w:hAnsi="宋体"/>
                <w:szCs w:val="21"/>
                <w:highlight w:val="none"/>
                <w:u w:val="single"/>
              </w:rPr>
            </w:pPr>
            <w:r>
              <w:rPr>
                <w:rFonts w:hint="eastAsia" w:ascii="宋体" w:hAnsi="宋体" w:cs="Times New Roman"/>
                <w:kern w:val="2"/>
                <w:sz w:val="21"/>
                <w:szCs w:val="21"/>
                <w:highlight w:val="none"/>
                <w:lang w:val="en-US" w:eastAsia="zh-CN" w:bidi="ar-SA"/>
              </w:rPr>
              <w:t>详见“技术要求和商务要求”</w:t>
            </w:r>
          </w:p>
        </w:tc>
      </w:tr>
      <w:tr w14:paraId="1570F2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096ECEB3">
            <w:pPr>
              <w:adjustRightInd w:val="0"/>
              <w:snapToGrid w:val="0"/>
              <w:jc w:val="center"/>
              <w:rPr>
                <w:rFonts w:ascii="宋体" w:hAnsi="宋体"/>
                <w:szCs w:val="21"/>
                <w:highlight w:val="none"/>
              </w:rPr>
            </w:pPr>
            <w:r>
              <w:rPr>
                <w:rFonts w:hint="eastAsia" w:ascii="宋体" w:hAnsi="宋体"/>
                <w:szCs w:val="21"/>
                <w:highlight w:val="none"/>
              </w:rPr>
              <w:t>第二节</w:t>
            </w:r>
          </w:p>
          <w:p w14:paraId="069FD8F7">
            <w:pPr>
              <w:adjustRightInd w:val="0"/>
              <w:snapToGrid w:val="0"/>
              <w:jc w:val="center"/>
              <w:rPr>
                <w:rFonts w:ascii="宋体" w:hAnsi="宋体"/>
                <w:szCs w:val="21"/>
                <w:highlight w:val="none"/>
              </w:rPr>
            </w:pPr>
            <w:r>
              <w:rPr>
                <w:rFonts w:hint="eastAsia" w:ascii="宋体" w:hAnsi="宋体"/>
                <w:szCs w:val="21"/>
                <w:highlight w:val="none"/>
              </w:rPr>
              <w:t>第</w:t>
            </w:r>
            <w:r>
              <w:rPr>
                <w:rFonts w:hint="eastAsia" w:ascii="宋体" w:hAnsi="宋体"/>
                <w:szCs w:val="21"/>
                <w:highlight w:val="none"/>
                <w:lang w:val="en-US" w:eastAsia="zh-CN"/>
              </w:rPr>
              <w:t>19</w:t>
            </w:r>
            <w:r>
              <w:rPr>
                <w:rFonts w:hint="eastAsia" w:ascii="宋体" w:hAnsi="宋体"/>
                <w:szCs w:val="21"/>
                <w:highlight w:val="none"/>
              </w:rPr>
              <w:t>.2</w:t>
            </w:r>
            <w:r>
              <w:rPr>
                <w:rFonts w:hint="eastAsia" w:ascii="宋体" w:hAnsi="宋体"/>
                <w:szCs w:val="21"/>
                <w:highlight w:val="none"/>
                <w:lang w:val="en-US" w:eastAsia="zh-CN"/>
              </w:rPr>
              <w:t>款</w:t>
            </w:r>
          </w:p>
        </w:tc>
        <w:tc>
          <w:tcPr>
            <w:tcW w:w="1742" w:type="dxa"/>
            <w:tcBorders>
              <w:top w:val="single" w:color="auto" w:sz="2" w:space="0"/>
              <w:left w:val="single" w:color="auto" w:sz="2" w:space="0"/>
              <w:right w:val="single" w:color="auto" w:sz="2" w:space="0"/>
            </w:tcBorders>
            <w:vAlign w:val="center"/>
          </w:tcPr>
          <w:p w14:paraId="588CCAC6">
            <w:pPr>
              <w:adjustRightInd w:val="0"/>
              <w:snapToGrid w:val="0"/>
              <w:jc w:val="left"/>
              <w:rPr>
                <w:rFonts w:ascii="宋体" w:hAnsi="宋体"/>
                <w:szCs w:val="21"/>
                <w:highlight w:val="none"/>
              </w:rPr>
            </w:pPr>
            <w:r>
              <w:rPr>
                <w:rFonts w:hint="eastAsia" w:ascii="宋体" w:hAnsi="宋体"/>
                <w:szCs w:val="21"/>
                <w:highlight w:val="none"/>
                <w:lang w:val="en-US" w:eastAsia="zh-CN"/>
              </w:rPr>
              <w:t>解决争议的方法</w:t>
            </w:r>
          </w:p>
        </w:tc>
        <w:tc>
          <w:tcPr>
            <w:tcW w:w="5170" w:type="dxa"/>
            <w:tcBorders>
              <w:top w:val="single" w:color="auto" w:sz="2" w:space="0"/>
              <w:left w:val="single" w:color="auto" w:sz="2" w:space="0"/>
            </w:tcBorders>
            <w:vAlign w:val="center"/>
          </w:tcPr>
          <w:p w14:paraId="7B8088BD">
            <w:pPr>
              <w:autoSpaceDE w:val="0"/>
              <w:autoSpaceDN w:val="0"/>
              <w:adjustRightInd w:val="0"/>
              <w:snapToGrid w:val="0"/>
              <w:spacing w:line="400" w:lineRule="exact"/>
              <w:jc w:val="left"/>
              <w:rPr>
                <w:rFonts w:hint="eastAsia" w:ascii="宋体" w:hAnsi="宋体" w:eastAsia="宋体" w:cs="宋体"/>
                <w:b w:val="0"/>
                <w:bCs w:val="0"/>
                <w:iCs/>
                <w:szCs w:val="21"/>
                <w:highlight w:val="none"/>
              </w:rPr>
            </w:pPr>
            <w:r>
              <w:rPr>
                <w:rFonts w:hint="eastAsia" w:ascii="宋体" w:hAnsi="宋体" w:eastAsia="宋体" w:cs="宋体"/>
                <w:b w:val="0"/>
                <w:bCs w:val="0"/>
                <w:iCs/>
                <w:szCs w:val="21"/>
                <w:highlight w:val="none"/>
              </w:rPr>
              <w:t>因本合同及合同有关事项发生的争议，按下列第</w:t>
            </w:r>
            <w:r>
              <w:rPr>
                <w:rFonts w:hint="eastAsia" w:ascii="宋体" w:hAnsi="宋体" w:eastAsia="宋体" w:cs="宋体"/>
                <w:b w:val="0"/>
                <w:bCs w:val="0"/>
                <w:iCs/>
                <w:szCs w:val="21"/>
                <w:highlight w:val="none"/>
                <w:u w:val="single"/>
              </w:rPr>
              <w:t xml:space="preserve"> </w:t>
            </w:r>
            <w:r>
              <w:rPr>
                <w:rFonts w:hint="eastAsia" w:ascii="宋体" w:hAnsi="宋体" w:cs="宋体"/>
                <w:b w:val="0"/>
                <w:bCs w:val="0"/>
                <w:iCs/>
                <w:szCs w:val="21"/>
                <w:highlight w:val="none"/>
                <w:u w:val="single"/>
                <w:lang w:val="en-US" w:eastAsia="zh-CN"/>
              </w:rPr>
              <w:t>2</w:t>
            </w:r>
            <w:r>
              <w:rPr>
                <w:rFonts w:hint="eastAsia" w:ascii="宋体" w:hAnsi="宋体" w:eastAsia="宋体" w:cs="宋体"/>
                <w:b w:val="0"/>
                <w:bCs w:val="0"/>
                <w:iCs/>
                <w:szCs w:val="21"/>
                <w:highlight w:val="none"/>
                <w:u w:val="single"/>
              </w:rPr>
              <w:t xml:space="preserve"> </w:t>
            </w:r>
            <w:r>
              <w:rPr>
                <w:rFonts w:hint="eastAsia" w:ascii="宋体" w:hAnsi="宋体" w:eastAsia="宋体" w:cs="宋体"/>
                <w:b w:val="0"/>
                <w:bCs w:val="0"/>
                <w:iCs/>
                <w:szCs w:val="21"/>
                <w:highlight w:val="none"/>
              </w:rPr>
              <w:t>种方式解决：</w:t>
            </w:r>
          </w:p>
          <w:p w14:paraId="395DA38E">
            <w:pPr>
              <w:autoSpaceDE w:val="0"/>
              <w:autoSpaceDN w:val="0"/>
              <w:adjustRightInd w:val="0"/>
              <w:snapToGrid w:val="0"/>
              <w:spacing w:line="400" w:lineRule="exact"/>
              <w:jc w:val="left"/>
              <w:rPr>
                <w:rFonts w:hint="eastAsia" w:ascii="宋体" w:hAnsi="宋体" w:eastAsia="宋体" w:cs="宋体"/>
                <w:b w:val="0"/>
                <w:bCs w:val="0"/>
                <w:iCs/>
                <w:szCs w:val="21"/>
                <w:highlight w:val="none"/>
              </w:rPr>
            </w:pPr>
            <w:r>
              <w:rPr>
                <w:rFonts w:hint="eastAsia" w:ascii="宋体" w:hAnsi="宋体" w:eastAsia="宋体" w:cs="宋体"/>
                <w:b w:val="0"/>
                <w:bCs w:val="0"/>
                <w:iCs/>
                <w:szCs w:val="21"/>
                <w:highlight w:val="none"/>
              </w:rPr>
              <w:t>（1）向</w:t>
            </w:r>
            <w:r>
              <w:rPr>
                <w:rFonts w:hint="eastAsia" w:ascii="宋体" w:hAnsi="宋体" w:eastAsia="宋体" w:cs="宋体"/>
                <w:b w:val="0"/>
                <w:bCs w:val="0"/>
                <w:iCs/>
                <w:szCs w:val="21"/>
                <w:highlight w:val="none"/>
                <w:u w:val="single"/>
              </w:rPr>
              <w:t xml:space="preserve">                    </w:t>
            </w:r>
            <w:r>
              <w:rPr>
                <w:rFonts w:hint="eastAsia" w:ascii="宋体" w:hAnsi="宋体" w:eastAsia="宋体" w:cs="宋体"/>
                <w:b w:val="0"/>
                <w:bCs w:val="0"/>
                <w:iCs/>
                <w:szCs w:val="21"/>
                <w:highlight w:val="none"/>
              </w:rPr>
              <w:t>仲裁委员会申请仲裁，仲裁地点为</w:t>
            </w:r>
            <w:r>
              <w:rPr>
                <w:rFonts w:hint="eastAsia" w:ascii="宋体" w:hAnsi="宋体" w:eastAsia="宋体" w:cs="宋体"/>
                <w:b w:val="0"/>
                <w:bCs w:val="0"/>
                <w:iCs/>
                <w:szCs w:val="21"/>
                <w:highlight w:val="none"/>
                <w:u w:val="single"/>
              </w:rPr>
              <w:t xml:space="preserve">           </w:t>
            </w:r>
            <w:r>
              <w:rPr>
                <w:rFonts w:hint="eastAsia" w:ascii="宋体" w:hAnsi="宋体" w:eastAsia="宋体" w:cs="宋体"/>
                <w:b w:val="0"/>
                <w:bCs w:val="0"/>
                <w:iCs/>
                <w:szCs w:val="21"/>
                <w:highlight w:val="none"/>
              </w:rPr>
              <w:t>；</w:t>
            </w:r>
          </w:p>
          <w:p w14:paraId="10ADE406">
            <w:pPr>
              <w:adjustRightInd w:val="0"/>
              <w:snapToGrid w:val="0"/>
              <w:ind w:firstLine="0" w:firstLineChars="0"/>
              <w:jc w:val="left"/>
              <w:rPr>
                <w:rFonts w:ascii="宋体" w:hAnsi="宋体"/>
                <w:szCs w:val="21"/>
                <w:highlight w:val="none"/>
                <w:u w:val="single"/>
              </w:rPr>
            </w:pPr>
            <w:r>
              <w:rPr>
                <w:rFonts w:hint="eastAsia" w:ascii="宋体" w:hAnsi="宋体" w:eastAsia="宋体" w:cs="宋体"/>
                <w:b w:val="0"/>
                <w:bCs w:val="0"/>
                <w:iCs/>
                <w:szCs w:val="21"/>
                <w:highlight w:val="none"/>
              </w:rPr>
              <w:t>（2）因本合同引起的或与本合同有关的任何争议，双方可通过友好协商解决。友好协商解决不成的，可向甲方所在地的人民法院提起诉讼解决。</w:t>
            </w:r>
          </w:p>
        </w:tc>
      </w:tr>
      <w:tr w14:paraId="091881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316215F5">
            <w:pPr>
              <w:adjustRightInd w:val="0"/>
              <w:snapToGrid w:val="0"/>
              <w:jc w:val="center"/>
              <w:rPr>
                <w:rFonts w:ascii="宋体" w:hAnsi="宋体"/>
                <w:szCs w:val="21"/>
                <w:highlight w:val="none"/>
              </w:rPr>
            </w:pPr>
            <w:r>
              <w:rPr>
                <w:rFonts w:hint="eastAsia" w:ascii="宋体" w:hAnsi="宋体"/>
                <w:szCs w:val="21"/>
                <w:highlight w:val="none"/>
              </w:rPr>
              <w:t>第二节</w:t>
            </w:r>
          </w:p>
          <w:p w14:paraId="33000766">
            <w:pPr>
              <w:adjustRightInd w:val="0"/>
              <w:snapToGrid w:val="0"/>
              <w:jc w:val="center"/>
              <w:rPr>
                <w:rFonts w:ascii="宋体" w:hAnsi="宋体"/>
                <w:szCs w:val="21"/>
                <w:highlight w:val="none"/>
              </w:rPr>
            </w:pPr>
            <w:r>
              <w:rPr>
                <w:rFonts w:hint="eastAsia" w:ascii="宋体" w:hAnsi="宋体"/>
                <w:szCs w:val="21"/>
                <w:highlight w:val="none"/>
              </w:rPr>
              <w:t>第2</w:t>
            </w:r>
            <w:r>
              <w:rPr>
                <w:rFonts w:hint="eastAsia" w:ascii="宋体" w:hAnsi="宋体"/>
                <w:szCs w:val="21"/>
                <w:highlight w:val="none"/>
                <w:lang w:val="en-US" w:eastAsia="zh-CN"/>
              </w:rPr>
              <w:t>3.1</w:t>
            </w:r>
            <w:r>
              <w:rPr>
                <w:rFonts w:hint="eastAsia" w:ascii="宋体" w:hAnsi="宋体"/>
                <w:szCs w:val="21"/>
                <w:highlight w:val="none"/>
                <w:lang w:eastAsia="zh-CN"/>
              </w:rPr>
              <w:t>款</w:t>
            </w:r>
          </w:p>
        </w:tc>
        <w:tc>
          <w:tcPr>
            <w:tcW w:w="1742" w:type="dxa"/>
            <w:vAlign w:val="center"/>
          </w:tcPr>
          <w:p w14:paraId="4D43C02A">
            <w:pPr>
              <w:adjustRightInd w:val="0"/>
              <w:snapToGrid w:val="0"/>
              <w:jc w:val="left"/>
              <w:rPr>
                <w:rFonts w:ascii="宋体" w:hAnsi="宋体"/>
                <w:szCs w:val="21"/>
                <w:highlight w:val="none"/>
              </w:rPr>
            </w:pPr>
            <w:r>
              <w:rPr>
                <w:rFonts w:hint="eastAsia" w:ascii="宋体" w:hAnsi="宋体"/>
                <w:bCs/>
                <w:color w:val="auto"/>
                <w:szCs w:val="21"/>
                <w:highlight w:val="none"/>
                <w:lang w:eastAsia="zh-CN"/>
              </w:rPr>
              <w:t>其他专用条款</w:t>
            </w:r>
          </w:p>
        </w:tc>
        <w:tc>
          <w:tcPr>
            <w:tcW w:w="5170" w:type="dxa"/>
            <w:vAlign w:val="center"/>
          </w:tcPr>
          <w:p w14:paraId="6EF5CF09">
            <w:pPr>
              <w:adjustRightInd w:val="0"/>
              <w:snapToGrid w:val="0"/>
              <w:jc w:val="left"/>
              <w:rPr>
                <w:rFonts w:hint="default" w:ascii="宋体" w:hAnsi="宋体" w:eastAsia="宋体"/>
                <w:szCs w:val="21"/>
                <w:highlight w:val="none"/>
                <w:lang w:val="en-US" w:eastAsia="zh-CN"/>
              </w:rPr>
            </w:pPr>
            <w:r>
              <w:rPr>
                <w:rFonts w:hint="eastAsia" w:ascii="宋体" w:hAnsi="宋体"/>
                <w:szCs w:val="21"/>
                <w:highlight w:val="none"/>
                <w:lang w:val="en-US" w:eastAsia="zh-CN"/>
              </w:rPr>
              <w:t>/</w:t>
            </w:r>
          </w:p>
        </w:tc>
      </w:tr>
    </w:tbl>
    <w:p w14:paraId="2A8C5E70">
      <w:pPr>
        <w:rPr>
          <w:highlight w:val="none"/>
        </w:rPr>
      </w:pPr>
    </w:p>
    <w:p w14:paraId="4260F121">
      <w:pPr>
        <w:rPr>
          <w:highlight w:val="none"/>
        </w:rPr>
      </w:pPr>
      <w:r>
        <w:rPr>
          <w:highlight w:val="none"/>
        </w:rPr>
        <w:br w:type="page"/>
      </w:r>
    </w:p>
    <w:p w14:paraId="2DE01E9F">
      <w:pPr>
        <w:pStyle w:val="15"/>
        <w:rPr>
          <w:rFonts w:hint="eastAsia"/>
          <w:highlight w:val="none"/>
          <w:lang w:val="en-US" w:eastAsia="zh-CN"/>
        </w:rPr>
      </w:pPr>
      <w:r>
        <w:rPr>
          <w:rFonts w:hint="eastAsia"/>
          <w:highlight w:val="none"/>
          <w:lang w:val="en-US" w:eastAsia="zh-CN"/>
        </w:rPr>
        <w:t>商务要求</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61"/>
        <w:gridCol w:w="1234"/>
        <w:gridCol w:w="6426"/>
      </w:tblGrid>
      <w:tr w14:paraId="0DBB96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tcPr>
          <w:p w14:paraId="0C346C09">
            <w:pPr>
              <w:rPr>
                <w:rFonts w:hint="eastAsia" w:eastAsia="宋体"/>
                <w:highlight w:val="none"/>
                <w:lang w:eastAsia="zh-CN"/>
              </w:rPr>
            </w:pPr>
            <w:r>
              <w:rPr>
                <w:rFonts w:hint="eastAsia"/>
                <w:highlight w:val="none"/>
                <w:lang w:eastAsia="zh-CN"/>
              </w:rPr>
              <w:t>序号</w:t>
            </w:r>
          </w:p>
        </w:tc>
        <w:tc>
          <w:tcPr>
            <w:tcW w:w="1234" w:type="dxa"/>
            <w:vAlign w:val="top"/>
          </w:tcPr>
          <w:p w14:paraId="07E1E0E4">
            <w:pPr>
              <w:jc w:val="center"/>
              <w:rPr>
                <w:highlight w:val="none"/>
              </w:rPr>
            </w:pPr>
            <w:r>
              <w:rPr>
                <w:highlight w:val="none"/>
              </w:rPr>
              <w:t>内容明细</w:t>
            </w:r>
          </w:p>
        </w:tc>
        <w:tc>
          <w:tcPr>
            <w:tcW w:w="6426" w:type="dxa"/>
            <w:vAlign w:val="top"/>
          </w:tcPr>
          <w:p w14:paraId="4130D53E">
            <w:pPr>
              <w:jc w:val="center"/>
              <w:rPr>
                <w:highlight w:val="none"/>
              </w:rPr>
            </w:pPr>
            <w:r>
              <w:rPr>
                <w:highlight w:val="none"/>
              </w:rPr>
              <w:t>内容说明</w:t>
            </w:r>
          </w:p>
        </w:tc>
      </w:tr>
      <w:tr w14:paraId="6A3F04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tcPr>
          <w:p w14:paraId="2F30FED2">
            <w:pPr>
              <w:rPr>
                <w:rFonts w:hint="eastAsia" w:eastAsia="宋体"/>
                <w:highlight w:val="none"/>
                <w:lang w:val="en-US" w:eastAsia="zh-CN"/>
              </w:rPr>
            </w:pPr>
            <w:r>
              <w:rPr>
                <w:rFonts w:hint="eastAsia"/>
                <w:highlight w:val="none"/>
                <w:lang w:val="en-US" w:eastAsia="zh-CN"/>
              </w:rPr>
              <w:t>1</w:t>
            </w:r>
          </w:p>
        </w:tc>
        <w:tc>
          <w:tcPr>
            <w:tcW w:w="1234" w:type="dxa"/>
          </w:tcPr>
          <w:p w14:paraId="5E75DD0F">
            <w:pPr>
              <w:rPr>
                <w:highlight w:val="none"/>
              </w:rPr>
            </w:pPr>
            <w:r>
              <w:rPr>
                <w:highlight w:val="none"/>
              </w:rPr>
              <w:t>标的提供的时间</w:t>
            </w:r>
          </w:p>
        </w:tc>
        <w:tc>
          <w:tcPr>
            <w:tcW w:w="6426" w:type="dxa"/>
          </w:tcPr>
          <w:p w14:paraId="55875911">
            <w:pPr>
              <w:rPr>
                <w:highlight w:val="none"/>
              </w:rPr>
            </w:pPr>
            <w:r>
              <w:rPr>
                <w:rFonts w:hint="eastAsia"/>
                <w:highlight w:val="none"/>
                <w:lang w:eastAsia="zh-CN"/>
              </w:rPr>
              <w:t>乙方在接到甲方的供货通知后的60个日历天内完成供货、安装调试，并验收合格后交付甲方正常使用。</w:t>
            </w:r>
          </w:p>
        </w:tc>
      </w:tr>
      <w:tr w14:paraId="299B19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tcPr>
          <w:p w14:paraId="7B38D12F">
            <w:pPr>
              <w:rPr>
                <w:rFonts w:hint="eastAsia" w:eastAsia="宋体"/>
                <w:highlight w:val="none"/>
                <w:lang w:val="en-US" w:eastAsia="zh-CN"/>
              </w:rPr>
            </w:pPr>
            <w:r>
              <w:rPr>
                <w:rFonts w:hint="eastAsia"/>
                <w:highlight w:val="none"/>
                <w:lang w:val="en-US" w:eastAsia="zh-CN"/>
              </w:rPr>
              <w:t>2</w:t>
            </w:r>
          </w:p>
        </w:tc>
        <w:tc>
          <w:tcPr>
            <w:tcW w:w="1234" w:type="dxa"/>
          </w:tcPr>
          <w:p w14:paraId="45810FDB">
            <w:pPr>
              <w:rPr>
                <w:highlight w:val="none"/>
              </w:rPr>
            </w:pPr>
            <w:r>
              <w:rPr>
                <w:highlight w:val="none"/>
              </w:rPr>
              <w:t>标的提供的地点</w:t>
            </w:r>
          </w:p>
        </w:tc>
        <w:tc>
          <w:tcPr>
            <w:tcW w:w="6426" w:type="dxa"/>
          </w:tcPr>
          <w:p w14:paraId="4A7B1688">
            <w:pPr>
              <w:rPr>
                <w:highlight w:val="none"/>
              </w:rPr>
            </w:pPr>
            <w:r>
              <w:rPr>
                <w:rFonts w:hint="eastAsia"/>
                <w:highlight w:val="none"/>
                <w:lang w:eastAsia="zh-CN"/>
              </w:rPr>
              <w:t>佛山市三水区新城医院</w:t>
            </w:r>
            <w:r>
              <w:rPr>
                <w:rFonts w:hint="eastAsia"/>
                <w:highlight w:val="none"/>
                <w:lang w:val="en-US" w:eastAsia="zh-CN"/>
              </w:rPr>
              <w:t>内</w:t>
            </w:r>
            <w:r>
              <w:rPr>
                <w:highlight w:val="none"/>
              </w:rPr>
              <w:t>（</w:t>
            </w:r>
            <w:r>
              <w:rPr>
                <w:rFonts w:hint="eastAsia"/>
                <w:highlight w:val="none"/>
                <w:lang w:eastAsia="zh-CN"/>
              </w:rPr>
              <w:t>甲方</w:t>
            </w:r>
            <w:r>
              <w:rPr>
                <w:highlight w:val="none"/>
              </w:rPr>
              <w:t>指定地点）。</w:t>
            </w:r>
          </w:p>
        </w:tc>
      </w:tr>
      <w:tr w14:paraId="5C7EDE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tcPr>
          <w:p w14:paraId="4D77E754">
            <w:pPr>
              <w:rPr>
                <w:rFonts w:hint="eastAsia" w:eastAsia="宋体"/>
                <w:highlight w:val="none"/>
                <w:lang w:val="en-US" w:eastAsia="zh-CN"/>
              </w:rPr>
            </w:pPr>
            <w:r>
              <w:rPr>
                <w:rFonts w:hint="eastAsia"/>
                <w:highlight w:val="none"/>
                <w:lang w:val="en-US" w:eastAsia="zh-CN"/>
              </w:rPr>
              <w:t>3</w:t>
            </w:r>
          </w:p>
        </w:tc>
        <w:tc>
          <w:tcPr>
            <w:tcW w:w="1234" w:type="dxa"/>
          </w:tcPr>
          <w:p w14:paraId="6D279115">
            <w:pPr>
              <w:rPr>
                <w:highlight w:val="none"/>
              </w:rPr>
            </w:pPr>
            <w:r>
              <w:rPr>
                <w:highlight w:val="none"/>
              </w:rPr>
              <w:t>付款方式</w:t>
            </w:r>
          </w:p>
        </w:tc>
        <w:tc>
          <w:tcPr>
            <w:tcW w:w="6426" w:type="dxa"/>
          </w:tcPr>
          <w:p w14:paraId="27637463">
            <w:pPr>
              <w:rPr>
                <w:rFonts w:hint="eastAsia"/>
                <w:highlight w:val="none"/>
              </w:rPr>
            </w:pPr>
            <w:r>
              <w:rPr>
                <w:rFonts w:hint="eastAsia"/>
                <w:highlight w:val="none"/>
                <w:lang w:val="en-US" w:eastAsia="zh-CN"/>
              </w:rPr>
              <w:t>1、合同签订后，乙方应向甲方提交合同价30%的预付款担保。甲方自收到预付款担保之日起，甲方应在10个工作日（乙方若是中小企业则5个工作日内）内向乙方支付合同价的30%作为预付款。</w:t>
            </w:r>
          </w:p>
          <w:p w14:paraId="1F71E7AD">
            <w:pPr>
              <w:rPr>
                <w:rFonts w:hint="eastAsia"/>
                <w:highlight w:val="none"/>
              </w:rPr>
            </w:pPr>
            <w:r>
              <w:rPr>
                <w:rFonts w:hint="eastAsia"/>
                <w:highlight w:val="none"/>
                <w:lang w:val="en-US" w:eastAsia="zh-CN"/>
              </w:rPr>
              <w:t>2、全部货物送达安装现场并安装调试完毕后10个工作日（乙方若是中小企业则15天内）内，甲方向乙方应支付至合同价的90%。乙方同时向甲方申请解除预付款担保。</w:t>
            </w:r>
          </w:p>
          <w:p w14:paraId="6B2E15B8">
            <w:pPr>
              <w:rPr>
                <w:rFonts w:hint="eastAsia"/>
                <w:highlight w:val="none"/>
                <w:lang w:val="en-US" w:eastAsia="zh-CN"/>
              </w:rPr>
            </w:pPr>
            <w:r>
              <w:rPr>
                <w:rFonts w:hint="eastAsia"/>
                <w:highlight w:val="none"/>
                <w:lang w:val="en-US" w:eastAsia="zh-CN"/>
              </w:rPr>
              <w:t>3、项目验收合格且移交满12个月后，乙方提交支付申请后20天内，甲方向乙方支付结算金额的10%。</w:t>
            </w:r>
          </w:p>
          <w:p w14:paraId="00737B0B">
            <w:pPr>
              <w:rPr>
                <w:rFonts w:hint="eastAsia"/>
                <w:highlight w:val="none"/>
                <w:lang w:val="en-US" w:eastAsia="zh-CN"/>
              </w:rPr>
            </w:pPr>
            <w:r>
              <w:rPr>
                <w:rFonts w:hint="eastAsia"/>
                <w:highlight w:val="none"/>
                <w:lang w:val="en-US" w:eastAsia="zh-CN"/>
              </w:rPr>
              <w:t>4、上述款项均不计算利息。乙方应严格按税收政策规定，在收取款项时，向甲方提供税款缴纳凭证</w:t>
            </w:r>
            <w:r>
              <w:rPr>
                <w:rFonts w:hint="eastAsia"/>
                <w:highlight w:val="none"/>
                <w:lang w:eastAsia="zh-CN"/>
              </w:rPr>
              <w:t>，</w:t>
            </w:r>
            <w:r>
              <w:rPr>
                <w:rFonts w:hint="eastAsia"/>
                <w:highlight w:val="none"/>
              </w:rPr>
              <w:t>否则</w:t>
            </w:r>
            <w:r>
              <w:rPr>
                <w:rFonts w:hint="eastAsia"/>
                <w:highlight w:val="none"/>
                <w:lang w:eastAsia="zh-CN"/>
              </w:rPr>
              <w:t>甲方</w:t>
            </w:r>
            <w:r>
              <w:rPr>
                <w:rFonts w:hint="eastAsia"/>
                <w:highlight w:val="none"/>
              </w:rPr>
              <w:t>有权顺延付款时间</w:t>
            </w:r>
            <w:r>
              <w:rPr>
                <w:rFonts w:hint="eastAsia"/>
                <w:highlight w:val="none"/>
                <w:lang w:val="en-US" w:eastAsia="zh-CN"/>
              </w:rPr>
              <w:t>。</w:t>
            </w:r>
          </w:p>
          <w:p w14:paraId="4A18861D">
            <w:pPr>
              <w:rPr>
                <w:highlight w:val="none"/>
              </w:rPr>
            </w:pPr>
            <w:r>
              <w:rPr>
                <w:rFonts w:hint="eastAsia"/>
                <w:highlight w:val="none"/>
                <w:lang w:val="en-US" w:eastAsia="zh-CN"/>
              </w:rPr>
              <w:t>5、本项目预付款须专款专用于本项目，不得挪用于其他项目或其他事项,否则属于乙方违约。若因乙方出现挪用预付款的违约行为，甲方有权直接启用预付款保函或在进度款项中予以扣回预付款。由此导致甲方损失的，乙方需赔偿甲方的一切损失。</w:t>
            </w:r>
          </w:p>
        </w:tc>
      </w:tr>
      <w:tr w14:paraId="664C25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tcPr>
          <w:p w14:paraId="50A84B5E">
            <w:pPr>
              <w:rPr>
                <w:rFonts w:hint="eastAsia" w:eastAsia="宋体"/>
                <w:highlight w:val="none"/>
                <w:lang w:val="en-US" w:eastAsia="zh-CN"/>
              </w:rPr>
            </w:pPr>
            <w:r>
              <w:rPr>
                <w:rFonts w:hint="eastAsia"/>
                <w:highlight w:val="none"/>
                <w:lang w:val="en-US" w:eastAsia="zh-CN"/>
              </w:rPr>
              <w:t>4</w:t>
            </w:r>
          </w:p>
        </w:tc>
        <w:tc>
          <w:tcPr>
            <w:tcW w:w="1234" w:type="dxa"/>
          </w:tcPr>
          <w:p w14:paraId="35D3B495">
            <w:pPr>
              <w:rPr>
                <w:highlight w:val="none"/>
              </w:rPr>
            </w:pPr>
            <w:r>
              <w:rPr>
                <w:highlight w:val="none"/>
              </w:rPr>
              <w:t>履约保证金</w:t>
            </w:r>
          </w:p>
        </w:tc>
        <w:tc>
          <w:tcPr>
            <w:tcW w:w="6426" w:type="dxa"/>
          </w:tcPr>
          <w:p w14:paraId="5BBA844C">
            <w:pPr>
              <w:rPr>
                <w:rFonts w:hint="eastAsia" w:eastAsiaTheme="minorEastAsia"/>
                <w:highlight w:val="none"/>
                <w:lang w:eastAsia="zh-CN"/>
              </w:rPr>
            </w:pPr>
            <w:r>
              <w:rPr>
                <w:rFonts w:hint="eastAsia"/>
                <w:highlight w:val="none"/>
                <w:lang w:val="en-US" w:eastAsia="zh-CN"/>
              </w:rPr>
              <w:t>不收取</w:t>
            </w:r>
          </w:p>
        </w:tc>
      </w:tr>
      <w:tr w14:paraId="5BD589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tcPr>
          <w:p w14:paraId="1A584D48">
            <w:pPr>
              <w:rPr>
                <w:rFonts w:hint="eastAsia" w:eastAsia="宋体"/>
                <w:highlight w:val="none"/>
                <w:lang w:val="en-US" w:eastAsia="zh-CN"/>
              </w:rPr>
            </w:pPr>
            <w:r>
              <w:rPr>
                <w:rFonts w:hint="eastAsia"/>
                <w:highlight w:val="none"/>
                <w:lang w:val="en-US" w:eastAsia="zh-CN"/>
              </w:rPr>
              <w:t>5</w:t>
            </w:r>
          </w:p>
        </w:tc>
        <w:tc>
          <w:tcPr>
            <w:tcW w:w="1234" w:type="dxa"/>
          </w:tcPr>
          <w:p w14:paraId="2F00B751">
            <w:pPr>
              <w:rPr>
                <w:highlight w:val="none"/>
              </w:rPr>
            </w:pPr>
            <w:r>
              <w:rPr>
                <w:highlight w:val="none"/>
              </w:rPr>
              <w:t>其他</w:t>
            </w:r>
          </w:p>
        </w:tc>
        <w:tc>
          <w:tcPr>
            <w:tcW w:w="6426" w:type="dxa"/>
          </w:tcPr>
          <w:p w14:paraId="2DE79B99">
            <w:pPr>
              <w:rPr>
                <w:highlight w:val="none"/>
              </w:rPr>
            </w:pPr>
            <w:r>
              <w:rPr>
                <w:highlight w:val="none"/>
              </w:rPr>
              <w:t>支付方式补充，</w:t>
            </w:r>
          </w:p>
          <w:p w14:paraId="46B5BF80">
            <w:pPr>
              <w:rPr>
                <w:rFonts w:hint="eastAsia"/>
                <w:highlight w:val="none"/>
              </w:rPr>
            </w:pPr>
            <w:r>
              <w:rPr>
                <w:rFonts w:hint="eastAsia"/>
                <w:highlight w:val="none"/>
              </w:rPr>
              <w:t>1、</w:t>
            </w:r>
            <w:r>
              <w:rPr>
                <w:rFonts w:hint="eastAsia"/>
                <w:highlight w:val="none"/>
                <w:lang w:eastAsia="zh-CN"/>
              </w:rPr>
              <w:t>乙方</w:t>
            </w:r>
            <w:r>
              <w:rPr>
                <w:rFonts w:hint="eastAsia"/>
                <w:highlight w:val="none"/>
              </w:rPr>
              <w:t>每次提交支付申请前，须向</w:t>
            </w:r>
            <w:r>
              <w:rPr>
                <w:rFonts w:hint="eastAsia"/>
                <w:highlight w:val="none"/>
                <w:lang w:eastAsia="zh-CN"/>
              </w:rPr>
              <w:t>甲方</w:t>
            </w:r>
            <w:r>
              <w:rPr>
                <w:rFonts w:hint="eastAsia"/>
                <w:highlight w:val="none"/>
              </w:rPr>
              <w:t>提供真实有效的发票；</w:t>
            </w:r>
          </w:p>
          <w:p w14:paraId="369BFBBB">
            <w:pPr>
              <w:rPr>
                <w:rFonts w:hint="eastAsia"/>
                <w:highlight w:val="none"/>
              </w:rPr>
            </w:pPr>
            <w:r>
              <w:rPr>
                <w:rFonts w:hint="eastAsia"/>
                <w:highlight w:val="none"/>
              </w:rPr>
              <w:t>2、款项以转账方式转入</w:t>
            </w:r>
            <w:r>
              <w:rPr>
                <w:rFonts w:hint="eastAsia"/>
                <w:highlight w:val="none"/>
                <w:lang w:eastAsia="zh-CN"/>
              </w:rPr>
              <w:t>乙方</w:t>
            </w:r>
            <w:r>
              <w:rPr>
                <w:rFonts w:hint="eastAsia"/>
                <w:highlight w:val="none"/>
              </w:rPr>
              <w:t>的银行账户；</w:t>
            </w:r>
          </w:p>
          <w:p w14:paraId="40C079C7">
            <w:pPr>
              <w:rPr>
                <w:rFonts w:hint="eastAsia"/>
                <w:highlight w:val="none"/>
              </w:rPr>
            </w:pPr>
            <w:r>
              <w:rPr>
                <w:rFonts w:hint="eastAsia"/>
                <w:highlight w:val="none"/>
              </w:rPr>
              <w:t>3、收款方、出具发票方、合同</w:t>
            </w:r>
            <w:r>
              <w:rPr>
                <w:rFonts w:hint="eastAsia"/>
                <w:highlight w:val="none"/>
                <w:lang w:eastAsia="zh-CN"/>
              </w:rPr>
              <w:t>乙方</w:t>
            </w:r>
            <w:r>
              <w:rPr>
                <w:rFonts w:hint="eastAsia"/>
                <w:highlight w:val="none"/>
              </w:rPr>
              <w:t>均必须与</w:t>
            </w:r>
            <w:r>
              <w:rPr>
                <w:rFonts w:hint="eastAsia"/>
                <w:highlight w:val="none"/>
                <w:lang w:eastAsia="zh-CN"/>
              </w:rPr>
              <w:t>乙方</w:t>
            </w:r>
            <w:r>
              <w:rPr>
                <w:rFonts w:hint="eastAsia"/>
                <w:highlight w:val="none"/>
              </w:rPr>
              <w:t>名称一致。</w:t>
            </w:r>
          </w:p>
          <w:p w14:paraId="64752FF1">
            <w:pPr>
              <w:rPr>
                <w:rFonts w:hint="eastAsia"/>
                <w:highlight w:val="none"/>
              </w:rPr>
            </w:pPr>
            <w:r>
              <w:rPr>
                <w:rFonts w:hint="eastAsia"/>
                <w:highlight w:val="none"/>
                <w:lang w:val="en-US" w:eastAsia="zh-CN"/>
              </w:rPr>
              <w:t>4</w:t>
            </w:r>
            <w:r>
              <w:rPr>
                <w:rFonts w:hint="eastAsia"/>
                <w:highlight w:val="none"/>
              </w:rPr>
              <w:t>、因</w:t>
            </w:r>
            <w:r>
              <w:rPr>
                <w:rFonts w:hint="eastAsia"/>
                <w:highlight w:val="none"/>
                <w:lang w:eastAsia="zh-CN"/>
              </w:rPr>
              <w:t>甲方</w:t>
            </w:r>
            <w:r>
              <w:rPr>
                <w:rFonts w:hint="eastAsia"/>
                <w:highlight w:val="none"/>
              </w:rPr>
              <w:t>使用的是财政资金，</w:t>
            </w:r>
            <w:r>
              <w:rPr>
                <w:rFonts w:hint="eastAsia"/>
                <w:highlight w:val="none"/>
                <w:lang w:eastAsia="zh-CN"/>
              </w:rPr>
              <w:t>甲方</w:t>
            </w:r>
            <w:r>
              <w:rPr>
                <w:rFonts w:hint="eastAsia"/>
                <w:highlight w:val="none"/>
              </w:rPr>
              <w:t>在规定时间内向政府采购支付部门提出办理财政支付申请手续即视为</w:t>
            </w:r>
            <w:r>
              <w:rPr>
                <w:rFonts w:hint="eastAsia"/>
                <w:highlight w:val="none"/>
                <w:lang w:eastAsia="zh-CN"/>
              </w:rPr>
              <w:t>甲方</w:t>
            </w:r>
            <w:r>
              <w:rPr>
                <w:rFonts w:hint="eastAsia"/>
                <w:highlight w:val="none"/>
              </w:rPr>
              <w:t>已经按期支付。</w:t>
            </w:r>
          </w:p>
          <w:p w14:paraId="67A3E6D1">
            <w:pPr>
              <w:rPr>
                <w:rFonts w:hint="eastAsia" w:ascii="仿宋" w:hAnsi="仿宋" w:eastAsia="仿宋" w:cs="仿宋"/>
                <w:highlight w:val="none"/>
                <w:lang w:val="en-US" w:eastAsia="zh-CN"/>
              </w:rPr>
            </w:pPr>
            <w:r>
              <w:rPr>
                <w:rFonts w:hint="eastAsia"/>
                <w:highlight w:val="none"/>
                <w:lang w:val="en-US" w:eastAsia="zh-CN"/>
              </w:rPr>
              <w:t>预付款担保</w:t>
            </w:r>
          </w:p>
          <w:p w14:paraId="675481EF">
            <w:pPr>
              <w:jc w:val="both"/>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（1）乙方应在甲方支付预付款7天前提供预付款担保； </w:t>
            </w:r>
          </w:p>
          <w:p w14:paraId="6570A3AA">
            <w:pPr>
              <w:jc w:val="both"/>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（2）预付款担保可采用支票、汇票、本票或者金融机构、担保机构出具的保函等非现金形式提交； </w:t>
            </w:r>
          </w:p>
          <w:p w14:paraId="56E644A6">
            <w:pPr>
              <w:jc w:val="both"/>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（3）预付款担保有效期：至合同范围内家具安装调试结束； </w:t>
            </w:r>
          </w:p>
          <w:p w14:paraId="38DAC8BB">
            <w:pPr>
              <w:rPr>
                <w:rFonts w:hint="eastAsia" w:ascii="仿宋" w:hAnsi="仿宋" w:eastAsia="仿宋" w:cs="仿宋"/>
                <w:highlight w:val="none"/>
                <w:lang w:val="en-US" w:eastAsia="zh-CN"/>
              </w:rPr>
            </w:pPr>
            <w:r>
              <w:rPr>
                <w:rFonts w:hint="eastAsia" w:ascii="宋体" w:hAnsi="宋体" w:eastAsia="宋体" w:cs="宋体"/>
                <w:highlight w:val="none"/>
                <w:lang w:val="en-US" w:eastAsia="zh-CN"/>
              </w:rPr>
              <w:t>（4）预付款担保退还方式、时间、条件：合同范围内家具安装调试结束后不计利息退还。</w:t>
            </w:r>
          </w:p>
        </w:tc>
      </w:tr>
      <w:tr w14:paraId="2BD94A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tcPr>
          <w:p w14:paraId="60EC4ED3">
            <w:pPr>
              <w:rPr>
                <w:rFonts w:hint="default"/>
                <w:highlight w:val="none"/>
                <w:lang w:val="en-US" w:eastAsia="zh-CN"/>
              </w:rPr>
            </w:pPr>
            <w:r>
              <w:rPr>
                <w:rFonts w:hint="eastAsia"/>
                <w:highlight w:val="none"/>
                <w:lang w:val="en-US" w:eastAsia="zh-CN"/>
              </w:rPr>
              <w:t>6</w:t>
            </w:r>
          </w:p>
        </w:tc>
        <w:tc>
          <w:tcPr>
            <w:tcW w:w="1234" w:type="dxa"/>
            <w:vAlign w:val="top"/>
          </w:tcPr>
          <w:p w14:paraId="4AF1E465">
            <w:pPr>
              <w:jc w:val="center"/>
              <w:rPr>
                <w:highlight w:val="none"/>
              </w:rPr>
            </w:pPr>
            <w:r>
              <w:rPr>
                <w:rFonts w:hint="eastAsia"/>
                <w:highlight w:val="none"/>
                <w:lang w:val="en-US" w:eastAsia="zh-CN"/>
              </w:rPr>
              <w:t>合同金额包含内容</w:t>
            </w:r>
          </w:p>
        </w:tc>
        <w:tc>
          <w:tcPr>
            <w:tcW w:w="6426" w:type="dxa"/>
            <w:vAlign w:val="top"/>
          </w:tcPr>
          <w:p w14:paraId="6E9B236D">
            <w:pPr>
              <w:jc w:val="left"/>
              <w:rPr>
                <w:rFonts w:hint="eastAsia"/>
                <w:highlight w:val="none"/>
              </w:rPr>
            </w:pPr>
            <w:r>
              <w:rPr>
                <w:rFonts w:hint="eastAsia"/>
                <w:highlight w:val="none"/>
              </w:rPr>
              <w:t>（一）包括货物及零配件、备品备件、标配工具、运输费、装卸费、保险费、仓储费、安装费、调试费、材料费、技术服务费（含深化设计费、联络费、培训费、计量校准费用）、抽样检查费、保修期内的售后服务、备品备件费、与该项目实施交叉作业的其他单位之间发生的配合费、各种税费及相关法律规定的必须的检验、验收等伴随服务及合同实施过程中的不可预见所产生的全部费用。</w:t>
            </w:r>
          </w:p>
          <w:p w14:paraId="488EA058">
            <w:pPr>
              <w:jc w:val="left"/>
              <w:rPr>
                <w:rFonts w:hint="eastAsia"/>
                <w:highlight w:val="none"/>
              </w:rPr>
            </w:pPr>
            <w:r>
              <w:rPr>
                <w:rFonts w:hint="eastAsia"/>
                <w:highlight w:val="none"/>
              </w:rPr>
              <w:t>（二）在本项目实施期间的一切可能产生的费用，在项目的实施过程中，</w:t>
            </w:r>
            <w:r>
              <w:rPr>
                <w:rFonts w:hint="eastAsia"/>
                <w:highlight w:val="none"/>
                <w:lang w:eastAsia="zh-CN"/>
              </w:rPr>
              <w:t>甲方</w:t>
            </w:r>
            <w:r>
              <w:rPr>
                <w:rFonts w:hint="eastAsia"/>
                <w:highlight w:val="none"/>
              </w:rPr>
              <w:t>除了支付合同规定的款项外，一切合同规定外的费用将拒绝支付。</w:t>
            </w:r>
          </w:p>
          <w:p w14:paraId="110152E2">
            <w:pPr>
              <w:jc w:val="left"/>
              <w:rPr>
                <w:rFonts w:hint="eastAsia"/>
                <w:highlight w:val="none"/>
              </w:rPr>
            </w:pPr>
            <w:r>
              <w:rPr>
                <w:rFonts w:hint="eastAsia"/>
                <w:highlight w:val="none"/>
              </w:rPr>
              <w:t>（三）</w:t>
            </w:r>
            <w:r>
              <w:rPr>
                <w:rFonts w:hint="eastAsia"/>
                <w:highlight w:val="none"/>
                <w:lang w:eastAsia="zh-CN"/>
              </w:rPr>
              <w:t>乙方</w:t>
            </w:r>
            <w:r>
              <w:rPr>
                <w:rFonts w:hint="eastAsia"/>
                <w:highlight w:val="none"/>
              </w:rPr>
              <w:t>在报价中应综合考虑合同范围内所有的家具布置安装后，达到最终使用条件所需通电、通水使用终端配备的费用，</w:t>
            </w:r>
            <w:r>
              <w:rPr>
                <w:rFonts w:hint="eastAsia"/>
                <w:highlight w:val="none"/>
                <w:lang w:eastAsia="zh-CN"/>
              </w:rPr>
              <w:t>甲方</w:t>
            </w:r>
            <w:r>
              <w:rPr>
                <w:rFonts w:hint="eastAsia"/>
                <w:highlight w:val="none"/>
              </w:rPr>
              <w:t>不再另行支付。</w:t>
            </w:r>
          </w:p>
          <w:p w14:paraId="697AF99B">
            <w:pPr>
              <w:jc w:val="left"/>
              <w:rPr>
                <w:rFonts w:hint="eastAsia" w:ascii="宋体" w:hAnsi="宋体" w:eastAsia="宋体" w:cs="宋体"/>
                <w:highlight w:val="none"/>
                <w:lang w:val="en-US" w:eastAsia="zh-CN"/>
              </w:rPr>
            </w:pPr>
            <w:r>
              <w:rPr>
                <w:rFonts w:hint="eastAsia"/>
                <w:highlight w:val="none"/>
              </w:rPr>
              <w:t>（四）如因内部功能区调整，将根据实际情况对家具品名、数量、规格大小进行调整，按调整的规格、数量及报价明细修正总价，但调整后的总价不可超过合同金额。</w:t>
            </w:r>
          </w:p>
        </w:tc>
      </w:tr>
      <w:tr w14:paraId="08CA05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tcPr>
          <w:p w14:paraId="1EB69778">
            <w:pPr>
              <w:rPr>
                <w:rFonts w:hint="default"/>
                <w:highlight w:val="none"/>
                <w:lang w:val="en-US" w:eastAsia="zh-CN"/>
              </w:rPr>
            </w:pPr>
            <w:r>
              <w:rPr>
                <w:rFonts w:hint="eastAsia"/>
                <w:highlight w:val="none"/>
                <w:lang w:val="en-US" w:eastAsia="zh-CN"/>
              </w:rPr>
              <w:t>8</w:t>
            </w:r>
          </w:p>
        </w:tc>
        <w:tc>
          <w:tcPr>
            <w:tcW w:w="1234" w:type="dxa"/>
            <w:vAlign w:val="top"/>
          </w:tcPr>
          <w:p w14:paraId="3F774DB3">
            <w:pPr>
              <w:jc w:val="center"/>
              <w:rPr>
                <w:highlight w:val="none"/>
              </w:rPr>
            </w:pPr>
            <w:r>
              <w:rPr>
                <w:rFonts w:hint="eastAsia"/>
                <w:highlight w:val="none"/>
                <w:lang w:val="en-US" w:eastAsia="zh-CN"/>
              </w:rPr>
              <w:t>货物及交货要求</w:t>
            </w:r>
          </w:p>
        </w:tc>
        <w:tc>
          <w:tcPr>
            <w:tcW w:w="6426" w:type="dxa"/>
            <w:vAlign w:val="top"/>
          </w:tcPr>
          <w:p w14:paraId="1A95E143">
            <w:pPr>
              <w:pStyle w:val="5"/>
              <w:rPr>
                <w:rFonts w:hint="eastAsia"/>
                <w:highlight w:val="none"/>
              </w:rPr>
            </w:pPr>
            <w:r>
              <w:rPr>
                <w:rFonts w:hint="eastAsia"/>
                <w:highlight w:val="none"/>
              </w:rPr>
              <w:t>（一）货物为原制造商制造的全新产品，无污染，无侵权行为、表面无划损、无任何缺陷隐患，在中国境内可依规安全合法使用。</w:t>
            </w:r>
          </w:p>
          <w:p w14:paraId="051B16F8">
            <w:pPr>
              <w:pStyle w:val="5"/>
              <w:rPr>
                <w:rFonts w:hint="eastAsia"/>
                <w:highlight w:val="none"/>
              </w:rPr>
            </w:pPr>
            <w:r>
              <w:rPr>
                <w:rFonts w:hint="eastAsia"/>
                <w:highlight w:val="none"/>
              </w:rPr>
              <w:t>（二）货物质量要求依次序对照适用标准为：①符合中华人民共和国国家安全质量标准、环保标准或行业标准；②符合采购文件和响应承诺中</w:t>
            </w:r>
            <w:r>
              <w:rPr>
                <w:rFonts w:hint="eastAsia"/>
                <w:highlight w:val="none"/>
                <w:lang w:eastAsia="zh-CN"/>
              </w:rPr>
              <w:t>甲方</w:t>
            </w:r>
            <w:r>
              <w:rPr>
                <w:rFonts w:hint="eastAsia"/>
                <w:highlight w:val="none"/>
              </w:rPr>
              <w:t>认可的合理最佳配置、参数及各项要求；③货物来源国官方标准。上述标准必须是有关官方机构发布的最新版本的标准。</w:t>
            </w:r>
          </w:p>
          <w:p w14:paraId="3EC50CF1">
            <w:pPr>
              <w:pStyle w:val="5"/>
              <w:rPr>
                <w:rFonts w:hint="eastAsia"/>
                <w:highlight w:val="none"/>
              </w:rPr>
            </w:pPr>
            <w:r>
              <w:rPr>
                <w:rFonts w:hint="eastAsia"/>
                <w:highlight w:val="none"/>
              </w:rPr>
              <w:t>（三）交货时，</w:t>
            </w:r>
            <w:r>
              <w:rPr>
                <w:rFonts w:hint="eastAsia"/>
                <w:highlight w:val="none"/>
                <w:lang w:eastAsia="zh-CN"/>
              </w:rPr>
              <w:t>乙方</w:t>
            </w:r>
            <w:r>
              <w:rPr>
                <w:rFonts w:hint="eastAsia"/>
                <w:highlight w:val="none"/>
              </w:rPr>
              <w:t>应同时交付产品中文使用手册、质量检验证书（合格证）及货物维护说明、等相关资料。</w:t>
            </w:r>
          </w:p>
          <w:p w14:paraId="6D5D5E6D">
            <w:pPr>
              <w:pStyle w:val="5"/>
              <w:rPr>
                <w:rFonts w:hint="eastAsia" w:ascii="宋体" w:hAnsi="宋体" w:eastAsia="宋体" w:cs="宋体"/>
                <w:highlight w:val="none"/>
                <w:lang w:val="en-US" w:eastAsia="zh-CN"/>
              </w:rPr>
            </w:pPr>
            <w:r>
              <w:rPr>
                <w:rFonts w:hint="eastAsia"/>
                <w:highlight w:val="none"/>
              </w:rPr>
              <w:t>（四）其他：1、</w:t>
            </w:r>
            <w:r>
              <w:rPr>
                <w:rFonts w:hint="eastAsia"/>
                <w:highlight w:val="none"/>
                <w:lang w:eastAsia="zh-CN"/>
              </w:rPr>
              <w:t>乙方</w:t>
            </w:r>
            <w:r>
              <w:rPr>
                <w:rFonts w:hint="eastAsia"/>
                <w:highlight w:val="none"/>
              </w:rPr>
              <w:t>所提供货物必须符合医院院内感染控制要求。2、</w:t>
            </w:r>
            <w:r>
              <w:rPr>
                <w:rFonts w:hint="eastAsia"/>
                <w:highlight w:val="none"/>
                <w:lang w:eastAsia="zh-CN"/>
              </w:rPr>
              <w:t>乙方</w:t>
            </w:r>
            <w:r>
              <w:rPr>
                <w:rFonts w:hint="eastAsia"/>
                <w:highlight w:val="none"/>
              </w:rPr>
              <w:t>所提供货物必须符合医院的特殊要求，能够满足不同服务、不同工作对象使用功能的要求。3、</w:t>
            </w:r>
            <w:r>
              <w:rPr>
                <w:rFonts w:hint="eastAsia"/>
                <w:highlight w:val="none"/>
                <w:lang w:eastAsia="zh-CN"/>
              </w:rPr>
              <w:t>乙方</w:t>
            </w:r>
            <w:r>
              <w:rPr>
                <w:rFonts w:hint="eastAsia"/>
                <w:highlight w:val="none"/>
              </w:rPr>
              <w:t>所提供货物必须符合的设计、安放位置符合才</w:t>
            </w:r>
            <w:r>
              <w:rPr>
                <w:rFonts w:hint="eastAsia"/>
                <w:highlight w:val="none"/>
                <w:lang w:eastAsia="zh-CN"/>
              </w:rPr>
              <w:t>甲方</w:t>
            </w:r>
            <w:r>
              <w:rPr>
                <w:rFonts w:hint="eastAsia"/>
                <w:highlight w:val="none"/>
              </w:rPr>
              <w:t>医院的医疗规程、流程的要求。4、</w:t>
            </w:r>
            <w:r>
              <w:rPr>
                <w:rFonts w:hint="eastAsia"/>
                <w:highlight w:val="none"/>
                <w:lang w:eastAsia="zh-CN"/>
              </w:rPr>
              <w:t>乙方</w:t>
            </w:r>
            <w:r>
              <w:rPr>
                <w:rFonts w:hint="eastAsia"/>
                <w:highlight w:val="none"/>
              </w:rPr>
              <w:t>所提供货物必须符合满足环保、卫生、安全等方面的标准及要求。5、</w:t>
            </w:r>
            <w:r>
              <w:rPr>
                <w:rFonts w:hint="eastAsia"/>
                <w:highlight w:val="none"/>
                <w:lang w:eastAsia="zh-CN"/>
              </w:rPr>
              <w:t>乙方</w:t>
            </w:r>
            <w:r>
              <w:rPr>
                <w:rFonts w:hint="eastAsia"/>
                <w:highlight w:val="none"/>
              </w:rPr>
              <w:t>所提供货物应选用经济合理的材质，档次相应统一、做工精致，达到实用、简洁、美观、牢固的要求，并与</w:t>
            </w:r>
            <w:r>
              <w:rPr>
                <w:rFonts w:hint="eastAsia"/>
                <w:highlight w:val="none"/>
                <w:lang w:eastAsia="zh-CN"/>
              </w:rPr>
              <w:t>甲方</w:t>
            </w:r>
            <w:r>
              <w:rPr>
                <w:rFonts w:hint="eastAsia"/>
                <w:highlight w:val="none"/>
              </w:rPr>
              <w:t>医院的大楼装饰、装修相协调。</w:t>
            </w:r>
          </w:p>
        </w:tc>
      </w:tr>
      <w:tr w14:paraId="0800DA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tcPr>
          <w:p w14:paraId="460C38BF">
            <w:pPr>
              <w:rPr>
                <w:rFonts w:hint="default"/>
                <w:highlight w:val="none"/>
                <w:lang w:val="en-US" w:eastAsia="zh-CN"/>
              </w:rPr>
            </w:pPr>
            <w:r>
              <w:rPr>
                <w:rFonts w:hint="eastAsia"/>
                <w:highlight w:val="none"/>
                <w:lang w:val="en-US" w:eastAsia="zh-CN"/>
              </w:rPr>
              <w:t>9</w:t>
            </w:r>
          </w:p>
        </w:tc>
        <w:tc>
          <w:tcPr>
            <w:tcW w:w="1234" w:type="dxa"/>
            <w:vAlign w:val="top"/>
          </w:tcPr>
          <w:p w14:paraId="30926FA9">
            <w:pPr>
              <w:jc w:val="center"/>
              <w:rPr>
                <w:highlight w:val="none"/>
              </w:rPr>
            </w:pPr>
            <w:r>
              <w:rPr>
                <w:rFonts w:hint="eastAsia"/>
                <w:highlight w:val="none"/>
              </w:rPr>
              <w:t>包装、保险及发运、保管要求</w:t>
            </w:r>
          </w:p>
        </w:tc>
        <w:tc>
          <w:tcPr>
            <w:tcW w:w="6426" w:type="dxa"/>
            <w:vAlign w:val="top"/>
          </w:tcPr>
          <w:p w14:paraId="2C1353F1">
            <w:pPr>
              <w:jc w:val="left"/>
              <w:rPr>
                <w:rFonts w:hint="eastAsia"/>
                <w:highlight w:val="none"/>
              </w:rPr>
            </w:pPr>
            <w:r>
              <w:rPr>
                <w:rFonts w:hint="eastAsia"/>
                <w:highlight w:val="none"/>
              </w:rPr>
              <w:t>（一）货物的包装必须是制造商原厂包装，其包装均应有良好的防湿、防锈、防潮、防雨、防腐及防碰撞的措施。凡由于包装不良造成的损失和由此产生的费用均由</w:t>
            </w:r>
            <w:r>
              <w:rPr>
                <w:rFonts w:hint="eastAsia"/>
                <w:highlight w:val="none"/>
                <w:lang w:eastAsia="zh-CN"/>
              </w:rPr>
              <w:t>乙方</w:t>
            </w:r>
            <w:r>
              <w:rPr>
                <w:rFonts w:hint="eastAsia"/>
                <w:highlight w:val="none"/>
              </w:rPr>
              <w:t>承担。</w:t>
            </w:r>
          </w:p>
          <w:p w14:paraId="286D4F87">
            <w:pPr>
              <w:jc w:val="left"/>
              <w:rPr>
                <w:rFonts w:hint="eastAsia"/>
                <w:highlight w:val="none"/>
              </w:rPr>
            </w:pPr>
            <w:r>
              <w:rPr>
                <w:rFonts w:hint="eastAsia"/>
                <w:highlight w:val="none"/>
              </w:rPr>
              <w:t>（二）</w:t>
            </w:r>
            <w:r>
              <w:rPr>
                <w:rFonts w:hint="eastAsia"/>
                <w:highlight w:val="none"/>
                <w:lang w:eastAsia="zh-CN"/>
              </w:rPr>
              <w:t>乙方</w:t>
            </w:r>
            <w:r>
              <w:rPr>
                <w:rFonts w:hint="eastAsia"/>
                <w:highlight w:val="none"/>
              </w:rPr>
              <w:t>负责将货物货到现场过程中的全部运输，包括装卸车、货物现场的搬运。</w:t>
            </w:r>
          </w:p>
          <w:p w14:paraId="15BB0DDD">
            <w:pPr>
              <w:jc w:val="left"/>
              <w:rPr>
                <w:rFonts w:hint="eastAsia"/>
                <w:highlight w:val="none"/>
              </w:rPr>
            </w:pPr>
            <w:r>
              <w:rPr>
                <w:rFonts w:hint="eastAsia"/>
                <w:highlight w:val="none"/>
              </w:rPr>
              <w:t>（三）各种货物必须提供装箱清单，按装箱清单验收货物。</w:t>
            </w:r>
          </w:p>
          <w:p w14:paraId="04B8C6DB">
            <w:pPr>
              <w:jc w:val="left"/>
              <w:rPr>
                <w:rFonts w:hint="eastAsia"/>
                <w:highlight w:val="none"/>
              </w:rPr>
            </w:pPr>
            <w:r>
              <w:rPr>
                <w:rFonts w:hint="eastAsia"/>
                <w:highlight w:val="none"/>
              </w:rPr>
              <w:t>（四）货物在现场的保管由</w:t>
            </w:r>
            <w:r>
              <w:rPr>
                <w:rFonts w:hint="eastAsia"/>
                <w:highlight w:val="none"/>
                <w:lang w:eastAsia="zh-CN"/>
              </w:rPr>
              <w:t>乙方</w:t>
            </w:r>
            <w:r>
              <w:rPr>
                <w:rFonts w:hint="eastAsia"/>
                <w:highlight w:val="none"/>
              </w:rPr>
              <w:t>负责，直至项目安装、验收完毕。</w:t>
            </w:r>
          </w:p>
          <w:p w14:paraId="12106704">
            <w:pPr>
              <w:jc w:val="left"/>
              <w:rPr>
                <w:rFonts w:hint="eastAsia"/>
                <w:highlight w:val="none"/>
              </w:rPr>
            </w:pPr>
            <w:r>
              <w:rPr>
                <w:rFonts w:hint="eastAsia"/>
                <w:highlight w:val="none"/>
              </w:rPr>
              <w:t>（五）货物在安装调试验收合格前的保险由</w:t>
            </w:r>
            <w:r>
              <w:rPr>
                <w:rFonts w:hint="eastAsia"/>
                <w:highlight w:val="none"/>
                <w:lang w:eastAsia="zh-CN"/>
              </w:rPr>
              <w:t>乙方</w:t>
            </w:r>
            <w:r>
              <w:rPr>
                <w:rFonts w:hint="eastAsia"/>
                <w:highlight w:val="none"/>
              </w:rPr>
              <w:t>负责，</w:t>
            </w:r>
            <w:r>
              <w:rPr>
                <w:rFonts w:hint="eastAsia"/>
                <w:highlight w:val="none"/>
                <w:lang w:eastAsia="zh-CN"/>
              </w:rPr>
              <w:t>乙方</w:t>
            </w:r>
            <w:r>
              <w:rPr>
                <w:rFonts w:hint="eastAsia"/>
                <w:highlight w:val="none"/>
              </w:rPr>
              <w:t>负责其派出的现场服务人员人身意外保险。</w:t>
            </w:r>
          </w:p>
          <w:p w14:paraId="094D123C">
            <w:pPr>
              <w:jc w:val="left"/>
              <w:rPr>
                <w:rFonts w:hint="eastAsia" w:ascii="宋体" w:hAnsi="宋体" w:eastAsia="宋体" w:cs="宋体"/>
                <w:highlight w:val="none"/>
                <w:lang w:val="en-US" w:eastAsia="zh-CN"/>
              </w:rPr>
            </w:pPr>
            <w:r>
              <w:rPr>
                <w:rFonts w:hint="eastAsia"/>
                <w:highlight w:val="none"/>
              </w:rPr>
              <w:t>（六）货物至</w:t>
            </w:r>
            <w:r>
              <w:rPr>
                <w:rFonts w:hint="eastAsia"/>
                <w:highlight w:val="none"/>
                <w:lang w:eastAsia="zh-CN"/>
              </w:rPr>
              <w:t>甲方</w:t>
            </w:r>
            <w:r>
              <w:rPr>
                <w:rFonts w:hint="eastAsia"/>
                <w:highlight w:val="none"/>
              </w:rPr>
              <w:t>指定的使用现场的包装、保险及发运等环节和费用均由</w:t>
            </w:r>
            <w:r>
              <w:rPr>
                <w:rFonts w:hint="eastAsia"/>
                <w:highlight w:val="none"/>
                <w:lang w:eastAsia="zh-CN"/>
              </w:rPr>
              <w:t>乙方</w:t>
            </w:r>
            <w:r>
              <w:rPr>
                <w:rFonts w:hint="eastAsia"/>
                <w:highlight w:val="none"/>
              </w:rPr>
              <w:t>负责。</w:t>
            </w:r>
          </w:p>
        </w:tc>
      </w:tr>
      <w:tr w14:paraId="313477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tcPr>
          <w:p w14:paraId="452A616B">
            <w:pPr>
              <w:rPr>
                <w:rFonts w:hint="default"/>
                <w:highlight w:val="none"/>
                <w:lang w:val="en-US" w:eastAsia="zh-CN"/>
              </w:rPr>
            </w:pPr>
            <w:r>
              <w:rPr>
                <w:rFonts w:hint="eastAsia"/>
                <w:highlight w:val="none"/>
                <w:lang w:val="en-US" w:eastAsia="zh-CN"/>
              </w:rPr>
              <w:t>10</w:t>
            </w:r>
          </w:p>
        </w:tc>
        <w:tc>
          <w:tcPr>
            <w:tcW w:w="1234" w:type="dxa"/>
            <w:vAlign w:val="top"/>
          </w:tcPr>
          <w:p w14:paraId="5D9D1310">
            <w:pPr>
              <w:jc w:val="center"/>
              <w:rPr>
                <w:highlight w:val="none"/>
              </w:rPr>
            </w:pPr>
            <w:r>
              <w:rPr>
                <w:rFonts w:hint="eastAsia"/>
                <w:highlight w:val="none"/>
              </w:rPr>
              <w:t>安装要求</w:t>
            </w:r>
          </w:p>
        </w:tc>
        <w:tc>
          <w:tcPr>
            <w:tcW w:w="6426" w:type="dxa"/>
            <w:vAlign w:val="top"/>
          </w:tcPr>
          <w:p w14:paraId="155A49FE">
            <w:pPr>
              <w:pStyle w:val="4"/>
              <w:rPr>
                <w:rFonts w:hint="eastAsia"/>
                <w:highlight w:val="none"/>
              </w:rPr>
            </w:pPr>
            <w:r>
              <w:rPr>
                <w:rFonts w:hint="eastAsia"/>
                <w:highlight w:val="none"/>
              </w:rPr>
              <w:t>（一）</w:t>
            </w:r>
            <w:r>
              <w:rPr>
                <w:rFonts w:hint="eastAsia"/>
                <w:highlight w:val="none"/>
                <w:lang w:eastAsia="zh-CN"/>
              </w:rPr>
              <w:t>乙方</w:t>
            </w:r>
            <w:r>
              <w:rPr>
                <w:rFonts w:hint="eastAsia"/>
                <w:highlight w:val="none"/>
              </w:rPr>
              <w:t>负责到</w:t>
            </w:r>
            <w:r>
              <w:rPr>
                <w:rFonts w:hint="eastAsia"/>
                <w:highlight w:val="none"/>
                <w:lang w:eastAsia="zh-CN"/>
              </w:rPr>
              <w:t>甲方</w:t>
            </w:r>
            <w:r>
              <w:rPr>
                <w:rFonts w:hint="eastAsia"/>
                <w:highlight w:val="none"/>
              </w:rPr>
              <w:t>指定的安装地点进行家具安装。</w:t>
            </w:r>
          </w:p>
          <w:p w14:paraId="39F82205">
            <w:pPr>
              <w:pStyle w:val="4"/>
              <w:rPr>
                <w:rFonts w:hint="eastAsia"/>
                <w:highlight w:val="none"/>
              </w:rPr>
            </w:pPr>
            <w:r>
              <w:rPr>
                <w:rFonts w:hint="eastAsia"/>
                <w:highlight w:val="none"/>
              </w:rPr>
              <w:t>（二）</w:t>
            </w:r>
            <w:r>
              <w:rPr>
                <w:rFonts w:hint="eastAsia"/>
                <w:highlight w:val="none"/>
                <w:lang w:eastAsia="zh-CN"/>
              </w:rPr>
              <w:t>乙方</w:t>
            </w:r>
            <w:r>
              <w:rPr>
                <w:rFonts w:hint="eastAsia"/>
                <w:highlight w:val="none"/>
              </w:rPr>
              <w:t>必须提供家具安装服务，并确保安装完成后，货物能够正常使用，达到</w:t>
            </w:r>
            <w:r>
              <w:rPr>
                <w:rFonts w:hint="eastAsia"/>
                <w:highlight w:val="none"/>
                <w:lang w:eastAsia="zh-CN"/>
              </w:rPr>
              <w:t>甲方</w:t>
            </w:r>
            <w:r>
              <w:rPr>
                <w:rFonts w:hint="eastAsia"/>
                <w:highlight w:val="none"/>
              </w:rPr>
              <w:t>可正常使用的最佳状态。</w:t>
            </w:r>
          </w:p>
          <w:p w14:paraId="01227611">
            <w:pPr>
              <w:pStyle w:val="4"/>
              <w:rPr>
                <w:rFonts w:hint="eastAsia"/>
                <w:highlight w:val="none"/>
              </w:rPr>
            </w:pPr>
            <w:r>
              <w:rPr>
                <w:rFonts w:hint="eastAsia"/>
                <w:highlight w:val="none"/>
              </w:rPr>
              <w:t>（三）安装所需工具设施物料由</w:t>
            </w:r>
            <w:r>
              <w:rPr>
                <w:rFonts w:hint="eastAsia"/>
                <w:highlight w:val="none"/>
                <w:lang w:eastAsia="zh-CN"/>
              </w:rPr>
              <w:t>乙方</w:t>
            </w:r>
            <w:r>
              <w:rPr>
                <w:rFonts w:hint="eastAsia"/>
                <w:highlight w:val="none"/>
              </w:rPr>
              <w:t>自备、自费运到现场，完工后自费搬走。</w:t>
            </w:r>
          </w:p>
          <w:p w14:paraId="6C1F970C">
            <w:pPr>
              <w:pStyle w:val="4"/>
              <w:rPr>
                <w:rFonts w:hint="eastAsia"/>
                <w:highlight w:val="none"/>
              </w:rPr>
            </w:pPr>
            <w:r>
              <w:rPr>
                <w:rFonts w:hint="eastAsia"/>
                <w:highlight w:val="none"/>
              </w:rPr>
              <w:t>（四）货物、材料的拆箱、安装等工作由</w:t>
            </w:r>
            <w:r>
              <w:rPr>
                <w:rFonts w:hint="eastAsia"/>
                <w:highlight w:val="none"/>
                <w:lang w:eastAsia="zh-CN"/>
              </w:rPr>
              <w:t>乙方</w:t>
            </w:r>
            <w:r>
              <w:rPr>
                <w:rFonts w:hint="eastAsia"/>
                <w:highlight w:val="none"/>
              </w:rPr>
              <w:t>负责，但若</w:t>
            </w:r>
            <w:r>
              <w:rPr>
                <w:rFonts w:hint="eastAsia"/>
                <w:highlight w:val="none"/>
                <w:lang w:eastAsia="zh-CN"/>
              </w:rPr>
              <w:t>甲方</w:t>
            </w:r>
            <w:r>
              <w:rPr>
                <w:rFonts w:hint="eastAsia"/>
                <w:highlight w:val="none"/>
              </w:rPr>
              <w:t>有特定要求需要参与的，则须在</w:t>
            </w:r>
            <w:r>
              <w:rPr>
                <w:rFonts w:hint="eastAsia"/>
                <w:highlight w:val="none"/>
                <w:lang w:eastAsia="zh-CN"/>
              </w:rPr>
              <w:t>甲方</w:t>
            </w:r>
            <w:r>
              <w:rPr>
                <w:rFonts w:hint="eastAsia"/>
                <w:highlight w:val="none"/>
              </w:rPr>
              <w:t>指定人员的参与下进行。</w:t>
            </w:r>
          </w:p>
          <w:p w14:paraId="4CDDE5E2">
            <w:pPr>
              <w:pStyle w:val="4"/>
              <w:rPr>
                <w:rFonts w:hint="eastAsia"/>
                <w:highlight w:val="none"/>
              </w:rPr>
            </w:pPr>
            <w:r>
              <w:rPr>
                <w:rFonts w:hint="eastAsia"/>
                <w:highlight w:val="none"/>
              </w:rPr>
              <w:t>（五）</w:t>
            </w:r>
            <w:r>
              <w:rPr>
                <w:rFonts w:hint="eastAsia"/>
                <w:highlight w:val="none"/>
                <w:lang w:eastAsia="zh-CN"/>
              </w:rPr>
              <w:t>乙方</w:t>
            </w:r>
            <w:r>
              <w:rPr>
                <w:rFonts w:hint="eastAsia"/>
                <w:highlight w:val="none"/>
              </w:rPr>
              <w:t>必须充分考虑佛山市三水区新城医院建设现场安装难度及安全性，做好施工现场的安全防护、文明施工工作，安装过程中发生的一切责任及费用由</w:t>
            </w:r>
            <w:r>
              <w:rPr>
                <w:rFonts w:hint="eastAsia"/>
                <w:highlight w:val="none"/>
                <w:lang w:eastAsia="zh-CN"/>
              </w:rPr>
              <w:t>乙方</w:t>
            </w:r>
            <w:r>
              <w:rPr>
                <w:rFonts w:hint="eastAsia"/>
                <w:highlight w:val="none"/>
              </w:rPr>
              <w:t>负责，提供现场防护措施方案，安装过程中如果对现场物品或结构造成损坏的必须恢复原样，如不能修复的需照价赔偿。若</w:t>
            </w:r>
            <w:r>
              <w:rPr>
                <w:rFonts w:hint="eastAsia"/>
                <w:highlight w:val="none"/>
                <w:lang w:eastAsia="zh-CN"/>
              </w:rPr>
              <w:t>甲方</w:t>
            </w:r>
            <w:r>
              <w:rPr>
                <w:rFonts w:hint="eastAsia"/>
                <w:highlight w:val="none"/>
              </w:rPr>
              <w:t>因此垫付费用或承担赔偿责任的，有权向</w:t>
            </w:r>
            <w:r>
              <w:rPr>
                <w:rFonts w:hint="eastAsia"/>
                <w:highlight w:val="none"/>
                <w:lang w:eastAsia="zh-CN"/>
              </w:rPr>
              <w:t>乙方</w:t>
            </w:r>
            <w:r>
              <w:rPr>
                <w:rFonts w:hint="eastAsia"/>
                <w:highlight w:val="none"/>
              </w:rPr>
              <w:t>进行追偿并直接从合同款项中予以扣减。</w:t>
            </w:r>
            <w:r>
              <w:rPr>
                <w:rFonts w:hint="eastAsia"/>
                <w:highlight w:val="none"/>
                <w:lang w:eastAsia="zh-CN"/>
              </w:rPr>
              <w:t>乙方</w:t>
            </w:r>
            <w:r>
              <w:rPr>
                <w:rFonts w:hint="eastAsia"/>
                <w:highlight w:val="none"/>
              </w:rPr>
              <w:t>应做好佛山市三水区新城医院建设现场安装施工人员的安全指导，提供现场安装负责人名称及联系方式，货物在安装过程中出现大小事故均由</w:t>
            </w:r>
            <w:r>
              <w:rPr>
                <w:rFonts w:hint="eastAsia"/>
                <w:highlight w:val="none"/>
                <w:lang w:eastAsia="zh-CN"/>
              </w:rPr>
              <w:t>乙方</w:t>
            </w:r>
            <w:r>
              <w:rPr>
                <w:rFonts w:hint="eastAsia"/>
                <w:highlight w:val="none"/>
              </w:rPr>
              <w:t>负责；同时在使用期间因质量问题导致人员损伤的由</w:t>
            </w:r>
            <w:r>
              <w:rPr>
                <w:rFonts w:hint="eastAsia"/>
                <w:highlight w:val="none"/>
                <w:lang w:eastAsia="zh-CN"/>
              </w:rPr>
              <w:t>乙方</w:t>
            </w:r>
            <w:r>
              <w:rPr>
                <w:rFonts w:hint="eastAsia"/>
                <w:highlight w:val="none"/>
              </w:rPr>
              <w:t>负责，</w:t>
            </w:r>
            <w:r>
              <w:rPr>
                <w:rFonts w:hint="eastAsia"/>
                <w:highlight w:val="none"/>
                <w:lang w:eastAsia="zh-CN"/>
              </w:rPr>
              <w:t>甲方</w:t>
            </w:r>
            <w:r>
              <w:rPr>
                <w:rFonts w:hint="eastAsia"/>
                <w:highlight w:val="none"/>
              </w:rPr>
              <w:t>概不负责。</w:t>
            </w:r>
          </w:p>
          <w:p w14:paraId="40C4A181">
            <w:pPr>
              <w:pStyle w:val="4"/>
              <w:rPr>
                <w:rFonts w:hint="eastAsia"/>
                <w:highlight w:val="none"/>
              </w:rPr>
            </w:pPr>
            <w:r>
              <w:rPr>
                <w:rFonts w:hint="eastAsia"/>
                <w:highlight w:val="none"/>
              </w:rPr>
              <w:t>（六）安装时，如天花墙面地面均已装修完成，其拼装锚固方式不得破坏安装后的见光面原有装饰面。如对室内装修装饰（包括地板瓷砖）有破坏/损坏，</w:t>
            </w:r>
            <w:r>
              <w:rPr>
                <w:rFonts w:hint="eastAsia"/>
                <w:highlight w:val="none"/>
                <w:lang w:eastAsia="zh-CN"/>
              </w:rPr>
              <w:t>乙方</w:t>
            </w:r>
            <w:r>
              <w:rPr>
                <w:rFonts w:hint="eastAsia"/>
                <w:highlight w:val="none"/>
              </w:rPr>
              <w:t>应采用原厂原品质原规格材料恢复至原样，费用由</w:t>
            </w:r>
            <w:r>
              <w:rPr>
                <w:rFonts w:hint="eastAsia"/>
                <w:highlight w:val="none"/>
                <w:lang w:eastAsia="zh-CN"/>
              </w:rPr>
              <w:t>乙方</w:t>
            </w:r>
            <w:r>
              <w:rPr>
                <w:rFonts w:hint="eastAsia"/>
                <w:highlight w:val="none"/>
              </w:rPr>
              <w:t>承担。</w:t>
            </w:r>
          </w:p>
          <w:p w14:paraId="6348E103">
            <w:pPr>
              <w:pStyle w:val="4"/>
              <w:rPr>
                <w:rFonts w:hint="eastAsia"/>
                <w:highlight w:val="none"/>
              </w:rPr>
            </w:pPr>
            <w:r>
              <w:rPr>
                <w:rFonts w:hint="eastAsia"/>
                <w:highlight w:val="none"/>
              </w:rPr>
              <w:t>（七）</w:t>
            </w:r>
            <w:r>
              <w:rPr>
                <w:rFonts w:hint="eastAsia"/>
                <w:highlight w:val="none"/>
                <w:lang w:eastAsia="zh-CN"/>
              </w:rPr>
              <w:t>乙方</w:t>
            </w:r>
            <w:r>
              <w:rPr>
                <w:rFonts w:hint="eastAsia"/>
                <w:highlight w:val="none"/>
              </w:rPr>
              <w:t>在项目实施现场应服从</w:t>
            </w:r>
            <w:r>
              <w:rPr>
                <w:rFonts w:hint="eastAsia"/>
                <w:highlight w:val="none"/>
                <w:lang w:eastAsia="zh-CN"/>
              </w:rPr>
              <w:t>甲方</w:t>
            </w:r>
            <w:r>
              <w:rPr>
                <w:rFonts w:hint="eastAsia"/>
                <w:highlight w:val="none"/>
              </w:rPr>
              <w:t>的管理；</w:t>
            </w:r>
            <w:r>
              <w:rPr>
                <w:rFonts w:hint="eastAsia"/>
                <w:highlight w:val="none"/>
                <w:lang w:eastAsia="zh-CN"/>
              </w:rPr>
              <w:t>乙方</w:t>
            </w:r>
            <w:r>
              <w:rPr>
                <w:rFonts w:hint="eastAsia"/>
                <w:highlight w:val="none"/>
              </w:rPr>
              <w:t>在实施安装完毕后，须按照</w:t>
            </w:r>
            <w:r>
              <w:rPr>
                <w:rFonts w:hint="eastAsia"/>
                <w:highlight w:val="none"/>
                <w:lang w:eastAsia="zh-CN"/>
              </w:rPr>
              <w:t>甲方</w:t>
            </w:r>
            <w:r>
              <w:rPr>
                <w:rFonts w:hint="eastAsia"/>
                <w:highlight w:val="none"/>
              </w:rPr>
              <w:t>的要求负责清理施工场地的卫生，涉及费用由</w:t>
            </w:r>
            <w:r>
              <w:rPr>
                <w:rFonts w:hint="eastAsia"/>
                <w:highlight w:val="none"/>
                <w:lang w:eastAsia="zh-CN"/>
              </w:rPr>
              <w:t>乙方</w:t>
            </w:r>
            <w:r>
              <w:rPr>
                <w:rFonts w:hint="eastAsia"/>
                <w:highlight w:val="none"/>
              </w:rPr>
              <w:t>负责承担。</w:t>
            </w:r>
          </w:p>
          <w:p w14:paraId="7087301C">
            <w:pPr>
              <w:pStyle w:val="4"/>
              <w:rPr>
                <w:rFonts w:hint="eastAsia" w:ascii="宋体" w:hAnsi="宋体" w:eastAsia="宋体" w:cs="宋体"/>
                <w:highlight w:val="none"/>
                <w:lang w:val="en-US" w:eastAsia="zh-CN"/>
              </w:rPr>
            </w:pPr>
            <w:r>
              <w:rPr>
                <w:rFonts w:hint="eastAsia"/>
                <w:highlight w:val="none"/>
              </w:rPr>
              <w:t>（八）</w:t>
            </w:r>
            <w:r>
              <w:rPr>
                <w:rFonts w:hint="eastAsia"/>
                <w:highlight w:val="none"/>
                <w:lang w:eastAsia="zh-CN"/>
              </w:rPr>
              <w:t>乙方</w:t>
            </w:r>
            <w:r>
              <w:rPr>
                <w:rFonts w:hint="eastAsia"/>
                <w:highlight w:val="none"/>
              </w:rPr>
              <w:t>应保证所提供的产品符合绿色环保及相关家具的甲醛标准。</w:t>
            </w:r>
            <w:r>
              <w:rPr>
                <w:rFonts w:hint="eastAsia"/>
                <w:highlight w:val="none"/>
                <w:lang w:eastAsia="zh-CN"/>
              </w:rPr>
              <w:t>甲方</w:t>
            </w:r>
            <w:r>
              <w:rPr>
                <w:rFonts w:hint="eastAsia"/>
                <w:highlight w:val="none"/>
              </w:rPr>
              <w:t>有权对家具进行抽检，抽检发现甲醛超标的将由</w:t>
            </w:r>
            <w:r>
              <w:rPr>
                <w:rFonts w:hint="eastAsia"/>
                <w:highlight w:val="none"/>
                <w:lang w:eastAsia="zh-CN"/>
              </w:rPr>
              <w:t>乙方</w:t>
            </w:r>
            <w:r>
              <w:rPr>
                <w:rFonts w:hint="eastAsia"/>
                <w:highlight w:val="none"/>
              </w:rPr>
              <w:t>负责所有家具的除甲醛服务，且抽检费用、除甲醛等因此产生的费用由</w:t>
            </w:r>
            <w:r>
              <w:rPr>
                <w:rFonts w:hint="eastAsia"/>
                <w:highlight w:val="none"/>
                <w:lang w:eastAsia="zh-CN"/>
              </w:rPr>
              <w:t>乙方</w:t>
            </w:r>
            <w:r>
              <w:rPr>
                <w:rFonts w:hint="eastAsia"/>
                <w:highlight w:val="none"/>
              </w:rPr>
              <w:t>承担。</w:t>
            </w:r>
          </w:p>
        </w:tc>
      </w:tr>
      <w:tr w14:paraId="72B235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tcPr>
          <w:p w14:paraId="45EC62F1">
            <w:pPr>
              <w:rPr>
                <w:rFonts w:hint="default"/>
                <w:highlight w:val="none"/>
                <w:lang w:val="en-US" w:eastAsia="zh-CN"/>
              </w:rPr>
            </w:pPr>
            <w:r>
              <w:rPr>
                <w:rFonts w:hint="eastAsia"/>
                <w:highlight w:val="none"/>
                <w:lang w:val="en-US" w:eastAsia="zh-CN"/>
              </w:rPr>
              <w:t>11</w:t>
            </w:r>
          </w:p>
        </w:tc>
        <w:tc>
          <w:tcPr>
            <w:tcW w:w="1234" w:type="dxa"/>
            <w:vAlign w:val="top"/>
          </w:tcPr>
          <w:p w14:paraId="03F3E8D6">
            <w:pPr>
              <w:jc w:val="center"/>
              <w:rPr>
                <w:highlight w:val="none"/>
              </w:rPr>
            </w:pPr>
            <w:r>
              <w:rPr>
                <w:rFonts w:hint="eastAsia"/>
                <w:highlight w:val="none"/>
              </w:rPr>
              <w:t>知识产权的归属</w:t>
            </w:r>
          </w:p>
        </w:tc>
        <w:tc>
          <w:tcPr>
            <w:tcW w:w="6426" w:type="dxa"/>
            <w:vAlign w:val="top"/>
          </w:tcPr>
          <w:p w14:paraId="5E2011B4">
            <w:pPr>
              <w:jc w:val="left"/>
              <w:rPr>
                <w:rFonts w:hint="eastAsia"/>
                <w:highlight w:val="none"/>
              </w:rPr>
            </w:pPr>
            <w:r>
              <w:rPr>
                <w:rFonts w:hint="eastAsia"/>
                <w:highlight w:val="none"/>
              </w:rPr>
              <w:t>1、</w:t>
            </w:r>
            <w:r>
              <w:rPr>
                <w:rFonts w:hint="eastAsia"/>
                <w:highlight w:val="none"/>
                <w:lang w:eastAsia="zh-CN"/>
              </w:rPr>
              <w:t>乙方</w:t>
            </w:r>
            <w:r>
              <w:rPr>
                <w:rFonts w:hint="eastAsia"/>
                <w:highlight w:val="none"/>
              </w:rPr>
              <w:t>必须保证，</w:t>
            </w:r>
            <w:r>
              <w:rPr>
                <w:rFonts w:hint="eastAsia"/>
                <w:highlight w:val="none"/>
                <w:lang w:eastAsia="zh-CN"/>
              </w:rPr>
              <w:t>甲方</w:t>
            </w:r>
            <w:r>
              <w:rPr>
                <w:rFonts w:hint="eastAsia"/>
                <w:highlight w:val="none"/>
              </w:rPr>
              <w:t>在中华人民共和国境内使用本项目货物、资料、技术、服务或其任何一部分时，享有不受限制的无偿使用权，如有第三方向</w:t>
            </w:r>
            <w:r>
              <w:rPr>
                <w:rFonts w:hint="eastAsia"/>
                <w:highlight w:val="none"/>
                <w:lang w:eastAsia="zh-CN"/>
              </w:rPr>
              <w:t>甲方</w:t>
            </w:r>
            <w:r>
              <w:rPr>
                <w:rFonts w:hint="eastAsia"/>
                <w:highlight w:val="none"/>
              </w:rPr>
              <w:t>提出侵犯其专利权、商标权或其它知识产权的主张，该责任应由</w:t>
            </w:r>
            <w:r>
              <w:rPr>
                <w:rFonts w:hint="eastAsia"/>
                <w:highlight w:val="none"/>
                <w:lang w:eastAsia="zh-CN"/>
              </w:rPr>
              <w:t>乙方</w:t>
            </w:r>
            <w:r>
              <w:rPr>
                <w:rFonts w:hint="eastAsia"/>
                <w:highlight w:val="none"/>
              </w:rPr>
              <w:t>承担。</w:t>
            </w:r>
          </w:p>
          <w:p w14:paraId="05232F1A">
            <w:pPr>
              <w:jc w:val="left"/>
              <w:rPr>
                <w:rFonts w:hint="eastAsia"/>
                <w:highlight w:val="none"/>
              </w:rPr>
            </w:pPr>
            <w:r>
              <w:rPr>
                <w:rFonts w:hint="eastAsia"/>
                <w:highlight w:val="none"/>
              </w:rPr>
              <w:t>2、</w:t>
            </w:r>
            <w:r>
              <w:rPr>
                <w:rFonts w:hint="eastAsia"/>
                <w:highlight w:val="none"/>
                <w:lang w:eastAsia="zh-CN"/>
              </w:rPr>
              <w:t>甲方</w:t>
            </w:r>
            <w:r>
              <w:rPr>
                <w:rFonts w:hint="eastAsia"/>
                <w:highlight w:val="none"/>
              </w:rPr>
              <w:t>在履行合同过程中提供给</w:t>
            </w:r>
            <w:r>
              <w:rPr>
                <w:rFonts w:hint="eastAsia"/>
                <w:highlight w:val="none"/>
                <w:lang w:eastAsia="zh-CN"/>
              </w:rPr>
              <w:t>乙方</w:t>
            </w:r>
            <w:r>
              <w:rPr>
                <w:rFonts w:hint="eastAsia"/>
                <w:highlight w:val="none"/>
              </w:rPr>
              <w:t>的全部图纸、文件和其他含有数据和信息的资料，其知识产权属于</w:t>
            </w:r>
            <w:r>
              <w:rPr>
                <w:rFonts w:hint="eastAsia"/>
                <w:highlight w:val="none"/>
                <w:lang w:eastAsia="zh-CN"/>
              </w:rPr>
              <w:t>甲方</w:t>
            </w:r>
            <w:r>
              <w:rPr>
                <w:rFonts w:hint="eastAsia"/>
                <w:highlight w:val="none"/>
              </w:rPr>
              <w:t>。</w:t>
            </w:r>
          </w:p>
          <w:p w14:paraId="5FE9DBB6">
            <w:pPr>
              <w:jc w:val="left"/>
              <w:rPr>
                <w:rFonts w:hint="eastAsia" w:ascii="宋体" w:hAnsi="宋体" w:eastAsia="宋体" w:cs="宋体"/>
                <w:highlight w:val="none"/>
                <w:lang w:val="en-US" w:eastAsia="zh-CN"/>
              </w:rPr>
            </w:pPr>
            <w:r>
              <w:rPr>
                <w:rFonts w:hint="eastAsia"/>
                <w:highlight w:val="none"/>
              </w:rPr>
              <w:t>3、如果</w:t>
            </w:r>
            <w:r>
              <w:rPr>
                <w:rFonts w:hint="eastAsia"/>
                <w:highlight w:val="none"/>
                <w:lang w:eastAsia="zh-CN"/>
              </w:rPr>
              <w:t>甲方</w:t>
            </w:r>
            <w:r>
              <w:rPr>
                <w:rFonts w:hint="eastAsia"/>
                <w:highlight w:val="none"/>
              </w:rPr>
              <w:t>收到任何第三方有关知识产权的主张、索赔或诉讼，</w:t>
            </w:r>
            <w:r>
              <w:rPr>
                <w:rFonts w:hint="eastAsia"/>
                <w:highlight w:val="none"/>
                <w:lang w:eastAsia="zh-CN"/>
              </w:rPr>
              <w:t>乙方</w:t>
            </w:r>
            <w:r>
              <w:rPr>
                <w:rFonts w:hint="eastAsia"/>
                <w:highlight w:val="none"/>
              </w:rPr>
              <w:t>在收到</w:t>
            </w:r>
            <w:r>
              <w:rPr>
                <w:rFonts w:hint="eastAsia"/>
                <w:highlight w:val="none"/>
                <w:lang w:eastAsia="zh-CN"/>
              </w:rPr>
              <w:t>甲方</w:t>
            </w:r>
            <w:r>
              <w:rPr>
                <w:rFonts w:hint="eastAsia"/>
                <w:highlight w:val="none"/>
              </w:rPr>
              <w:t>通知后，应以</w:t>
            </w:r>
            <w:r>
              <w:rPr>
                <w:rFonts w:hint="eastAsia"/>
                <w:highlight w:val="none"/>
                <w:lang w:eastAsia="zh-CN"/>
              </w:rPr>
              <w:t>甲方</w:t>
            </w:r>
            <w:r>
              <w:rPr>
                <w:rFonts w:hint="eastAsia"/>
                <w:highlight w:val="none"/>
              </w:rPr>
              <w:t>名义并在</w:t>
            </w:r>
            <w:r>
              <w:rPr>
                <w:rFonts w:hint="eastAsia"/>
                <w:highlight w:val="none"/>
                <w:lang w:eastAsia="zh-CN"/>
              </w:rPr>
              <w:t>甲方</w:t>
            </w:r>
            <w:r>
              <w:rPr>
                <w:rFonts w:hint="eastAsia"/>
                <w:highlight w:val="none"/>
              </w:rPr>
              <w:t>的协助下，自负费用处理与第三方的索赔或诉讼，并赔偿</w:t>
            </w:r>
            <w:r>
              <w:rPr>
                <w:rFonts w:hint="eastAsia"/>
                <w:highlight w:val="none"/>
                <w:lang w:eastAsia="zh-CN"/>
              </w:rPr>
              <w:t>甲方</w:t>
            </w:r>
            <w:r>
              <w:rPr>
                <w:rFonts w:hint="eastAsia"/>
                <w:highlight w:val="none"/>
              </w:rPr>
              <w:t>因此发生的费用和遭受的损失。如果</w:t>
            </w:r>
            <w:r>
              <w:rPr>
                <w:rFonts w:hint="eastAsia"/>
                <w:highlight w:val="none"/>
                <w:lang w:eastAsia="zh-CN"/>
              </w:rPr>
              <w:t>乙方</w:t>
            </w:r>
            <w:r>
              <w:rPr>
                <w:rFonts w:hint="eastAsia"/>
                <w:highlight w:val="none"/>
              </w:rPr>
              <w:t>拒绝处理前述索赔或诉讼或在收到</w:t>
            </w:r>
            <w:r>
              <w:rPr>
                <w:rFonts w:hint="eastAsia"/>
                <w:highlight w:val="none"/>
                <w:lang w:eastAsia="zh-CN"/>
              </w:rPr>
              <w:t>甲方</w:t>
            </w:r>
            <w:r>
              <w:rPr>
                <w:rFonts w:hint="eastAsia"/>
                <w:highlight w:val="none"/>
              </w:rPr>
              <w:t>通知后28日内未作表示，</w:t>
            </w:r>
            <w:r>
              <w:rPr>
                <w:rFonts w:hint="eastAsia"/>
                <w:highlight w:val="none"/>
                <w:lang w:eastAsia="zh-CN"/>
              </w:rPr>
              <w:t>甲方</w:t>
            </w:r>
            <w:r>
              <w:rPr>
                <w:rFonts w:hint="eastAsia"/>
                <w:highlight w:val="none"/>
              </w:rPr>
              <w:t>可以自己的名义进行这些索赔或诉讼，因此发生的费用（包括</w:t>
            </w:r>
            <w:r>
              <w:rPr>
                <w:rFonts w:hint="eastAsia"/>
                <w:highlight w:val="none"/>
                <w:lang w:eastAsia="zh-CN"/>
              </w:rPr>
              <w:t>采购人</w:t>
            </w:r>
            <w:r>
              <w:rPr>
                <w:rFonts w:hint="eastAsia"/>
                <w:highlight w:val="none"/>
              </w:rPr>
              <w:t>聘请律师应对第三人主张权利的律师费等相关费用）和遭受的损失均应由</w:t>
            </w:r>
            <w:r>
              <w:rPr>
                <w:rFonts w:hint="eastAsia"/>
                <w:highlight w:val="none"/>
                <w:lang w:eastAsia="zh-CN"/>
              </w:rPr>
              <w:t>乙方</w:t>
            </w:r>
            <w:r>
              <w:rPr>
                <w:rFonts w:hint="eastAsia"/>
                <w:highlight w:val="none"/>
              </w:rPr>
              <w:t>承担。</w:t>
            </w:r>
          </w:p>
        </w:tc>
      </w:tr>
      <w:tr w14:paraId="515949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tcPr>
          <w:p w14:paraId="7349BF79">
            <w:pPr>
              <w:rPr>
                <w:rFonts w:hint="default"/>
                <w:highlight w:val="none"/>
                <w:lang w:val="en-US" w:eastAsia="zh-CN"/>
              </w:rPr>
            </w:pPr>
            <w:r>
              <w:rPr>
                <w:rFonts w:hint="eastAsia"/>
                <w:highlight w:val="none"/>
                <w:lang w:val="en-US" w:eastAsia="zh-CN"/>
              </w:rPr>
              <w:t>12</w:t>
            </w:r>
          </w:p>
        </w:tc>
        <w:tc>
          <w:tcPr>
            <w:tcW w:w="1234" w:type="dxa"/>
            <w:vAlign w:val="top"/>
          </w:tcPr>
          <w:p w14:paraId="13FD7CAE">
            <w:pPr>
              <w:jc w:val="center"/>
              <w:rPr>
                <w:highlight w:val="none"/>
              </w:rPr>
            </w:pPr>
            <w:r>
              <w:rPr>
                <w:rFonts w:hint="eastAsia"/>
                <w:highlight w:val="none"/>
              </w:rPr>
              <w:t>质保期及售后服务要求</w:t>
            </w:r>
          </w:p>
        </w:tc>
        <w:tc>
          <w:tcPr>
            <w:tcW w:w="6426" w:type="dxa"/>
            <w:vAlign w:val="top"/>
          </w:tcPr>
          <w:p w14:paraId="266C34CC">
            <w:pPr>
              <w:pStyle w:val="4"/>
              <w:rPr>
                <w:rFonts w:hint="eastAsia"/>
                <w:highlight w:val="none"/>
              </w:rPr>
            </w:pPr>
            <w:r>
              <w:rPr>
                <w:rFonts w:hint="eastAsia"/>
                <w:highlight w:val="none"/>
              </w:rPr>
              <w:t>（一）质量保证期（简称“质保期”）为所有货物自交付验收合格之日起5年，若货物原厂商提供的质量保证期优于</w:t>
            </w:r>
            <w:r>
              <w:rPr>
                <w:rFonts w:hint="eastAsia"/>
                <w:highlight w:val="none"/>
                <w:lang w:eastAsia="zh-CN"/>
              </w:rPr>
              <w:t>乙方</w:t>
            </w:r>
            <w:r>
              <w:rPr>
                <w:rFonts w:hint="eastAsia"/>
                <w:highlight w:val="none"/>
              </w:rPr>
              <w:t>提供的质量保证期，以原厂商提供的质量保证期为准。质保期内</w:t>
            </w:r>
            <w:r>
              <w:rPr>
                <w:rFonts w:hint="eastAsia"/>
                <w:highlight w:val="none"/>
                <w:lang w:eastAsia="zh-CN"/>
              </w:rPr>
              <w:t>乙方</w:t>
            </w:r>
            <w:r>
              <w:rPr>
                <w:rFonts w:hint="eastAsia"/>
                <w:highlight w:val="none"/>
              </w:rPr>
              <w:t>对所供货物实行包修、包换、包退、包维护保养，期满后可同时提供终身维修保养服务。</w:t>
            </w:r>
          </w:p>
          <w:p w14:paraId="0C6000B5">
            <w:pPr>
              <w:pStyle w:val="4"/>
              <w:rPr>
                <w:rFonts w:hint="eastAsia"/>
                <w:highlight w:val="none"/>
              </w:rPr>
            </w:pPr>
            <w:r>
              <w:rPr>
                <w:rFonts w:hint="eastAsia"/>
                <w:highlight w:val="none"/>
              </w:rPr>
              <w:t>（二）质量保证期内发生的质量问题，由</w:t>
            </w:r>
            <w:r>
              <w:rPr>
                <w:rFonts w:hint="eastAsia"/>
                <w:highlight w:val="none"/>
                <w:lang w:eastAsia="zh-CN"/>
              </w:rPr>
              <w:t>乙方</w:t>
            </w:r>
            <w:r>
              <w:rPr>
                <w:rFonts w:hint="eastAsia"/>
                <w:highlight w:val="none"/>
              </w:rPr>
              <w:t>负责免费解决（因</w:t>
            </w:r>
            <w:r>
              <w:rPr>
                <w:rFonts w:hint="eastAsia"/>
                <w:highlight w:val="none"/>
                <w:lang w:eastAsia="zh-CN"/>
              </w:rPr>
              <w:t>甲方</w:t>
            </w:r>
            <w:r>
              <w:rPr>
                <w:rFonts w:hint="eastAsia"/>
                <w:highlight w:val="none"/>
              </w:rPr>
              <w:t>使用不当或其他人为因素造成的故障除外）。如货物因自身故障致停用时间累计超过20天时，则质保期在状态恢复正常时重新计算或对故障设备予以重新更换。</w:t>
            </w:r>
          </w:p>
          <w:p w14:paraId="3B63750F">
            <w:pPr>
              <w:pStyle w:val="4"/>
              <w:rPr>
                <w:rFonts w:hint="eastAsia"/>
                <w:highlight w:val="none"/>
              </w:rPr>
            </w:pPr>
            <w:r>
              <w:rPr>
                <w:rFonts w:hint="eastAsia"/>
                <w:highlight w:val="none"/>
              </w:rPr>
              <w:t>（三）任何时候，</w:t>
            </w:r>
            <w:r>
              <w:rPr>
                <w:rFonts w:hint="eastAsia"/>
                <w:highlight w:val="none"/>
                <w:lang w:eastAsia="zh-CN"/>
              </w:rPr>
              <w:t>乙方</w:t>
            </w:r>
            <w:r>
              <w:rPr>
                <w:rFonts w:hint="eastAsia"/>
                <w:highlight w:val="none"/>
              </w:rPr>
              <w:t>均不能免除因货物本身的缺陷所应负的责任。</w:t>
            </w:r>
          </w:p>
          <w:p w14:paraId="044640C8">
            <w:pPr>
              <w:pStyle w:val="4"/>
              <w:rPr>
                <w:rFonts w:hint="eastAsia"/>
                <w:highlight w:val="none"/>
              </w:rPr>
            </w:pPr>
            <w:r>
              <w:rPr>
                <w:rFonts w:hint="eastAsia"/>
                <w:highlight w:val="none"/>
              </w:rPr>
              <w:t>（四）质保期内</w:t>
            </w:r>
            <w:r>
              <w:rPr>
                <w:rFonts w:hint="eastAsia"/>
                <w:highlight w:val="none"/>
                <w:lang w:eastAsia="zh-CN"/>
              </w:rPr>
              <w:t>乙方</w:t>
            </w:r>
            <w:r>
              <w:rPr>
                <w:rFonts w:hint="eastAsia"/>
                <w:highlight w:val="none"/>
              </w:rPr>
              <w:t>提供上门服务，在质保期内设置每周7天×24小时服务专线和长期的技术支持，对</w:t>
            </w:r>
            <w:r>
              <w:rPr>
                <w:rFonts w:hint="eastAsia"/>
                <w:highlight w:val="none"/>
                <w:lang w:eastAsia="zh-CN"/>
              </w:rPr>
              <w:t>甲方</w:t>
            </w:r>
            <w:r>
              <w:rPr>
                <w:rFonts w:hint="eastAsia"/>
                <w:highlight w:val="none"/>
              </w:rPr>
              <w:t>的服务通知，</w:t>
            </w:r>
            <w:r>
              <w:rPr>
                <w:rFonts w:hint="eastAsia"/>
                <w:highlight w:val="none"/>
                <w:lang w:eastAsia="zh-CN"/>
              </w:rPr>
              <w:t>乙方</w:t>
            </w:r>
            <w:r>
              <w:rPr>
                <w:rFonts w:hint="eastAsia"/>
                <w:highlight w:val="none"/>
              </w:rPr>
              <w:t>必须在接报后1小时内响应，24小时内到达现场，3天内处理完毕。若故障规定时间内未能处理完毕的，</w:t>
            </w:r>
            <w:r>
              <w:rPr>
                <w:rFonts w:hint="eastAsia"/>
                <w:highlight w:val="none"/>
                <w:lang w:eastAsia="zh-CN"/>
              </w:rPr>
              <w:t>乙方</w:t>
            </w:r>
            <w:r>
              <w:rPr>
                <w:rFonts w:hint="eastAsia"/>
                <w:highlight w:val="none"/>
              </w:rPr>
              <w:t>必须提供同等配置的货物给予</w:t>
            </w:r>
            <w:r>
              <w:rPr>
                <w:rFonts w:hint="eastAsia"/>
                <w:highlight w:val="none"/>
                <w:lang w:eastAsia="zh-CN"/>
              </w:rPr>
              <w:t>甲方</w:t>
            </w:r>
            <w:r>
              <w:rPr>
                <w:rFonts w:hint="eastAsia"/>
                <w:highlight w:val="none"/>
              </w:rPr>
              <w:t>临时使用或采取应急措施解决，不得影响</w:t>
            </w:r>
            <w:r>
              <w:rPr>
                <w:rFonts w:hint="eastAsia"/>
                <w:highlight w:val="none"/>
                <w:lang w:eastAsia="zh-CN"/>
              </w:rPr>
              <w:t>甲方</w:t>
            </w:r>
            <w:r>
              <w:rPr>
                <w:rFonts w:hint="eastAsia"/>
                <w:highlight w:val="none"/>
              </w:rPr>
              <w:t>的正常工作业务。</w:t>
            </w:r>
          </w:p>
          <w:p w14:paraId="6C7173C5">
            <w:pPr>
              <w:pStyle w:val="4"/>
              <w:rPr>
                <w:rFonts w:hint="eastAsia"/>
                <w:highlight w:val="none"/>
              </w:rPr>
            </w:pPr>
            <w:r>
              <w:rPr>
                <w:rFonts w:hint="eastAsia"/>
                <w:highlight w:val="none"/>
              </w:rPr>
              <w:t>（五）提供服务热线、货物日常检修、定期巡检、现场支持服务、硬件替换服务等。</w:t>
            </w:r>
          </w:p>
          <w:p w14:paraId="6032B31D">
            <w:pPr>
              <w:pStyle w:val="4"/>
              <w:rPr>
                <w:rFonts w:hint="eastAsia"/>
                <w:highlight w:val="none"/>
              </w:rPr>
            </w:pPr>
            <w:r>
              <w:rPr>
                <w:rFonts w:hint="eastAsia"/>
                <w:highlight w:val="none"/>
              </w:rPr>
              <w:t>（六）乙方应有长期售后维修服务机构或稳定的维修服务合作伙伴，有完善的售后服务体系，对产品提供终身维修服务。</w:t>
            </w:r>
            <w:r>
              <w:rPr>
                <w:rFonts w:hint="eastAsia"/>
                <w:highlight w:val="none"/>
                <w:lang w:eastAsia="zh-CN"/>
              </w:rPr>
              <w:t>乙方</w:t>
            </w:r>
            <w:r>
              <w:rPr>
                <w:rFonts w:hint="eastAsia"/>
                <w:highlight w:val="none"/>
              </w:rPr>
              <w:t>需具备良好的售后服务能力，具备售后服务技术力量，提供包括保修范围、售后服务技术力量（包含但不限于售后服务点、售后服务人员及售后服务电话等）、质保期外的维修服务收费标准、服务响应服务承诺等内容及相关证明材料。</w:t>
            </w:r>
          </w:p>
          <w:p w14:paraId="4B1DE841">
            <w:pPr>
              <w:pStyle w:val="4"/>
              <w:rPr>
                <w:rFonts w:hint="eastAsia" w:ascii="宋体" w:hAnsi="宋体" w:eastAsia="宋体" w:cs="宋体"/>
                <w:highlight w:val="none"/>
                <w:lang w:val="en-US" w:eastAsia="zh-CN"/>
              </w:rPr>
            </w:pPr>
            <w:r>
              <w:rPr>
                <w:rFonts w:hint="eastAsia"/>
                <w:highlight w:val="none"/>
              </w:rPr>
              <w:t>（七）质量保证期内产生的相关费用包含在</w:t>
            </w:r>
            <w:r>
              <w:rPr>
                <w:rFonts w:hint="eastAsia"/>
                <w:highlight w:val="none"/>
                <w:lang w:eastAsia="zh-CN"/>
              </w:rPr>
              <w:t>合同价</w:t>
            </w:r>
            <w:r>
              <w:rPr>
                <w:rFonts w:hint="eastAsia"/>
                <w:highlight w:val="none"/>
              </w:rPr>
              <w:t>中。</w:t>
            </w:r>
          </w:p>
        </w:tc>
      </w:tr>
      <w:tr w14:paraId="6FECCD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tcPr>
          <w:p w14:paraId="117EF02A">
            <w:pPr>
              <w:rPr>
                <w:rFonts w:hint="default"/>
                <w:highlight w:val="none"/>
                <w:lang w:val="en-US" w:eastAsia="zh-CN"/>
              </w:rPr>
            </w:pPr>
            <w:r>
              <w:rPr>
                <w:rFonts w:hint="eastAsia"/>
                <w:highlight w:val="none"/>
                <w:lang w:val="en-US" w:eastAsia="zh-CN"/>
              </w:rPr>
              <w:t>13</w:t>
            </w:r>
          </w:p>
        </w:tc>
        <w:tc>
          <w:tcPr>
            <w:tcW w:w="1234" w:type="dxa"/>
            <w:vAlign w:val="top"/>
          </w:tcPr>
          <w:p w14:paraId="0E1A5A72">
            <w:pPr>
              <w:jc w:val="left"/>
              <w:rPr>
                <w:rFonts w:hint="eastAsia"/>
                <w:highlight w:val="none"/>
              </w:rPr>
            </w:pPr>
            <w:r>
              <w:rPr>
                <w:rFonts w:hint="eastAsia"/>
                <w:highlight w:val="none"/>
              </w:rPr>
              <w:t>违约责任</w:t>
            </w:r>
          </w:p>
          <w:p w14:paraId="14152872">
            <w:pPr>
              <w:jc w:val="center"/>
              <w:rPr>
                <w:highlight w:val="none"/>
              </w:rPr>
            </w:pPr>
          </w:p>
        </w:tc>
        <w:tc>
          <w:tcPr>
            <w:tcW w:w="6426" w:type="dxa"/>
            <w:vAlign w:val="top"/>
          </w:tcPr>
          <w:p w14:paraId="5CF0E589">
            <w:pPr>
              <w:jc w:val="left"/>
              <w:rPr>
                <w:rFonts w:hint="eastAsia"/>
                <w:highlight w:val="none"/>
              </w:rPr>
            </w:pPr>
            <w:r>
              <w:rPr>
                <w:rFonts w:hint="eastAsia"/>
                <w:highlight w:val="none"/>
              </w:rPr>
              <w:t>1、</w:t>
            </w:r>
            <w:r>
              <w:rPr>
                <w:rFonts w:hint="eastAsia"/>
                <w:highlight w:val="none"/>
                <w:lang w:eastAsia="zh-CN"/>
              </w:rPr>
              <w:t>乙方</w:t>
            </w:r>
            <w:r>
              <w:rPr>
                <w:rFonts w:hint="eastAsia"/>
                <w:highlight w:val="none"/>
              </w:rPr>
              <w:t>提供的货物不符合招标文件、投标文件或合同规定的，</w:t>
            </w:r>
            <w:r>
              <w:rPr>
                <w:rFonts w:hint="eastAsia"/>
                <w:highlight w:val="none"/>
                <w:lang w:eastAsia="zh-CN"/>
              </w:rPr>
              <w:t>甲方</w:t>
            </w:r>
            <w:r>
              <w:rPr>
                <w:rFonts w:hint="eastAsia"/>
                <w:highlight w:val="none"/>
              </w:rPr>
              <w:t>有权拒收，并根据不符合要求的货物的合同价格的30%向</w:t>
            </w:r>
            <w:r>
              <w:rPr>
                <w:rFonts w:hint="eastAsia"/>
                <w:highlight w:val="none"/>
                <w:lang w:eastAsia="zh-CN"/>
              </w:rPr>
              <w:t>甲方</w:t>
            </w:r>
            <w:r>
              <w:rPr>
                <w:rFonts w:hint="eastAsia"/>
                <w:highlight w:val="none"/>
              </w:rPr>
              <w:t>支付违约金，且须重新提供符合招标文件、投标文件或合同规定的货物，如在规定时间内不能提供的，</w:t>
            </w:r>
            <w:r>
              <w:rPr>
                <w:rFonts w:hint="eastAsia"/>
                <w:highlight w:val="none"/>
                <w:lang w:eastAsia="zh-CN"/>
              </w:rPr>
              <w:t>甲方</w:t>
            </w:r>
            <w:r>
              <w:rPr>
                <w:rFonts w:hint="eastAsia"/>
                <w:highlight w:val="none"/>
              </w:rPr>
              <w:t>有权自行购买该货物，费用由</w:t>
            </w:r>
            <w:r>
              <w:rPr>
                <w:rFonts w:hint="eastAsia"/>
                <w:highlight w:val="none"/>
                <w:lang w:eastAsia="zh-CN"/>
              </w:rPr>
              <w:t>乙方</w:t>
            </w:r>
            <w:r>
              <w:rPr>
                <w:rFonts w:hint="eastAsia"/>
                <w:highlight w:val="none"/>
              </w:rPr>
              <w:t>支付，由此造成</w:t>
            </w:r>
            <w:r>
              <w:rPr>
                <w:rFonts w:hint="eastAsia"/>
                <w:highlight w:val="none"/>
                <w:lang w:eastAsia="zh-CN"/>
              </w:rPr>
              <w:t>甲方</w:t>
            </w:r>
            <w:r>
              <w:rPr>
                <w:rFonts w:hint="eastAsia"/>
                <w:highlight w:val="none"/>
              </w:rPr>
              <w:t>的经济损失由</w:t>
            </w:r>
            <w:r>
              <w:rPr>
                <w:rFonts w:hint="eastAsia"/>
                <w:highlight w:val="none"/>
                <w:lang w:eastAsia="zh-CN"/>
              </w:rPr>
              <w:t>乙方</w:t>
            </w:r>
            <w:r>
              <w:rPr>
                <w:rFonts w:hint="eastAsia"/>
                <w:highlight w:val="none"/>
              </w:rPr>
              <w:t>承担。</w:t>
            </w:r>
          </w:p>
          <w:p w14:paraId="5434D71C">
            <w:pPr>
              <w:jc w:val="left"/>
              <w:rPr>
                <w:rFonts w:hint="eastAsia"/>
                <w:highlight w:val="none"/>
              </w:rPr>
            </w:pPr>
            <w:r>
              <w:rPr>
                <w:rFonts w:hint="eastAsia"/>
                <w:highlight w:val="none"/>
              </w:rPr>
              <w:t>2、</w:t>
            </w:r>
            <w:r>
              <w:rPr>
                <w:rFonts w:hint="eastAsia"/>
                <w:highlight w:val="none"/>
                <w:lang w:eastAsia="zh-CN"/>
              </w:rPr>
              <w:t>乙方</w:t>
            </w:r>
            <w:r>
              <w:rPr>
                <w:rFonts w:hint="eastAsia"/>
                <w:highlight w:val="none"/>
              </w:rPr>
              <w:t>未按要求履行合同，逾期交付货物，</w:t>
            </w:r>
            <w:r>
              <w:rPr>
                <w:rFonts w:hint="eastAsia"/>
                <w:highlight w:val="none"/>
                <w:lang w:eastAsia="zh-CN"/>
              </w:rPr>
              <w:t>乙方</w:t>
            </w:r>
            <w:r>
              <w:rPr>
                <w:rFonts w:hint="eastAsia"/>
                <w:highlight w:val="none"/>
              </w:rPr>
              <w:t>从逾期之日起按2000元/天向</w:t>
            </w:r>
            <w:r>
              <w:rPr>
                <w:rFonts w:hint="eastAsia"/>
                <w:highlight w:val="none"/>
                <w:lang w:eastAsia="zh-CN"/>
              </w:rPr>
              <w:t>甲方</w:t>
            </w:r>
            <w:r>
              <w:rPr>
                <w:rFonts w:hint="eastAsia"/>
                <w:highlight w:val="none"/>
              </w:rPr>
              <w:t>支付违约金；逾期15日以上时，</w:t>
            </w:r>
            <w:r>
              <w:rPr>
                <w:rFonts w:hint="eastAsia"/>
                <w:highlight w:val="none"/>
                <w:lang w:eastAsia="zh-CN"/>
              </w:rPr>
              <w:t>甲方</w:t>
            </w:r>
            <w:r>
              <w:rPr>
                <w:rFonts w:hint="eastAsia"/>
                <w:highlight w:val="none"/>
              </w:rPr>
              <w:t>有权终止合同，还有权要求乙方按合同金额的10%支付违约金，违约金不足以弥补损失的，甲方有权继续追偿。</w:t>
            </w:r>
          </w:p>
          <w:p w14:paraId="6DD6BCF4">
            <w:pPr>
              <w:jc w:val="left"/>
              <w:rPr>
                <w:rFonts w:hint="eastAsia"/>
                <w:highlight w:val="none"/>
              </w:rPr>
            </w:pPr>
            <w:r>
              <w:rPr>
                <w:rFonts w:hint="eastAsia"/>
                <w:highlight w:val="none"/>
              </w:rPr>
              <w:t>3、</w:t>
            </w:r>
            <w:r>
              <w:rPr>
                <w:rFonts w:hint="eastAsia"/>
                <w:highlight w:val="none"/>
                <w:lang w:eastAsia="zh-CN"/>
              </w:rPr>
              <w:t>甲方</w:t>
            </w:r>
            <w:r>
              <w:rPr>
                <w:rFonts w:hint="eastAsia"/>
                <w:highlight w:val="none"/>
              </w:rPr>
              <w:t>凡发现</w:t>
            </w:r>
            <w:r>
              <w:rPr>
                <w:rFonts w:hint="eastAsia"/>
                <w:highlight w:val="none"/>
                <w:lang w:eastAsia="zh-CN"/>
              </w:rPr>
              <w:t>乙方</w:t>
            </w:r>
            <w:r>
              <w:rPr>
                <w:rFonts w:hint="eastAsia"/>
                <w:highlight w:val="none"/>
              </w:rPr>
              <w:t>采用不合格品的、对</w:t>
            </w:r>
            <w:r>
              <w:rPr>
                <w:rFonts w:hint="eastAsia"/>
                <w:highlight w:val="none"/>
                <w:lang w:eastAsia="zh-CN"/>
              </w:rPr>
              <w:t>甲方</w:t>
            </w:r>
            <w:r>
              <w:rPr>
                <w:rFonts w:hint="eastAsia"/>
                <w:highlight w:val="none"/>
              </w:rPr>
              <w:t>认可的清单故意拖延不确认、不按照</w:t>
            </w:r>
            <w:r>
              <w:rPr>
                <w:rFonts w:hint="eastAsia"/>
                <w:highlight w:val="none"/>
                <w:lang w:eastAsia="zh-CN"/>
              </w:rPr>
              <w:t>甲方</w:t>
            </w:r>
            <w:r>
              <w:rPr>
                <w:rFonts w:hint="eastAsia"/>
                <w:highlight w:val="none"/>
              </w:rPr>
              <w:t>最终认可的样板及清单进行制作及安装、</w:t>
            </w:r>
            <w:r>
              <w:rPr>
                <w:rFonts w:hint="eastAsia"/>
                <w:highlight w:val="none"/>
                <w:lang w:eastAsia="zh-CN"/>
              </w:rPr>
              <w:t>乙方</w:t>
            </w:r>
            <w:r>
              <w:rPr>
                <w:rFonts w:hint="eastAsia"/>
                <w:highlight w:val="none"/>
              </w:rPr>
              <w:t>有以次充好行为的，发现以上任何一项均由</w:t>
            </w:r>
            <w:r>
              <w:rPr>
                <w:rFonts w:hint="eastAsia"/>
                <w:highlight w:val="none"/>
                <w:lang w:eastAsia="zh-CN"/>
              </w:rPr>
              <w:t>乙方</w:t>
            </w:r>
            <w:r>
              <w:rPr>
                <w:rFonts w:hint="eastAsia"/>
                <w:highlight w:val="none"/>
              </w:rPr>
              <w:t>立即更换或由</w:t>
            </w:r>
            <w:r>
              <w:rPr>
                <w:rFonts w:hint="eastAsia"/>
                <w:highlight w:val="none"/>
                <w:lang w:eastAsia="zh-CN"/>
              </w:rPr>
              <w:t>甲方</w:t>
            </w:r>
            <w:r>
              <w:rPr>
                <w:rFonts w:hint="eastAsia"/>
                <w:highlight w:val="none"/>
              </w:rPr>
              <w:t>安排其他单位进行制作安装或更换，所产生的费用将按实际发生额从</w:t>
            </w:r>
            <w:r>
              <w:rPr>
                <w:rFonts w:hint="eastAsia"/>
                <w:highlight w:val="none"/>
                <w:lang w:eastAsia="zh-CN"/>
              </w:rPr>
              <w:t>乙方</w:t>
            </w:r>
            <w:r>
              <w:rPr>
                <w:rFonts w:hint="eastAsia"/>
                <w:highlight w:val="none"/>
              </w:rPr>
              <w:t>的合同款项中扣除，情节严重的</w:t>
            </w:r>
            <w:r>
              <w:rPr>
                <w:rFonts w:hint="eastAsia"/>
                <w:highlight w:val="none"/>
                <w:lang w:eastAsia="zh-CN"/>
              </w:rPr>
              <w:t>甲方</w:t>
            </w:r>
            <w:r>
              <w:rPr>
                <w:rFonts w:hint="eastAsia"/>
                <w:highlight w:val="none"/>
              </w:rPr>
              <w:t>有权单方终止合同，并有权要求乙方按合同金额的10%支付违约金，违约金不足以弥补损失的，甲方有权继续追偿。</w:t>
            </w:r>
          </w:p>
          <w:p w14:paraId="62B8B13C">
            <w:pPr>
              <w:jc w:val="left"/>
              <w:rPr>
                <w:rFonts w:hint="eastAsia"/>
                <w:highlight w:val="none"/>
              </w:rPr>
            </w:pPr>
            <w:r>
              <w:rPr>
                <w:rFonts w:hint="eastAsia"/>
                <w:highlight w:val="none"/>
              </w:rPr>
              <w:t>4、如货物质量缺陷属于</w:t>
            </w:r>
            <w:r>
              <w:rPr>
                <w:rFonts w:hint="eastAsia"/>
                <w:highlight w:val="none"/>
                <w:lang w:eastAsia="zh-CN"/>
              </w:rPr>
              <w:t>乙方</w:t>
            </w:r>
            <w:r>
              <w:rPr>
                <w:rFonts w:hint="eastAsia"/>
                <w:highlight w:val="none"/>
              </w:rPr>
              <w:t>责任，</w:t>
            </w:r>
            <w:r>
              <w:rPr>
                <w:rFonts w:hint="eastAsia"/>
                <w:highlight w:val="none"/>
                <w:lang w:eastAsia="zh-CN"/>
              </w:rPr>
              <w:t>乙方</w:t>
            </w:r>
            <w:r>
              <w:rPr>
                <w:rFonts w:hint="eastAsia"/>
                <w:highlight w:val="none"/>
              </w:rPr>
              <w:t>须履行更换或维修义务，同时应就延迟更换或维修向</w:t>
            </w:r>
            <w:r>
              <w:rPr>
                <w:rFonts w:hint="eastAsia"/>
                <w:highlight w:val="none"/>
                <w:lang w:eastAsia="zh-CN"/>
              </w:rPr>
              <w:t>甲方</w:t>
            </w:r>
            <w:r>
              <w:rPr>
                <w:rFonts w:hint="eastAsia"/>
                <w:highlight w:val="none"/>
              </w:rPr>
              <w:t>承担违约责任，每迟延一日，</w:t>
            </w:r>
            <w:r>
              <w:rPr>
                <w:rFonts w:hint="eastAsia"/>
                <w:highlight w:val="none"/>
                <w:lang w:eastAsia="zh-CN"/>
              </w:rPr>
              <w:t>乙方</w:t>
            </w:r>
            <w:r>
              <w:rPr>
                <w:rFonts w:hint="eastAsia"/>
                <w:highlight w:val="none"/>
              </w:rPr>
              <w:t>应向</w:t>
            </w:r>
            <w:r>
              <w:rPr>
                <w:rFonts w:hint="eastAsia"/>
                <w:highlight w:val="none"/>
                <w:lang w:eastAsia="zh-CN"/>
              </w:rPr>
              <w:t>甲方</w:t>
            </w:r>
            <w:r>
              <w:rPr>
                <w:rFonts w:hint="eastAsia"/>
                <w:highlight w:val="none"/>
              </w:rPr>
              <w:t>支付人民币5000元作为违约金，按该货物价格的20%进行赔偿。质量保证期内，若经</w:t>
            </w:r>
            <w:r>
              <w:rPr>
                <w:rFonts w:hint="eastAsia"/>
                <w:highlight w:val="none"/>
                <w:lang w:eastAsia="zh-CN"/>
              </w:rPr>
              <w:t>乙方</w:t>
            </w:r>
            <w:r>
              <w:rPr>
                <w:rFonts w:hint="eastAsia"/>
                <w:highlight w:val="none"/>
              </w:rPr>
              <w:t>维修2次仍不能保证货物持续正常使用的，</w:t>
            </w:r>
            <w:r>
              <w:rPr>
                <w:rFonts w:hint="eastAsia"/>
                <w:highlight w:val="none"/>
                <w:lang w:eastAsia="zh-CN"/>
              </w:rPr>
              <w:t>甲方</w:t>
            </w:r>
            <w:r>
              <w:rPr>
                <w:rFonts w:hint="eastAsia"/>
                <w:highlight w:val="none"/>
              </w:rPr>
              <w:t>有权选择采取下列措施：（1）要求</w:t>
            </w:r>
            <w:r>
              <w:rPr>
                <w:rFonts w:hint="eastAsia"/>
                <w:highlight w:val="none"/>
                <w:lang w:eastAsia="zh-CN"/>
              </w:rPr>
              <w:t>乙方</w:t>
            </w:r>
            <w:r>
              <w:rPr>
                <w:rFonts w:hint="eastAsia"/>
                <w:highlight w:val="none"/>
              </w:rPr>
              <w:t>更换同种型号的同类新产品，相关一切费用由</w:t>
            </w:r>
            <w:r>
              <w:rPr>
                <w:rFonts w:hint="eastAsia"/>
                <w:highlight w:val="none"/>
                <w:lang w:eastAsia="zh-CN"/>
              </w:rPr>
              <w:t>乙方</w:t>
            </w:r>
            <w:r>
              <w:rPr>
                <w:rFonts w:hint="eastAsia"/>
                <w:highlight w:val="none"/>
              </w:rPr>
              <w:t>承担；或（2）要求退货退款，所涉相关费用（如运输费、税费等）由</w:t>
            </w:r>
            <w:r>
              <w:rPr>
                <w:rFonts w:hint="eastAsia"/>
                <w:highlight w:val="none"/>
                <w:lang w:eastAsia="zh-CN"/>
              </w:rPr>
              <w:t>乙方</w:t>
            </w:r>
            <w:r>
              <w:rPr>
                <w:rFonts w:hint="eastAsia"/>
                <w:highlight w:val="none"/>
              </w:rPr>
              <w:t>承担。无论</w:t>
            </w:r>
            <w:r>
              <w:rPr>
                <w:rFonts w:hint="eastAsia"/>
                <w:highlight w:val="none"/>
                <w:lang w:eastAsia="zh-CN"/>
              </w:rPr>
              <w:t>甲方</w:t>
            </w:r>
            <w:r>
              <w:rPr>
                <w:rFonts w:hint="eastAsia"/>
                <w:highlight w:val="none"/>
              </w:rPr>
              <w:t>采取何措施，</w:t>
            </w:r>
            <w:r>
              <w:rPr>
                <w:rFonts w:hint="eastAsia"/>
                <w:highlight w:val="none"/>
                <w:lang w:eastAsia="zh-CN"/>
              </w:rPr>
              <w:t>乙方</w:t>
            </w:r>
            <w:r>
              <w:rPr>
                <w:rFonts w:hint="eastAsia"/>
                <w:highlight w:val="none"/>
              </w:rPr>
              <w:t>均应按每件不能正常使用货物价格的30%向</w:t>
            </w:r>
            <w:r>
              <w:rPr>
                <w:rFonts w:hint="eastAsia"/>
                <w:highlight w:val="none"/>
                <w:lang w:eastAsia="zh-CN"/>
              </w:rPr>
              <w:t>甲方</w:t>
            </w:r>
            <w:r>
              <w:rPr>
                <w:rFonts w:hint="eastAsia"/>
                <w:highlight w:val="none"/>
              </w:rPr>
              <w:t>支付违约金，并赔偿</w:t>
            </w:r>
            <w:r>
              <w:rPr>
                <w:rFonts w:hint="eastAsia"/>
                <w:highlight w:val="none"/>
                <w:lang w:eastAsia="zh-CN"/>
              </w:rPr>
              <w:t>甲方</w:t>
            </w:r>
            <w:r>
              <w:rPr>
                <w:rFonts w:hint="eastAsia"/>
                <w:highlight w:val="none"/>
              </w:rPr>
              <w:t>损失。</w:t>
            </w:r>
          </w:p>
          <w:p w14:paraId="72D0CE22">
            <w:pPr>
              <w:jc w:val="left"/>
              <w:rPr>
                <w:rFonts w:hint="eastAsia"/>
                <w:highlight w:val="none"/>
              </w:rPr>
            </w:pPr>
            <w:r>
              <w:rPr>
                <w:rFonts w:hint="eastAsia"/>
                <w:highlight w:val="none"/>
                <w:lang w:val="en-US" w:eastAsia="zh-CN"/>
              </w:rPr>
              <w:t>5</w:t>
            </w:r>
            <w:r>
              <w:rPr>
                <w:rFonts w:hint="eastAsia"/>
                <w:highlight w:val="none"/>
              </w:rPr>
              <w:t>、</w:t>
            </w:r>
            <w:r>
              <w:rPr>
                <w:rFonts w:hint="eastAsia"/>
                <w:highlight w:val="none"/>
                <w:lang w:eastAsia="zh-CN"/>
              </w:rPr>
              <w:t>乙方</w:t>
            </w:r>
            <w:r>
              <w:rPr>
                <w:rFonts w:hint="eastAsia"/>
                <w:highlight w:val="none"/>
              </w:rPr>
              <w:t>拒绝或拖延履行售后服务义务的，由</w:t>
            </w:r>
            <w:r>
              <w:rPr>
                <w:rFonts w:hint="eastAsia"/>
                <w:highlight w:val="none"/>
                <w:lang w:eastAsia="zh-CN"/>
              </w:rPr>
              <w:t>乙方</w:t>
            </w:r>
            <w:r>
              <w:rPr>
                <w:rFonts w:hint="eastAsia"/>
                <w:highlight w:val="none"/>
              </w:rPr>
              <w:t>承担相关违约责任，</w:t>
            </w:r>
            <w:r>
              <w:rPr>
                <w:rFonts w:hint="eastAsia"/>
                <w:highlight w:val="none"/>
                <w:lang w:eastAsia="zh-CN"/>
              </w:rPr>
              <w:t>甲方</w:t>
            </w:r>
            <w:r>
              <w:rPr>
                <w:rFonts w:hint="eastAsia"/>
                <w:highlight w:val="none"/>
              </w:rPr>
              <w:t>有权拒付合同价款余额（如有），合同价款余额（如有）不足以弥补</w:t>
            </w:r>
            <w:r>
              <w:rPr>
                <w:rFonts w:hint="eastAsia"/>
                <w:highlight w:val="none"/>
                <w:lang w:eastAsia="zh-CN"/>
              </w:rPr>
              <w:t>甲方</w:t>
            </w:r>
            <w:r>
              <w:rPr>
                <w:rFonts w:hint="eastAsia"/>
                <w:highlight w:val="none"/>
              </w:rPr>
              <w:t>实际损失的，</w:t>
            </w:r>
            <w:r>
              <w:rPr>
                <w:rFonts w:hint="eastAsia"/>
                <w:highlight w:val="none"/>
                <w:lang w:eastAsia="zh-CN"/>
              </w:rPr>
              <w:t>乙方</w:t>
            </w:r>
            <w:r>
              <w:rPr>
                <w:rFonts w:hint="eastAsia"/>
                <w:highlight w:val="none"/>
              </w:rPr>
              <w:t>仍应承担赔偿责任。</w:t>
            </w:r>
          </w:p>
          <w:p w14:paraId="721326E7">
            <w:pPr>
              <w:jc w:val="left"/>
              <w:rPr>
                <w:rFonts w:hint="eastAsia" w:ascii="宋体" w:hAnsi="宋体" w:eastAsia="宋体" w:cs="宋体"/>
                <w:highlight w:val="none"/>
                <w:lang w:val="en-US" w:eastAsia="zh-CN"/>
              </w:rPr>
            </w:pPr>
            <w:r>
              <w:rPr>
                <w:rFonts w:hint="eastAsia"/>
                <w:highlight w:val="none"/>
                <w:lang w:val="en-US" w:eastAsia="zh-CN"/>
              </w:rPr>
              <w:t>6</w:t>
            </w:r>
            <w:r>
              <w:rPr>
                <w:rFonts w:hint="eastAsia"/>
                <w:highlight w:val="none"/>
              </w:rPr>
              <w:t>、其它违约责任按《中华人民共和国民法典》处理。</w:t>
            </w:r>
          </w:p>
        </w:tc>
      </w:tr>
      <w:tr w14:paraId="64DDFE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tcPr>
          <w:p w14:paraId="318CEADB">
            <w:pPr>
              <w:rPr>
                <w:rFonts w:hint="default"/>
                <w:highlight w:val="none"/>
                <w:lang w:val="en-US" w:eastAsia="zh-CN"/>
              </w:rPr>
            </w:pPr>
            <w:r>
              <w:rPr>
                <w:rFonts w:hint="eastAsia"/>
                <w:highlight w:val="none"/>
                <w:lang w:val="en-US" w:eastAsia="zh-CN"/>
              </w:rPr>
              <w:t>14</w:t>
            </w:r>
          </w:p>
        </w:tc>
        <w:tc>
          <w:tcPr>
            <w:tcW w:w="1234" w:type="dxa"/>
            <w:vAlign w:val="top"/>
          </w:tcPr>
          <w:p w14:paraId="2F011FFA">
            <w:pPr>
              <w:pStyle w:val="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变更及结算要求</w:t>
            </w:r>
          </w:p>
          <w:p w14:paraId="10BD283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highlight w:val="none"/>
              </w:rPr>
            </w:pPr>
          </w:p>
        </w:tc>
        <w:tc>
          <w:tcPr>
            <w:tcW w:w="6426" w:type="dxa"/>
            <w:vAlign w:val="top"/>
          </w:tcPr>
          <w:p w14:paraId="2C84A4DB">
            <w:pPr>
              <w:pStyle w:val="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（一）变更的范围</w:t>
            </w:r>
          </w:p>
          <w:p w14:paraId="297F6188">
            <w:pPr>
              <w:pStyle w:val="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1、关于变更范围的约定：乙方在供货时不得以任何理由做主动变更，合同履行过程中发生以下情形的，应按照本条约定进行变更：</w:t>
            </w:r>
          </w:p>
          <w:p w14:paraId="49890327">
            <w:pPr>
              <w:pStyle w:val="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（1）取消合同中任何工作，但经甲方同意转由他人实施的工作除外；</w:t>
            </w:r>
          </w:p>
          <w:p w14:paraId="55EDA84C">
            <w:pPr>
              <w:pStyle w:val="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（2）增加或减少合同中任何工作，或追加额外的工作；</w:t>
            </w:r>
          </w:p>
          <w:p w14:paraId="4ABB1A75">
            <w:pPr>
              <w:pStyle w:val="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（3）改变合同中任何工作的质量标准或其他特性（包括但不限于家具的型号、规格、参数）。</w:t>
            </w:r>
          </w:p>
          <w:p w14:paraId="5F2C1D71">
            <w:pPr>
              <w:pStyle w:val="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2、甲方一律不接受除尺寸外的负偏离变更，只接受优于或等于原方案的产品，若供货后发现功能不满足投标文件的（验收时需对采购要求逐一核对），甲方一律不予验收，所带来的损失甲方概不负责。</w:t>
            </w:r>
          </w:p>
          <w:p w14:paraId="2818236A">
            <w:pPr>
              <w:pStyle w:val="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3、项目实施过程中，甲方可能根据项目的实际情况进行调整的，需要在乙方下订货合同之前提出，经甲乙双方及设计人、监理人确认方案可行的，经设计人、监理人、甲方及其他相关单位核认办理变更手续。</w:t>
            </w:r>
          </w:p>
          <w:p w14:paraId="56F08DD0">
            <w:pPr>
              <w:pStyle w:val="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（二）变更估价</w:t>
            </w:r>
          </w:p>
          <w:p w14:paraId="051637FB">
            <w:pPr>
              <w:pStyle w:val="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1、变更估价原则</w:t>
            </w:r>
          </w:p>
          <w:p w14:paraId="01D1E6D1">
            <w:pPr>
              <w:pStyle w:val="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关于变更估价的约定:依据合同条款约定的变更范围、变更审批程序，变更估价按照本款约定执行：</w:t>
            </w:r>
          </w:p>
          <w:p w14:paraId="5769CD79">
            <w:pPr>
              <w:pStyle w:val="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（1）合同报价清单明细表中有适用于变更采购清单项目的，应采用该项目的单价，若清单有多个单价的，按最低单价计算；</w:t>
            </w:r>
          </w:p>
          <w:p w14:paraId="54A86A3C">
            <w:pPr>
              <w:pStyle w:val="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（2）合同报价清单明细表中没有适用但有类似于变更采购清单项目的，可在合理范围内参照类似项目以正立面投影面积换算的最低单价计算；</w:t>
            </w:r>
          </w:p>
          <w:p w14:paraId="4921160D">
            <w:pPr>
              <w:pStyle w:val="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（3）合同报价清单明细表中没有适用也没有类似于变更项目的，或类似项目的综合单价不适用时，新增单价以询价方式确定，并乘以结算系数后作为项目结算的综合单价。</w:t>
            </w:r>
          </w:p>
          <w:p w14:paraId="410C0892">
            <w:pPr>
              <w:pStyle w:val="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注：结算系数=中标总价-/最高限价</w:t>
            </w:r>
          </w:p>
          <w:p w14:paraId="7D1E099D">
            <w:pPr>
              <w:pStyle w:val="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（4）项目变更（含签证）措施及其他项目费：不予给付。</w:t>
            </w:r>
          </w:p>
          <w:p w14:paraId="6D8DB71D">
            <w:pPr>
              <w:pStyle w:val="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项目变更时效与程序：乙方应在收到项目变更文件后14个日历天内，按照甲方项目变更管理办法要求向甲方提交项目变更申报审批表和项目变更预算书。甲方应在收到乙方提交的项目变更申报审批表和项目变更预算书后7个日历天内审查完毕，甲方对项目变更申报审批表和项目变更预算书有异议的，通知乙方修改后7个日历天内重新提交。如因甲方拖延审批时间造成的损失及工期延误由甲方负责，如乙方超出上述时间向甲方提出申请的，且乙方在甲方审批之前已经实施项目变更（特殊情况包括抢险、影响工期关键线路需要立即实施且经甲方认可的除外），甲方有权拒绝支付项目变更费用。</w:t>
            </w:r>
          </w:p>
          <w:p w14:paraId="13D68065">
            <w:pPr>
              <w:pStyle w:val="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（三）结算要求：</w:t>
            </w:r>
          </w:p>
          <w:p w14:paraId="44E609CD">
            <w:pPr>
              <w:pStyle w:val="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highlight w:val="none"/>
                <w:lang w:val="en-US" w:eastAsia="zh-CN"/>
              </w:rPr>
            </w:pPr>
            <w:r>
              <w:rPr>
                <w:rFonts w:hint="eastAsia" w:ascii="宋体" w:hAnsi="宋体" w:eastAsia="宋体" w:cs="宋体"/>
                <w:sz w:val="21"/>
                <w:szCs w:val="21"/>
                <w:highlight w:val="none"/>
              </w:rPr>
              <w:t>乙方需与甲方逐一落实货物的功能需求、尺寸，最终以甲方实际的安装数量为准，结算也以实际安装数量结算。货物尺寸变化在不超过-10%或+10%的，价格不作变更；货物尺寸变化超过-10%或+10%的，按实际安装尺寸/需求规格尺寸*该单品中标单价结算。具体如下：所有家具均按家具正立面投影尺寸以平方米换算合同报价清单明细表单价，如甲方确定的家具面积与原合同家具变化不超过-10%或+10%的，该家具价格不作调整，如变化超过-10%或+10%的，按换算单价×实际面积计算该家具价格。本款所称家具正立面投影尺寸是指家具柜或台的尺寸，不包括固定家具与建筑墙体或天棚收边收口装饰板尺寸、家具靠墙台面翻边尺寸，收边收口装饰板或靠墙台面翻边板价格不另结算价格。</w:t>
            </w:r>
          </w:p>
        </w:tc>
      </w:tr>
      <w:tr w14:paraId="37A4D7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1" w:type="dxa"/>
          </w:tcPr>
          <w:p w14:paraId="55A6DEC8">
            <w:pPr>
              <w:rPr>
                <w:rFonts w:hint="default"/>
                <w:highlight w:val="none"/>
                <w:lang w:val="en-US" w:eastAsia="zh-CN"/>
              </w:rPr>
            </w:pPr>
            <w:r>
              <w:rPr>
                <w:rFonts w:hint="eastAsia"/>
                <w:highlight w:val="none"/>
                <w:lang w:val="en-US" w:eastAsia="zh-CN"/>
              </w:rPr>
              <w:t>15</w:t>
            </w:r>
          </w:p>
        </w:tc>
        <w:tc>
          <w:tcPr>
            <w:tcW w:w="1234" w:type="dxa"/>
            <w:vAlign w:val="top"/>
          </w:tcPr>
          <w:p w14:paraId="09B886A3">
            <w:pPr>
              <w:jc w:val="left"/>
              <w:rPr>
                <w:highlight w:val="none"/>
              </w:rPr>
            </w:pPr>
            <w:r>
              <w:rPr>
                <w:highlight w:val="none"/>
              </w:rPr>
              <w:t>其他要求</w:t>
            </w:r>
          </w:p>
        </w:tc>
        <w:tc>
          <w:tcPr>
            <w:tcW w:w="6426" w:type="dxa"/>
            <w:vAlign w:val="top"/>
          </w:tcPr>
          <w:p w14:paraId="52C8578E">
            <w:pPr>
              <w:jc w:val="left"/>
              <w:rPr>
                <w:rFonts w:hint="eastAsia" w:ascii="宋体" w:hAnsi="宋体" w:eastAsia="宋体" w:cs="宋体"/>
                <w:sz w:val="21"/>
                <w:szCs w:val="21"/>
                <w:highlight w:val="none"/>
              </w:rPr>
            </w:pPr>
            <w:r>
              <w:rPr>
                <w:rFonts w:hint="eastAsia"/>
                <w:highlight w:val="none"/>
                <w:lang w:eastAsia="zh-CN"/>
              </w:rPr>
              <w:t>乙方</w:t>
            </w:r>
            <w:r>
              <w:rPr>
                <w:rFonts w:hint="eastAsia"/>
                <w:highlight w:val="none"/>
              </w:rPr>
              <w:t>将所有货物安装并调试完毕后，需提供有效资质的第三方检测机构出具的该场室的空气质量检测报告，根据《居室空气中甲醛的卫生标准》规定：居室空气中甲醛的最高容许浓度为0.08mg/m³，若空气中甲醛含量＞0.08mg/m³，由</w:t>
            </w:r>
            <w:r>
              <w:rPr>
                <w:rFonts w:hint="eastAsia"/>
                <w:highlight w:val="none"/>
                <w:lang w:eastAsia="zh-CN"/>
              </w:rPr>
              <w:t>乙方</w:t>
            </w:r>
            <w:r>
              <w:rPr>
                <w:rFonts w:hint="eastAsia"/>
                <w:highlight w:val="none"/>
              </w:rPr>
              <w:t>制定和实施除甲醛方案，直至甲醛含量≤0.08mg/m³。</w:t>
            </w:r>
            <w:r>
              <w:rPr>
                <w:rFonts w:hint="eastAsia"/>
                <w:highlight w:val="none"/>
                <w:lang w:val="en-US" w:eastAsia="zh-CN"/>
              </w:rPr>
              <w:t>由此产生的费用由乙方承担。</w:t>
            </w:r>
          </w:p>
        </w:tc>
      </w:tr>
    </w:tbl>
    <w:p w14:paraId="6E6A064D">
      <w:pPr>
        <w:pStyle w:val="15"/>
        <w:rPr>
          <w:rFonts w:hint="eastAsia"/>
          <w:highlight w:val="none"/>
          <w:lang w:val="en-US" w:eastAsia="zh-CN"/>
        </w:rPr>
      </w:pPr>
      <w:r>
        <w:rPr>
          <w:rFonts w:hint="eastAsia"/>
          <w:highlight w:val="none"/>
          <w:lang w:val="en-US" w:eastAsia="zh-CN"/>
        </w:rPr>
        <w:t>技术要求</w:t>
      </w:r>
    </w:p>
    <w:p w14:paraId="1F68E4F4">
      <w:pPr>
        <w:keepLines w:val="0"/>
        <w:pageBreakBefore w:val="0"/>
        <w:kinsoku/>
        <w:wordWrap/>
        <w:overflowPunct/>
        <w:topLinePunct w:val="0"/>
        <w:bidi w:val="0"/>
        <w:snapToGrid/>
        <w:spacing w:line="240" w:lineRule="auto"/>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（一）家具采购项目（第二期）清单及其材质要求：</w:t>
      </w:r>
    </w:p>
    <w:tbl>
      <w:tblPr>
        <w:tblStyle w:val="11"/>
        <w:tblW w:w="854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5"/>
        <w:gridCol w:w="1410"/>
        <w:gridCol w:w="1843"/>
        <w:gridCol w:w="671"/>
        <w:gridCol w:w="3879"/>
      </w:tblGrid>
      <w:tr w14:paraId="23F1A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7" w:hRule="atLeast"/>
          <w:tblHeader/>
        </w:trPr>
        <w:tc>
          <w:tcPr>
            <w:tcW w:w="745"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C2A1EE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1410"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CD6896F">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1843"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729E55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规格（mm）</w:t>
            </w:r>
          </w:p>
        </w:tc>
        <w:tc>
          <w:tcPr>
            <w:tcW w:w="671"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23392E">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数量</w:t>
            </w:r>
          </w:p>
        </w:tc>
        <w:tc>
          <w:tcPr>
            <w:tcW w:w="3879"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81F44EB">
            <w:pPr>
              <w:keepNext w:val="0"/>
              <w:keepLines w:val="0"/>
              <w:widowControl/>
              <w:suppressLineNumbers w:val="0"/>
              <w:spacing w:line="240" w:lineRule="auto"/>
              <w:jc w:val="center"/>
              <w:textAlignment w:val="center"/>
              <w:rPr>
                <w:rFonts w:hint="default" w:ascii="宋体" w:hAnsi="宋体" w:eastAsia="宋体" w:cs="宋体"/>
                <w:b/>
                <w:bCs/>
                <w:i w:val="0"/>
                <w:iCs w:val="0"/>
                <w:color w:val="000000"/>
                <w:sz w:val="21"/>
                <w:szCs w:val="21"/>
                <w:highlight w:val="none"/>
                <w:u w:val="none"/>
                <w:lang w:val="en-US"/>
              </w:rPr>
            </w:pPr>
            <w:r>
              <w:rPr>
                <w:rFonts w:hint="eastAsia" w:ascii="宋体" w:hAnsi="宋体" w:eastAsia="宋体" w:cs="宋体"/>
                <w:b/>
                <w:bCs/>
                <w:i w:val="0"/>
                <w:iCs w:val="0"/>
                <w:color w:val="000000"/>
                <w:kern w:val="0"/>
                <w:sz w:val="21"/>
                <w:szCs w:val="21"/>
                <w:highlight w:val="none"/>
                <w:u w:val="none"/>
                <w:lang w:val="en-US" w:eastAsia="zh-CN" w:bidi="ar"/>
              </w:rPr>
              <w:t>材质要求</w:t>
            </w:r>
          </w:p>
        </w:tc>
      </w:tr>
      <w:tr w14:paraId="3139B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C168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B3BF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304不锈钢柜</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22BF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W900*D500*H1850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7125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6DC4E">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【主材厚度】采用 304 不锈钢</w:t>
            </w:r>
          </w:p>
        </w:tc>
      </w:tr>
      <w:tr w14:paraId="29515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6F7A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3209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班前椅</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2FAB9">
            <w:pPr>
              <w:keepNext w:val="0"/>
              <w:keepLines w:val="0"/>
              <w:widowControl/>
              <w:suppressLineNumbers w:val="0"/>
              <w:spacing w:line="240" w:lineRule="auto"/>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W900*D650*H950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DD75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8E690">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【背框】背框为尼龙加纤（PA+GF）:高强度塑料材质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【网料】涤纶+PVC</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【布料】原料涤纶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【扶手】尼龙加纤</w:t>
            </w:r>
          </w:p>
        </w:tc>
      </w:tr>
      <w:tr w14:paraId="70C45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6"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2E5B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6948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医用工作椅 A</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DD36B">
            <w:pPr>
              <w:keepNext w:val="0"/>
              <w:keepLines w:val="0"/>
              <w:widowControl/>
              <w:suppressLineNumbers w:val="0"/>
              <w:spacing w:line="240" w:lineRule="auto"/>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W620*D550*H800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CDB4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253</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88005">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【背框】背框为尼龙加纤</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【网料】涤纶+PVC</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【扶手】尼龙加纤</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【底盘】普通底盘（无托）</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【五星脚】塑料脚 PA(尼龙)</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【背部】带有旋转功能组</w:t>
            </w:r>
          </w:p>
        </w:tc>
      </w:tr>
      <w:tr w14:paraId="046AF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EDC5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EE7E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医用工作桌</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65C4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W1400*D700*750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180B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64</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CB4F2">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面板：选用环保型多层胶合板</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台架：采用0.8mm电解钢板制作</w:t>
            </w:r>
          </w:p>
          <w:p w14:paraId="4B4614F6">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钢制二抽吊柜</w:t>
            </w:r>
          </w:p>
        </w:tc>
      </w:tr>
      <w:tr w14:paraId="49C3C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6"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D937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6C8E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医用工作桌A</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7B3C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W1400*D700*750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38E8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238</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6E274">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主材厚度】采用 E1 级环保生态实木多层板；金属台架；</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其他：柜台制作安装包含了将土建预留的强弱电线路引入和面板采购安装的工程量，柜台制作安装需根据现场土建装修的实际情况进行深化设计，并包含深化设计后的实物工程量。</w:t>
            </w:r>
          </w:p>
        </w:tc>
      </w:tr>
      <w:tr w14:paraId="146EE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BABB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687C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医用工作桌A</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F589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W1500*D1200*750/1100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A790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52501">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选用环保型多层胶合板，钢制作台架</w:t>
            </w:r>
          </w:p>
        </w:tc>
      </w:tr>
      <w:tr w14:paraId="74A71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EB9D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8A9A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医用工作桌D</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837A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W1000*D500*H750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513A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1E720">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选用环保型多层胶合板基材表面木纹色三聚氰胺饰面</w:t>
            </w:r>
          </w:p>
        </w:tc>
      </w:tr>
      <w:tr w14:paraId="65D8F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2"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90EF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2D50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医用餐椅</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6F88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W450*D450*H850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44B4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22C65">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【背框】ABS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【椅脚】采用 1.5mm 钢管，表面喷粉处理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【皮料】西皮</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【海绵】采用高密度发泡成型棉。</w:t>
            </w:r>
          </w:p>
        </w:tc>
      </w:tr>
      <w:tr w14:paraId="29E7F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3"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D0A3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2B94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医用餐椅</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5FF8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W450*D450*H850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DA6A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FCD65">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【背框】ABS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【椅脚】采用 1.5mm 钢管，表面喷粉处理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【皮料】西皮</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【海绵】采用高密度发泡成型棉。</w:t>
            </w:r>
          </w:p>
        </w:tc>
      </w:tr>
      <w:tr w14:paraId="08F67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A72E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845F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医用餐桌</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C824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W1400*D600*H750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DDF4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0928E">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【主材厚度】台面板采用 实木多层板；面贴木纹色防火板；钢制脚架，表面静电粉末喷涂处理。</w:t>
            </w:r>
          </w:p>
        </w:tc>
      </w:tr>
      <w:tr w14:paraId="5D3C9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53EB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A507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医用茶水柜</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498C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W900*D500*H850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CC2A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D036C">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采用环保型多层胶合板                                </w:t>
            </w:r>
          </w:p>
        </w:tc>
      </w:tr>
      <w:tr w14:paraId="713AE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3"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D90D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856E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医用床头柜</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A72A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W500*D500*H600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9585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62</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30A0F">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【主材厚度】采用16mm实木多层板。</w:t>
            </w:r>
          </w:p>
        </w:tc>
      </w:tr>
      <w:tr w14:paraId="0004B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9"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231D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EAAA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单边实验台B</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EBBD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W2000*D750*H850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1D14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8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5DAC6C">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【主材厚度】台面板采用理化板，其余采用采用一级电解钢板（电解处理），表面采用环保室内型环氧树脂静电粉末喷涂；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【五金配组】采用消声承重国标三节导轨、耐用缓冲液压式门铰五金配组；</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【结构组组】理化板台面+钢制柜。</w:t>
            </w:r>
          </w:p>
        </w:tc>
      </w:tr>
      <w:tr w14:paraId="74565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2"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F4AC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B932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单边实验台B</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B117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W2900*D750*H850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FB32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77BBED">
            <w:pPr>
              <w:spacing w:line="240" w:lineRule="auto"/>
              <w:jc w:val="center"/>
              <w:rPr>
                <w:rFonts w:hint="eastAsia" w:ascii="宋体" w:hAnsi="宋体" w:eastAsia="宋体" w:cs="宋体"/>
                <w:i w:val="0"/>
                <w:iCs w:val="0"/>
                <w:color w:val="000000"/>
                <w:sz w:val="21"/>
                <w:szCs w:val="21"/>
                <w:highlight w:val="none"/>
                <w:u w:val="none"/>
              </w:rPr>
            </w:pPr>
          </w:p>
        </w:tc>
      </w:tr>
      <w:tr w14:paraId="6607F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1"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8601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8DC5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医用单人床</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773E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W2000*D1000*H450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2F56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72</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4CDD0">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【主材材质及厚度】1.采用实木多层板</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2.含50MM床垫</w:t>
            </w:r>
          </w:p>
        </w:tc>
      </w:tr>
      <w:tr w14:paraId="04385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92D3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45E1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医用单人衣柜</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2D0F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W900*D500*H1850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44C8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72</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CEC45">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采用优质电解钢板</w:t>
            </w:r>
          </w:p>
        </w:tc>
      </w:tr>
      <w:tr w14:paraId="7F208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B36A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8822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等候椅四人位</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D73F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四人位</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A1CE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38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AEFDB9">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椅面：采用100%聚亚氨脂（PU 自洁皮）内衬加强玻纤</w:t>
            </w:r>
          </w:p>
        </w:tc>
      </w:tr>
      <w:tr w14:paraId="7D462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9"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6F3B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1F20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等候椅三人位</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C544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三人位</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DA5B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DFE1C0">
            <w:pPr>
              <w:spacing w:line="240" w:lineRule="auto"/>
              <w:jc w:val="left"/>
              <w:rPr>
                <w:rFonts w:hint="eastAsia" w:ascii="宋体" w:hAnsi="宋体" w:eastAsia="宋体" w:cs="宋体"/>
                <w:i w:val="0"/>
                <w:iCs w:val="0"/>
                <w:color w:val="000000"/>
                <w:sz w:val="21"/>
                <w:szCs w:val="21"/>
                <w:highlight w:val="none"/>
                <w:u w:val="none"/>
              </w:rPr>
            </w:pPr>
          </w:p>
        </w:tc>
      </w:tr>
      <w:tr w14:paraId="5D6E3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CEFF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0AD0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医用方桌</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BF93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W800*D800*H750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730A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FCCF0">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【主材厚度】台面板采用实木多层板；</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【结构组组】主台面+2 个Φ400 喷涂圆盘脚。</w:t>
            </w:r>
          </w:p>
        </w:tc>
      </w:tr>
      <w:tr w14:paraId="0CDF9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7"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18C7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1729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更衣柜</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A661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W1700*D500*H2000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3E96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CCCB8">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【主材材质及厚度】采用实木多层板</w:t>
            </w:r>
          </w:p>
        </w:tc>
      </w:tr>
      <w:tr w14:paraId="29C9E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3"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BD64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8CB5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更衣柜-钢质 2 门</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4EE5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W300*D500*H1850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2FA4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D3328">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【主材厚度】采用 一级电解钢板（电解处理）；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【五金配组】每门带锁、标签插槽，锁具、铰链。</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【结构组组】更衣柜为掩门，每门上方一层板+挂衣杆+下方一层。</w:t>
            </w:r>
          </w:p>
        </w:tc>
      </w:tr>
      <w:tr w14:paraId="720B3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AC61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D855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更衣柜-钢质 6 门</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FA22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W900*D500*H1850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FB9E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274</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D14CB">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【主材厚度】采用 一级电解钢板（电解处理）；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【五金配组】每门带锁、标签插槽，锁具、铰链。</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【结构组组】更衣柜为横向三掩门，每门上方一层板+挂衣杆+下方一层。</w:t>
            </w:r>
          </w:p>
        </w:tc>
      </w:tr>
      <w:tr w14:paraId="3C926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9"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2D96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924D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护士工作椅</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998F6">
            <w:pPr>
              <w:keepNext w:val="0"/>
              <w:keepLines w:val="0"/>
              <w:widowControl/>
              <w:suppressLineNumbers w:val="0"/>
              <w:spacing w:line="240" w:lineRule="auto"/>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W620*D550*H800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191D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89</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7C776">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【背框】背框为环保多层实木板，高强度结实耐用，整体外形美观。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【椅脚】采用圆形钢管，表面电镀处理，硬度大，韧性好，安全性高。</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【皮料】医用西皮；</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【海绵】采用高密度发泡成型棉。</w:t>
            </w:r>
          </w:p>
        </w:tc>
      </w:tr>
      <w:tr w14:paraId="799AE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0"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8A4E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538D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护士站</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E575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W2900+5650+1700*D700*H750/1100（U型）</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9194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2D857">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【主材厚度】采用实木多层板；人造大理石台面。</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【五金配组】采用消声承重国标三节导轨、耐用缓冲液压式门铰、三合一偏心连接组等五金配组。</w:t>
            </w:r>
          </w:p>
        </w:tc>
      </w:tr>
      <w:tr w14:paraId="582C6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0"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8D22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1467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护士站</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C731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W4050+2300*D700*H750/1100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9378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3F342">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【主材厚度】采用实木多层板；人造大理石台面。</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【五金配组】采用消声承重国标三节导轨、耐用缓冲液压式门铰、三合一偏心连接组等五金配组。</w:t>
            </w:r>
          </w:p>
        </w:tc>
      </w:tr>
      <w:tr w14:paraId="1CAAA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DA3E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6AEA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换鞋凳</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5C11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W1200*D400*H450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A747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12EC2">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1.采用优质电解钢板；                                   2.鞋柜上下均分二层，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3.柜顶为西皮内包高密度海棉座垫。</w:t>
            </w:r>
          </w:p>
        </w:tc>
      </w:tr>
      <w:tr w14:paraId="2AB48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6"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E05D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D552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换鞋柜</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9FB0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W900*D500*H1850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AFC1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0DB97">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【主材厚度】采用一级电解钢板（电解处理）；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【五金配组】每门带锁、标签插槽，锁具、铰链。</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【结构组组】鞋柜上下均分五层，左右均分三格，共分为 15 门；每门带锁、标签插槽。</w:t>
            </w:r>
          </w:p>
        </w:tc>
      </w:tr>
      <w:tr w14:paraId="6E12E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DAEC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28</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54C5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讲台</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A865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W900*D450*H1100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51C9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86947">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【主材厚度】采用实木多层板；木纹三聚氰胺饰面；</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【工艺功能】采用 PVC 封边条；</w:t>
            </w:r>
          </w:p>
        </w:tc>
      </w:tr>
      <w:tr w14:paraId="0B5EB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D0D9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29</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4893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就诊椅</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D0B39">
            <w:pPr>
              <w:keepNext w:val="0"/>
              <w:keepLines w:val="0"/>
              <w:widowControl/>
              <w:suppressLineNumbers w:val="0"/>
              <w:spacing w:line="240" w:lineRule="auto"/>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W370*D350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D923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BE282">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304不锈钢底座，实木框架，高密度海绵，表面为医用皮革。</w:t>
            </w:r>
          </w:p>
        </w:tc>
      </w:tr>
      <w:tr w14:paraId="71042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6710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66C2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沙发</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7343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三人位</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6507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0D140">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【主材】木方；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【海绵】采用高密度30#-45#海绵；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【面料】选用西皮。</w:t>
            </w:r>
          </w:p>
        </w:tc>
      </w:tr>
      <w:tr w14:paraId="6B501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C887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05B4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实验台</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75D2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W2000*D1500*H850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6C9D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CE1C8">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1.材料：柜体及柜门采用电解钢板制作，表面静电粉末喷涂处理；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2.工艺：金属表面采用优质品牌抑菌粉末全自动涂装工艺，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3.五金件（带锁具）：采用优质品牌三节静音滚珠滑轨、阻尼铰链，无撞击噪音设计。采用内嵌长条型 PVC 拉手.                                                      4.配置：独立背架结构，内藏走线功能，配三叉水龙头，PP大水槽。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5.具有调平功能,底部配置 4 个调节脚</w:t>
            </w:r>
          </w:p>
        </w:tc>
      </w:tr>
      <w:tr w14:paraId="37BD4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1377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32</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37B7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示教椅</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FDB1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W720*D650*H950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5173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254</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75CF6">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【背框】背框为尼龙加纤（PA+GF）:高强度塑料材质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【网料】涤纶+PVC</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【板材（夹板）】背板和坐垫板材使用 E1 板材，</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 xml:space="preserve">【布料】原料涤纶，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【扶手】尼龙加纤</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【海绵】35 密度海绵</w:t>
            </w:r>
          </w:p>
        </w:tc>
      </w:tr>
      <w:tr w14:paraId="310C3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D902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8E60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示教桌</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41CB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W1800*D400*H750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4D5D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20F37">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【主材厚度】采用E1实木多层板，钢制作台架</w:t>
            </w:r>
          </w:p>
        </w:tc>
      </w:tr>
      <w:tr w14:paraId="5363F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B74B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821F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双人床</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EFC7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W2000*D1500*H450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1322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29</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BEBE2">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【主材材质及厚度】1.采用实木多层板</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2.含50MM床垫</w:t>
            </w:r>
          </w:p>
        </w:tc>
      </w:tr>
      <w:tr w14:paraId="436F5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B68B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1D3C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谈话桌</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AD61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W1500*D1000*H750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E36C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1CB17">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【主材厚度】采用实木多层板；三聚氰胺饰面；全钢制台架；</w:t>
            </w:r>
          </w:p>
        </w:tc>
      </w:tr>
      <w:tr w14:paraId="033BF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6"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FE7A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36</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AF9F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文件柜 </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C15B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W900*D450*H2000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49AF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218</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01D39">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1.柜体及门板采用电解钢板制片                               2.主柜结构：上下均为对开门，上木框玻璃门+二件活动层板，下木门一件活动层板；下柜带锁；</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3.门铰、锁具均采用优质产品。</w:t>
            </w:r>
          </w:p>
        </w:tc>
      </w:tr>
      <w:tr w14:paraId="5B977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6"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4448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37</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11DE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污洗池/污洗槽</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1E1E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W1800*D600*H1600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4C97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C5230">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【主材】主体采用 SUS304 不锈钢</w:t>
            </w:r>
          </w:p>
        </w:tc>
      </w:tr>
      <w:tr w14:paraId="5B63C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CFB5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38</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6CA7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污洗池/污洗槽</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3362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W1800*D600*H1900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B52C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930BF">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【主材】主体采用 SUS304 不锈钢</w:t>
            </w:r>
          </w:p>
        </w:tc>
      </w:tr>
      <w:tr w14:paraId="74036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29C1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39</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E76F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污洗池/污洗槽</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0F66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W3200*D600*H1600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4513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57A89">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【主材】主体采用 SUS304 不锈钢</w:t>
            </w:r>
          </w:p>
        </w:tc>
      </w:tr>
      <w:tr w14:paraId="4172A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745B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40</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DD6E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洗手池</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E186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W1500*D600*H850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5FAC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B194D">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【主材】主体采用 SUS304 不锈钢</w:t>
            </w:r>
          </w:p>
        </w:tc>
      </w:tr>
      <w:tr w14:paraId="67797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6"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D212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41</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68F7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小垃圾桶</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294E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30L</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E920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685</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B1D44">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【主材材质及厚度】采用 SUS304不锈钢板材</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【容量】30L</w:t>
            </w:r>
          </w:p>
        </w:tc>
      </w:tr>
      <w:tr w14:paraId="64F21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9081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42</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C648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医用休闲椅</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F9995">
            <w:pPr>
              <w:keepNext w:val="0"/>
              <w:keepLines w:val="0"/>
              <w:widowControl/>
              <w:suppressLineNumbers w:val="0"/>
              <w:spacing w:line="240" w:lineRule="auto"/>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W620*D550*H800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61B8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DC46F">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【背框】ABS材料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【椅脚】采用1.5mm钢管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【皮料】西皮</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【海绵】采用高密度发泡成型棉</w:t>
            </w:r>
          </w:p>
        </w:tc>
      </w:tr>
      <w:tr w14:paraId="4C8BA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7CDE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43</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5C75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衣柜（玄关）</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6D45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W1700*D500*H2000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6148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DB171">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基材：优质环保型多层胶合板</w:t>
            </w:r>
          </w:p>
        </w:tc>
      </w:tr>
      <w:tr w14:paraId="36A3C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88A0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44</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2045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衣柜A</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188C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W1700*D500*H2000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6F65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490EB">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【主材材质及厚度】采用实木多层板</w:t>
            </w:r>
          </w:p>
        </w:tc>
      </w:tr>
      <w:tr w14:paraId="64BF2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6"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06DF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00DF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医技地柜A</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D1C1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W3500*D600*H850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9FFB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9C66F">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【主材】采用一级电解钢板（电解处理），表面采用环保室内型环氧树脂静电粉末喷涂。底座踢脚为 304 不锈钢.台面为复合亚克力实体面材。</w:t>
            </w:r>
          </w:p>
        </w:tc>
      </w:tr>
      <w:tr w14:paraId="67CC6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1344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46</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D479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医技吊柜A</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B92D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W3850*D350*H650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B1A4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9B0CD">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【主材】主体采用一级电解钢板（电解处理）。表面采用环保室内型环氧树脂静电粉末喷涂，钢化透明玻璃5mm厚。</w:t>
            </w:r>
          </w:p>
        </w:tc>
      </w:tr>
      <w:tr w14:paraId="277E0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B13F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47</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44E3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医技柜台A</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F663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W2200*D650*H850/2000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88EA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2FF20">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【主材】采用一级电解钢板（电解处理），表面采用环保室内型环氧树脂静电粉末喷涂。底座踢脚为 304 不锈钢.台面为复合亚克力实体面材；</w:t>
            </w:r>
          </w:p>
        </w:tc>
      </w:tr>
      <w:tr w14:paraId="1AF6D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6"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3236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48</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F9D6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医技柜台A</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9C5F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W3150*D650*H850/2000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4608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EE9DA">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【主材】采用一级电解钢板（电解处理），表面采用环保室内型环氧树脂静电粉末喷涂。底座踢脚为 304 不锈钢，台面为复合亚克力实体面材。</w:t>
            </w:r>
          </w:p>
        </w:tc>
      </w:tr>
      <w:tr w14:paraId="2ACDE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1279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49</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5C28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医技柜台A</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BCB7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W3500*D650*H850/2000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11BD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76000">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柜身：采用电解钢板制作，复合人造石台面</w:t>
            </w:r>
          </w:p>
        </w:tc>
      </w:tr>
      <w:tr w14:paraId="4D103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1"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508A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49C8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医技柜台C</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BD51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W2810*D650*H850/2000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C152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C2459">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【主材】采用一级电解钢板（电解处理），表面采用环保室内型环氧树脂静电粉末喷涂。底座踢脚为 304 不锈钢.台面为复合亚克力实体面材。含一套不锈钢水槽及脚踏龙头、钢化玻璃档水；</w:t>
            </w:r>
          </w:p>
        </w:tc>
      </w:tr>
      <w:tr w14:paraId="6CA09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1337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51</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D102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医技柜台C</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8150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W3000*D650*H850/2000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A677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ACAE1">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【主材】采用一级电解钢板（电解处理），表面采用环保室内型环氧树脂静电粉末喷涂。底座踢脚为 304 不锈钢.台面为复合亚克力实体面材。含一套不锈钢水槽及脚踏龙头、钢化玻璃档水；</w:t>
            </w:r>
          </w:p>
        </w:tc>
      </w:tr>
      <w:tr w14:paraId="5B8BF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1"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2BF2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52</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4868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医技柜台C</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9974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W3950*D650*H850/2000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F88C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3B7F2">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【主材】采用一级电解钢板（电解处理），表面采用环保室内型环氧树脂静电粉末喷涂。底座踢脚为 304 不锈钢.台面为复合亚克力实体面材。含一套不锈钢水槽及脚踏龙头、钢化玻璃档水；</w:t>
            </w:r>
          </w:p>
        </w:tc>
      </w:tr>
      <w:tr w14:paraId="4C0EB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9"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4D5B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53</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CEB3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医技柜台C</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6CE0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W5630*D650*H850/2000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0051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FBC44">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【主材】采用一级电解钢板（电解处理），表面采用环保室内型环氧树脂静电粉末喷涂。底座踢脚为 304 不锈钢.台面为复合亚克力实体面材。含一套不锈钢水槽及脚踏龙头、钢化玻璃档水；</w:t>
            </w:r>
          </w:p>
        </w:tc>
      </w:tr>
      <w:tr w14:paraId="6B214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8E22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54</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31EF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医技柜台D</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4C0D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W44450+3450+1160+3440*D650*H850/2000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5075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BB54B">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【主材厚度】采用一级电解钢板（电解处理），台面为复合亚克力实体面材，上柜层板及隔板为12mm厚钢化玻璃；上柜框为全钢制作；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【五金配组】导轨采用卡扣式阻尼缓冲滑轨，静音效果好，开关顺滑，三节可拆；阻尼缓冲铰链。</w:t>
            </w:r>
          </w:p>
        </w:tc>
      </w:tr>
      <w:tr w14:paraId="3E7AA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6"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7184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5BFA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医用工作台 D</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3760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W1400*D1300*H750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B9FC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C23F2">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【主材厚度】采用实木多层板；</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其他：柜台制作安装包含了将土建预留的强弱电线路引入和面板采购安装的工程量，柜台制作安装需根据现场土建装修的实际情况进行深化设计，并包含深化设计后的实物工程量。</w:t>
            </w:r>
          </w:p>
        </w:tc>
      </w:tr>
      <w:tr w14:paraId="25383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1"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7E5A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56</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E6C5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医用工作台 D</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4581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W1500*D1200*H750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FDF4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112</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8D163">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【主材厚度】采用实木多层板；</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其他：柜台制作安装包含了将土建预留的强弱电线路引入和面板采购安装的工程量，柜台制作安装需根据现场土建装修的实际情况进行深化设计，并包含深化设计后的实物工程量。</w:t>
            </w:r>
          </w:p>
        </w:tc>
      </w:tr>
      <w:tr w14:paraId="6B737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3"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ADB7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57</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36F8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医用工作台 D</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AB8B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W1600*D1300*H750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815D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C51BC">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【主材厚度】采用实木多层板；</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其他：柜台制作安装包含了将土建预留的强弱电线路引入和面板采购安装的工程量，柜台制作安装需根据现场土建装修的实际情况进行深化设计，并包含深化设计后的实物工程量。</w:t>
            </w:r>
          </w:p>
        </w:tc>
      </w:tr>
      <w:tr w14:paraId="7C5EE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5681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58</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6746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医用工作台 D</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40A1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W1800*D1500*H750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2162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522CD">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台面、抽面、门板、侧板采用优质环保型多层胶合板，钢制作台架</w:t>
            </w:r>
          </w:p>
        </w:tc>
      </w:tr>
      <w:tr w14:paraId="545CD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63"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B42C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59</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ED76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医用工作椅 C</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8B07C">
            <w:pPr>
              <w:keepNext w:val="0"/>
              <w:keepLines w:val="0"/>
              <w:widowControl/>
              <w:suppressLineNumbers w:val="0"/>
              <w:spacing w:line="240" w:lineRule="auto"/>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W620*D550*H800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0B7F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1E777">
            <w:pPr>
              <w:keepNext w:val="0"/>
              <w:keepLines w:val="0"/>
              <w:widowControl/>
              <w:numPr>
                <w:ilvl w:val="0"/>
                <w:numId w:val="0"/>
              </w:numPr>
              <w:suppressLineNumbers w:val="0"/>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【背框】背框为尼龙加纤（PA+GF）</w:t>
            </w:r>
          </w:p>
          <w:p w14:paraId="7D0032BB">
            <w:pPr>
              <w:keepNext w:val="0"/>
              <w:keepLines w:val="0"/>
              <w:widowControl/>
              <w:numPr>
                <w:ilvl w:val="0"/>
                <w:numId w:val="0"/>
              </w:numPr>
              <w:suppressLineNumbers w:val="0"/>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【网料】涤纶+PVC</w:t>
            </w:r>
          </w:p>
          <w:p w14:paraId="0A6D6519">
            <w:pPr>
              <w:keepNext w:val="0"/>
              <w:keepLines w:val="0"/>
              <w:widowControl/>
              <w:numPr>
                <w:ilvl w:val="0"/>
                <w:numId w:val="0"/>
              </w:numPr>
              <w:suppressLineNumbers w:val="0"/>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【板材（夹板）】背板和坐垫板材使用 E1 板材</w:t>
            </w:r>
          </w:p>
          <w:p w14:paraId="10B304BE">
            <w:pPr>
              <w:keepNext w:val="0"/>
              <w:keepLines w:val="0"/>
              <w:widowControl/>
              <w:numPr>
                <w:ilvl w:val="0"/>
                <w:numId w:val="0"/>
              </w:numPr>
              <w:suppressLineNumbers w:val="0"/>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【布料】原料涤纶</w:t>
            </w:r>
          </w:p>
          <w:p w14:paraId="3C324452">
            <w:pPr>
              <w:keepNext w:val="0"/>
              <w:keepLines w:val="0"/>
              <w:widowControl/>
              <w:numPr>
                <w:ilvl w:val="0"/>
                <w:numId w:val="0"/>
              </w:numPr>
              <w:suppressLineNumbers w:val="0"/>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【海绵】高密度定型棉</w:t>
            </w:r>
          </w:p>
          <w:p w14:paraId="5D8D87B1">
            <w:pPr>
              <w:keepNext w:val="0"/>
              <w:keepLines w:val="0"/>
              <w:widowControl/>
              <w:numPr>
                <w:ilvl w:val="0"/>
                <w:numId w:val="0"/>
              </w:numPr>
              <w:suppressLineNumbers w:val="0"/>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【扶手】尼龙加纤（PA+GF）</w:t>
            </w:r>
          </w:p>
          <w:p w14:paraId="619BE657">
            <w:pPr>
              <w:keepNext w:val="0"/>
              <w:keepLines w:val="0"/>
              <w:widowControl/>
              <w:numPr>
                <w:ilvl w:val="0"/>
                <w:numId w:val="0"/>
              </w:numPr>
              <w:suppressLineNumbers w:val="0"/>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【底盘】普通底盘（无托）</w:t>
            </w:r>
          </w:p>
          <w:p w14:paraId="477A2083">
            <w:pPr>
              <w:keepNext w:val="0"/>
              <w:keepLines w:val="0"/>
              <w:widowControl/>
              <w:numPr>
                <w:ilvl w:val="0"/>
                <w:numId w:val="0"/>
              </w:numPr>
              <w:suppressLineNumbers w:val="0"/>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【气杆】三级气杆</w:t>
            </w:r>
          </w:p>
          <w:p w14:paraId="42B9876E">
            <w:pPr>
              <w:keepNext w:val="0"/>
              <w:keepLines w:val="0"/>
              <w:widowControl/>
              <w:numPr>
                <w:ilvl w:val="0"/>
                <w:numId w:val="0"/>
              </w:numPr>
              <w:suppressLineNumbers w:val="0"/>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【五星脚】塑料脚 PA(尼龙)</w:t>
            </w:r>
          </w:p>
          <w:p w14:paraId="7F9E5AAE">
            <w:pPr>
              <w:keepNext w:val="0"/>
              <w:keepLines w:val="0"/>
              <w:widowControl/>
              <w:numPr>
                <w:ilvl w:val="0"/>
                <w:numId w:val="0"/>
              </w:numPr>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【脚轮】PU 插轮</w:t>
            </w:r>
          </w:p>
        </w:tc>
      </w:tr>
      <w:tr w14:paraId="78666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ED87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60</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C03E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医用换鞋凳  </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22DE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W900*D400*H450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3D98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8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B9801A">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1.采用优质电解钢板；                                   2.鞋柜上下均分二层，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3.柜顶为西皮内包高密度海棉座垫；</w:t>
            </w:r>
          </w:p>
        </w:tc>
      </w:tr>
      <w:tr w14:paraId="4BAE8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5212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61</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D764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医用换鞋凳  </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0277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W1800*D400*H450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E4F2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B7826A">
            <w:pPr>
              <w:spacing w:line="240" w:lineRule="auto"/>
              <w:jc w:val="left"/>
              <w:rPr>
                <w:rFonts w:hint="eastAsia" w:ascii="宋体" w:hAnsi="宋体" w:eastAsia="宋体" w:cs="宋体"/>
                <w:i w:val="0"/>
                <w:iCs w:val="0"/>
                <w:color w:val="000000"/>
                <w:sz w:val="21"/>
                <w:szCs w:val="21"/>
                <w:highlight w:val="none"/>
                <w:u w:val="none"/>
              </w:rPr>
            </w:pPr>
          </w:p>
        </w:tc>
      </w:tr>
      <w:tr w14:paraId="5E712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4558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62</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B22D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医用会议台A</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EA4B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W3000*D1800*H750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3CFF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5DAA2">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【主材厚度】台面板采用实木多层板；三聚氰胺饰面；脚架，表面静电粉末喷涂处理。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其他：柜台制作安装包含了将土建预留的强弱电线路引入和面板采购安装的工程量，柜台制作安装需根据现场土建装修的实际情况进行深化设计，并包含深化设计后的实物工程量。</w:t>
            </w:r>
          </w:p>
        </w:tc>
      </w:tr>
      <w:tr w14:paraId="4BE25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7"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C868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63</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4DA1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医用会议台A</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19CC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W3800*D1500*H750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2C59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1EB7E">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【主材厚度】台面板采用 实木多层板；三聚氰胺饰面；脚架，表面静电粉末喷涂处理。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其他：柜台制作安装包含了将土建预留的强弱电线路引入和面板采购安装的工程量，柜台制作安装需根据现场土建装修的实际情况进行深化设计，并包含深化设计后的实物工程量。</w:t>
            </w:r>
          </w:p>
        </w:tc>
      </w:tr>
      <w:tr w14:paraId="1408E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B311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64</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E4DC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医用货架</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F22F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W1500*D600*H2000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EC14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90</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B45D0">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【主材】采用一级电解钢板（电解处理）</w:t>
            </w:r>
          </w:p>
        </w:tc>
      </w:tr>
      <w:tr w14:paraId="53DFF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19F9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B096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医用货架</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03A7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W900*D600*H2000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5FC0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302C9">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【主材】采用一级电解钢板（电解处理）</w:t>
            </w:r>
          </w:p>
        </w:tc>
      </w:tr>
      <w:tr w14:paraId="4DB3E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5297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66</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BA79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医用沙发</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B3D8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双人位 A</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72B6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w:t>
            </w:r>
          </w:p>
        </w:tc>
        <w:tc>
          <w:tcPr>
            <w:tcW w:w="38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2B871A">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【主材】木方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【海绵】采用高密度30#-45#海绵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【面料】选用西皮。</w:t>
            </w:r>
          </w:p>
        </w:tc>
      </w:tr>
      <w:tr w14:paraId="42A6F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6B6C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67</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4EC7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医用沙发</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D717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三人位 A</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CABF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38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30E6B">
            <w:pPr>
              <w:spacing w:line="240" w:lineRule="auto"/>
              <w:jc w:val="left"/>
              <w:rPr>
                <w:rFonts w:hint="eastAsia" w:ascii="宋体" w:hAnsi="宋体" w:eastAsia="宋体" w:cs="宋体"/>
                <w:i w:val="0"/>
                <w:iCs w:val="0"/>
                <w:color w:val="000000"/>
                <w:sz w:val="21"/>
                <w:szCs w:val="21"/>
                <w:highlight w:val="none"/>
                <w:u w:val="none"/>
              </w:rPr>
            </w:pPr>
          </w:p>
        </w:tc>
      </w:tr>
      <w:tr w14:paraId="138F3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B588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68</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8680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医用沙发 A</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A6EF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双人位 A</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73F4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9C503">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【面料】采用高级西皮饰面</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【海绵】高密度海绵</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【框架】采用全实木方，材质坚硬，钢性强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【弹簧】高强度蛇簧、韧性强、弹力好</w:t>
            </w:r>
          </w:p>
        </w:tc>
      </w:tr>
      <w:tr w14:paraId="76E68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6219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69</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FE40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医用椅凳 B</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BAB8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常规</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DAD3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D41D9">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r>
              <w:rPr>
                <w:rFonts w:hint="eastAsia" w:ascii="宋体" w:hAnsi="宋体" w:eastAsia="宋体" w:cs="宋体"/>
                <w:i w:val="0"/>
                <w:iCs w:val="0"/>
                <w:color w:val="000000"/>
                <w:kern w:val="0"/>
                <w:sz w:val="21"/>
                <w:szCs w:val="21"/>
                <w:highlight w:val="none"/>
                <w:u w:val="none"/>
                <w:lang w:val="en-US" w:eastAsia="zh-CN" w:bidi="ar"/>
              </w:rPr>
              <w:t>【板材（夹板）】背板和坐垫板材使用 E1 板材，</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w:t>
            </w:r>
            <w:r>
              <w:rPr>
                <w:rFonts w:hint="eastAsia" w:ascii="宋体" w:hAnsi="宋体" w:eastAsia="宋体" w:cs="宋体"/>
                <w:i w:val="0"/>
                <w:iCs w:val="0"/>
                <w:color w:val="000000"/>
                <w:kern w:val="0"/>
                <w:sz w:val="21"/>
                <w:szCs w:val="21"/>
                <w:highlight w:val="none"/>
                <w:u w:val="none"/>
                <w:lang w:val="en-US" w:eastAsia="zh-CN" w:bidi="ar"/>
              </w:rPr>
              <w:t>【皮料】西皮；</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w:t>
            </w:r>
            <w:r>
              <w:rPr>
                <w:rFonts w:hint="eastAsia" w:ascii="宋体" w:hAnsi="宋体" w:eastAsia="宋体" w:cs="宋体"/>
                <w:i w:val="0"/>
                <w:iCs w:val="0"/>
                <w:color w:val="000000"/>
                <w:kern w:val="0"/>
                <w:sz w:val="21"/>
                <w:szCs w:val="21"/>
                <w:highlight w:val="none"/>
                <w:u w:val="none"/>
                <w:lang w:val="en-US" w:eastAsia="zh-CN" w:bidi="ar"/>
              </w:rPr>
              <w:t>【海绵】高密度海棉；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w:t>
            </w:r>
            <w:r>
              <w:rPr>
                <w:rFonts w:hint="eastAsia" w:ascii="宋体" w:hAnsi="宋体" w:eastAsia="宋体" w:cs="宋体"/>
                <w:i w:val="0"/>
                <w:iCs w:val="0"/>
                <w:color w:val="000000"/>
                <w:kern w:val="0"/>
                <w:sz w:val="21"/>
                <w:szCs w:val="21"/>
                <w:highlight w:val="none"/>
                <w:u w:val="none"/>
                <w:lang w:val="en-US" w:eastAsia="zh-CN" w:bidi="ar"/>
              </w:rPr>
              <w:t>【气杆】三级气杆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w:t>
            </w:r>
            <w:r>
              <w:rPr>
                <w:rFonts w:hint="eastAsia" w:ascii="宋体" w:hAnsi="宋体" w:eastAsia="宋体" w:cs="宋体"/>
                <w:i w:val="0"/>
                <w:iCs w:val="0"/>
                <w:color w:val="000000"/>
                <w:kern w:val="0"/>
                <w:sz w:val="21"/>
                <w:szCs w:val="21"/>
                <w:highlight w:val="none"/>
                <w:u w:val="none"/>
                <w:lang w:val="en-US" w:eastAsia="zh-CN" w:bidi="ar"/>
              </w:rPr>
              <w:t>.【五星脚】 钢管电镀处理。</w:t>
            </w:r>
          </w:p>
        </w:tc>
      </w:tr>
      <w:tr w14:paraId="43E79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5"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7C8A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70</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E69F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医用诊查床 F</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B4A7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W1900*D620*H650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B319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EFFC4">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床架：采用全钢管制作，表面静电粉末喷涂处理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床垫：内衬高密度定型海绵，医用皮革覆面；优质五金配件组装；配吊柜</w:t>
            </w:r>
          </w:p>
        </w:tc>
      </w:tr>
      <w:tr w14:paraId="1C422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4C80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71</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C838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医用诊桌A</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BAEB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W1400*D1400*H750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A380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B1678">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面板及副台：选用环保型多层胶合板，钢制作台架</w:t>
            </w:r>
          </w:p>
        </w:tc>
      </w:tr>
      <w:tr w14:paraId="111BE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7"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C32E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72</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7471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长茶几</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8544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W1200*D600*H450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18E8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08B21">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基材：优质环保型多层胶合板</w:t>
            </w:r>
          </w:p>
        </w:tc>
      </w:tr>
      <w:tr w14:paraId="578CD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6"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634F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73</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E6D2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值班床-双层木质</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5B7C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W2000*D900*H1800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F11E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106</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674D5">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【主材厚度】板材均采用松木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【工艺功能】榫卯工艺；板组经喷环保漆处理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【五金配组】钢质螺帽、螺丝，表面镀镍；</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【结构组组】双层床，四腿落地，榫卯结构，颜色为松木本色+实木枋床板 2 组。不含床垫</w:t>
            </w:r>
          </w:p>
        </w:tc>
      </w:tr>
      <w:tr w14:paraId="04612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9FE6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74</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3EE2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医用工作桌A</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FB84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W1500*D1200*750/1100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8FBB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57DC4">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选用环保型多层胶合板，钢制作台架</w:t>
            </w:r>
          </w:p>
        </w:tc>
      </w:tr>
      <w:tr w14:paraId="4294E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2"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D7F4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75</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4F8B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双人床</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D83E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W2000*D1500*H450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8805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AEADC">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【主材材质及厚度】1.采用实木多层板</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2.含50MM床垫</w:t>
            </w:r>
          </w:p>
        </w:tc>
      </w:tr>
      <w:tr w14:paraId="0B96A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381B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76</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60A4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文件柜 </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8381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W900*D450*H2000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BEFB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CB1A0">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1.柜体及门板采用电解钢板制片                               2.主柜结构：上下均为对开门，上木框玻璃门+二件活动层板，下木门一件活动层板；下柜带锁；</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3.门铰、锁具均采用优质产品；</w:t>
            </w:r>
          </w:p>
        </w:tc>
      </w:tr>
      <w:tr w14:paraId="38DA3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8"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5573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77</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D793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更衣柜-钢质 6 门</w:t>
            </w:r>
          </w:p>
        </w:tc>
        <w:tc>
          <w:tcPr>
            <w:tcW w:w="18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7FB4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W900*D500*H1850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94BD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B43E8">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【主材厚度】采用一级电解钢板（电解处理）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【五金配组】每门带锁、标签插槽，锁具、铰链。</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【结构组组】更衣柜为横向三掩门，每门上方一层板+挂衣杆+下方一层。</w:t>
            </w:r>
          </w:p>
        </w:tc>
      </w:tr>
      <w:tr w14:paraId="11443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A312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78</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0AD6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治疗车</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3569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常规</w:t>
            </w: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C6F5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85</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9147F">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【主材】采用环保ABS</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【结构组组】车架上下两层+4个活动脚轮</w:t>
            </w:r>
          </w:p>
        </w:tc>
      </w:tr>
      <w:tr w14:paraId="3422D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59"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6BF5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79</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4852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配餐车</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BBFE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常规</w:t>
            </w: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329E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F3918">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【主材】采用一级电解钢板（电解处理）；侧板、门板、顶板、底板、层板厚度加强管料壁</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【工艺功能】所有工组经数控激光切割、模具冲压、数控折弯、焊接、机器打磨而成，再经静电喷涂、高温固化、安装而成；</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【结构组组】车架单层+4个活动脚轮</w:t>
            </w:r>
          </w:p>
        </w:tc>
      </w:tr>
      <w:tr w14:paraId="4CFD3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8193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4C7F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污衣车</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3153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750*530*1050</w:t>
            </w: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28C9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028A4">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【主要材料说明】</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1、采用 SUS304 不锈钢板材；</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2、立柱采用圆管；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3、四脚配 4 寸采用可锁定静音滑轮，高耐磨，ABS滑轮带刹车装置，稳定性好</w:t>
            </w:r>
          </w:p>
        </w:tc>
      </w:tr>
      <w:tr w14:paraId="4F064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2"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BA4F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81</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6733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抢救车</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15B6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750*475*930</w:t>
            </w: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2ADC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9CF4F">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【主材】车架采用钢管，表面喷涂处理，硬度大，韧性好安全性高。</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【工艺功能】所有工组经数控激光切割、模具冲压、数控折弯、焊接、机器打磨而成，再经静电喷涂、高温固化、安装而成。</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【结构组组】车架+4 个活动脚轮。</w:t>
            </w:r>
          </w:p>
        </w:tc>
      </w:tr>
      <w:tr w14:paraId="07456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DBBE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82</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1FF4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抽血车</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F5FB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750*475*930</w:t>
            </w: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4D0F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2BF47">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【主材】车架采用钢管，表面喷涂处理，硬度大，韧性好安全性高。</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【工艺功能】所有工组经数控激光切割、模具冲压、数控折弯、焊接、机器打磨而成，再经静电喷涂、高温固化、安装而成。</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【结构组】车架+4 个活动脚轮。</w:t>
            </w:r>
          </w:p>
        </w:tc>
      </w:tr>
      <w:tr w14:paraId="0C920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447B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83</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533B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配药备车</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D285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750*475*930</w:t>
            </w: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2EBA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EDFE8">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【主材】采用一级电解钢板（电解处理）；侧板、门板、顶板、底板、层板厚度加强管料壁。</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【工艺功能】所有工组经数控激光切割、模具冲压、数控折弯、焊接、机器打磨而成，再经静电喷涂、高温固化、安装而成。</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【结构组组】车架上下两层+4 个活动脚轮。</w:t>
            </w:r>
          </w:p>
        </w:tc>
      </w:tr>
      <w:tr w14:paraId="5C6BD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3"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D72B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84</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17AB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垃圾车</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DD03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1000*450*1210</w:t>
            </w: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8124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4914F">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【主要材料说明】</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1、采用 SUS304 不锈钢板材；</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2、立柱采用 圆管；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3、四脚配4寸采用可锁定静音滑轮，高耐磨，ABS滑轮带刹车装置，稳定性好。</w:t>
            </w:r>
          </w:p>
        </w:tc>
      </w:tr>
      <w:tr w14:paraId="08EA3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F1BB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85</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7742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晨间护理车</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AD39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常规</w:t>
            </w: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7DB4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1B87F">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【主材】采用 一级电解钢板（电解处理）；侧板、门板、顶板、底板、层板厚度加强管料壁</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【工艺功能】所有工组经数控激光切割、模具冲压、数控折弯、焊接、机器打磨而成，再经静电喷涂、高温固化、安装而成；</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【结构组组】车架上下两层+4 个活动脚轮</w:t>
            </w:r>
          </w:p>
        </w:tc>
      </w:tr>
      <w:tr w14:paraId="22557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4E86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86</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FB8A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病历车</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23C9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850*400*920</w:t>
            </w: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872A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24695">
            <w:pPr>
              <w:spacing w:line="240" w:lineRule="auto"/>
              <w:jc w:val="lef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w:t>
            </w:r>
          </w:p>
        </w:tc>
      </w:tr>
      <w:tr w14:paraId="5F79D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B82F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87</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F894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大垃圾桶</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0CB2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70L</w:t>
            </w: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559A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102</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A675D">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【主材】PP/PE 全新塑料加工，密封性好安全环保，无异味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【规格】70L</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【其他】易清洗，结实耐用，绿色环保</w:t>
            </w:r>
          </w:p>
        </w:tc>
      </w:tr>
      <w:tr w14:paraId="4F652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1BC1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88</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35FF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医疗垃圾桶</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77C5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30L</w:t>
            </w: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BC59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68</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2A3E7">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【主材】PP/PE 全新塑料加工，密封性好安全环保，无异味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【规格】30L</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【其他】易清洗，结实耐用，绿色环保</w:t>
            </w:r>
          </w:p>
        </w:tc>
      </w:tr>
      <w:tr w14:paraId="19AB8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4B52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89</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6B98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医疗垃圾桶</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ADE9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70L</w:t>
            </w:r>
          </w:p>
        </w:tc>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CD5E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C793B">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【主材】PP/PE 全新塑料加工，密封性好安全环保，无异味</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【规格】70L</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【其他】易清洗，结实耐用，绿色环保</w:t>
            </w:r>
          </w:p>
        </w:tc>
      </w:tr>
      <w:tr w14:paraId="497D0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9"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72A6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90</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28A4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遗体冷藏柜</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CC9A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长2860×宽1560×高1540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71D4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D66CA">
            <w:pPr>
              <w:keepNext w:val="0"/>
              <w:keepLines w:val="0"/>
              <w:widowControl/>
              <w:suppressLineNumbers w:val="0"/>
              <w:spacing w:line="24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排列组合：三层二列（共六个托盘）</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门洞尺寸：宽 560mm×高 330mm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托盘尺寸：宽 540mm×长 1900mm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冷藏柜制冷参数</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1.制冷方式：风冷</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2.控制方式：微电脑全自动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3.冷藏柜内部使用温度（可自由设定）：5℃ ～ －15℃</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4.电源： 380V 50Hz</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5.除霜方式：全自动电热除霜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6.压缩机：全封闭压缩机。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7.制冷系统配备高低压保护器、高压压力表、低压压力表、电磁阀、视液镜、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过滤器、储液器。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8.蒸发器：采用翅片式蒸发器。</w:t>
            </w:r>
          </w:p>
        </w:tc>
      </w:tr>
      <w:tr w14:paraId="10148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DBE5A">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91</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FBD8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污洗池</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BBA1B">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W*D*H:1400*600*1500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4E15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0EDFF">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柜体：304不锈钢</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含脚踩</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机械式单冷水龙头2套</w:t>
            </w:r>
            <w:r>
              <w:rPr>
                <w:rFonts w:hint="eastAsia" w:ascii="宋体" w:hAnsi="宋体" w:eastAsia="宋体" w:cs="宋体"/>
                <w:i w:val="0"/>
                <w:iCs w:val="0"/>
                <w:color w:val="000000"/>
                <w:kern w:val="0"/>
                <w:sz w:val="20"/>
                <w:szCs w:val="20"/>
                <w:highlight w:val="none"/>
                <w:u w:val="none"/>
                <w:lang w:val="en-US" w:eastAsia="zh-CN" w:bidi="ar"/>
              </w:rPr>
              <w:br w:type="textWrapping"/>
            </w:r>
            <w:r>
              <w:rPr>
                <w:rStyle w:val="24"/>
                <w:sz w:val="20"/>
                <w:szCs w:val="20"/>
                <w:highlight w:val="none"/>
                <w:lang w:val="en-US" w:eastAsia="zh-CN" w:bidi="ar"/>
              </w:rPr>
              <w:t>包含接入至相距1米内的急诊女卫生间的给排水管路改造</w:t>
            </w:r>
          </w:p>
        </w:tc>
      </w:tr>
      <w:tr w14:paraId="28CE5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75E53">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92</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1991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刷手柜（脚踩式）</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DB31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W*D*H:800*600*1800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12CA4">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073A9">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柜体：304不锈钢</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含脚踩机械式冷暖水龙头1套</w:t>
            </w:r>
            <w:r>
              <w:rPr>
                <w:rFonts w:hint="eastAsia" w:ascii="宋体" w:hAnsi="宋体" w:eastAsia="宋体" w:cs="宋体"/>
                <w:i w:val="0"/>
                <w:iCs w:val="0"/>
                <w:color w:val="000000"/>
                <w:kern w:val="0"/>
                <w:sz w:val="20"/>
                <w:szCs w:val="20"/>
                <w:highlight w:val="none"/>
                <w:u w:val="none"/>
                <w:lang w:val="en-US" w:eastAsia="zh-CN" w:bidi="ar"/>
              </w:rPr>
              <w:br w:type="textWrapping"/>
            </w:r>
            <w:r>
              <w:rPr>
                <w:rStyle w:val="24"/>
                <w:sz w:val="20"/>
                <w:szCs w:val="20"/>
                <w:highlight w:val="none"/>
                <w:lang w:val="en-US" w:eastAsia="zh-CN" w:bidi="ar"/>
              </w:rPr>
              <w:t>包含利用刷手区内现有预留的电源面板及线路改造至刷手柜内</w:t>
            </w:r>
          </w:p>
        </w:tc>
      </w:tr>
      <w:tr w14:paraId="0A81B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9"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77B6B">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93</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9C258">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污洗台</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94AD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W*D*H:900*470*800/1400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5C85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63BAA">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柜体：304不锈钢</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顺序分为4个区格的宽度</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（400/600（带双钩）/400/400）</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台面高H：800mm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挡污板高H：1400mm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（含单冷水龙头及排水共4套）</w:t>
            </w:r>
          </w:p>
        </w:tc>
      </w:tr>
      <w:tr w14:paraId="1980A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9"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923E8">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94</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FC501">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刷手柜（脚踩式）</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05771">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W*D*H:1000*500*800/1000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16B6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EDECD">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柜体：304不锈钢</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台面高H：800mm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挡污板高H：1000mm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（含单冷水龙头及排水共1套）</w:t>
            </w:r>
            <w:r>
              <w:rPr>
                <w:rFonts w:hint="eastAsia" w:ascii="宋体" w:hAnsi="宋体" w:eastAsia="宋体" w:cs="宋体"/>
                <w:i w:val="0"/>
                <w:iCs w:val="0"/>
                <w:color w:val="000000"/>
                <w:kern w:val="0"/>
                <w:sz w:val="20"/>
                <w:szCs w:val="20"/>
                <w:highlight w:val="none"/>
                <w:u w:val="none"/>
                <w:lang w:val="en-US" w:eastAsia="zh-CN" w:bidi="ar"/>
              </w:rPr>
              <w:br w:type="textWrapping"/>
            </w:r>
            <w:r>
              <w:rPr>
                <w:rStyle w:val="24"/>
                <w:sz w:val="20"/>
                <w:szCs w:val="20"/>
                <w:highlight w:val="none"/>
                <w:lang w:val="en-US" w:eastAsia="zh-CN" w:bidi="ar"/>
              </w:rPr>
              <w:t>包含接入至相距1.5米内的种植牙手术室内的给排水和电源改造</w:t>
            </w:r>
          </w:p>
        </w:tc>
      </w:tr>
      <w:tr w14:paraId="0B105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3"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376FA">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95</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25305">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操作柜</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991A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W*D*H:900*350/625*2000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CDA7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9BCD5">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柜体：电解钢板</w:t>
            </w:r>
            <w:r>
              <w:rPr>
                <w:rFonts w:hint="eastAsia" w:ascii="宋体" w:hAnsi="宋体" w:eastAsia="宋体" w:cs="宋体"/>
                <w:i w:val="0"/>
                <w:iCs w:val="0"/>
                <w:color w:val="000000"/>
                <w:kern w:val="0"/>
                <w:sz w:val="20"/>
                <w:szCs w:val="20"/>
                <w:highlight w:val="none"/>
                <w:u w:val="none"/>
                <w:lang w:val="en-US" w:eastAsia="zh-CN" w:bidi="ar"/>
              </w:rPr>
              <w:br w:type="textWrapping"/>
            </w:r>
            <w:r>
              <w:rPr>
                <w:rStyle w:val="24"/>
                <w:sz w:val="20"/>
                <w:szCs w:val="20"/>
                <w:highlight w:val="none"/>
                <w:lang w:val="en-US" w:eastAsia="zh-CN" w:bidi="ar"/>
              </w:rPr>
              <w:t>包含接入至相距1米内的口腔科器械预处理室的给排水管路改造，以及灌模室内预留的电源面板和线路改造至操作柜内</w:t>
            </w:r>
          </w:p>
        </w:tc>
      </w:tr>
      <w:tr w14:paraId="12A94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FE766">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96</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103AB">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更衣柜-钢制6门</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C0E7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W*D*H:900*500*1850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868A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AA997">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冷轧钢板</w:t>
            </w:r>
          </w:p>
        </w:tc>
      </w:tr>
      <w:tr w14:paraId="49594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2482D">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97</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D1831">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污洗台</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C9DF8">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W*D*H:900*450*900/1200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D322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45342">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柜体：304不锈钢</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含单冷水龙头及排水一套。</w:t>
            </w:r>
          </w:p>
        </w:tc>
      </w:tr>
      <w:tr w14:paraId="76403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39"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281BF">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98</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086A6">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污洗池</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F31F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W*D*H:2520*500*800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2500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8C208">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柜体：304不锈钢</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顺序分为3个区格的宽度</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（1040/840/640）</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顺序分为3个区格的高度</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（450/650/850）</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台面高H：850mm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挡污板高H：1450mm</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注：左侧两个污洗池内，各含1个大的过滤网、堵水阀。</w:t>
            </w:r>
            <w:r>
              <w:rPr>
                <w:rFonts w:hint="eastAsia" w:ascii="宋体" w:hAnsi="宋体" w:eastAsia="宋体" w:cs="宋体"/>
                <w:i w:val="0"/>
                <w:iCs w:val="0"/>
                <w:color w:val="000000"/>
                <w:kern w:val="0"/>
                <w:sz w:val="20"/>
                <w:szCs w:val="20"/>
                <w:highlight w:val="none"/>
                <w:u w:val="none"/>
                <w:lang w:val="en-US" w:eastAsia="zh-CN" w:bidi="ar"/>
              </w:rPr>
              <w:br w:type="textWrapping"/>
            </w:r>
            <w:r>
              <w:rPr>
                <w:rStyle w:val="24"/>
                <w:sz w:val="20"/>
                <w:szCs w:val="20"/>
                <w:highlight w:val="none"/>
                <w:lang w:val="en-US" w:eastAsia="zh-CN" w:bidi="ar"/>
              </w:rPr>
              <w:t>包含接入至正下方3层公共卫生间内的给排水管路改造</w:t>
            </w:r>
          </w:p>
        </w:tc>
      </w:tr>
      <w:tr w14:paraId="2A68F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48352">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99</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75A55">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防飞溅挡板</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71FA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W*D*H:530*300*300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1F22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500</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1A927">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材质亚克力（U型/L型）</w:t>
            </w:r>
          </w:p>
        </w:tc>
      </w:tr>
      <w:tr w14:paraId="31359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FE169">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100</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1AD27">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大型打包台</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B573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W*D*H:2800*1200*800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D5680">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C4C9F">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实木多层板</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台面加50mm厚软包西皮腹面</w:t>
            </w:r>
          </w:p>
        </w:tc>
      </w:tr>
      <w:tr w14:paraId="479A2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3C478">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101</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BC496">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抚触台</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5D1A8">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W*D*H:1000*790*850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FF8E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D2E67">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材质采用高分子PMMA复合材料，整体一次性成型，表面平整光滑，无棱角，无冰冷感</w:t>
            </w:r>
          </w:p>
        </w:tc>
      </w:tr>
      <w:tr w14:paraId="40F84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F65CE">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102</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6F7A6">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洗礼池</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2424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W*D*H:1000*790*850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68CD0">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32AAC">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材质采用高分子PMMA-ABS复合材料，整体--次件成型，支架采用304不锈钢池内设计的曲线模型（含水龙头一套）</w:t>
            </w:r>
          </w:p>
        </w:tc>
      </w:tr>
      <w:tr w14:paraId="52D2D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8BADF">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103</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7C93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推拉移门储物柜</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FE4D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W*D*H:800*400*1850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3DA58">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6</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A9335">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主材采用一级电解钢板</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缓冲铰链、静音效果好。</w:t>
            </w:r>
          </w:p>
        </w:tc>
      </w:tr>
      <w:tr w14:paraId="63EF1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50B23">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104</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3495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抚触台</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DD46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W*D*H:1000*790*850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978C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B9241">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材质采用高分子PMMA复合材料，整体一次性成型，表面平整光滑，无棱角，无冰冷感</w:t>
            </w:r>
          </w:p>
        </w:tc>
      </w:tr>
      <w:tr w14:paraId="6B10B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2EC05">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105</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100E8">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洗礼池</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3A4E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W*D*H:1000*790*850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33A1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EC835">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材质采用高分子PMMA-ABS复合材料，整体--次件成型，支架采用304不锈钢池内设计的曲线模型（含水龙头一套）</w:t>
            </w:r>
          </w:p>
        </w:tc>
      </w:tr>
      <w:tr w14:paraId="477CF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FC83A">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106</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9E3B5">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接种台</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B6C0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W*D*H:1500*700*800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CFB0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1233F">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实木多层板</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台面加50mm厚软包西皮腹面</w:t>
            </w:r>
          </w:p>
        </w:tc>
      </w:tr>
      <w:tr w14:paraId="368BB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9B9D3">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107</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A14C1">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钢制矮柜</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F40F4">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W*D*H:800*400*800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51F1B">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7</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43C3C">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主材采用一级电解钢板</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缓冲铰链、静音效果好。</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（无锁）</w:t>
            </w:r>
          </w:p>
        </w:tc>
      </w:tr>
      <w:tr w14:paraId="56E2F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97A8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108</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A25A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钢制矮柜</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FA3A5">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W*D*H:800*400*800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4D515">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A4D6F">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主材采用一级电解钢板</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缓冲铰链、静音效果好。</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（无锁）</w:t>
            </w:r>
          </w:p>
        </w:tc>
      </w:tr>
      <w:tr w14:paraId="3C3E5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C1025">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109</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124F2">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弧形导医台</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95A0B">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W*D*H:5000*700*750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76AD3">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1E6BD">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【主材厚度】采用实木多层板；人造大理石台面。</w:t>
            </w:r>
          </w:p>
          <w:p w14:paraId="3E414DFD">
            <w:pPr>
              <w:keepNext w:val="0"/>
              <w:keepLines w:val="0"/>
              <w:widowControl/>
              <w:suppressLineNumbers w:val="0"/>
              <w:spacing w:line="240" w:lineRule="auto"/>
              <w:jc w:val="left"/>
              <w:textAlignment w:val="center"/>
              <w:rPr>
                <w:rFonts w:hint="eastAsia" w:ascii="宋体" w:hAnsi="宋体" w:eastAsia="宋体" w:cs="宋体"/>
                <w:i w:val="0"/>
                <w:iCs w:val="0"/>
                <w:snapToGrid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【五金配件】采用消声承重国标三节导轨、耐用缓冲液压式门铰、三合一偏心连接组等五金配件。</w:t>
            </w:r>
          </w:p>
        </w:tc>
      </w:tr>
      <w:tr w14:paraId="047D1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9ED12">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110</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8D190">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弧形导医台</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110B6">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W*D*H:5000*700*750</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F717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3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F1C30">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【主材厚度】采用实木多层板；人造大理石台面。</w:t>
            </w:r>
          </w:p>
          <w:p w14:paraId="4CB85210">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【五金配件】采用消声承重国标三节导轨、耐用缓冲液压式门铰、三合一偏心连接组等五金配件。</w:t>
            </w:r>
          </w:p>
        </w:tc>
      </w:tr>
    </w:tbl>
    <w:p w14:paraId="7E3226D2">
      <w:pPr>
        <w:pStyle w:val="25"/>
        <w:spacing w:line="360" w:lineRule="auto"/>
        <w:jc w:val="both"/>
        <w:rPr>
          <w:highlight w:val="none"/>
        </w:rPr>
      </w:pPr>
      <w:r>
        <w:rPr>
          <w:sz w:val="21"/>
          <w:highlight w:val="none"/>
        </w:rPr>
        <w:t>（</w:t>
      </w:r>
      <w:r>
        <w:rPr>
          <w:rFonts w:hint="eastAsia"/>
          <w:sz w:val="21"/>
          <w:highlight w:val="none"/>
          <w:lang w:val="en-US" w:eastAsia="zh-CN"/>
        </w:rPr>
        <w:t>二</w:t>
      </w:r>
      <w:r>
        <w:rPr>
          <w:sz w:val="21"/>
          <w:highlight w:val="none"/>
        </w:rPr>
        <w:t>）主要参数要求</w:t>
      </w:r>
    </w:p>
    <w:p w14:paraId="77E22484">
      <w:pPr>
        <w:spacing w:line="360" w:lineRule="auto"/>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1、主要材质的参数要求</w:t>
      </w:r>
    </w:p>
    <w:p w14:paraId="2E5C68E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以下需求仅作为技术/服务的客观描述，无限制性或指向性，投标方案必须满足或优于。</w:t>
      </w:r>
    </w:p>
    <w:p w14:paraId="1AD43F8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sz w:val="21"/>
          <w:szCs w:val="21"/>
          <w:highlight w:val="none"/>
          <w:lang w:val="en-US" w:eastAsia="zh-CN"/>
        </w:rPr>
      </w:pPr>
      <w:r>
        <w:rPr>
          <w:rFonts w:hint="default" w:ascii="Calibri" w:hAnsi="Calibri" w:eastAsia="宋体" w:cs="Calibri"/>
          <w:sz w:val="21"/>
          <w:szCs w:val="21"/>
          <w:highlight w:val="none"/>
          <w:lang w:val="en-US" w:eastAsia="zh-CN"/>
        </w:rPr>
        <w:t>①</w:t>
      </w:r>
      <w:r>
        <w:rPr>
          <w:rFonts w:hint="eastAsia" w:ascii="宋体" w:hAnsi="宋体" w:eastAsia="宋体" w:cs="宋体"/>
          <w:sz w:val="21"/>
          <w:szCs w:val="21"/>
          <w:highlight w:val="none"/>
          <w:lang w:val="en-US" w:eastAsia="zh-CN"/>
        </w:rPr>
        <w:t>以下有关政策、标准、规范等，如有更新的，以最新现行版本为准。</w:t>
      </w:r>
    </w:p>
    <w:p w14:paraId="1D5C9FA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sz w:val="21"/>
          <w:szCs w:val="21"/>
          <w:highlight w:val="none"/>
          <w:lang w:val="en-US" w:eastAsia="zh-CN"/>
        </w:rPr>
      </w:pPr>
      <w:r>
        <w:rPr>
          <w:rFonts w:hint="default" w:ascii="Calibri" w:hAnsi="Calibri" w:eastAsia="宋体" w:cs="Calibri"/>
          <w:sz w:val="21"/>
          <w:szCs w:val="21"/>
          <w:highlight w:val="none"/>
          <w:lang w:val="en-US" w:eastAsia="zh-CN"/>
        </w:rPr>
        <w:t>②</w:t>
      </w:r>
      <w:r>
        <w:rPr>
          <w:rFonts w:hint="eastAsia" w:ascii="宋体" w:hAnsi="宋体" w:eastAsia="宋体" w:cs="宋体"/>
          <w:sz w:val="21"/>
          <w:szCs w:val="21"/>
          <w:highlight w:val="none"/>
          <w:lang w:val="en-US" w:eastAsia="zh-CN"/>
        </w:rPr>
        <w:t>除另有说明外，以下需求所述的“大于”“小于”“以上”“以下”等描述或符号均包含本数。</w:t>
      </w:r>
    </w:p>
    <w:p w14:paraId="1BACE0D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宋体" w:hAnsi="宋体" w:eastAsia="宋体" w:cs="宋体"/>
          <w:sz w:val="21"/>
          <w:szCs w:val="21"/>
          <w:highlight w:val="none"/>
          <w:lang w:val="en-US" w:eastAsia="zh-CN"/>
        </w:rPr>
      </w:pPr>
      <w:r>
        <w:rPr>
          <w:rFonts w:hint="default" w:ascii="Calibri" w:hAnsi="Calibri" w:eastAsia="宋体" w:cs="Calibri"/>
          <w:sz w:val="21"/>
          <w:szCs w:val="21"/>
          <w:highlight w:val="none"/>
          <w:lang w:val="en-US" w:eastAsia="zh-CN"/>
        </w:rPr>
        <w:t>③</w:t>
      </w:r>
      <w:r>
        <w:rPr>
          <w:rFonts w:hint="eastAsia" w:ascii="宋体" w:hAnsi="宋体" w:eastAsia="宋体" w:cs="宋体"/>
          <w:sz w:val="21"/>
          <w:szCs w:val="21"/>
          <w:highlight w:val="none"/>
          <w:lang w:val="en-US" w:eastAsia="zh-CN"/>
        </w:rPr>
        <w:t>除另有说明外，以下需求所述区间范围的是指：响应数值在该区间范围内，或响应区间能涵盖该范围的，均为符合要求；响应数值不在该范围内，或响应区间不能涵盖该范围的，均为负偏离。所述固定数值可以完整、明确地描述采购标的需要实现的功能或者目标、满足的质量、安全、技术规格、物理特性等技术要求，是指：响应数值满足或优于该固定数值的，均为符合要求；响应数值劣于该固定数值的，均为负偏离。</w:t>
      </w:r>
    </w:p>
    <w:tbl>
      <w:tblPr>
        <w:tblStyle w:val="11"/>
        <w:tblW w:w="0" w:type="auto"/>
        <w:tblInd w:w="9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142"/>
        <w:gridCol w:w="7149"/>
      </w:tblGrid>
      <w:tr w14:paraId="0E70E9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42" w:type="dxa"/>
            <w:tcBorders>
              <w:bottom w:val="single" w:color="auto" w:sz="4" w:space="0"/>
              <w:right w:val="single" w:color="000000" w:sz="4" w:space="0"/>
            </w:tcBorders>
            <w:tcMar>
              <w:top w:w="0" w:type="dxa"/>
              <w:left w:w="105" w:type="dxa"/>
              <w:bottom w:w="0" w:type="dxa"/>
              <w:right w:w="105" w:type="dxa"/>
            </w:tcMar>
            <w:vAlign w:val="top"/>
          </w:tcPr>
          <w:p w14:paraId="2171E1F2">
            <w:pPr>
              <w:pStyle w:val="25"/>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材质名称</w:t>
            </w:r>
          </w:p>
        </w:tc>
        <w:tc>
          <w:tcPr>
            <w:tcW w:w="7149" w:type="dxa"/>
            <w:tcBorders>
              <w:left w:val="single" w:color="000000" w:sz="4" w:space="0"/>
              <w:bottom w:val="single" w:color="auto" w:sz="4" w:space="0"/>
            </w:tcBorders>
            <w:tcMar>
              <w:top w:w="0" w:type="dxa"/>
              <w:left w:w="105" w:type="dxa"/>
              <w:bottom w:w="0" w:type="dxa"/>
              <w:right w:w="105" w:type="dxa"/>
            </w:tcMar>
            <w:vAlign w:val="top"/>
          </w:tcPr>
          <w:p w14:paraId="142FE81D">
            <w:pPr>
              <w:pStyle w:val="25"/>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参数要求</w:t>
            </w:r>
          </w:p>
        </w:tc>
      </w:tr>
      <w:tr w14:paraId="4C7DB4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42" w:type="dxa"/>
            <w:tcBorders>
              <w:top w:val="single" w:color="auto" w:sz="4" w:space="0"/>
              <w:bottom w:val="single" w:color="auto" w:sz="4" w:space="0"/>
              <w:right w:val="single" w:color="auto" w:sz="4" w:space="0"/>
            </w:tcBorders>
            <w:tcMar>
              <w:top w:w="0" w:type="dxa"/>
              <w:left w:w="105" w:type="dxa"/>
              <w:bottom w:w="0" w:type="dxa"/>
              <w:right w:w="105" w:type="dxa"/>
            </w:tcMar>
            <w:vAlign w:val="center"/>
          </w:tcPr>
          <w:p w14:paraId="52C5118C">
            <w:pPr>
              <w:pStyle w:val="25"/>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一级电解钢板</w:t>
            </w:r>
          </w:p>
        </w:tc>
        <w:tc>
          <w:tcPr>
            <w:tcW w:w="7149" w:type="dxa"/>
            <w:tcBorders>
              <w:top w:val="single" w:color="auto" w:sz="4" w:space="0"/>
              <w:left w:val="single" w:color="auto" w:sz="4" w:space="0"/>
              <w:bottom w:val="single" w:color="auto" w:sz="4" w:space="0"/>
            </w:tcBorders>
            <w:tcMar>
              <w:top w:w="0" w:type="dxa"/>
              <w:left w:w="105" w:type="dxa"/>
              <w:bottom w:w="0" w:type="dxa"/>
              <w:right w:w="105" w:type="dxa"/>
            </w:tcMar>
            <w:vAlign w:val="top"/>
          </w:tcPr>
          <w:p w14:paraId="0C47A9ED">
            <w:pPr>
              <w:pStyle w:val="25"/>
              <w:spacing w:line="240" w:lineRule="auto"/>
              <w:jc w:val="both"/>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rPr>
              <w:t>1.厚度≥O.7mm</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 xml:space="preserve"> </w:t>
            </w:r>
            <w:r>
              <w:rPr>
                <w:rFonts w:hint="eastAsia" w:ascii="宋体" w:hAnsi="宋体" w:eastAsia="宋体" w:cs="宋体"/>
                <w:sz w:val="21"/>
                <w:szCs w:val="21"/>
                <w:highlight w:val="none"/>
              </w:rPr>
              <w:br w:type="textWrapping"/>
            </w:r>
            <w:r>
              <w:rPr>
                <w:rFonts w:hint="eastAsia" w:ascii="宋体" w:hAnsi="宋体" w:eastAsia="宋体" w:cs="宋体"/>
                <w:color w:val="000000"/>
                <w:sz w:val="21"/>
                <w:szCs w:val="21"/>
                <w:highlight w:val="none"/>
              </w:rPr>
              <w:t>2.力学性能：抗拉强度270-410MPa，断后伸长率≥28%</w:t>
            </w:r>
            <w:r>
              <w:rPr>
                <w:rFonts w:hint="eastAsia" w:ascii="宋体" w:hAnsi="宋体" w:eastAsia="宋体" w:cs="宋体"/>
                <w:color w:val="000000"/>
                <w:sz w:val="21"/>
                <w:szCs w:val="21"/>
                <w:highlight w:val="none"/>
                <w:lang w:eastAsia="zh-CN"/>
              </w:rPr>
              <w:t>；</w:t>
            </w:r>
            <w:r>
              <w:rPr>
                <w:rFonts w:hint="eastAsia" w:ascii="宋体" w:hAnsi="宋体" w:eastAsia="宋体" w:cs="宋体"/>
                <w:sz w:val="21"/>
                <w:szCs w:val="21"/>
                <w:highlight w:val="none"/>
              </w:rPr>
              <w:br w:type="textWrapping"/>
            </w:r>
            <w:r>
              <w:rPr>
                <w:rFonts w:hint="eastAsia" w:ascii="宋体" w:hAnsi="宋体" w:eastAsia="宋体" w:cs="宋体"/>
                <w:color w:val="000000"/>
                <w:sz w:val="21"/>
                <w:szCs w:val="21"/>
                <w:highlight w:val="none"/>
              </w:rPr>
              <w:t>3.化学性能：碳C≤0.12%，锰Mn≤0.60%，硫S≤0.030%，磷P≤0.030%，铝AL≥0.020%</w:t>
            </w:r>
            <w:r>
              <w:rPr>
                <w:rFonts w:hint="eastAsia" w:ascii="宋体" w:hAnsi="宋体" w:eastAsia="宋体" w:cs="宋体"/>
                <w:color w:val="000000"/>
                <w:sz w:val="21"/>
                <w:szCs w:val="21"/>
                <w:highlight w:val="none"/>
                <w:lang w:eastAsia="zh-CN"/>
              </w:rPr>
              <w:t>；</w:t>
            </w:r>
            <w:r>
              <w:rPr>
                <w:rFonts w:hint="eastAsia" w:ascii="宋体" w:hAnsi="宋体" w:eastAsia="宋体" w:cs="宋体"/>
                <w:sz w:val="21"/>
                <w:szCs w:val="21"/>
                <w:highlight w:val="none"/>
              </w:rPr>
              <w:br w:type="textWrapping"/>
            </w:r>
            <w:r>
              <w:rPr>
                <w:rFonts w:hint="eastAsia" w:ascii="宋体" w:hAnsi="宋体" w:eastAsia="宋体" w:cs="宋体"/>
                <w:color w:val="000000"/>
                <w:sz w:val="21"/>
                <w:szCs w:val="21"/>
                <w:highlight w:val="none"/>
              </w:rPr>
              <w:t>4.金属涂层：金属涂层硬度≧H，冲击高度400mm无剥落、裂纹、皱纹；中性盐雾试验NSS法，涂层对基体保护等级≥10级，涂层本身的耐腐蚀的等级≥10级。附着力不低于2级（0级最好）</w:t>
            </w:r>
            <w:r>
              <w:rPr>
                <w:rFonts w:hint="eastAsia" w:ascii="宋体" w:hAnsi="宋体" w:eastAsia="宋体" w:cs="宋体"/>
                <w:color w:val="000000"/>
                <w:sz w:val="21"/>
                <w:szCs w:val="21"/>
                <w:highlight w:val="none"/>
                <w:lang w:eastAsia="zh-CN"/>
              </w:rPr>
              <w:t>；</w:t>
            </w:r>
            <w:r>
              <w:rPr>
                <w:rFonts w:hint="eastAsia" w:ascii="宋体" w:hAnsi="宋体" w:eastAsia="宋体" w:cs="宋体"/>
                <w:sz w:val="21"/>
                <w:szCs w:val="21"/>
                <w:highlight w:val="none"/>
              </w:rPr>
              <w:br w:type="textWrapping"/>
            </w:r>
            <w:r>
              <w:rPr>
                <w:rFonts w:hint="eastAsia" w:ascii="宋体" w:hAnsi="宋体" w:eastAsia="宋体" w:cs="宋体"/>
                <w:color w:val="000000"/>
                <w:sz w:val="21"/>
                <w:szCs w:val="21"/>
                <w:highlight w:val="none"/>
              </w:rPr>
              <w:t>5.抗菌性能金黄色葡萄球菌、大肠埃希氏菌抑菌性能≥99%；抗菌耐久性金黄色葡萄球菌、大肠埃希氏菌抑菌性能≥95%</w:t>
            </w:r>
            <w:r>
              <w:rPr>
                <w:rFonts w:hint="eastAsia" w:ascii="宋体" w:hAnsi="宋体" w:eastAsia="宋体" w:cs="宋体"/>
                <w:color w:val="000000"/>
                <w:sz w:val="21"/>
                <w:szCs w:val="21"/>
                <w:highlight w:val="none"/>
                <w:lang w:eastAsia="zh-CN"/>
              </w:rPr>
              <w:t>。</w:t>
            </w:r>
          </w:p>
        </w:tc>
      </w:tr>
      <w:tr w14:paraId="330833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42" w:type="dxa"/>
            <w:tcBorders>
              <w:top w:val="single" w:color="auto" w:sz="4" w:space="0"/>
              <w:bottom w:val="single" w:color="000000" w:sz="4" w:space="0"/>
              <w:right w:val="single" w:color="000000" w:sz="4" w:space="0"/>
            </w:tcBorders>
            <w:tcMar>
              <w:top w:w="0" w:type="dxa"/>
              <w:left w:w="105" w:type="dxa"/>
              <w:bottom w:w="0" w:type="dxa"/>
              <w:right w:w="105" w:type="dxa"/>
            </w:tcMar>
            <w:vAlign w:val="center"/>
          </w:tcPr>
          <w:p w14:paraId="5BB41EA2">
            <w:pPr>
              <w:pStyle w:val="25"/>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环氧树脂静电粉末</w:t>
            </w:r>
          </w:p>
        </w:tc>
        <w:tc>
          <w:tcPr>
            <w:tcW w:w="7149" w:type="dxa"/>
            <w:tcBorders>
              <w:top w:val="single" w:color="auto" w:sz="4" w:space="0"/>
              <w:left w:val="single" w:color="000000" w:sz="4" w:space="0"/>
              <w:bottom w:val="single" w:color="000000" w:sz="4" w:space="0"/>
            </w:tcBorders>
            <w:tcMar>
              <w:top w:w="0" w:type="dxa"/>
              <w:left w:w="105" w:type="dxa"/>
              <w:bottom w:w="0" w:type="dxa"/>
              <w:right w:w="105" w:type="dxa"/>
            </w:tcMar>
            <w:vAlign w:val="top"/>
          </w:tcPr>
          <w:p w14:paraId="309FDE78">
            <w:pPr>
              <w:pStyle w:val="25"/>
              <w:spacing w:line="240" w:lineRule="auto"/>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1.采用环氧树脂静电粉末喷涂，粉末符合 HG/T2006-2022《热固性粉末涂料》（室内优等品）标准；</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2.重金属可溶性铅＜5mg/kg、可溶性镉＜5mg/kg、可溶性铬＜5mg/kg、可溶性汞＜5mg/kg；</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3.抗菌性能金黄色葡萄球菌、大肠埃希氏菌抑菌性能≥99%；抗菌耐久性金黄色葡萄球菌、大肠埃希氏菌抑菌性能≥95%</w:t>
            </w:r>
            <w:r>
              <w:rPr>
                <w:rFonts w:hint="eastAsia" w:ascii="宋体" w:hAnsi="宋体" w:eastAsia="宋体" w:cs="宋体"/>
                <w:sz w:val="21"/>
                <w:szCs w:val="21"/>
                <w:highlight w:val="none"/>
                <w:lang w:eastAsia="zh-CN"/>
              </w:rPr>
              <w:t>。</w:t>
            </w:r>
          </w:p>
        </w:tc>
      </w:tr>
      <w:tr w14:paraId="1D495C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42" w:type="dxa"/>
            <w:tcBorders>
              <w:top w:val="nil"/>
              <w:bottom w:val="single" w:color="000000" w:sz="4" w:space="0"/>
              <w:right w:val="single" w:color="000000" w:sz="4" w:space="0"/>
            </w:tcBorders>
            <w:tcMar>
              <w:top w:w="0" w:type="dxa"/>
              <w:left w:w="105" w:type="dxa"/>
              <w:bottom w:w="0" w:type="dxa"/>
              <w:right w:w="105" w:type="dxa"/>
            </w:tcMar>
            <w:vAlign w:val="center"/>
          </w:tcPr>
          <w:p w14:paraId="66B10F33">
            <w:pPr>
              <w:pStyle w:val="25"/>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导轨</w:t>
            </w:r>
          </w:p>
        </w:tc>
        <w:tc>
          <w:tcPr>
            <w:tcW w:w="7149" w:type="dxa"/>
            <w:tcBorders>
              <w:top w:val="nil"/>
              <w:left w:val="single" w:color="000000" w:sz="4" w:space="0"/>
              <w:bottom w:val="single" w:color="000000" w:sz="4" w:space="0"/>
            </w:tcBorders>
            <w:tcMar>
              <w:top w:w="0" w:type="dxa"/>
              <w:left w:w="105" w:type="dxa"/>
              <w:bottom w:w="0" w:type="dxa"/>
              <w:right w:w="105" w:type="dxa"/>
            </w:tcMar>
            <w:vAlign w:val="top"/>
          </w:tcPr>
          <w:p w14:paraId="727B5FA3">
            <w:pPr>
              <w:pStyle w:val="25"/>
              <w:spacing w:line="240" w:lineRule="auto"/>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1.阻尼三节滚珠滑轨，整体功能要求符合 QB/T 2454-2013 《家具五金抽屉导轨》；</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2.耐久性：抽拉≥8万次，无损坏，下沉量不应超过导轨拉出长度的4%；</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3.符合24h中性盐雾试验≥9级</w:t>
            </w:r>
            <w:r>
              <w:rPr>
                <w:rFonts w:hint="eastAsia" w:ascii="宋体" w:hAnsi="宋体" w:eastAsia="宋体" w:cs="宋体"/>
                <w:sz w:val="21"/>
                <w:szCs w:val="21"/>
                <w:highlight w:val="none"/>
                <w:lang w:eastAsia="zh-CN"/>
              </w:rPr>
              <w:t>。</w:t>
            </w:r>
          </w:p>
        </w:tc>
      </w:tr>
      <w:tr w14:paraId="112127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42" w:type="dxa"/>
            <w:tcBorders>
              <w:top w:val="nil"/>
              <w:bottom w:val="single" w:color="000000" w:sz="4" w:space="0"/>
              <w:right w:val="single" w:color="000000" w:sz="4" w:space="0"/>
            </w:tcBorders>
            <w:tcMar>
              <w:top w:w="0" w:type="dxa"/>
              <w:left w:w="105" w:type="dxa"/>
              <w:bottom w:w="0" w:type="dxa"/>
              <w:right w:w="105" w:type="dxa"/>
            </w:tcMar>
            <w:vAlign w:val="center"/>
          </w:tcPr>
          <w:p w14:paraId="3E20AA11">
            <w:pPr>
              <w:pStyle w:val="25"/>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医用复合人造石</w:t>
            </w:r>
          </w:p>
        </w:tc>
        <w:tc>
          <w:tcPr>
            <w:tcW w:w="7149" w:type="dxa"/>
            <w:tcBorders>
              <w:top w:val="nil"/>
              <w:left w:val="single" w:color="000000" w:sz="4" w:space="0"/>
              <w:bottom w:val="single" w:color="000000" w:sz="4" w:space="0"/>
            </w:tcBorders>
            <w:tcMar>
              <w:top w:w="0" w:type="dxa"/>
              <w:left w:w="105" w:type="dxa"/>
              <w:bottom w:w="0" w:type="dxa"/>
              <w:right w:w="105" w:type="dxa"/>
            </w:tcMar>
            <w:vAlign w:val="top"/>
          </w:tcPr>
          <w:p w14:paraId="69D894B3">
            <w:pPr>
              <w:pStyle w:val="25"/>
              <w:spacing w:line="240" w:lineRule="auto"/>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1.人造石，符合GB/T26696-2011 《家具用高分子材料台面板》、GB 6566-2010《建筑材料放射性核素限量》、JC/T 908-2013《人造石》标准；</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2.理化性能，耐香烟灼烧不低于1级（1级最好，3级最差），耐污染≥1级；</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3.</w:t>
            </w:r>
            <w:r>
              <w:rPr>
                <w:rFonts w:hint="eastAsia" w:ascii="宋体" w:hAnsi="宋体" w:eastAsia="宋体" w:cs="宋体"/>
                <w:b/>
                <w:sz w:val="21"/>
                <w:szCs w:val="21"/>
                <w:highlight w:val="none"/>
              </w:rPr>
              <w:t>★</w:t>
            </w:r>
            <w:r>
              <w:rPr>
                <w:rFonts w:hint="eastAsia" w:ascii="宋体" w:hAnsi="宋体" w:eastAsia="宋体" w:cs="宋体"/>
                <w:b/>
                <w:bCs/>
                <w:sz w:val="21"/>
                <w:szCs w:val="21"/>
                <w:highlight w:val="none"/>
              </w:rPr>
              <w:t>放射性符合A类标准，IRa≤1.0，Iy≤1.3；</w:t>
            </w:r>
            <w:r>
              <w:rPr>
                <w:rFonts w:hint="eastAsia" w:ascii="宋体" w:hAnsi="宋体" w:eastAsia="宋体" w:cs="宋体"/>
                <w:b/>
                <w:bCs/>
                <w:sz w:val="21"/>
                <w:szCs w:val="21"/>
                <w:highlight w:val="none"/>
              </w:rPr>
              <w:br w:type="textWrapping"/>
            </w:r>
            <w:r>
              <w:rPr>
                <w:rFonts w:hint="eastAsia" w:ascii="宋体" w:hAnsi="宋体" w:eastAsia="宋体" w:cs="宋体"/>
                <w:sz w:val="21"/>
                <w:szCs w:val="21"/>
                <w:highlight w:val="none"/>
              </w:rPr>
              <w:t>4.弯曲强度≥40MPa；弯曲弹性模量≥6.5GPa；</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5.抗菌性能金黄色葡萄球菌、大肠埃希氏菌抑菌性能≥99%；抗菌耐久性金黄色葡萄球菌、大肠埃希氏菌抑菌性能≥95%</w:t>
            </w:r>
            <w:r>
              <w:rPr>
                <w:rFonts w:hint="eastAsia" w:ascii="宋体" w:hAnsi="宋体" w:eastAsia="宋体" w:cs="宋体"/>
                <w:sz w:val="21"/>
                <w:szCs w:val="21"/>
                <w:highlight w:val="none"/>
                <w:lang w:eastAsia="zh-CN"/>
              </w:rPr>
              <w:t>。</w:t>
            </w:r>
          </w:p>
        </w:tc>
      </w:tr>
      <w:tr w14:paraId="7DED8D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42" w:type="dxa"/>
            <w:tcBorders>
              <w:top w:val="nil"/>
              <w:bottom w:val="single" w:color="000000" w:sz="4" w:space="0"/>
              <w:right w:val="single" w:color="000000" w:sz="4" w:space="0"/>
            </w:tcBorders>
            <w:tcMar>
              <w:top w:w="0" w:type="dxa"/>
              <w:left w:w="105" w:type="dxa"/>
              <w:bottom w:w="0" w:type="dxa"/>
              <w:right w:w="105" w:type="dxa"/>
            </w:tcMar>
            <w:vAlign w:val="center"/>
          </w:tcPr>
          <w:p w14:paraId="5FBF592E">
            <w:pPr>
              <w:pStyle w:val="25"/>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锁具</w:t>
            </w:r>
          </w:p>
        </w:tc>
        <w:tc>
          <w:tcPr>
            <w:tcW w:w="7149" w:type="dxa"/>
            <w:tcBorders>
              <w:top w:val="nil"/>
              <w:left w:val="single" w:color="000000" w:sz="4" w:space="0"/>
              <w:bottom w:val="single" w:color="000000" w:sz="4" w:space="0"/>
            </w:tcBorders>
            <w:tcMar>
              <w:top w:w="0" w:type="dxa"/>
              <w:left w:w="105" w:type="dxa"/>
              <w:bottom w:w="0" w:type="dxa"/>
              <w:right w:w="105" w:type="dxa"/>
            </w:tcMar>
            <w:vAlign w:val="top"/>
          </w:tcPr>
          <w:p w14:paraId="547880E5">
            <w:pPr>
              <w:pStyle w:val="25"/>
              <w:spacing w:line="240" w:lineRule="auto"/>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1.锁具，符合QB/T 1621-2015《家具锁》；</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2.腐蚀性：符合24h 中性盐雾试验≥9级(采用QB/T3826-1999《轻工产品金属镀层和化学处理层的耐腐蚀试验方法-中性盐雾试验（NSS）法》标准)</w:t>
            </w:r>
            <w:r>
              <w:rPr>
                <w:rFonts w:hint="eastAsia" w:ascii="宋体" w:hAnsi="宋体" w:eastAsia="宋体" w:cs="宋体"/>
                <w:sz w:val="21"/>
                <w:szCs w:val="21"/>
                <w:highlight w:val="none"/>
                <w:lang w:eastAsia="zh-CN"/>
              </w:rPr>
              <w:t>。</w:t>
            </w:r>
          </w:p>
        </w:tc>
      </w:tr>
      <w:tr w14:paraId="4C647A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42" w:type="dxa"/>
            <w:tcBorders>
              <w:top w:val="nil"/>
              <w:bottom w:val="single" w:color="000000" w:sz="4" w:space="0"/>
              <w:right w:val="single" w:color="000000" w:sz="4" w:space="0"/>
            </w:tcBorders>
            <w:tcMar>
              <w:top w:w="0" w:type="dxa"/>
              <w:left w:w="105" w:type="dxa"/>
              <w:bottom w:w="0" w:type="dxa"/>
              <w:right w:w="105" w:type="dxa"/>
            </w:tcMar>
            <w:vAlign w:val="center"/>
          </w:tcPr>
          <w:p w14:paraId="21FC9BAE">
            <w:pPr>
              <w:pStyle w:val="25"/>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门铰</w:t>
            </w:r>
          </w:p>
        </w:tc>
        <w:tc>
          <w:tcPr>
            <w:tcW w:w="7149" w:type="dxa"/>
            <w:tcBorders>
              <w:top w:val="nil"/>
              <w:left w:val="single" w:color="000000" w:sz="4" w:space="0"/>
              <w:bottom w:val="single" w:color="000000" w:sz="4" w:space="0"/>
            </w:tcBorders>
            <w:tcMar>
              <w:top w:w="0" w:type="dxa"/>
              <w:left w:w="105" w:type="dxa"/>
              <w:bottom w:w="0" w:type="dxa"/>
              <w:right w:w="105" w:type="dxa"/>
            </w:tcMar>
            <w:vAlign w:val="top"/>
          </w:tcPr>
          <w:p w14:paraId="332AEC70">
            <w:pPr>
              <w:pStyle w:val="25"/>
              <w:spacing w:line="24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1.铰链整体功能要求符合QB/T 2189-2013《家具五金杯状暗铰链》、QB/T 3832-1999《轻工产品金属镀层腐蚀试验结果的评价》标准。</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2.过载:垂直静荷载：≥</w:t>
            </w:r>
            <w:r>
              <w:rPr>
                <w:rFonts w:hint="eastAsia" w:ascii="宋体" w:hAnsi="宋体" w:eastAsia="宋体" w:cs="宋体"/>
                <w:sz w:val="21"/>
                <w:szCs w:val="21"/>
                <w:highlight w:val="none"/>
                <w:lang w:val="en-US" w:eastAsia="zh-CN"/>
              </w:rPr>
              <w:t>30</w:t>
            </w:r>
            <w:r>
              <w:rPr>
                <w:rFonts w:hint="eastAsia" w:ascii="宋体" w:hAnsi="宋体" w:eastAsia="宋体" w:cs="宋体"/>
                <w:sz w:val="21"/>
                <w:szCs w:val="21"/>
                <w:highlight w:val="none"/>
              </w:rPr>
              <w:t>KG、10次合格；水平静荷载：≥70N、10次合格。</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3.腐蚀性：连续喷雾≥120h中性盐雾，镀层对基体的保护等级≥10级，镀层本身耐腐蚀等级均达≥10级。</w:t>
            </w:r>
          </w:p>
        </w:tc>
      </w:tr>
      <w:tr w14:paraId="16B174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42" w:type="dxa"/>
            <w:tcBorders>
              <w:top w:val="nil"/>
              <w:bottom w:val="single" w:color="000000" w:sz="4" w:space="0"/>
              <w:right w:val="single" w:color="000000" w:sz="4" w:space="0"/>
            </w:tcBorders>
            <w:tcMar>
              <w:top w:w="0" w:type="dxa"/>
              <w:left w:w="105" w:type="dxa"/>
              <w:bottom w:w="0" w:type="dxa"/>
              <w:right w:w="105" w:type="dxa"/>
            </w:tcMar>
            <w:vAlign w:val="center"/>
          </w:tcPr>
          <w:p w14:paraId="59C80334">
            <w:pPr>
              <w:pStyle w:val="25"/>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实木多层板</w:t>
            </w:r>
          </w:p>
        </w:tc>
        <w:tc>
          <w:tcPr>
            <w:tcW w:w="7149" w:type="dxa"/>
            <w:tcBorders>
              <w:top w:val="nil"/>
              <w:left w:val="single" w:color="000000" w:sz="4" w:space="0"/>
              <w:bottom w:val="single" w:color="000000" w:sz="4" w:space="0"/>
            </w:tcBorders>
            <w:tcMar>
              <w:top w:w="0" w:type="dxa"/>
              <w:left w:w="105" w:type="dxa"/>
              <w:bottom w:w="0" w:type="dxa"/>
              <w:right w:w="105" w:type="dxa"/>
            </w:tcMar>
            <w:vAlign w:val="top"/>
          </w:tcPr>
          <w:p w14:paraId="696BA441">
            <w:pPr>
              <w:pStyle w:val="25"/>
              <w:spacing w:line="240" w:lineRule="auto"/>
              <w:jc w:val="both"/>
              <w:rPr>
                <w:rFonts w:hint="default"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rPr>
              <w:t>1.符合GB/T 39600-2021 《人造板及其制品甲醛释放量分级》标准；</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2.甲醛释放量≤0.05mg/m³；</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3.胶合强度≥0.70MPa。总挥发性有机化合物(TVOC)释放率≤100µg/m</w:t>
            </w:r>
            <w:r>
              <w:rPr>
                <w:rFonts w:hint="eastAsia" w:ascii="宋体" w:hAnsi="宋体" w:eastAsia="宋体" w:cs="宋体"/>
                <w:sz w:val="21"/>
                <w:szCs w:val="21"/>
                <w:highlight w:val="none"/>
                <w:vertAlign w:val="superscript"/>
                <w:lang w:val="en-US" w:eastAsia="zh-CN"/>
              </w:rPr>
              <w:t>3</w:t>
            </w:r>
            <w:r>
              <w:rPr>
                <w:rFonts w:hint="eastAsia" w:ascii="宋体" w:hAnsi="宋体" w:eastAsia="宋体" w:cs="宋体"/>
                <w:sz w:val="21"/>
                <w:szCs w:val="21"/>
                <w:highlight w:val="none"/>
                <w:vertAlign w:val="baseline"/>
                <w:lang w:val="en-US" w:eastAsia="zh-CN"/>
              </w:rPr>
              <w:t>。</w:t>
            </w:r>
          </w:p>
        </w:tc>
      </w:tr>
      <w:tr w14:paraId="1C9739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42" w:type="dxa"/>
            <w:tcBorders>
              <w:top w:val="nil"/>
              <w:bottom w:val="single" w:color="auto" w:sz="4" w:space="0"/>
              <w:right w:val="single" w:color="000000" w:sz="4" w:space="0"/>
            </w:tcBorders>
            <w:tcMar>
              <w:top w:w="0" w:type="dxa"/>
              <w:left w:w="105" w:type="dxa"/>
              <w:bottom w:w="0" w:type="dxa"/>
              <w:right w:w="105" w:type="dxa"/>
            </w:tcMar>
            <w:vAlign w:val="center"/>
          </w:tcPr>
          <w:p w14:paraId="0ECA8A33">
            <w:pPr>
              <w:pStyle w:val="25"/>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海绵</w:t>
            </w:r>
          </w:p>
        </w:tc>
        <w:tc>
          <w:tcPr>
            <w:tcW w:w="7149" w:type="dxa"/>
            <w:tcBorders>
              <w:top w:val="nil"/>
              <w:left w:val="single" w:color="000000" w:sz="4" w:space="0"/>
              <w:bottom w:val="single" w:color="auto" w:sz="4" w:space="0"/>
            </w:tcBorders>
            <w:tcMar>
              <w:top w:w="0" w:type="dxa"/>
              <w:left w:w="105" w:type="dxa"/>
              <w:bottom w:w="0" w:type="dxa"/>
              <w:right w:w="105" w:type="dxa"/>
            </w:tcMar>
            <w:vAlign w:val="top"/>
          </w:tcPr>
          <w:p w14:paraId="6BAA29F8">
            <w:pPr>
              <w:pStyle w:val="25"/>
              <w:spacing w:line="24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1.符合GB/T 10802-2023《通用软质聚氨酯泡沫塑料》、GB/T 6343-2009《泡沫塑料及橡胶表观密度的测定》标准；</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2.采用高密度回弹海绵。回弹率≥35%，拉伸强度≥100kPa，75%压缩永久变形≤8%，撕裂强度≥2.0N/cm，伸长率≥130%；</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3.密度≥35kg/m³，防火性能：参照标准 GB 8410-2006 汽车内饰材料的燃烧特性；甲醛释放量:≤O.12mg/㎡ h 。</w:t>
            </w:r>
          </w:p>
        </w:tc>
      </w:tr>
      <w:tr w14:paraId="1836E0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42" w:type="dxa"/>
            <w:tcBorders>
              <w:top w:val="single" w:color="auto" w:sz="4" w:space="0"/>
              <w:bottom w:val="single" w:color="auto" w:sz="4" w:space="0"/>
              <w:right w:val="single" w:color="auto" w:sz="4" w:space="0"/>
            </w:tcBorders>
            <w:tcMar>
              <w:top w:w="0" w:type="dxa"/>
              <w:left w:w="105" w:type="dxa"/>
              <w:bottom w:w="0" w:type="dxa"/>
              <w:right w:w="105" w:type="dxa"/>
            </w:tcMar>
            <w:vAlign w:val="center"/>
          </w:tcPr>
          <w:p w14:paraId="179CA081">
            <w:pPr>
              <w:pStyle w:val="25"/>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304不锈钢板</w:t>
            </w:r>
          </w:p>
        </w:tc>
        <w:tc>
          <w:tcPr>
            <w:tcW w:w="7149" w:type="dxa"/>
            <w:tcBorders>
              <w:top w:val="single" w:color="auto" w:sz="4" w:space="0"/>
              <w:left w:val="single" w:color="auto" w:sz="4" w:space="0"/>
              <w:bottom w:val="single" w:color="auto" w:sz="4" w:space="0"/>
            </w:tcBorders>
            <w:tcMar>
              <w:top w:w="0" w:type="dxa"/>
              <w:left w:w="105" w:type="dxa"/>
              <w:bottom w:w="0" w:type="dxa"/>
              <w:right w:w="105" w:type="dxa"/>
            </w:tcMar>
            <w:vAlign w:val="top"/>
          </w:tcPr>
          <w:p w14:paraId="5F4A06DE">
            <w:pPr>
              <w:pStyle w:val="25"/>
              <w:spacing w:line="24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1.符合QB/T3826-1999《轻工产品金属镀层和化学处理层的耐腐蚀试验方法-中性盐雾试验（NSS）法》标准。</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2.腐蚀性：中性盐雾试验≥300h：涂层或镀层本身的耐蚀能力≥10级，涂层或镀层对基体金属的防蚀能力≥10级。</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3.厚度≥1.0mm</w:t>
            </w:r>
          </w:p>
        </w:tc>
      </w:tr>
      <w:tr w14:paraId="7A64A0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42" w:type="dxa"/>
            <w:tcBorders>
              <w:top w:val="single" w:color="auto" w:sz="4" w:space="0"/>
              <w:bottom w:val="single" w:color="auto" w:sz="4" w:space="0"/>
              <w:right w:val="single" w:color="auto" w:sz="4" w:space="0"/>
            </w:tcBorders>
            <w:tcMar>
              <w:top w:w="0" w:type="dxa"/>
              <w:left w:w="105" w:type="dxa"/>
              <w:bottom w:w="0" w:type="dxa"/>
              <w:right w:w="105" w:type="dxa"/>
            </w:tcMar>
            <w:vAlign w:val="center"/>
          </w:tcPr>
          <w:p w14:paraId="2883D555">
            <w:pPr>
              <w:pStyle w:val="25"/>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医用皮革</w:t>
            </w:r>
          </w:p>
        </w:tc>
        <w:tc>
          <w:tcPr>
            <w:tcW w:w="7149" w:type="dxa"/>
            <w:tcBorders>
              <w:top w:val="single" w:color="auto" w:sz="4" w:space="0"/>
              <w:left w:val="single" w:color="auto" w:sz="4" w:space="0"/>
              <w:bottom w:val="single" w:color="auto" w:sz="4" w:space="0"/>
            </w:tcBorders>
            <w:tcMar>
              <w:top w:w="0" w:type="dxa"/>
              <w:left w:w="105" w:type="dxa"/>
              <w:bottom w:w="0" w:type="dxa"/>
              <w:right w:w="105" w:type="dxa"/>
            </w:tcMar>
            <w:vAlign w:val="top"/>
          </w:tcPr>
          <w:p w14:paraId="3220ADBB">
            <w:pPr>
              <w:pStyle w:val="25"/>
              <w:spacing w:line="24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1.符合GB/T 16799-2018《家具用皮革》标准；</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2.摩擦色牢度≥4级（包括，干擦、湿擦、碱性汗液）；</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 xml:space="preserve">3.耐折牢度：不少于20000次，无裂纹； </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4.撕裂力≥20N，禁用偶氮染料、游离甲醛均未检出，可萃取的重金属铅（Pb)、镉（Cd)含量均未检出。</w:t>
            </w:r>
          </w:p>
        </w:tc>
      </w:tr>
      <w:tr w14:paraId="3F4DF4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42" w:type="dxa"/>
            <w:tcBorders>
              <w:top w:val="single" w:color="auto" w:sz="4" w:space="0"/>
              <w:bottom w:val="single" w:color="auto" w:sz="4" w:space="0"/>
              <w:right w:val="single" w:color="auto" w:sz="4" w:space="0"/>
            </w:tcBorders>
            <w:tcMar>
              <w:top w:w="0" w:type="dxa"/>
              <w:left w:w="105" w:type="dxa"/>
              <w:bottom w:w="0" w:type="dxa"/>
              <w:right w:w="105" w:type="dxa"/>
            </w:tcMar>
            <w:vAlign w:val="center"/>
          </w:tcPr>
          <w:p w14:paraId="233C9C48">
            <w:pPr>
              <w:pStyle w:val="25"/>
              <w:spacing w:line="24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脚轮</w:t>
            </w:r>
          </w:p>
        </w:tc>
        <w:tc>
          <w:tcPr>
            <w:tcW w:w="7149" w:type="dxa"/>
            <w:tcBorders>
              <w:top w:val="single" w:color="auto" w:sz="4" w:space="0"/>
              <w:left w:val="single" w:color="auto" w:sz="4" w:space="0"/>
              <w:bottom w:val="single" w:color="auto" w:sz="4" w:space="0"/>
            </w:tcBorders>
            <w:tcMar>
              <w:top w:w="0" w:type="dxa"/>
              <w:left w:w="105" w:type="dxa"/>
              <w:bottom w:w="0" w:type="dxa"/>
              <w:right w:w="105" w:type="dxa"/>
            </w:tcMar>
            <w:vAlign w:val="top"/>
          </w:tcPr>
          <w:p w14:paraId="497B02CD">
            <w:pPr>
              <w:pStyle w:val="25"/>
              <w:spacing w:line="24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GB/T 32487-2016《塑料家具通用技术条件》标准</w:t>
            </w:r>
            <w:r>
              <w:rPr>
                <w:rFonts w:hint="eastAsia" w:asciiTheme="minorEastAsia" w:hAnsiTheme="minorEastAsia" w:eastAsiaTheme="minorEastAsia" w:cstheme="minorEastAsia"/>
                <w:sz w:val="21"/>
                <w:szCs w:val="21"/>
                <w:highlight w:val="none"/>
              </w:rPr>
              <w:br w:type="textWrapping"/>
            </w:r>
            <w:r>
              <w:rPr>
                <w:rFonts w:hint="eastAsia" w:asciiTheme="minorEastAsia" w:hAnsiTheme="minorEastAsia" w:eastAsiaTheme="minorEastAsia" w:cstheme="minorEastAsia"/>
                <w:color w:val="000000"/>
                <w:sz w:val="21"/>
                <w:szCs w:val="21"/>
                <w:highlight w:val="none"/>
              </w:rPr>
              <w:t>1.重金属可溶性铅≤2mg/kg、可溶性镉≤2mg/kg、可溶性铬≤1mg/kg、可溶性汞未检出</w:t>
            </w:r>
            <w:r>
              <w:rPr>
                <w:rFonts w:hint="eastAsia" w:asciiTheme="minorEastAsia" w:hAnsiTheme="minorEastAsia" w:eastAsiaTheme="minorEastAsia" w:cstheme="minorEastAsia"/>
                <w:sz w:val="21"/>
                <w:szCs w:val="21"/>
                <w:highlight w:val="none"/>
              </w:rPr>
              <w:br w:type="textWrapping"/>
            </w:r>
            <w:r>
              <w:rPr>
                <w:rFonts w:hint="eastAsia" w:asciiTheme="minorEastAsia" w:hAnsiTheme="minorEastAsia" w:eastAsiaTheme="minorEastAsia" w:cstheme="minorEastAsia"/>
                <w:color w:val="000000"/>
                <w:sz w:val="21"/>
                <w:szCs w:val="21"/>
                <w:highlight w:val="none"/>
              </w:rPr>
              <w:t>2.脚轮往复磨损：座面加载</w:t>
            </w:r>
            <w:r>
              <w:rPr>
                <w:rFonts w:hint="eastAsia" w:ascii="宋体" w:hAnsi="宋体" w:eastAsia="宋体" w:cs="宋体"/>
                <w:sz w:val="21"/>
                <w:szCs w:val="21"/>
                <w:highlight w:val="none"/>
              </w:rPr>
              <w:t>≥</w:t>
            </w:r>
            <w:r>
              <w:rPr>
                <w:rFonts w:hint="eastAsia" w:asciiTheme="minorEastAsia" w:hAnsiTheme="minorEastAsia" w:eastAsiaTheme="minorEastAsia" w:cstheme="minorEastAsia"/>
                <w:color w:val="000000"/>
                <w:sz w:val="21"/>
                <w:szCs w:val="21"/>
                <w:highlight w:val="none"/>
              </w:rPr>
              <w:t>113kg,行走</w:t>
            </w:r>
            <w:r>
              <w:rPr>
                <w:rFonts w:hint="eastAsia" w:ascii="宋体" w:hAnsi="宋体" w:eastAsia="宋体" w:cs="宋体"/>
                <w:sz w:val="21"/>
                <w:szCs w:val="21"/>
                <w:highlight w:val="none"/>
              </w:rPr>
              <w:t>≥</w:t>
            </w:r>
            <w:r>
              <w:rPr>
                <w:rFonts w:hint="eastAsia" w:asciiTheme="minorEastAsia" w:hAnsiTheme="minorEastAsia" w:eastAsiaTheme="minorEastAsia" w:cstheme="minorEastAsia"/>
                <w:color w:val="000000"/>
                <w:sz w:val="21"/>
                <w:szCs w:val="21"/>
                <w:highlight w:val="none"/>
              </w:rPr>
              <w:t>120000次循环测试，无损坏</w:t>
            </w:r>
          </w:p>
        </w:tc>
      </w:tr>
      <w:tr w14:paraId="5E43AA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42" w:type="dxa"/>
            <w:tcBorders>
              <w:top w:val="single" w:color="auto" w:sz="4" w:space="0"/>
              <w:bottom w:val="single" w:color="auto" w:sz="4" w:space="0"/>
              <w:right w:val="single" w:color="auto" w:sz="4" w:space="0"/>
            </w:tcBorders>
            <w:tcMar>
              <w:top w:w="0" w:type="dxa"/>
              <w:left w:w="105" w:type="dxa"/>
              <w:bottom w:w="0" w:type="dxa"/>
              <w:right w:w="105" w:type="dxa"/>
            </w:tcMar>
            <w:vAlign w:val="center"/>
          </w:tcPr>
          <w:p w14:paraId="289E80E5">
            <w:pPr>
              <w:pStyle w:val="25"/>
              <w:spacing w:line="240" w:lineRule="auto"/>
              <w:jc w:val="cente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粉末</w:t>
            </w:r>
          </w:p>
        </w:tc>
        <w:tc>
          <w:tcPr>
            <w:tcW w:w="7149" w:type="dxa"/>
            <w:tcBorders>
              <w:top w:val="single" w:color="auto" w:sz="4" w:space="0"/>
              <w:left w:val="single" w:color="auto" w:sz="4" w:space="0"/>
              <w:bottom w:val="single" w:color="auto" w:sz="4" w:space="0"/>
            </w:tcBorders>
            <w:tcMar>
              <w:top w:w="0" w:type="dxa"/>
              <w:left w:w="105" w:type="dxa"/>
              <w:bottom w:w="0" w:type="dxa"/>
              <w:right w:w="105" w:type="dxa"/>
            </w:tcMar>
            <w:vAlign w:val="top"/>
          </w:tcPr>
          <w:p w14:paraId="39B78B16">
            <w:pPr>
              <w:pStyle w:val="25"/>
              <w:spacing w:line="240" w:lineRule="auto"/>
              <w:jc w:val="lef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依据</w:t>
            </w:r>
            <w:r>
              <w:rPr>
                <w:rFonts w:hint="eastAsia" w:ascii="宋体" w:hAnsi="宋体" w:eastAsia="宋体" w:cs="宋体"/>
                <w:sz w:val="21"/>
                <w:szCs w:val="21"/>
                <w:highlight w:val="none"/>
              </w:rPr>
              <w:t>HG/T2006-2022</w:t>
            </w:r>
            <w:r>
              <w:rPr>
                <w:rFonts w:hint="eastAsia" w:asciiTheme="minorEastAsia" w:hAnsiTheme="minorEastAsia" w:eastAsiaTheme="minorEastAsia" w:cstheme="minorEastAsia"/>
                <w:color w:val="000000"/>
                <w:sz w:val="21"/>
                <w:szCs w:val="21"/>
                <w:highlight w:val="none"/>
              </w:rPr>
              <w:t>《热固性粉末涂料》</w:t>
            </w:r>
            <w:r>
              <w:rPr>
                <w:rFonts w:hint="eastAsia" w:asciiTheme="minorEastAsia" w:hAnsiTheme="minorEastAsia" w:eastAsiaTheme="minorEastAsia" w:cstheme="minorEastAsia"/>
                <w:sz w:val="21"/>
                <w:szCs w:val="21"/>
                <w:highlight w:val="none"/>
              </w:rPr>
              <w:br w:type="textWrapping"/>
            </w:r>
            <w:r>
              <w:rPr>
                <w:rFonts w:hint="eastAsia" w:asciiTheme="minorEastAsia" w:hAnsiTheme="minorEastAsia" w:eastAsiaTheme="minorEastAsia" w:cstheme="minorEastAsia"/>
                <w:color w:val="000000"/>
                <w:sz w:val="21"/>
                <w:szCs w:val="21"/>
                <w:highlight w:val="none"/>
              </w:rPr>
              <w:t>1.重金属可溶性铅（Pb）、可溶性镉（Cd）、可溶性铬（Cr）、可溶性汞（Hg）未检出</w:t>
            </w:r>
            <w:r>
              <w:rPr>
                <w:rFonts w:hint="eastAsia" w:asciiTheme="minorEastAsia" w:hAnsiTheme="minorEastAsia" w:eastAsiaTheme="minorEastAsia" w:cstheme="minorEastAsia"/>
                <w:sz w:val="21"/>
                <w:szCs w:val="21"/>
                <w:highlight w:val="none"/>
              </w:rPr>
              <w:br w:type="textWrapping"/>
            </w:r>
            <w:r>
              <w:rPr>
                <w:rFonts w:hint="eastAsia" w:asciiTheme="minorEastAsia" w:hAnsiTheme="minorEastAsia" w:eastAsiaTheme="minorEastAsia" w:cstheme="minorEastAsia"/>
                <w:color w:val="000000"/>
                <w:sz w:val="21"/>
                <w:szCs w:val="21"/>
                <w:highlight w:val="none"/>
              </w:rPr>
              <w:t>依据GB/T 21866-2008《抗菌涂料（漆膜）抗菌性测定法和抗菌效果》（1级）</w:t>
            </w:r>
            <w:r>
              <w:rPr>
                <w:rFonts w:hint="eastAsia" w:asciiTheme="minorEastAsia" w:hAnsiTheme="minorEastAsia" w:eastAsiaTheme="minorEastAsia" w:cstheme="minorEastAsia"/>
                <w:sz w:val="21"/>
                <w:szCs w:val="21"/>
                <w:highlight w:val="none"/>
              </w:rPr>
              <w:br w:type="textWrapping"/>
            </w:r>
            <w:r>
              <w:rPr>
                <w:rFonts w:hint="eastAsia" w:asciiTheme="minorEastAsia" w:hAnsiTheme="minorEastAsia" w:eastAsiaTheme="minorEastAsia" w:cstheme="minorEastAsia"/>
                <w:color w:val="000000"/>
                <w:sz w:val="21"/>
                <w:szCs w:val="21"/>
                <w:highlight w:val="none"/>
              </w:rPr>
              <w:t>1.抗菌性能金黄色葡萄球菌、大肠埃希氏菌抑菌性能≥99%</w:t>
            </w:r>
            <w:r>
              <w:rPr>
                <w:rFonts w:hint="eastAsia" w:asciiTheme="minorEastAsia" w:hAnsiTheme="minorEastAsia" w:eastAsiaTheme="minorEastAsia" w:cstheme="minorEastAsia"/>
                <w:sz w:val="21"/>
                <w:szCs w:val="21"/>
                <w:highlight w:val="none"/>
              </w:rPr>
              <w:br w:type="textWrapping"/>
            </w:r>
            <w:r>
              <w:rPr>
                <w:rFonts w:hint="eastAsia" w:asciiTheme="minorEastAsia" w:hAnsiTheme="minorEastAsia" w:eastAsiaTheme="minorEastAsia" w:cstheme="minorEastAsia"/>
                <w:color w:val="000000"/>
                <w:sz w:val="21"/>
                <w:szCs w:val="21"/>
                <w:highlight w:val="none"/>
              </w:rPr>
              <w:t>2.抗菌耐久性金黄色葡萄球菌、大肠埃希氏菌抑菌性能≥95%</w:t>
            </w:r>
          </w:p>
        </w:tc>
      </w:tr>
      <w:tr w14:paraId="4666E2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42" w:type="dxa"/>
            <w:tcBorders>
              <w:top w:val="single" w:color="auto" w:sz="4" w:space="0"/>
              <w:right w:val="single" w:color="auto" w:sz="4" w:space="0"/>
            </w:tcBorders>
            <w:shd w:val="clear" w:color="auto" w:fill="auto"/>
            <w:tcMar>
              <w:top w:w="0" w:type="dxa"/>
              <w:left w:w="105" w:type="dxa"/>
              <w:bottom w:w="0" w:type="dxa"/>
              <w:right w:w="105" w:type="dxa"/>
            </w:tcMar>
            <w:vAlign w:val="center"/>
          </w:tcPr>
          <w:p w14:paraId="1EAA887E">
            <w:pPr>
              <w:pStyle w:val="25"/>
              <w:spacing w:line="240" w:lineRule="auto"/>
              <w:jc w:val="center"/>
              <w:rPr>
                <w:rFonts w:hint="eastAsia"/>
                <w:color w:val="000000"/>
                <w:sz w:val="21"/>
                <w:highlight w:val="none"/>
                <w:lang w:val="en-US" w:eastAsia="zh-Hans"/>
              </w:rPr>
            </w:pPr>
            <w:r>
              <w:rPr>
                <w:color w:val="000000"/>
                <w:sz w:val="21"/>
                <w:highlight w:val="none"/>
              </w:rPr>
              <w:t>不锈钢拉手</w:t>
            </w:r>
          </w:p>
        </w:tc>
        <w:tc>
          <w:tcPr>
            <w:tcW w:w="7149" w:type="dxa"/>
            <w:tcBorders>
              <w:top w:val="single" w:color="auto" w:sz="4" w:space="0"/>
              <w:left w:val="single" w:color="auto" w:sz="4" w:space="0"/>
            </w:tcBorders>
            <w:shd w:val="clear" w:color="auto" w:fill="auto"/>
            <w:tcMar>
              <w:top w:w="0" w:type="dxa"/>
              <w:left w:w="105" w:type="dxa"/>
              <w:bottom w:w="0" w:type="dxa"/>
              <w:right w:w="105" w:type="dxa"/>
            </w:tcMar>
            <w:vAlign w:val="top"/>
          </w:tcPr>
          <w:p w14:paraId="1914DA9E">
            <w:pPr>
              <w:pStyle w:val="25"/>
              <w:spacing w:line="240" w:lineRule="auto"/>
              <w:jc w:val="left"/>
              <w:rPr>
                <w:rFonts w:hint="eastAsia"/>
                <w:color w:val="000000"/>
                <w:sz w:val="21"/>
                <w:highlight w:val="none"/>
                <w:lang w:val="en-US" w:eastAsia="zh-Hans"/>
              </w:rPr>
            </w:pPr>
            <w:r>
              <w:rPr>
                <w:color w:val="000000"/>
                <w:sz w:val="21"/>
                <w:highlight w:val="none"/>
              </w:rPr>
              <w:t>腐蚀性：符合</w:t>
            </w:r>
            <w:r>
              <w:rPr>
                <w:rFonts w:hint="eastAsia" w:ascii="宋体" w:hAnsi="宋体" w:eastAsia="宋体" w:cs="宋体"/>
                <w:sz w:val="21"/>
                <w:szCs w:val="21"/>
                <w:highlight w:val="none"/>
              </w:rPr>
              <w:t>GB/T 3325-</w:t>
            </w:r>
            <w:r>
              <w:rPr>
                <w:rFonts w:hint="eastAsia" w:ascii="宋体" w:hAnsi="宋体" w:eastAsia="宋体" w:cs="宋体"/>
                <w:sz w:val="21"/>
                <w:szCs w:val="21"/>
                <w:highlight w:val="none"/>
                <w:lang w:val="en-US" w:eastAsia="zh-CN"/>
              </w:rPr>
              <w:t>2024</w:t>
            </w:r>
            <w:r>
              <w:rPr>
                <w:color w:val="000000"/>
                <w:sz w:val="21"/>
                <w:highlight w:val="none"/>
              </w:rPr>
              <w:t>《金属家具通用技术条件》,中性盐雾试验（NSS）连续喷雾</w:t>
            </w:r>
            <w:r>
              <w:rPr>
                <w:rFonts w:hint="eastAsia"/>
                <w:color w:val="000000"/>
                <w:sz w:val="21"/>
                <w:highlight w:val="none"/>
                <w:lang w:val="en-US" w:eastAsia="zh-CN"/>
              </w:rPr>
              <w:t>24</w:t>
            </w:r>
            <w:r>
              <w:rPr>
                <w:color w:val="000000"/>
                <w:sz w:val="21"/>
                <w:highlight w:val="none"/>
              </w:rPr>
              <w:t>h以上，镀层对基体保护等级≥10级，镀层本身的耐腐蚀的等级≥10级</w:t>
            </w:r>
          </w:p>
        </w:tc>
      </w:tr>
    </w:tbl>
    <w:p w14:paraId="10BCA0B6">
      <w:pPr>
        <w:spacing w:line="360" w:lineRule="auto"/>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2、主要产品的技术参数要求</w:t>
      </w:r>
    </w:p>
    <w:p w14:paraId="07F907B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以下需求仅作为技术/服务的客观描述，无限制性或指向性，投标方案必须满足或优于。</w:t>
      </w:r>
    </w:p>
    <w:p w14:paraId="705C6375">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①以下有关政策、标准、规范等，如有更新的，以最新现行版本为准。</w:t>
      </w:r>
    </w:p>
    <w:p w14:paraId="637457A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②除另有说明外，以下需求所述的“大于”“小于”“以上”“以下”等描述或符号均包含本数。</w:t>
      </w:r>
    </w:p>
    <w:p w14:paraId="53A0CD9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③除另有说明外，以下需求所述区间范围的是指：响应数值在该区间范围内，或响应区间能涵盖该范围的，均为符合要求；响应数值不在该范围内，或响应区间不能涵盖该范围的，均为负偏离。所述固定数值可以完整、明确地描述采购标的需要实现的功能或者目标、满足的质量、安全、技术规格、物理特性等技术要求，是指：响应数值满足或优于该固定数值的，均为符合要求；响应数值劣于该固定数值的，均为负偏离。</w:t>
      </w:r>
    </w:p>
    <w:tbl>
      <w:tblPr>
        <w:tblStyle w:val="11"/>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136"/>
        <w:gridCol w:w="7155"/>
      </w:tblGrid>
      <w:tr w14:paraId="5C819E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6" w:type="dxa"/>
            <w:tcBorders>
              <w:top w:val="single" w:color="000000" w:sz="4" w:space="0"/>
              <w:left w:val="single" w:color="000000" w:sz="4" w:space="0"/>
              <w:bottom w:val="single" w:color="auto" w:sz="4" w:space="0"/>
              <w:right w:val="single" w:color="000000" w:sz="4" w:space="0"/>
            </w:tcBorders>
            <w:tcMar>
              <w:top w:w="0" w:type="dxa"/>
              <w:left w:w="105" w:type="dxa"/>
              <w:bottom w:w="0" w:type="dxa"/>
              <w:right w:w="105" w:type="dxa"/>
            </w:tcMar>
            <w:vAlign w:val="top"/>
          </w:tcPr>
          <w:p w14:paraId="544B07C7">
            <w:pPr>
              <w:pStyle w:val="25"/>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产品名称</w:t>
            </w:r>
          </w:p>
        </w:tc>
        <w:tc>
          <w:tcPr>
            <w:tcW w:w="7155" w:type="dxa"/>
            <w:tcBorders>
              <w:top w:val="single" w:color="000000" w:sz="4" w:space="0"/>
              <w:left w:val="nil"/>
              <w:bottom w:val="single" w:color="auto" w:sz="4" w:space="0"/>
              <w:right w:val="single" w:color="000000" w:sz="4" w:space="0"/>
            </w:tcBorders>
            <w:tcMar>
              <w:top w:w="0" w:type="dxa"/>
              <w:left w:w="105" w:type="dxa"/>
              <w:bottom w:w="0" w:type="dxa"/>
              <w:right w:w="105" w:type="dxa"/>
            </w:tcMar>
            <w:vAlign w:val="top"/>
          </w:tcPr>
          <w:p w14:paraId="49EC2A09">
            <w:pPr>
              <w:pStyle w:val="25"/>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参数要求</w:t>
            </w:r>
          </w:p>
        </w:tc>
      </w:tr>
      <w:tr w14:paraId="1D3CA2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6"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61D5D68E">
            <w:pPr>
              <w:pStyle w:val="25"/>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医技柜台</w:t>
            </w:r>
          </w:p>
        </w:tc>
        <w:tc>
          <w:tcPr>
            <w:tcW w:w="715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1566909B">
            <w:pPr>
              <w:pStyle w:val="25"/>
              <w:numPr>
                <w:ilvl w:val="0"/>
                <w:numId w:val="0"/>
              </w:numPr>
              <w:spacing w:line="24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符合GB/T3325-2024《金属家具通用技术条件》、《实验室家具通用技术条件》标准；</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2.乙酸盐雾试验：24h乙酸盐雾试验，耐腐蚀等级≥7级；</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3.家具涂层可迁移元素铅(Pb)≤90mg/kg, 镉(Cd)≤50mg/kg, 铬(Cr)≤25mg/kg,汞(Hg)≤25mg/kg, 锑(Sb)≤60mg/kg, 钡(Ba)≤lOOOmg/kg, 硒 (Se)≤500mg/kg, 砷 (As)≤25mg/kg；</w:t>
            </w:r>
          </w:p>
          <w:p w14:paraId="01A23355">
            <w:pPr>
              <w:pStyle w:val="25"/>
              <w:numPr>
                <w:ilvl w:val="0"/>
                <w:numId w:val="0"/>
              </w:numPr>
              <w:spacing w:line="24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4.性能要求：管材应无裂缝、叠缝，外露管口端面应封闭；焊接件焊接处应无脱焊、虚焊、焊穿、错位；焊接处应无夹渣、气孔、焊瘤、焊丝头、咬边、飞溅；焊接处表面波纹均匀；喷涂层应无漏喷、锈蚀和脱色、掉色现象，涂层应光滑均匀，色泽一致，应无流挂、疙瘩、皱皮、飞漆等缺陷；活动部件间距离≤5mm或≥25mm；人体接触或收藏物品的部位应无毛刺、刃口、棱角；抽屉等推拉构件应有防脱落装置；</w:t>
            </w:r>
          </w:p>
        </w:tc>
      </w:tr>
      <w:tr w14:paraId="66DF5D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6" w:type="dxa"/>
            <w:tcBorders>
              <w:top w:val="single" w:color="auto" w:sz="4" w:space="0"/>
              <w:left w:val="single" w:color="000000" w:sz="4" w:space="0"/>
              <w:bottom w:val="single" w:color="auto" w:sz="4" w:space="0"/>
              <w:right w:val="single" w:color="000000" w:sz="4" w:space="0"/>
            </w:tcBorders>
            <w:tcMar>
              <w:top w:w="0" w:type="dxa"/>
              <w:left w:w="105" w:type="dxa"/>
              <w:bottom w:w="0" w:type="dxa"/>
              <w:right w:w="105" w:type="dxa"/>
            </w:tcMar>
            <w:vAlign w:val="center"/>
          </w:tcPr>
          <w:p w14:paraId="114F8996">
            <w:pPr>
              <w:pStyle w:val="25"/>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医用工作桌</w:t>
            </w:r>
          </w:p>
        </w:tc>
        <w:tc>
          <w:tcPr>
            <w:tcW w:w="7155"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top"/>
          </w:tcPr>
          <w:p w14:paraId="0F195E64">
            <w:pPr>
              <w:pStyle w:val="25"/>
              <w:spacing w:line="24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1.符合GB/T 3325-2024《金属家具通用技术条件》、GB/T 35607-2024《绿色产品评价家具》标准；</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2.家具涂层可迁移元素铅(Pb)≤90mg/kg, 镉(Cd)≤50mg/kg, 铬(Cr)≤25mg/kg,汞(Hg)≤25mg/kg, 锑(Sb)≤60mg/kg, 钡 (Ba)≤lOOOmg/kg, 硒 (Se)≤500mg/kg, 砷 (As)≤25mg/kg</w:t>
            </w:r>
            <w:r>
              <w:rPr>
                <w:rFonts w:hint="eastAsia" w:ascii="宋体" w:hAnsi="宋体" w:eastAsia="宋体" w:cs="宋体"/>
                <w:b/>
                <w:sz w:val="21"/>
                <w:szCs w:val="21"/>
                <w:highlight w:val="none"/>
              </w:rPr>
              <w:t>；</w:t>
            </w:r>
            <w:r>
              <w:rPr>
                <w:rFonts w:hint="eastAsia" w:ascii="宋体" w:hAnsi="宋体" w:eastAsia="宋体" w:cs="宋体"/>
                <w:sz w:val="21"/>
                <w:szCs w:val="21"/>
                <w:highlight w:val="none"/>
              </w:rPr>
              <w:t>甲醛释放量≤0.05mg/m</w:t>
            </w:r>
            <w:r>
              <w:rPr>
                <w:rFonts w:hint="eastAsia" w:ascii="宋体" w:hAnsi="宋体" w:eastAsia="宋体" w:cs="宋体"/>
                <w:sz w:val="21"/>
                <w:szCs w:val="21"/>
                <w:highlight w:val="none"/>
                <w:vertAlign w:val="superscript"/>
              </w:rPr>
              <w:t>3</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3.外观要求：人造板件外观：外表应无干花、湿花，无明显划痕、压痕、色差，无鼓泡、龟裂、分层；家具锁锁定到位，开启灵活；软、硬质覆面表面理化性能：耐冷热循环、耐干热、耐湿热、耐划痕、耐污染性能、表面耐磨性、抗冲击、耐光色牢度均合格；</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4.力学性能桌类强度和耐久性检测主桌面垂直静载荷试验、桌面持续垂直静载荷试验、桌面垂直冲击试验、水平静载荷试验、桌腿跌落试验、桌面水平耐久性试验、桌类稳定性垂直和水平加载稳定性试验均合格。</w:t>
            </w:r>
          </w:p>
        </w:tc>
      </w:tr>
      <w:tr w14:paraId="145DB9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6" w:type="dxa"/>
            <w:tcBorders>
              <w:top w:val="single" w:color="auto" w:sz="4" w:space="0"/>
              <w:left w:val="single" w:color="auto" w:sz="4" w:space="0"/>
              <w:bottom w:val="single" w:color="auto" w:sz="4" w:space="0"/>
              <w:right w:val="single" w:color="000000" w:sz="4" w:space="0"/>
            </w:tcBorders>
            <w:tcMar>
              <w:top w:w="0" w:type="dxa"/>
              <w:left w:w="105" w:type="dxa"/>
              <w:bottom w:w="0" w:type="dxa"/>
              <w:right w:w="105" w:type="dxa"/>
            </w:tcMar>
            <w:vAlign w:val="center"/>
          </w:tcPr>
          <w:p w14:paraId="09D18F22">
            <w:pPr>
              <w:pStyle w:val="25"/>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护士站</w:t>
            </w:r>
          </w:p>
        </w:tc>
        <w:tc>
          <w:tcPr>
            <w:tcW w:w="7155" w:type="dxa"/>
            <w:tcBorders>
              <w:top w:val="single" w:color="auto" w:sz="4" w:space="0"/>
              <w:left w:val="nil"/>
              <w:bottom w:val="single" w:color="auto" w:sz="4" w:space="0"/>
              <w:right w:val="single" w:color="auto" w:sz="4" w:space="0"/>
            </w:tcBorders>
            <w:tcMar>
              <w:top w:w="0" w:type="dxa"/>
              <w:left w:w="105" w:type="dxa"/>
              <w:bottom w:w="0" w:type="dxa"/>
              <w:right w:w="105" w:type="dxa"/>
            </w:tcMar>
            <w:vAlign w:val="top"/>
          </w:tcPr>
          <w:p w14:paraId="38D9FF8B">
            <w:pPr>
              <w:pStyle w:val="25"/>
              <w:spacing w:line="24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1.符合GB/T 3324-</w:t>
            </w:r>
            <w:r>
              <w:rPr>
                <w:rFonts w:hint="eastAsia" w:ascii="宋体" w:hAnsi="宋体" w:eastAsia="宋体" w:cs="宋体"/>
                <w:sz w:val="21"/>
                <w:szCs w:val="21"/>
                <w:highlight w:val="none"/>
                <w:lang w:val="en-US" w:eastAsia="zh-CN"/>
              </w:rPr>
              <w:t>2024</w:t>
            </w:r>
            <w:r>
              <w:rPr>
                <w:rFonts w:hint="eastAsia" w:ascii="宋体" w:hAnsi="宋体" w:eastAsia="宋体" w:cs="宋体"/>
                <w:sz w:val="21"/>
                <w:szCs w:val="21"/>
                <w:highlight w:val="none"/>
              </w:rPr>
              <w:t>《木家具通用技术条件》；</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2.外观要求：人造板件外观：外表应无干花、湿花，无明显划痕、压痕、色差，无鼓泡、龟裂、分层；家具锁锁定到位，开启灵活；软、硬质覆面表面理化性能：耐冷热循环、耐干热、耐湿热、耐划痕、耐污染性能、表面耐磨性、抗冲击、耐光色牢度均合格；</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3.有害物质限量：甲醛释放量＜1.0mg/L；</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4.力学性能桌类强度和耐久性检测主桌面垂直静载荷试验、桌面持续垂直静载荷试验、桌面垂直冲击试验、水平静载荷试验、桌腿跌落试验、桌面水平耐久性试验、桌类稳定性垂直和水平加载稳定性试验均合格。</w:t>
            </w:r>
          </w:p>
        </w:tc>
      </w:tr>
      <w:tr w14:paraId="62207C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6" w:type="dxa"/>
            <w:tcBorders>
              <w:top w:val="single" w:color="auto"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5812D855">
            <w:pPr>
              <w:pStyle w:val="25"/>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医用诊查床</w:t>
            </w:r>
          </w:p>
        </w:tc>
        <w:tc>
          <w:tcPr>
            <w:tcW w:w="7155" w:type="dxa"/>
            <w:tcBorders>
              <w:top w:val="single" w:color="auto" w:sz="4" w:space="0"/>
              <w:left w:val="nil"/>
              <w:bottom w:val="single" w:color="000000" w:sz="4" w:space="0"/>
              <w:right w:val="single" w:color="000000" w:sz="4" w:space="0"/>
            </w:tcBorders>
            <w:tcMar>
              <w:top w:w="0" w:type="dxa"/>
              <w:left w:w="105" w:type="dxa"/>
              <w:bottom w:w="0" w:type="dxa"/>
              <w:right w:w="105" w:type="dxa"/>
            </w:tcMar>
            <w:vAlign w:val="top"/>
          </w:tcPr>
          <w:p w14:paraId="15C14112">
            <w:pPr>
              <w:pStyle w:val="25"/>
              <w:spacing w:line="240" w:lineRule="auto"/>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1.符合GB/T 3325-2024《金属家具通用技术条件》、GB/T 35607-2024《绿色产品评价家具》标准；</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2.家具涂层可迁移元素铅(Pb)≤90mg/kg, 镉(Cd)≤50mg/kg, 铬(Cr)≤25mg/kg,汞(Hg)≤25mg/kg, 锑(Sb)≤60mg/kg, 钡 (Ba)≤lOOOmg/kg, 硒 (Se)≤500mg/kg, 砷 (As)≤25mg/kg</w:t>
            </w:r>
            <w:r>
              <w:rPr>
                <w:rFonts w:hint="eastAsia" w:ascii="宋体" w:hAnsi="宋体" w:eastAsia="宋体" w:cs="宋体"/>
                <w:b/>
                <w:sz w:val="21"/>
                <w:szCs w:val="21"/>
                <w:highlight w:val="none"/>
              </w:rPr>
              <w:t>；</w:t>
            </w:r>
            <w:r>
              <w:rPr>
                <w:rFonts w:hint="eastAsia" w:ascii="宋体" w:hAnsi="宋体" w:eastAsia="宋体" w:cs="宋体"/>
                <w:sz w:val="21"/>
                <w:szCs w:val="21"/>
                <w:highlight w:val="none"/>
              </w:rPr>
              <w:br w:type="textWrapping"/>
            </w:r>
            <w:r>
              <w:rPr>
                <w:rFonts w:hint="eastAsia" w:ascii="宋体" w:hAnsi="宋体" w:eastAsia="宋体" w:cs="宋体"/>
                <w:b/>
                <w:sz w:val="21"/>
                <w:szCs w:val="21"/>
                <w:highlight w:val="none"/>
              </w:rPr>
              <w:t>3.</w:t>
            </w:r>
            <w:r>
              <w:rPr>
                <w:rFonts w:hint="eastAsia" w:ascii="宋体" w:hAnsi="宋体" w:eastAsia="宋体" w:cs="宋体"/>
                <w:sz w:val="21"/>
                <w:szCs w:val="21"/>
                <w:highlight w:val="none"/>
              </w:rPr>
              <w:t>甲醛释放量≤0.05mg/m</w:t>
            </w:r>
            <w:r>
              <w:rPr>
                <w:rFonts w:hint="eastAsia" w:ascii="宋体" w:hAnsi="宋体" w:eastAsia="宋体" w:cs="宋体"/>
                <w:sz w:val="21"/>
                <w:szCs w:val="21"/>
                <w:highlight w:val="none"/>
                <w:vertAlign w:val="superscript"/>
              </w:rPr>
              <w:t>3</w:t>
            </w:r>
            <w:r>
              <w:rPr>
                <w:rFonts w:hint="eastAsia" w:ascii="宋体" w:hAnsi="宋体" w:eastAsia="宋体" w:cs="宋体"/>
                <w:sz w:val="21"/>
                <w:szCs w:val="21"/>
                <w:highlight w:val="none"/>
              </w:rPr>
              <w:t xml:space="preserve"> ，苯≤0.05 mg/m³；甲苯：≤0.1mg/m³；二甲苯；≤0.1mg/m³；</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4.理化性能：覆面材料耐干摩擦等级≧4级，耐湿摩擦≥4级</w:t>
            </w:r>
            <w:r>
              <w:rPr>
                <w:rFonts w:hint="eastAsia" w:ascii="宋体" w:hAnsi="宋体" w:eastAsia="宋体" w:cs="宋体"/>
                <w:sz w:val="21"/>
                <w:szCs w:val="21"/>
                <w:highlight w:val="none"/>
                <w:lang w:eastAsia="zh-CN"/>
              </w:rPr>
              <w:t>。</w:t>
            </w:r>
          </w:p>
        </w:tc>
      </w:tr>
      <w:tr w14:paraId="6EB3E4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6"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14:paraId="5F1C1321">
            <w:pPr>
              <w:pStyle w:val="25"/>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等候椅三人位</w:t>
            </w:r>
          </w:p>
        </w:tc>
        <w:tc>
          <w:tcPr>
            <w:tcW w:w="715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top"/>
          </w:tcPr>
          <w:p w14:paraId="212A1540">
            <w:pPr>
              <w:pStyle w:val="25"/>
              <w:numPr>
                <w:ilvl w:val="0"/>
                <w:numId w:val="0"/>
              </w:numPr>
              <w:spacing w:line="240" w:lineRule="auto"/>
              <w:jc w:val="both"/>
              <w:rPr>
                <w:rFonts w:hint="eastAsia" w:ascii="宋体" w:hAnsi="宋体" w:eastAsia="宋体" w:cs="宋体"/>
                <w:b/>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符合GB/T 3325-2024《金属家具通用技术条件》、GB/T 35607-2024《绿色产品评价家具》标准；</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2.家具涂层可迁移元素铅(Pb)≤90mg/kg,镉(Cd)≤50mg/kg, 铬(Cr)≤25mg/kg,汞(Hg)≤25mg/kg, 锑(Sb)≤60mg/kg,钡 (Ba)≤lOOOmg/kg, 硒 (Se)≤500mg/kg,砷 (As)≤25mg/kg</w:t>
            </w:r>
            <w:r>
              <w:rPr>
                <w:rFonts w:hint="eastAsia" w:ascii="宋体" w:hAnsi="宋体" w:eastAsia="宋体" w:cs="宋体"/>
                <w:b/>
                <w:sz w:val="21"/>
                <w:szCs w:val="21"/>
                <w:highlight w:val="none"/>
              </w:rPr>
              <w:t>；</w:t>
            </w:r>
          </w:p>
          <w:p w14:paraId="1588E1FC">
            <w:pPr>
              <w:pStyle w:val="25"/>
              <w:numPr>
                <w:ilvl w:val="0"/>
                <w:numId w:val="0"/>
              </w:numPr>
              <w:spacing w:line="240" w:lineRule="auto"/>
              <w:ind w:leftChars="0"/>
              <w:jc w:val="both"/>
              <w:rPr>
                <w:rFonts w:hint="eastAsia" w:ascii="宋体" w:hAnsi="宋体" w:eastAsia="宋体" w:cs="宋体"/>
                <w:sz w:val="21"/>
                <w:szCs w:val="21"/>
                <w:highlight w:val="none"/>
              </w:rPr>
            </w:pPr>
            <w:r>
              <w:rPr>
                <w:rFonts w:hint="eastAsia" w:ascii="宋体" w:hAnsi="宋体" w:eastAsia="宋体" w:cs="宋体"/>
                <w:b w:val="0"/>
                <w:bCs/>
                <w:sz w:val="21"/>
                <w:szCs w:val="21"/>
                <w:highlight w:val="none"/>
                <w:lang w:val="en-US" w:eastAsia="zh-CN"/>
              </w:rPr>
              <w:t>3.</w:t>
            </w:r>
            <w:r>
              <w:rPr>
                <w:rFonts w:hint="eastAsia" w:ascii="宋体" w:hAnsi="宋体" w:eastAsia="宋体" w:cs="宋体"/>
                <w:b w:val="0"/>
                <w:bCs/>
                <w:sz w:val="21"/>
                <w:szCs w:val="21"/>
                <w:highlight w:val="none"/>
              </w:rPr>
              <w:t>甲醛释放量</w:t>
            </w:r>
            <w:r>
              <w:rPr>
                <w:rFonts w:hint="eastAsia" w:ascii="宋体" w:hAnsi="宋体" w:eastAsia="宋体" w:cs="宋体"/>
                <w:sz w:val="21"/>
                <w:szCs w:val="21"/>
                <w:highlight w:val="none"/>
              </w:rPr>
              <w:t>≤</w:t>
            </w:r>
            <w:r>
              <w:rPr>
                <w:rFonts w:hint="eastAsia" w:ascii="宋体" w:hAnsi="宋体" w:eastAsia="宋体" w:cs="宋体"/>
                <w:b w:val="0"/>
                <w:bCs/>
                <w:sz w:val="21"/>
                <w:szCs w:val="21"/>
                <w:highlight w:val="none"/>
              </w:rPr>
              <w:t>0.05mg/m</w:t>
            </w:r>
            <w:r>
              <w:rPr>
                <w:rFonts w:hint="eastAsia" w:ascii="宋体" w:hAnsi="宋体" w:eastAsia="宋体" w:cs="宋体"/>
                <w:b w:val="0"/>
                <w:bCs/>
                <w:sz w:val="21"/>
                <w:szCs w:val="21"/>
                <w:highlight w:val="none"/>
                <w:vertAlign w:val="superscript"/>
              </w:rPr>
              <w:t>3</w:t>
            </w:r>
            <w:r>
              <w:rPr>
                <w:rFonts w:hint="eastAsia" w:ascii="宋体" w:hAnsi="宋体" w:eastAsia="宋体" w:cs="宋体"/>
                <w:b w:val="0"/>
                <w:bCs/>
                <w:sz w:val="21"/>
                <w:szCs w:val="21"/>
                <w:highlight w:val="none"/>
              </w:rPr>
              <w:t>，苯≤0.05mg/m³；甲苯≤0.1mg/m³；二甲苯</w:t>
            </w:r>
            <w:r>
              <w:rPr>
                <w:rFonts w:hint="eastAsia" w:ascii="宋体" w:hAnsi="宋体" w:eastAsia="宋体" w:cs="宋体"/>
                <w:sz w:val="21"/>
                <w:szCs w:val="21"/>
                <w:highlight w:val="none"/>
              </w:rPr>
              <w:t>≤0.1 mg/m³；</w:t>
            </w:r>
          </w:p>
          <w:p w14:paraId="7F08717A">
            <w:pPr>
              <w:pStyle w:val="25"/>
              <w:numPr>
                <w:ilvl w:val="0"/>
                <w:numId w:val="0"/>
              </w:numPr>
              <w:spacing w:line="240" w:lineRule="auto"/>
              <w:ind w:leftChars="0"/>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4.金属喷涂层硬度≥H，附着力不低于2级（0级最好）；</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5.结构安全：人体接触或收藏物品的部位应无毛刺、刃口、棱角，固定部位的结合应牢固无松动</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6.椅凳类强度和耐久性测试座面静载荷试验、椅背静载荷试验、扶手侧向静载荷、扶手垂直向下静载荷试验、椅腿前向静载荷试验、椅腿侧向静载荷试验、座面冲击试验、椅背冲击试验、扶手冲击试验、跌落试验、座面椅背耐久性试验、扶手耐久性试验、椅子向前倾翻试验、椅子向后倾翻试验、扶手椅侧向倾翻试验均合格</w:t>
            </w:r>
            <w:r>
              <w:rPr>
                <w:rFonts w:hint="eastAsia" w:ascii="宋体" w:hAnsi="宋体" w:eastAsia="宋体" w:cs="宋体"/>
                <w:sz w:val="21"/>
                <w:szCs w:val="21"/>
                <w:highlight w:val="none"/>
                <w:lang w:eastAsia="zh-CN"/>
              </w:rPr>
              <w:t>。</w:t>
            </w:r>
          </w:p>
        </w:tc>
      </w:tr>
      <w:tr w14:paraId="0843B4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6" w:type="dxa"/>
            <w:tcBorders>
              <w:top w:val="single" w:color="auto" w:sz="4" w:space="0"/>
              <w:left w:val="single" w:color="000000" w:sz="4" w:space="0"/>
              <w:bottom w:val="single" w:color="auto" w:sz="4" w:space="0"/>
              <w:right w:val="single" w:color="000000" w:sz="4" w:space="0"/>
            </w:tcBorders>
            <w:tcMar>
              <w:top w:w="0" w:type="dxa"/>
              <w:left w:w="105" w:type="dxa"/>
              <w:bottom w:w="0" w:type="dxa"/>
              <w:right w:w="105" w:type="dxa"/>
            </w:tcMar>
            <w:vAlign w:val="center"/>
          </w:tcPr>
          <w:p w14:paraId="1BCDF8E3">
            <w:pPr>
              <w:pStyle w:val="25"/>
              <w:spacing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医用工作椅</w:t>
            </w:r>
          </w:p>
        </w:tc>
        <w:tc>
          <w:tcPr>
            <w:tcW w:w="7155"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top"/>
          </w:tcPr>
          <w:p w14:paraId="7FC269CE">
            <w:pPr>
              <w:pStyle w:val="25"/>
              <w:spacing w:line="24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1.符合QB/T2280-2016《办公家具办公椅》、GB/T 35607-2024《绿色产品评价家具》标准；</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2.甲醛释放量≤0.05mg/m</w:t>
            </w:r>
            <w:r>
              <w:rPr>
                <w:rFonts w:hint="eastAsia" w:ascii="宋体" w:hAnsi="宋体" w:eastAsia="宋体" w:cs="宋体"/>
                <w:sz w:val="21"/>
                <w:szCs w:val="21"/>
                <w:highlight w:val="none"/>
                <w:vertAlign w:val="superscript"/>
              </w:rPr>
              <w:t>3</w:t>
            </w:r>
            <w:r>
              <w:rPr>
                <w:rFonts w:hint="eastAsia" w:ascii="宋体" w:hAnsi="宋体" w:eastAsia="宋体" w:cs="宋体"/>
                <w:sz w:val="21"/>
                <w:szCs w:val="21"/>
                <w:highlight w:val="none"/>
              </w:rPr>
              <w:t>，苯≤0.05 mg/m³；甲苯≤0.1 mg/m³；二甲苯≤0.1 mg/m³、TVOC≤0.3mg/m³，纺织品皮革中五氯苯酚≤0.05mg/kg，可分解芳香胺染料禁用（未检出），苯并芘≤0.5mg/kg；</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3.力学性能：座面冲击测试合格，座面椅背耐久性联合试验合格、扶手耐久性试验合格、椅子向前倾翻试验合格、椅子向后倾翻试验合格；椅类座面冲击后无损；脚轮往复磨损试验结果无损；底座静载荷试验、跌落试验结果均无损。</w:t>
            </w:r>
          </w:p>
        </w:tc>
      </w:tr>
      <w:tr w14:paraId="132A1A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6" w:type="dxa"/>
            <w:tcBorders>
              <w:top w:val="single" w:color="auto" w:sz="4" w:space="0"/>
              <w:left w:val="single" w:color="auto" w:sz="4" w:space="0"/>
              <w:bottom w:val="single" w:color="auto" w:sz="4" w:space="0"/>
              <w:right w:val="single" w:color="000000" w:sz="4" w:space="0"/>
            </w:tcBorders>
            <w:tcMar>
              <w:top w:w="0" w:type="dxa"/>
              <w:left w:w="105" w:type="dxa"/>
              <w:bottom w:w="0" w:type="dxa"/>
              <w:right w:w="105" w:type="dxa"/>
            </w:tcMar>
            <w:vAlign w:val="center"/>
          </w:tcPr>
          <w:p w14:paraId="238F6F41">
            <w:pPr>
              <w:pStyle w:val="25"/>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值班床-双层木质</w:t>
            </w:r>
          </w:p>
        </w:tc>
        <w:tc>
          <w:tcPr>
            <w:tcW w:w="7155" w:type="dxa"/>
            <w:tcBorders>
              <w:top w:val="single" w:color="auto" w:sz="4" w:space="0"/>
              <w:left w:val="nil"/>
              <w:bottom w:val="single" w:color="auto" w:sz="4" w:space="0"/>
              <w:right w:val="single" w:color="auto" w:sz="4" w:space="0"/>
            </w:tcBorders>
            <w:tcMar>
              <w:top w:w="0" w:type="dxa"/>
              <w:left w:w="105" w:type="dxa"/>
              <w:bottom w:w="0" w:type="dxa"/>
              <w:right w:w="105" w:type="dxa"/>
            </w:tcMar>
            <w:vAlign w:val="top"/>
          </w:tcPr>
          <w:p w14:paraId="7BF17A0A">
            <w:pPr>
              <w:pStyle w:val="25"/>
              <w:spacing w:line="24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1.符合GB/T 3324-</w:t>
            </w:r>
            <w:r>
              <w:rPr>
                <w:rFonts w:hint="eastAsia" w:ascii="宋体" w:hAnsi="宋体" w:eastAsia="宋体" w:cs="宋体"/>
                <w:sz w:val="21"/>
                <w:szCs w:val="21"/>
                <w:highlight w:val="none"/>
                <w:lang w:val="en-US" w:eastAsia="zh-CN"/>
              </w:rPr>
              <w:t>2024</w:t>
            </w:r>
            <w:r>
              <w:rPr>
                <w:rFonts w:hint="eastAsia" w:ascii="宋体" w:hAnsi="宋体" w:eastAsia="宋体" w:cs="宋体"/>
                <w:sz w:val="21"/>
                <w:szCs w:val="21"/>
                <w:highlight w:val="none"/>
              </w:rPr>
              <w:t>《木家具通用技术条件》标准</w:t>
            </w:r>
            <w:r>
              <w:rPr>
                <w:rFonts w:hint="eastAsia" w:ascii="宋体" w:hAnsi="宋体" w:eastAsia="宋体" w:cs="宋体"/>
                <w:sz w:val="21"/>
                <w:szCs w:val="21"/>
                <w:highlight w:val="none"/>
                <w:lang w:eastAsia="zh-CN"/>
              </w:rPr>
              <w:t>，GB/T 39600-2021 《人造板及其制品甲醛释放量分级》标准</w:t>
            </w:r>
            <w:r>
              <w:rPr>
                <w:rFonts w:hint="eastAsia" w:ascii="宋体" w:hAnsi="宋体" w:eastAsia="宋体" w:cs="宋体"/>
                <w:sz w:val="21"/>
                <w:szCs w:val="21"/>
                <w:highlight w:val="none"/>
              </w:rPr>
              <w:t>；</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2.形状和位置公差：产品外形尺寸偏差为±5mm以内，底脚平稳性≤2.0mm；</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3.人造板件。外观：外表应无干花、湿花，无明显划痕、压痕、色差，无鼓泡、龟裂、分层。木工要求：非交接面应进行封边或涂饰处理，榫、塞角、零部件结合处不应断裂，零部件的结合应严密牢固；漆膜外观要求无褪色掉色现象，涂层平整光滑，无缩孔刷毛、积粉和杂渣。</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4.有害物质：甲醛释放量≤0.5mg/L，重金属含量铅、镉、铬、汞均未检出。</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5.力学性能：床铺面均布静载荷、床铺面集中静载荷、床屏水平静载荷、床长边静载荷试验、床结构耐久性、床铺面冲击载荷试验均合格。</w:t>
            </w:r>
          </w:p>
        </w:tc>
      </w:tr>
      <w:tr w14:paraId="18DB87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6" w:type="dxa"/>
            <w:tcBorders>
              <w:top w:val="single" w:color="auto"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47B2D898">
            <w:pPr>
              <w:pStyle w:val="25"/>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更衣柜-钢质6门</w:t>
            </w:r>
          </w:p>
        </w:tc>
        <w:tc>
          <w:tcPr>
            <w:tcW w:w="7155" w:type="dxa"/>
            <w:tcBorders>
              <w:top w:val="single" w:color="auto" w:sz="4" w:space="0"/>
              <w:left w:val="nil"/>
              <w:bottom w:val="single" w:color="000000" w:sz="4" w:space="0"/>
              <w:right w:val="single" w:color="000000" w:sz="4" w:space="0"/>
            </w:tcBorders>
            <w:tcMar>
              <w:top w:w="0" w:type="dxa"/>
              <w:left w:w="105" w:type="dxa"/>
              <w:bottom w:w="0" w:type="dxa"/>
              <w:right w:w="105" w:type="dxa"/>
            </w:tcMar>
            <w:vAlign w:val="top"/>
          </w:tcPr>
          <w:p w14:paraId="5E144D13">
            <w:pPr>
              <w:pStyle w:val="25"/>
              <w:spacing w:line="240" w:lineRule="auto"/>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1.符合GB/T3325-2024《金属家具通用技术条件》、GB/T 35607-2024《绿色产品评价家具》标准；</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2.厚度≥O.7mm。家具涂层可迁移元素铅(Pb)≤90mg/kg,镉(Cd)≤50mg/kg, 铬(Cr)≤25mg/kg,汞(Hg)≤25mg/kg,锑(Sb)≤60mg/kg,钡(Ba)≤lOOOmg/kg, 硒(Se)≤500mg/kg,砷 (As)≤25mg/kg；</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3.形状和位置公差：临边垂直度符合标准要求，底脚平稳性≤2.0mm，活动部件间距离≤5mm或≥25mm，固定部位的结合牢固无松动；</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4.搁板定位试验、搁板支撑件强度试验、结构和底架强度试验、跌落试验、门猛开猛关试验、门锁插销强度试验、锁具插销装置耐久性试验、门耐久性试验、搁板弯曲试验、顶板和底板的持续加载试验、搁板水平加载稳定性试验、搁板垂直加载稳定性试验、柜空载稳定性试验、柜空载和加载稳定性试验均合格</w:t>
            </w:r>
            <w:r>
              <w:rPr>
                <w:rFonts w:hint="eastAsia" w:ascii="宋体" w:hAnsi="宋体" w:eastAsia="宋体" w:cs="宋体"/>
                <w:sz w:val="21"/>
                <w:szCs w:val="21"/>
                <w:highlight w:val="none"/>
                <w:lang w:eastAsia="zh-CN"/>
              </w:rPr>
              <w:t>。</w:t>
            </w:r>
          </w:p>
        </w:tc>
      </w:tr>
      <w:tr w14:paraId="51022C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6" w:type="dxa"/>
            <w:tcBorders>
              <w:top w:val="single" w:color="auto" w:sz="4" w:space="0"/>
              <w:left w:val="single" w:color="auto" w:sz="4" w:space="0"/>
              <w:bottom w:val="single" w:color="auto" w:sz="4" w:space="0"/>
              <w:right w:val="single" w:color="000000" w:sz="4" w:space="0"/>
            </w:tcBorders>
            <w:tcMar>
              <w:top w:w="0" w:type="dxa"/>
              <w:left w:w="105" w:type="dxa"/>
              <w:bottom w:w="0" w:type="dxa"/>
              <w:right w:w="105" w:type="dxa"/>
            </w:tcMar>
            <w:vAlign w:val="center"/>
          </w:tcPr>
          <w:p w14:paraId="658E53BD">
            <w:pPr>
              <w:pStyle w:val="25"/>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医技吊柜</w:t>
            </w:r>
          </w:p>
        </w:tc>
        <w:tc>
          <w:tcPr>
            <w:tcW w:w="7155" w:type="dxa"/>
            <w:tcBorders>
              <w:top w:val="single" w:color="auto" w:sz="4" w:space="0"/>
              <w:left w:val="nil"/>
              <w:bottom w:val="single" w:color="auto" w:sz="4" w:space="0"/>
              <w:right w:val="single" w:color="auto" w:sz="4" w:space="0"/>
            </w:tcBorders>
            <w:tcMar>
              <w:top w:w="0" w:type="dxa"/>
              <w:left w:w="105" w:type="dxa"/>
              <w:bottom w:w="0" w:type="dxa"/>
              <w:right w:w="105" w:type="dxa"/>
            </w:tcMar>
            <w:vAlign w:val="top"/>
          </w:tcPr>
          <w:p w14:paraId="2D203CE0">
            <w:pPr>
              <w:pStyle w:val="25"/>
              <w:spacing w:line="240" w:lineRule="auto"/>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1.符合GB/T3325-2024《金属家具通用技术条件》、GB/T 35607-2024《绿色产品评价家具》标准；</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2.厚度≥1.0mm。家具涂层可迁移元素铅(Pb)≤90mg/kg,镉(Cd)≤50mg/kg, 铬(Cr)≤25mg/kg,汞(Hg)≤25mg/kg, 锑(Sb)≤60mg/kg,钡(Ba)≤lOOOmg/kg,硒(Se)≤500mg/kg,砷(As)≤25mg/kg；</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3.形状和位置公差：临边垂直度符合标准要求，位差度门与框架、门与门表面、抽屉与框架、抽屉与门、抽屉与抽屉相邻两表面间的距离差≤2.0mm，所有分缝≤2.0mm，着地平稳性，底脚与水平面的差值≤2.0mm；</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4.结构安全：活动部件间距离≤5mm或≤25mm，人体接触或收藏物品的部位应无毛刺、刃口、棱角，固定部位的结合应牢固无松动、无少件、透钉、漏钉（预留孔、选择孔除外）</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5.搁板定位试验、搁板支撑件强度试验、结构和底架强度试验、跌落试验、门猛开猛关试验、门锁插销强度试验、锁具插销装置耐久性试验、门耐久性试验、搁板弯曲试验、顶板和底板的持续加载试验、搁板水平加载稳定性试验、搁板垂直加载稳定性试验、柜空载稳定性试验、柜空载和加载稳定性试验均合格</w:t>
            </w:r>
            <w:r>
              <w:rPr>
                <w:rFonts w:hint="eastAsia" w:ascii="宋体" w:hAnsi="宋体" w:eastAsia="宋体" w:cs="宋体"/>
                <w:sz w:val="21"/>
                <w:szCs w:val="21"/>
                <w:highlight w:val="none"/>
                <w:lang w:eastAsia="zh-CN"/>
              </w:rPr>
              <w:t>。</w:t>
            </w:r>
          </w:p>
        </w:tc>
      </w:tr>
      <w:tr w14:paraId="49C9E7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6" w:type="dxa"/>
            <w:tcBorders>
              <w:top w:val="single" w:color="auto" w:sz="4" w:space="0"/>
              <w:left w:val="single" w:color="auto" w:sz="4" w:space="0"/>
              <w:bottom w:val="single" w:color="auto" w:sz="4" w:space="0"/>
              <w:right w:val="single" w:color="000000" w:sz="4" w:space="0"/>
            </w:tcBorders>
            <w:tcMar>
              <w:top w:w="0" w:type="dxa"/>
              <w:left w:w="105" w:type="dxa"/>
              <w:bottom w:w="0" w:type="dxa"/>
              <w:right w:w="105" w:type="dxa"/>
            </w:tcMar>
            <w:vAlign w:val="center"/>
          </w:tcPr>
          <w:p w14:paraId="1617480A">
            <w:pPr>
              <w:pStyle w:val="25"/>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文件柜</w:t>
            </w:r>
          </w:p>
        </w:tc>
        <w:tc>
          <w:tcPr>
            <w:tcW w:w="7155" w:type="dxa"/>
            <w:tcBorders>
              <w:top w:val="single" w:color="auto" w:sz="4" w:space="0"/>
              <w:left w:val="nil"/>
              <w:bottom w:val="single" w:color="auto" w:sz="4" w:space="0"/>
              <w:right w:val="single" w:color="auto" w:sz="4" w:space="0"/>
            </w:tcBorders>
            <w:tcMar>
              <w:top w:w="0" w:type="dxa"/>
              <w:left w:w="105" w:type="dxa"/>
              <w:bottom w:w="0" w:type="dxa"/>
              <w:right w:w="105" w:type="dxa"/>
            </w:tcMar>
            <w:vAlign w:val="top"/>
          </w:tcPr>
          <w:p w14:paraId="74271F38">
            <w:pPr>
              <w:pStyle w:val="25"/>
              <w:spacing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依据GB/T 35607-</w:t>
            </w:r>
            <w:r>
              <w:rPr>
                <w:rFonts w:hint="eastAsia" w:ascii="宋体" w:hAnsi="宋体" w:eastAsia="宋体" w:cs="宋体"/>
                <w:sz w:val="21"/>
                <w:szCs w:val="21"/>
                <w:highlight w:val="none"/>
                <w:lang w:val="en-US" w:eastAsia="zh-CN"/>
              </w:rPr>
              <w:t>2024</w:t>
            </w:r>
            <w:r>
              <w:rPr>
                <w:rFonts w:hint="eastAsia" w:ascii="宋体" w:hAnsi="宋体" w:eastAsia="宋体" w:cs="宋体"/>
                <w:sz w:val="21"/>
                <w:szCs w:val="21"/>
                <w:highlight w:val="none"/>
              </w:rPr>
              <w:t>《绿色产品评价家具》</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1.柜类主要尺寸净深≥245mm，层间净高≥330mm，临边垂直度符合标准要求；翘曲度≤2.0mm；平整度≤0.20mm；分缝≤2.0mm；着地平稳性≤2.0mm</w:t>
            </w:r>
            <w:r>
              <w:rPr>
                <w:rFonts w:hint="eastAsia" w:ascii="宋体" w:hAnsi="宋体" w:eastAsia="宋体" w:cs="宋体"/>
                <w:sz w:val="21"/>
                <w:szCs w:val="21"/>
                <w:highlight w:val="none"/>
                <w:lang w:eastAsia="zh-CN"/>
              </w:rPr>
              <w:t>；</w:t>
            </w:r>
          </w:p>
          <w:p w14:paraId="144EAA26">
            <w:pPr>
              <w:pStyle w:val="25"/>
              <w:spacing w:line="240" w:lineRule="auto"/>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2.外观要求金属件、喷涂层均合格；金属喷涂层硬度≥H；冲击高度400mm，应无剥落、皱纹、裂纹，冲击强度符合要求</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3.100h内，观察在溶液中样板上划道两侧3mm以外，应无鼓泡产生，100h后检查划道两侧3mm外，应无锈迹，剥落，起皱，变色和失光等现象，耐腐蚀性符合要求</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3.附着力应不低于2级</w:t>
            </w:r>
            <w:r>
              <w:rPr>
                <w:rFonts w:hint="eastAsia" w:ascii="宋体" w:hAnsi="宋体" w:eastAsia="宋体" w:cs="宋体"/>
                <w:sz w:val="21"/>
                <w:szCs w:val="21"/>
                <w:highlight w:val="none"/>
              </w:rPr>
              <w:br w:type="textWrapping"/>
            </w:r>
            <w:r>
              <w:rPr>
                <w:rFonts w:hint="eastAsia" w:ascii="宋体" w:hAnsi="宋体" w:eastAsia="宋体" w:cs="宋体"/>
                <w:sz w:val="21"/>
                <w:szCs w:val="21"/>
                <w:highlight w:val="none"/>
              </w:rPr>
              <w:t>4.挥发性有机化合物苯≤0.05mg/m³、甲苯≤0.1mg/m³、二甲苯≤0.1mg/m³、TVOC≤0.3mg/m³</w:t>
            </w:r>
            <w:r>
              <w:rPr>
                <w:rFonts w:hint="eastAsia" w:ascii="宋体" w:hAnsi="宋体" w:eastAsia="宋体" w:cs="宋体"/>
                <w:sz w:val="21"/>
                <w:szCs w:val="21"/>
                <w:highlight w:val="none"/>
                <w:lang w:eastAsia="zh-CN"/>
              </w:rPr>
              <w:t>。</w:t>
            </w:r>
          </w:p>
        </w:tc>
      </w:tr>
    </w:tbl>
    <w:p w14:paraId="1981A569">
      <w:pPr>
        <w:pStyle w:val="25"/>
        <w:spacing w:line="360" w:lineRule="auto"/>
        <w:jc w:val="both"/>
        <w:rPr>
          <w:sz w:val="21"/>
          <w:highlight w:val="none"/>
        </w:rPr>
      </w:pPr>
      <w:r>
        <w:rPr>
          <w:rFonts w:hint="eastAsia"/>
          <w:sz w:val="21"/>
          <w:highlight w:val="none"/>
          <w:lang w:eastAsia="zh-CN"/>
        </w:rPr>
        <w:t>（</w:t>
      </w:r>
      <w:r>
        <w:rPr>
          <w:rFonts w:hint="eastAsia"/>
          <w:sz w:val="21"/>
          <w:highlight w:val="none"/>
          <w:lang w:val="en-US" w:eastAsia="zh-CN"/>
        </w:rPr>
        <w:t>三</w:t>
      </w:r>
      <w:r>
        <w:rPr>
          <w:rFonts w:hint="eastAsia"/>
          <w:sz w:val="21"/>
          <w:highlight w:val="none"/>
          <w:lang w:eastAsia="zh-CN"/>
        </w:rPr>
        <w:t>）</w:t>
      </w:r>
      <w:r>
        <w:rPr>
          <w:sz w:val="21"/>
          <w:highlight w:val="none"/>
        </w:rPr>
        <w:t>执行的相关标准</w:t>
      </w:r>
    </w:p>
    <w:p w14:paraId="2D24CC1D">
      <w:pPr>
        <w:pStyle w:val="25"/>
        <w:spacing w:line="360" w:lineRule="auto"/>
        <w:ind w:firstLine="460"/>
        <w:jc w:val="left"/>
        <w:rPr>
          <w:color w:val="000000"/>
          <w:sz w:val="23"/>
          <w:highlight w:val="none"/>
        </w:rPr>
      </w:pPr>
      <w:r>
        <w:rPr>
          <w:color w:val="000000"/>
          <w:sz w:val="23"/>
          <w:highlight w:val="none"/>
        </w:rPr>
        <w:t>本项目采购的货物中，如有涉及的，需执行包含但不限于以下标准，如有未特别注明需执行的国家相关标准、行业标准、地方标准或者其他标准、规范，则统一执行最新标准、规范。</w:t>
      </w:r>
    </w:p>
    <w:p w14:paraId="2E3D38A0">
      <w:pPr>
        <w:pStyle w:val="25"/>
        <w:spacing w:line="360" w:lineRule="auto"/>
        <w:ind w:firstLine="460"/>
        <w:jc w:val="left"/>
        <w:rPr>
          <w:rFonts w:hint="eastAsia" w:eastAsiaTheme="minorEastAsia"/>
          <w:sz w:val="21"/>
          <w:szCs w:val="21"/>
          <w:highlight w:val="none"/>
          <w:lang w:eastAsia="zh-CN"/>
        </w:rPr>
      </w:pPr>
      <w:r>
        <w:rPr>
          <w:color w:val="000000"/>
          <w:sz w:val="21"/>
          <w:szCs w:val="21"/>
          <w:highlight w:val="none"/>
        </w:rPr>
        <w:t>以下标准如有更新，按最新文件执行</w:t>
      </w:r>
      <w:r>
        <w:rPr>
          <w:rFonts w:hint="eastAsia"/>
          <w:color w:val="000000"/>
          <w:sz w:val="21"/>
          <w:szCs w:val="21"/>
          <w:highlight w:val="none"/>
          <w:lang w:eastAsia="zh-CN"/>
        </w:rPr>
        <w:t>：</w:t>
      </w:r>
    </w:p>
    <w:p w14:paraId="56930C9C">
      <w:pPr>
        <w:pStyle w:val="25"/>
        <w:spacing w:line="360" w:lineRule="auto"/>
        <w:jc w:val="left"/>
        <w:rPr>
          <w:sz w:val="21"/>
          <w:szCs w:val="21"/>
          <w:highlight w:val="none"/>
        </w:rPr>
      </w:pPr>
      <w:r>
        <w:rPr>
          <w:color w:val="000000"/>
          <w:sz w:val="21"/>
          <w:szCs w:val="21"/>
          <w:highlight w:val="none"/>
        </w:rPr>
        <w:t>1.GB 6566-2010 建筑材料放射性核素限量</w:t>
      </w:r>
    </w:p>
    <w:p w14:paraId="0A25E305">
      <w:pPr>
        <w:pStyle w:val="25"/>
        <w:spacing w:line="360" w:lineRule="auto"/>
        <w:jc w:val="left"/>
        <w:rPr>
          <w:sz w:val="21"/>
          <w:szCs w:val="21"/>
          <w:highlight w:val="none"/>
        </w:rPr>
      </w:pPr>
      <w:r>
        <w:rPr>
          <w:color w:val="000000"/>
          <w:sz w:val="21"/>
          <w:szCs w:val="21"/>
          <w:highlight w:val="none"/>
        </w:rPr>
        <w:t>2.GB 8410-2006 汽车内饰材料的燃烧特性</w:t>
      </w:r>
    </w:p>
    <w:p w14:paraId="3AD134C7">
      <w:pPr>
        <w:pStyle w:val="25"/>
        <w:spacing w:line="360" w:lineRule="auto"/>
        <w:jc w:val="left"/>
        <w:rPr>
          <w:sz w:val="21"/>
          <w:szCs w:val="21"/>
          <w:highlight w:val="none"/>
        </w:rPr>
      </w:pPr>
      <w:r>
        <w:rPr>
          <w:color w:val="000000"/>
          <w:sz w:val="21"/>
          <w:szCs w:val="21"/>
          <w:highlight w:val="none"/>
        </w:rPr>
        <w:t>3.GB 9688-1988 食品包装用聚丙烯成型品卫生标准</w:t>
      </w:r>
    </w:p>
    <w:p w14:paraId="2FCBCD1D">
      <w:pPr>
        <w:pStyle w:val="25"/>
        <w:spacing w:line="360" w:lineRule="auto"/>
        <w:jc w:val="left"/>
        <w:rPr>
          <w:sz w:val="21"/>
          <w:szCs w:val="21"/>
          <w:highlight w:val="none"/>
        </w:rPr>
      </w:pPr>
      <w:r>
        <w:rPr>
          <w:color w:val="000000"/>
          <w:sz w:val="21"/>
          <w:szCs w:val="21"/>
          <w:highlight w:val="none"/>
        </w:rPr>
        <w:t>4.GB 18580-2017 室内装饰装修材料人造板及其制品中甲醛释放限量</w:t>
      </w:r>
    </w:p>
    <w:p w14:paraId="49DEEE07">
      <w:pPr>
        <w:pStyle w:val="25"/>
        <w:spacing w:line="360" w:lineRule="auto"/>
        <w:jc w:val="left"/>
        <w:rPr>
          <w:sz w:val="21"/>
          <w:szCs w:val="21"/>
          <w:highlight w:val="none"/>
        </w:rPr>
      </w:pPr>
      <w:r>
        <w:rPr>
          <w:color w:val="000000"/>
          <w:sz w:val="21"/>
          <w:szCs w:val="21"/>
          <w:highlight w:val="none"/>
        </w:rPr>
        <w:t>5.GB 18583-2008 室内装饰装修材料胶粘剂中有害物质限量</w:t>
      </w:r>
    </w:p>
    <w:p w14:paraId="3255BF97">
      <w:pPr>
        <w:pStyle w:val="25"/>
        <w:spacing w:line="360" w:lineRule="auto"/>
        <w:jc w:val="left"/>
        <w:rPr>
          <w:sz w:val="21"/>
          <w:szCs w:val="21"/>
          <w:highlight w:val="none"/>
        </w:rPr>
      </w:pPr>
      <w:r>
        <w:rPr>
          <w:color w:val="000000"/>
          <w:sz w:val="21"/>
          <w:szCs w:val="21"/>
          <w:highlight w:val="none"/>
        </w:rPr>
        <w:t>6.GB 18584-2001 室内装饰装修材料木家具中有害物质限量</w:t>
      </w:r>
    </w:p>
    <w:p w14:paraId="611E165C">
      <w:pPr>
        <w:pStyle w:val="25"/>
        <w:spacing w:line="360" w:lineRule="auto"/>
        <w:jc w:val="left"/>
        <w:rPr>
          <w:sz w:val="21"/>
          <w:szCs w:val="21"/>
          <w:highlight w:val="none"/>
        </w:rPr>
      </w:pPr>
      <w:r>
        <w:rPr>
          <w:color w:val="000000"/>
          <w:sz w:val="21"/>
          <w:szCs w:val="21"/>
          <w:highlight w:val="none"/>
        </w:rPr>
        <w:t>7.GB 21556-2008 锁具安全通用技术条件</w:t>
      </w:r>
    </w:p>
    <w:p w14:paraId="2B709D64">
      <w:pPr>
        <w:pStyle w:val="25"/>
        <w:spacing w:line="360" w:lineRule="auto"/>
        <w:jc w:val="left"/>
        <w:rPr>
          <w:sz w:val="21"/>
          <w:szCs w:val="21"/>
          <w:highlight w:val="none"/>
        </w:rPr>
      </w:pPr>
      <w:r>
        <w:rPr>
          <w:color w:val="000000"/>
          <w:sz w:val="21"/>
          <w:szCs w:val="21"/>
          <w:highlight w:val="none"/>
        </w:rPr>
        <w:t>8.GB 24410-2009 室内装饰装修材料水性木器涂料中有害物质限量</w:t>
      </w:r>
    </w:p>
    <w:p w14:paraId="7F30A07F">
      <w:pPr>
        <w:pStyle w:val="25"/>
        <w:spacing w:line="360" w:lineRule="auto"/>
        <w:jc w:val="left"/>
        <w:rPr>
          <w:sz w:val="21"/>
          <w:szCs w:val="21"/>
          <w:highlight w:val="none"/>
        </w:rPr>
      </w:pPr>
      <w:r>
        <w:rPr>
          <w:color w:val="000000"/>
          <w:sz w:val="21"/>
          <w:szCs w:val="21"/>
          <w:highlight w:val="none"/>
        </w:rPr>
        <w:t>9.GB/T 708-2019 冷轧钢板和钢带的尺寸、外形、重量及允许偏差</w:t>
      </w:r>
    </w:p>
    <w:p w14:paraId="0D144B0F">
      <w:pPr>
        <w:pStyle w:val="25"/>
        <w:spacing w:line="360" w:lineRule="auto"/>
        <w:jc w:val="left"/>
        <w:rPr>
          <w:sz w:val="21"/>
          <w:szCs w:val="21"/>
          <w:highlight w:val="none"/>
        </w:rPr>
      </w:pPr>
      <w:r>
        <w:rPr>
          <w:color w:val="000000"/>
          <w:sz w:val="21"/>
          <w:szCs w:val="21"/>
          <w:highlight w:val="none"/>
        </w:rPr>
        <w:t>10.</w:t>
      </w:r>
      <w:r>
        <w:rPr>
          <w:rFonts w:hint="eastAsia"/>
          <w:color w:val="000000"/>
          <w:sz w:val="21"/>
          <w:szCs w:val="21"/>
          <w:highlight w:val="none"/>
        </w:rPr>
        <w:t>GB/T 3325-2024 金属家具通用技术条件</w:t>
      </w:r>
    </w:p>
    <w:p w14:paraId="517C35AE">
      <w:pPr>
        <w:pStyle w:val="25"/>
        <w:spacing w:line="360" w:lineRule="auto"/>
        <w:jc w:val="left"/>
        <w:rPr>
          <w:sz w:val="21"/>
          <w:szCs w:val="21"/>
          <w:highlight w:val="none"/>
        </w:rPr>
      </w:pPr>
      <w:r>
        <w:rPr>
          <w:color w:val="000000"/>
          <w:sz w:val="21"/>
          <w:szCs w:val="21"/>
          <w:highlight w:val="none"/>
        </w:rPr>
        <w:t>11.GB/T 3920-2008 纺织品色牢度试验耐摩擦色牢度</w:t>
      </w:r>
    </w:p>
    <w:p w14:paraId="4F5A8BD6">
      <w:pPr>
        <w:pStyle w:val="25"/>
        <w:spacing w:line="360" w:lineRule="auto"/>
        <w:jc w:val="left"/>
        <w:rPr>
          <w:sz w:val="21"/>
          <w:szCs w:val="21"/>
          <w:highlight w:val="none"/>
        </w:rPr>
      </w:pPr>
      <w:r>
        <w:rPr>
          <w:color w:val="000000"/>
          <w:sz w:val="21"/>
          <w:szCs w:val="21"/>
          <w:highlight w:val="none"/>
        </w:rPr>
        <w:t>12.GB/T 4897-2015 刨花板</w:t>
      </w:r>
    </w:p>
    <w:p w14:paraId="22FF8CB1">
      <w:pPr>
        <w:pStyle w:val="25"/>
        <w:spacing w:line="360" w:lineRule="auto"/>
        <w:jc w:val="left"/>
        <w:rPr>
          <w:sz w:val="21"/>
          <w:szCs w:val="21"/>
          <w:highlight w:val="none"/>
        </w:rPr>
      </w:pPr>
      <w:r>
        <w:rPr>
          <w:color w:val="000000"/>
          <w:sz w:val="21"/>
          <w:szCs w:val="21"/>
          <w:highlight w:val="none"/>
        </w:rPr>
        <w:t>13.GB/T 6728-2017 结构用冷弯空心型钢</w:t>
      </w:r>
    </w:p>
    <w:p w14:paraId="4E2E6425">
      <w:pPr>
        <w:pStyle w:val="25"/>
        <w:spacing w:line="360" w:lineRule="auto"/>
        <w:jc w:val="left"/>
        <w:rPr>
          <w:sz w:val="21"/>
          <w:szCs w:val="21"/>
          <w:highlight w:val="none"/>
        </w:rPr>
      </w:pPr>
      <w:r>
        <w:rPr>
          <w:color w:val="000000"/>
          <w:sz w:val="21"/>
          <w:szCs w:val="21"/>
          <w:highlight w:val="none"/>
        </w:rPr>
        <w:t>14.GB/T 6739-2006 色漆和清漆铅笔法测定漆膜硬度</w:t>
      </w:r>
    </w:p>
    <w:p w14:paraId="789D34B3">
      <w:pPr>
        <w:pStyle w:val="25"/>
        <w:spacing w:line="360" w:lineRule="auto"/>
        <w:jc w:val="left"/>
        <w:rPr>
          <w:sz w:val="21"/>
          <w:szCs w:val="21"/>
          <w:highlight w:val="none"/>
        </w:rPr>
      </w:pPr>
      <w:r>
        <w:rPr>
          <w:color w:val="000000"/>
          <w:sz w:val="21"/>
          <w:szCs w:val="21"/>
          <w:highlight w:val="none"/>
        </w:rPr>
        <w:t>15.GB/T 9846-2015 普通胶合板</w:t>
      </w:r>
    </w:p>
    <w:p w14:paraId="1BE2A6E2">
      <w:pPr>
        <w:pStyle w:val="25"/>
        <w:spacing w:line="360" w:lineRule="auto"/>
        <w:jc w:val="left"/>
        <w:rPr>
          <w:sz w:val="21"/>
          <w:szCs w:val="21"/>
          <w:highlight w:val="none"/>
        </w:rPr>
      </w:pPr>
      <w:r>
        <w:rPr>
          <w:color w:val="000000"/>
          <w:sz w:val="21"/>
          <w:szCs w:val="21"/>
          <w:highlight w:val="none"/>
        </w:rPr>
        <w:t>16.GB/T 10357.3-2013 家具力学性能试验 第3部分：椅凳类强度和耐久性</w:t>
      </w:r>
    </w:p>
    <w:p w14:paraId="38FC82DF">
      <w:pPr>
        <w:pStyle w:val="25"/>
        <w:spacing w:line="360" w:lineRule="auto"/>
        <w:jc w:val="left"/>
        <w:rPr>
          <w:sz w:val="21"/>
          <w:szCs w:val="21"/>
          <w:highlight w:val="none"/>
        </w:rPr>
      </w:pPr>
      <w:r>
        <w:rPr>
          <w:color w:val="000000"/>
          <w:sz w:val="21"/>
          <w:szCs w:val="21"/>
          <w:highlight w:val="none"/>
        </w:rPr>
        <w:t>17.GB/T 10357.6-2013 家具力学性能试验 第6部分：单层床强度和耐久性</w:t>
      </w:r>
    </w:p>
    <w:p w14:paraId="6AC755DD">
      <w:pPr>
        <w:pStyle w:val="25"/>
        <w:spacing w:line="360" w:lineRule="auto"/>
        <w:jc w:val="left"/>
        <w:rPr>
          <w:sz w:val="21"/>
          <w:szCs w:val="21"/>
          <w:highlight w:val="none"/>
        </w:rPr>
      </w:pPr>
      <w:r>
        <w:rPr>
          <w:color w:val="000000"/>
          <w:sz w:val="21"/>
          <w:szCs w:val="21"/>
          <w:highlight w:val="none"/>
        </w:rPr>
        <w:t>18.GB/T 10802-2006 通用软质聚醚型聚氨酯泡沫塑料</w:t>
      </w:r>
    </w:p>
    <w:p w14:paraId="10B27303">
      <w:pPr>
        <w:pStyle w:val="25"/>
        <w:spacing w:line="360" w:lineRule="auto"/>
        <w:jc w:val="left"/>
        <w:rPr>
          <w:sz w:val="21"/>
          <w:szCs w:val="21"/>
          <w:highlight w:val="none"/>
        </w:rPr>
      </w:pPr>
      <w:r>
        <w:rPr>
          <w:color w:val="000000"/>
          <w:sz w:val="21"/>
          <w:szCs w:val="21"/>
          <w:highlight w:val="none"/>
        </w:rPr>
        <w:t>19.GB/T 11718-2009 中密度纤维板</w:t>
      </w:r>
    </w:p>
    <w:p w14:paraId="5ADE64DE">
      <w:pPr>
        <w:pStyle w:val="25"/>
        <w:spacing w:line="360" w:lineRule="auto"/>
        <w:jc w:val="left"/>
        <w:rPr>
          <w:sz w:val="21"/>
          <w:szCs w:val="21"/>
          <w:highlight w:val="none"/>
        </w:rPr>
      </w:pPr>
      <w:r>
        <w:rPr>
          <w:color w:val="000000"/>
          <w:sz w:val="21"/>
          <w:szCs w:val="21"/>
          <w:highlight w:val="none"/>
        </w:rPr>
        <w:t>20.GB/T 26706-2011 软体家具棕纤维弹性床垫</w:t>
      </w:r>
    </w:p>
    <w:p w14:paraId="0CD62A08">
      <w:pPr>
        <w:pStyle w:val="25"/>
        <w:spacing w:line="360" w:lineRule="auto"/>
        <w:jc w:val="left"/>
        <w:rPr>
          <w:sz w:val="21"/>
          <w:szCs w:val="21"/>
          <w:highlight w:val="none"/>
        </w:rPr>
      </w:pPr>
      <w:r>
        <w:rPr>
          <w:color w:val="000000"/>
          <w:sz w:val="21"/>
          <w:szCs w:val="21"/>
          <w:highlight w:val="none"/>
        </w:rPr>
        <w:t>21.GB/T 31402-2015 塑料塑料表面抗菌性能试验方法</w:t>
      </w:r>
    </w:p>
    <w:p w14:paraId="08224F42">
      <w:pPr>
        <w:pStyle w:val="25"/>
        <w:spacing w:line="360" w:lineRule="auto"/>
        <w:jc w:val="left"/>
        <w:rPr>
          <w:sz w:val="21"/>
          <w:szCs w:val="21"/>
          <w:highlight w:val="none"/>
        </w:rPr>
      </w:pPr>
      <w:r>
        <w:rPr>
          <w:color w:val="000000"/>
          <w:sz w:val="21"/>
          <w:szCs w:val="21"/>
          <w:highlight w:val="none"/>
        </w:rPr>
        <w:t>22.QB/T 2189-2013 家具五金杯状暗铰链</w:t>
      </w:r>
    </w:p>
    <w:p w14:paraId="0F02D50D">
      <w:pPr>
        <w:pStyle w:val="25"/>
        <w:spacing w:line="360" w:lineRule="auto"/>
        <w:jc w:val="left"/>
        <w:rPr>
          <w:sz w:val="21"/>
          <w:szCs w:val="21"/>
          <w:highlight w:val="none"/>
        </w:rPr>
      </w:pPr>
      <w:r>
        <w:rPr>
          <w:color w:val="000000"/>
          <w:sz w:val="21"/>
          <w:szCs w:val="21"/>
          <w:highlight w:val="none"/>
        </w:rPr>
        <w:t>23.QB/T 2280-2016 办公家具办公椅</w:t>
      </w:r>
    </w:p>
    <w:p w14:paraId="40EEBC43">
      <w:pPr>
        <w:pStyle w:val="25"/>
        <w:spacing w:line="360" w:lineRule="auto"/>
        <w:jc w:val="left"/>
        <w:rPr>
          <w:sz w:val="21"/>
          <w:szCs w:val="21"/>
          <w:highlight w:val="none"/>
        </w:rPr>
      </w:pPr>
      <w:r>
        <w:rPr>
          <w:color w:val="000000"/>
          <w:sz w:val="21"/>
          <w:szCs w:val="21"/>
          <w:highlight w:val="none"/>
        </w:rPr>
        <w:t>24.QB/T 2454-2013 家具五金抽屉导轨</w:t>
      </w:r>
    </w:p>
    <w:p w14:paraId="40C4BAFE">
      <w:pPr>
        <w:pStyle w:val="25"/>
        <w:spacing w:line="360" w:lineRule="auto"/>
        <w:jc w:val="left"/>
        <w:rPr>
          <w:sz w:val="21"/>
          <w:szCs w:val="21"/>
          <w:highlight w:val="none"/>
        </w:rPr>
      </w:pPr>
      <w:r>
        <w:rPr>
          <w:color w:val="000000"/>
          <w:sz w:val="21"/>
          <w:szCs w:val="21"/>
          <w:highlight w:val="none"/>
        </w:rPr>
        <w:t>25.QB/T 3826-1999 轻工产品金属镀层和化学处理层的耐腐蚀试验方法中性盐雾试验(NSS)法</w:t>
      </w:r>
    </w:p>
    <w:p w14:paraId="002E9EEF">
      <w:pPr>
        <w:pStyle w:val="25"/>
        <w:spacing w:line="360" w:lineRule="auto"/>
        <w:jc w:val="left"/>
        <w:rPr>
          <w:sz w:val="21"/>
          <w:szCs w:val="21"/>
          <w:highlight w:val="none"/>
        </w:rPr>
      </w:pPr>
      <w:r>
        <w:rPr>
          <w:color w:val="000000"/>
          <w:sz w:val="21"/>
          <w:szCs w:val="21"/>
          <w:highlight w:val="none"/>
        </w:rPr>
        <w:t>26.QB/T 4462-2013 软体家具手动折叠沙发</w:t>
      </w:r>
    </w:p>
    <w:p w14:paraId="2883C19C">
      <w:pPr>
        <w:pStyle w:val="25"/>
        <w:spacing w:line="360" w:lineRule="auto"/>
        <w:jc w:val="left"/>
        <w:rPr>
          <w:sz w:val="21"/>
          <w:szCs w:val="21"/>
          <w:highlight w:val="none"/>
        </w:rPr>
      </w:pPr>
      <w:r>
        <w:rPr>
          <w:color w:val="000000"/>
          <w:sz w:val="21"/>
          <w:szCs w:val="21"/>
          <w:highlight w:val="none"/>
        </w:rPr>
        <w:t>27.QB/T 4463-2013 家具用封边条技术要求</w:t>
      </w:r>
    </w:p>
    <w:p w14:paraId="75D0CE85">
      <w:pPr>
        <w:pStyle w:val="25"/>
        <w:spacing w:line="360" w:lineRule="auto"/>
        <w:jc w:val="left"/>
        <w:rPr>
          <w:sz w:val="21"/>
          <w:szCs w:val="21"/>
          <w:highlight w:val="none"/>
        </w:rPr>
      </w:pPr>
      <w:r>
        <w:rPr>
          <w:color w:val="000000"/>
          <w:sz w:val="21"/>
          <w:szCs w:val="21"/>
          <w:highlight w:val="none"/>
        </w:rPr>
        <w:t>28.QB/T 5067-2017 家具用聚氯乙烯人造革</w:t>
      </w:r>
    </w:p>
    <w:p w14:paraId="7EE2D4C1">
      <w:pPr>
        <w:pStyle w:val="25"/>
        <w:spacing w:line="360" w:lineRule="auto"/>
        <w:jc w:val="left"/>
        <w:rPr>
          <w:sz w:val="21"/>
          <w:szCs w:val="21"/>
          <w:highlight w:val="none"/>
        </w:rPr>
      </w:pPr>
      <w:r>
        <w:rPr>
          <w:color w:val="000000"/>
          <w:sz w:val="21"/>
          <w:szCs w:val="21"/>
          <w:highlight w:val="none"/>
        </w:rPr>
        <w:t>29.JC/T 908-2013 人造石</w:t>
      </w:r>
    </w:p>
    <w:p w14:paraId="3A293642">
      <w:pPr>
        <w:pStyle w:val="25"/>
        <w:spacing w:line="360" w:lineRule="auto"/>
        <w:jc w:val="left"/>
        <w:rPr>
          <w:sz w:val="21"/>
          <w:szCs w:val="21"/>
          <w:highlight w:val="none"/>
        </w:rPr>
      </w:pPr>
      <w:r>
        <w:rPr>
          <w:color w:val="000000"/>
          <w:sz w:val="21"/>
          <w:szCs w:val="21"/>
          <w:highlight w:val="none"/>
        </w:rPr>
        <w:t>30.Q/CC JT032—2008 汽车海绵垫技术条件</w:t>
      </w:r>
    </w:p>
    <w:p w14:paraId="0ED2FA1E">
      <w:pPr>
        <w:pStyle w:val="25"/>
        <w:spacing w:line="360" w:lineRule="auto"/>
        <w:jc w:val="left"/>
        <w:rPr>
          <w:sz w:val="21"/>
          <w:szCs w:val="21"/>
          <w:highlight w:val="none"/>
        </w:rPr>
      </w:pPr>
      <w:r>
        <w:rPr>
          <w:color w:val="000000"/>
          <w:sz w:val="21"/>
          <w:szCs w:val="21"/>
          <w:highlight w:val="none"/>
        </w:rPr>
        <w:t>31.YY 0003-1990 病床标准</w:t>
      </w:r>
    </w:p>
    <w:p w14:paraId="3F8941C7">
      <w:pPr>
        <w:pStyle w:val="25"/>
        <w:spacing w:line="360" w:lineRule="auto"/>
        <w:jc w:val="left"/>
        <w:rPr>
          <w:sz w:val="21"/>
          <w:szCs w:val="21"/>
          <w:highlight w:val="none"/>
        </w:rPr>
      </w:pPr>
      <w:r>
        <w:rPr>
          <w:color w:val="000000"/>
          <w:sz w:val="21"/>
          <w:szCs w:val="21"/>
          <w:highlight w:val="none"/>
        </w:rPr>
        <w:t>32.YY 0571-2013 医用电气设备 第2部分 医院电动床安全专用要求</w:t>
      </w:r>
    </w:p>
    <w:p w14:paraId="4640C653">
      <w:pPr>
        <w:pStyle w:val="25"/>
        <w:spacing w:line="360" w:lineRule="auto"/>
        <w:jc w:val="left"/>
        <w:rPr>
          <w:sz w:val="21"/>
          <w:szCs w:val="21"/>
          <w:highlight w:val="none"/>
        </w:rPr>
      </w:pPr>
      <w:r>
        <w:rPr>
          <w:color w:val="000000"/>
          <w:sz w:val="21"/>
          <w:szCs w:val="21"/>
          <w:highlight w:val="none"/>
        </w:rPr>
        <w:t>33.HJ 571-2010 环境标志产品技术要求人造板及其制品</w:t>
      </w:r>
    </w:p>
    <w:p w14:paraId="23E23AF7">
      <w:pPr>
        <w:pStyle w:val="25"/>
        <w:spacing w:line="360" w:lineRule="auto"/>
        <w:jc w:val="left"/>
        <w:rPr>
          <w:sz w:val="21"/>
          <w:szCs w:val="21"/>
          <w:highlight w:val="none"/>
        </w:rPr>
      </w:pPr>
      <w:r>
        <w:rPr>
          <w:color w:val="000000"/>
          <w:sz w:val="21"/>
          <w:szCs w:val="21"/>
          <w:highlight w:val="none"/>
        </w:rPr>
        <w:t>34.HJ 2541-2016 环境标志产品技术要求胶黏剂</w:t>
      </w:r>
    </w:p>
    <w:p w14:paraId="041ABD11">
      <w:pPr>
        <w:numPr>
          <w:ilvl w:val="0"/>
          <w:numId w:val="0"/>
        </w:numPr>
        <w:jc w:val="left"/>
        <w:rPr>
          <w:rFonts w:hint="eastAsia" w:eastAsiaTheme="minorEastAsia"/>
          <w:b w:val="0"/>
          <w:bCs w:val="0"/>
          <w:sz w:val="21"/>
          <w:szCs w:val="21"/>
          <w:highlight w:val="none"/>
          <w:lang w:val="en-US" w:eastAsia="zh-CN"/>
        </w:rPr>
      </w:pPr>
      <w:r>
        <w:rPr>
          <w:rFonts w:hint="eastAsia"/>
          <w:b w:val="0"/>
          <w:bCs w:val="0"/>
          <w:sz w:val="21"/>
          <w:szCs w:val="21"/>
          <w:highlight w:val="none"/>
          <w:lang w:val="en-US" w:eastAsia="zh-CN"/>
        </w:rPr>
        <w:t>（四）</w:t>
      </w:r>
      <w:r>
        <w:rPr>
          <w:b w:val="0"/>
          <w:bCs w:val="0"/>
          <w:sz w:val="21"/>
          <w:szCs w:val="21"/>
          <w:highlight w:val="none"/>
        </w:rPr>
        <w:t>深化设计与生产</w:t>
      </w:r>
      <w:r>
        <w:rPr>
          <w:rFonts w:hint="eastAsia"/>
          <w:b w:val="0"/>
          <w:bCs w:val="0"/>
          <w:sz w:val="21"/>
          <w:szCs w:val="21"/>
          <w:highlight w:val="none"/>
          <w:lang w:eastAsia="zh-CN"/>
        </w:rPr>
        <w:t>要求</w:t>
      </w:r>
    </w:p>
    <w:p w14:paraId="579C8D8F">
      <w:pPr>
        <w:pStyle w:val="5"/>
        <w:rPr>
          <w:rFonts w:hint="eastAsia" w:asciiTheme="minorHAnsi" w:hAnsiTheme="minorHAnsi" w:eastAsiaTheme="minorEastAsia" w:cstheme="minorBidi"/>
          <w:kern w:val="2"/>
          <w:sz w:val="21"/>
          <w:szCs w:val="21"/>
          <w:highlight w:val="none"/>
          <w:lang w:val="en-US" w:eastAsia="zh-CN" w:bidi="ar-SA"/>
        </w:rPr>
      </w:pPr>
      <w:r>
        <w:rPr>
          <w:rFonts w:hint="eastAsia" w:asciiTheme="minorHAnsi" w:hAnsiTheme="minorHAnsi" w:eastAsiaTheme="minorEastAsia" w:cstheme="minorBidi"/>
          <w:kern w:val="2"/>
          <w:sz w:val="21"/>
          <w:szCs w:val="21"/>
          <w:highlight w:val="none"/>
          <w:lang w:val="en-US" w:eastAsia="zh-CN" w:bidi="ar-SA"/>
        </w:rPr>
        <w:t>1.本项目医疗家具的设计风格,颜色色调需符合本项目室内整体装饰效果，乙方在满足材质、使用、功能、等要求的前提下按室内装饰设计要求设计，在货物生产或采购前，乙方必须根据甲方现场场地情况，到甲方现场重新进行精准测量，以现场实际尺寸和甲方确认颜色、款式等为准，甲方不因中标后的尺寸和现场实际尺寸有小的差异而对乙方进行任何补偿，乙方签订合同之前必须充分理解该情况所带来的一切风险。</w:t>
      </w:r>
    </w:p>
    <w:p w14:paraId="0528C213">
      <w:pPr>
        <w:pStyle w:val="5"/>
        <w:rPr>
          <w:rFonts w:hint="eastAsia" w:asciiTheme="minorHAnsi" w:hAnsiTheme="minorHAnsi" w:eastAsiaTheme="minorEastAsia" w:cstheme="minorBidi"/>
          <w:kern w:val="2"/>
          <w:sz w:val="21"/>
          <w:szCs w:val="21"/>
          <w:highlight w:val="none"/>
          <w:lang w:val="en-US" w:eastAsia="zh-CN" w:bidi="ar-SA"/>
        </w:rPr>
      </w:pPr>
      <w:r>
        <w:rPr>
          <w:rFonts w:hint="eastAsia" w:asciiTheme="minorHAnsi" w:hAnsiTheme="minorHAnsi" w:eastAsiaTheme="minorEastAsia" w:cstheme="minorBidi"/>
          <w:kern w:val="2"/>
          <w:sz w:val="21"/>
          <w:szCs w:val="21"/>
          <w:highlight w:val="none"/>
          <w:lang w:val="en-US" w:eastAsia="zh-CN" w:bidi="ar-SA"/>
        </w:rPr>
        <w:t>2、产品设计、安装位置符合医院医疗规程、流程。所有产品满足安全、流程规范，实用、简洁、美观、结构牢固，与医院建筑风格、大楼装饰、装修风格相符。</w:t>
      </w:r>
    </w:p>
    <w:p w14:paraId="7A1C047F">
      <w:pPr>
        <w:pStyle w:val="5"/>
        <w:rPr>
          <w:rFonts w:hint="eastAsia" w:asciiTheme="minorHAnsi" w:hAnsiTheme="minorHAnsi" w:eastAsiaTheme="minorEastAsia" w:cstheme="minorBidi"/>
          <w:kern w:val="2"/>
          <w:sz w:val="21"/>
          <w:szCs w:val="21"/>
          <w:highlight w:val="none"/>
          <w:lang w:val="en-US" w:eastAsia="zh-CN" w:bidi="ar-SA"/>
        </w:rPr>
      </w:pPr>
      <w:r>
        <w:rPr>
          <w:rFonts w:hint="eastAsia" w:asciiTheme="minorHAnsi" w:hAnsiTheme="minorHAnsi" w:eastAsiaTheme="minorEastAsia" w:cstheme="minorBidi"/>
          <w:kern w:val="2"/>
          <w:sz w:val="21"/>
          <w:szCs w:val="21"/>
          <w:highlight w:val="none"/>
          <w:lang w:val="en-US" w:eastAsia="zh-CN" w:bidi="ar-SA"/>
        </w:rPr>
        <w:t>3、乙方在进场后，需在约定的时间内，深入调研临床科室需求，进一步完善家具平面、立面、剖面的详图及大样图的深化工作。</w:t>
      </w:r>
    </w:p>
    <w:p w14:paraId="5CA9AF86">
      <w:pPr>
        <w:pStyle w:val="5"/>
        <w:rPr>
          <w:rFonts w:hint="eastAsia" w:asciiTheme="minorHAnsi" w:hAnsiTheme="minorHAnsi" w:eastAsiaTheme="minorEastAsia" w:cstheme="minorBidi"/>
          <w:kern w:val="2"/>
          <w:sz w:val="21"/>
          <w:szCs w:val="21"/>
          <w:highlight w:val="none"/>
          <w:lang w:val="en-US" w:eastAsia="zh-CN" w:bidi="ar-SA"/>
        </w:rPr>
      </w:pPr>
      <w:r>
        <w:rPr>
          <w:rFonts w:hint="eastAsia" w:asciiTheme="minorHAnsi" w:hAnsiTheme="minorHAnsi" w:eastAsiaTheme="minorEastAsia" w:cstheme="minorBidi"/>
          <w:kern w:val="2"/>
          <w:sz w:val="21"/>
          <w:szCs w:val="21"/>
          <w:highlight w:val="none"/>
          <w:lang w:val="en-US" w:eastAsia="zh-CN" w:bidi="ar-SA"/>
        </w:rPr>
        <w:t>4、先提供相关色板供设计选择，确定颜色后进行样品设计，并与甲方核对确认货物的尺寸、颜色、款式等要素，并经双方确认签字后，乙方才能进行生产或采购。如果未与甲方确认货物的相关要素而未能达到甲方的要求时，造成的所有损失由乙方负责。</w:t>
      </w:r>
    </w:p>
    <w:p w14:paraId="401A1B75">
      <w:pPr>
        <w:pStyle w:val="5"/>
        <w:rPr>
          <w:rFonts w:hint="eastAsia" w:asciiTheme="minorHAnsi" w:hAnsiTheme="minorHAnsi" w:eastAsiaTheme="minorEastAsia" w:cstheme="minorBidi"/>
          <w:kern w:val="2"/>
          <w:sz w:val="21"/>
          <w:szCs w:val="21"/>
          <w:highlight w:val="none"/>
          <w:lang w:val="en-US" w:eastAsia="zh-CN" w:bidi="ar-SA"/>
        </w:rPr>
      </w:pPr>
      <w:r>
        <w:rPr>
          <w:rFonts w:hint="eastAsia" w:asciiTheme="minorHAnsi" w:hAnsiTheme="minorHAnsi" w:eastAsiaTheme="minorEastAsia" w:cstheme="minorBidi"/>
          <w:kern w:val="2"/>
          <w:sz w:val="21"/>
          <w:szCs w:val="21"/>
          <w:highlight w:val="none"/>
          <w:lang w:val="en-US" w:eastAsia="zh-CN" w:bidi="ar-SA"/>
        </w:rPr>
        <w:t>5.乙方应根据甲方要求深化设计，包括最终以甲方确定的设计方案为准，无论家具内的分隔组合、抽屉数量多少，乙方报价时已综合考虑，合同总额已包含款式内的分隔组合、抽屉数量等需求调整、零部件增加。</w:t>
      </w:r>
    </w:p>
    <w:p w14:paraId="36009FC0">
      <w:pPr>
        <w:pStyle w:val="5"/>
        <w:rPr>
          <w:rFonts w:hint="eastAsia" w:asciiTheme="minorHAnsi" w:hAnsiTheme="minorHAnsi" w:eastAsiaTheme="minorEastAsia" w:cstheme="minorBidi"/>
          <w:kern w:val="2"/>
          <w:sz w:val="21"/>
          <w:szCs w:val="21"/>
          <w:highlight w:val="none"/>
          <w:lang w:val="en-US" w:eastAsia="zh-CN" w:bidi="ar-SA"/>
        </w:rPr>
      </w:pPr>
      <w:r>
        <w:rPr>
          <w:rFonts w:hint="eastAsia" w:asciiTheme="minorHAnsi" w:hAnsiTheme="minorHAnsi" w:eastAsiaTheme="minorEastAsia" w:cstheme="minorBidi"/>
          <w:kern w:val="2"/>
          <w:sz w:val="21"/>
          <w:szCs w:val="21"/>
          <w:highlight w:val="none"/>
          <w:lang w:val="en-US" w:eastAsia="zh-CN" w:bidi="ar-SA"/>
        </w:rPr>
        <w:t>6.图纸尺寸由乙方根据甲方现场摆放场地详细复核后可做适当调整以达到最佳摆放及牢固效果（调整前需经甲方同意确认，如乙方未进行实地尺寸复核或出现复核误差，导致家具产品未能达到甲方的要求时，造成的所有损失由乙方负责）。乙方生产前的所有产品需经甲方确认后方可生产。</w:t>
      </w:r>
    </w:p>
    <w:p w14:paraId="29A8AA4D">
      <w:pPr>
        <w:pStyle w:val="5"/>
        <w:rPr>
          <w:rFonts w:hint="eastAsia" w:asciiTheme="minorHAnsi" w:hAnsiTheme="minorHAnsi" w:eastAsiaTheme="minorEastAsia" w:cstheme="minorBidi"/>
          <w:kern w:val="2"/>
          <w:sz w:val="21"/>
          <w:szCs w:val="21"/>
          <w:highlight w:val="none"/>
          <w:lang w:val="en-US" w:eastAsia="zh-CN" w:bidi="ar-SA"/>
        </w:rPr>
      </w:pPr>
      <w:r>
        <w:rPr>
          <w:rFonts w:hint="eastAsia" w:asciiTheme="minorHAnsi" w:hAnsiTheme="minorHAnsi" w:eastAsiaTheme="minorEastAsia" w:cstheme="minorBidi"/>
          <w:kern w:val="2"/>
          <w:sz w:val="21"/>
          <w:szCs w:val="21"/>
          <w:highlight w:val="none"/>
          <w:lang w:val="en-US" w:eastAsia="zh-CN" w:bidi="ar-SA"/>
        </w:rPr>
        <w:t>7.确保材料设备及多有配套件的完整性和可靠性。对于招标文件没有列出，而对该设备正常运行和维护必不可少的部件、配件等，乙方有责任给予补充。</w:t>
      </w:r>
    </w:p>
    <w:p w14:paraId="085D0516">
      <w:pPr>
        <w:pStyle w:val="15"/>
        <w:ind w:left="0" w:leftChars="0" w:firstLine="0" w:firstLineChars="0"/>
        <w:rPr>
          <w:rFonts w:hint="eastAsia" w:asciiTheme="minorHAnsi" w:hAnsiTheme="minorHAnsi" w:eastAsiaTheme="minorEastAsia" w:cstheme="minorBidi"/>
          <w:kern w:val="2"/>
          <w:sz w:val="21"/>
          <w:szCs w:val="21"/>
          <w:highlight w:val="none"/>
          <w:lang w:val="en-US" w:eastAsia="zh-CN" w:bidi="ar-SA"/>
        </w:rPr>
      </w:pPr>
      <w:r>
        <w:rPr>
          <w:rFonts w:hint="eastAsia" w:asciiTheme="minorHAnsi" w:hAnsiTheme="minorHAnsi" w:eastAsiaTheme="minorEastAsia" w:cstheme="minorBidi"/>
          <w:kern w:val="2"/>
          <w:sz w:val="21"/>
          <w:szCs w:val="21"/>
          <w:highlight w:val="none"/>
          <w:lang w:val="en-US" w:eastAsia="zh-CN" w:bidi="ar-SA"/>
        </w:rPr>
        <w:t>8.乙方在报价中已综合考虑合同范围内所有的家具布置安装后，达到最终使用条件所需通电、通水使用终端配备的费用，甲方不再另行支付。</w:t>
      </w:r>
    </w:p>
    <w:p w14:paraId="67F5A80A">
      <w:pPr>
        <w:pStyle w:val="5"/>
        <w:rPr>
          <w:rFonts w:hint="eastAsia" w:asciiTheme="minorHAnsi" w:hAnsiTheme="minorHAnsi" w:eastAsiaTheme="minorEastAsia" w:cstheme="minorBidi"/>
          <w:kern w:val="2"/>
          <w:sz w:val="21"/>
          <w:szCs w:val="21"/>
          <w:highlight w:val="none"/>
          <w:lang w:val="en-US" w:eastAsia="zh-CN" w:bidi="ar-SA"/>
        </w:rPr>
      </w:pPr>
      <w:r>
        <w:rPr>
          <w:rFonts w:hint="eastAsia" w:asciiTheme="minorHAnsi" w:hAnsiTheme="minorHAnsi" w:eastAsiaTheme="minorEastAsia" w:cstheme="minorBidi"/>
          <w:kern w:val="2"/>
          <w:sz w:val="21"/>
          <w:szCs w:val="21"/>
          <w:highlight w:val="none"/>
          <w:lang w:val="en-US" w:eastAsia="zh-CN" w:bidi="ar-SA"/>
        </w:rPr>
        <w:t>（五）其他实施要求：</w:t>
      </w:r>
      <w:bookmarkStart w:id="5" w:name="_GoBack"/>
      <w:bookmarkEnd w:id="5"/>
    </w:p>
    <w:p w14:paraId="7C9FF96E">
      <w:pPr>
        <w:pStyle w:val="5"/>
        <w:rPr>
          <w:rFonts w:hint="eastAsia" w:asciiTheme="minorHAnsi" w:hAnsiTheme="minorHAnsi" w:eastAsiaTheme="minorEastAsia" w:cstheme="minorBidi"/>
          <w:kern w:val="2"/>
          <w:sz w:val="21"/>
          <w:szCs w:val="21"/>
          <w:highlight w:val="none"/>
          <w:lang w:val="en-US" w:eastAsia="zh-CN" w:bidi="ar-SA"/>
        </w:rPr>
      </w:pPr>
      <w:r>
        <w:rPr>
          <w:rFonts w:hint="eastAsia" w:asciiTheme="minorHAnsi" w:hAnsiTheme="minorHAnsi" w:eastAsiaTheme="minorEastAsia" w:cstheme="minorBidi"/>
          <w:kern w:val="2"/>
          <w:sz w:val="21"/>
          <w:szCs w:val="21"/>
          <w:highlight w:val="none"/>
          <w:lang w:val="en-US" w:eastAsia="zh-CN" w:bidi="ar-SA"/>
        </w:rPr>
        <w:t xml:space="preserve">1.乙方必须按本项目进度安排计划，派出相关技术人员到甲方指定的安装现场负责安装和调试工作。在安装施工期间，严格遵守甲方的有关规定。 </w:t>
      </w:r>
    </w:p>
    <w:p w14:paraId="6006F77D">
      <w:pPr>
        <w:pStyle w:val="5"/>
        <w:rPr>
          <w:rFonts w:hint="eastAsia" w:asciiTheme="minorHAnsi" w:hAnsiTheme="minorHAnsi" w:eastAsiaTheme="minorEastAsia" w:cstheme="minorBidi"/>
          <w:kern w:val="2"/>
          <w:sz w:val="21"/>
          <w:szCs w:val="24"/>
          <w:highlight w:val="none"/>
          <w:lang w:val="en-US" w:eastAsia="zh-CN" w:bidi="ar-SA"/>
        </w:rPr>
      </w:pPr>
      <w:r>
        <w:rPr>
          <w:rFonts w:hint="eastAsia" w:asciiTheme="minorHAnsi" w:hAnsiTheme="minorHAnsi" w:eastAsiaTheme="minorEastAsia" w:cstheme="minorBidi"/>
          <w:kern w:val="2"/>
          <w:sz w:val="21"/>
          <w:szCs w:val="24"/>
          <w:highlight w:val="none"/>
          <w:lang w:val="en-US" w:eastAsia="zh-CN" w:bidi="ar-SA"/>
        </w:rPr>
        <w:t xml:space="preserve">2.乙方应在投标文件中提供货物的彩色效果图。 </w:t>
      </w:r>
    </w:p>
    <w:p w14:paraId="746A7289">
      <w:pPr>
        <w:pStyle w:val="5"/>
        <w:rPr>
          <w:rFonts w:hint="eastAsia" w:asciiTheme="minorHAnsi" w:hAnsiTheme="minorHAnsi" w:eastAsiaTheme="minorEastAsia" w:cstheme="minorBidi"/>
          <w:kern w:val="2"/>
          <w:sz w:val="21"/>
          <w:szCs w:val="24"/>
          <w:highlight w:val="none"/>
          <w:lang w:val="en-US" w:eastAsia="zh-CN" w:bidi="ar-SA"/>
        </w:rPr>
      </w:pPr>
      <w:r>
        <w:rPr>
          <w:rFonts w:hint="eastAsia" w:asciiTheme="minorHAnsi" w:hAnsiTheme="minorHAnsi" w:eastAsiaTheme="minorEastAsia" w:cstheme="minorBidi"/>
          <w:kern w:val="2"/>
          <w:sz w:val="21"/>
          <w:szCs w:val="24"/>
          <w:highlight w:val="none"/>
          <w:lang w:val="en-US" w:eastAsia="zh-CN" w:bidi="ar-SA"/>
        </w:rPr>
        <w:t>3.乙方必须提供完整、可行的配套设施的优化设计方案，及相应详细的平面设计图纸、货物设计图纸。</w:t>
      </w:r>
    </w:p>
    <w:p w14:paraId="2AE4B8A7">
      <w:pPr>
        <w:pStyle w:val="5"/>
        <w:rPr>
          <w:rFonts w:hint="eastAsia" w:asciiTheme="minorHAnsi" w:hAnsiTheme="minorHAnsi" w:eastAsiaTheme="minorEastAsia" w:cstheme="minorBidi"/>
          <w:kern w:val="2"/>
          <w:sz w:val="21"/>
          <w:szCs w:val="24"/>
          <w:highlight w:val="none"/>
          <w:lang w:val="en-US" w:eastAsia="zh-CN" w:bidi="ar-SA"/>
        </w:rPr>
      </w:pPr>
      <w:r>
        <w:rPr>
          <w:rFonts w:hint="eastAsia" w:asciiTheme="minorHAnsi" w:hAnsiTheme="minorHAnsi" w:eastAsiaTheme="minorEastAsia" w:cstheme="minorBidi"/>
          <w:kern w:val="2"/>
          <w:sz w:val="21"/>
          <w:szCs w:val="24"/>
          <w:highlight w:val="none"/>
          <w:lang w:val="en-US" w:eastAsia="zh-CN" w:bidi="ar-SA"/>
        </w:rPr>
        <w:t>4、乙方必须承诺提供原装、全新、完好无破损、外观清洁，符合甲方提出的所有质量标准的产品。数量、质量及性能不低于本项目中提出的要求。</w:t>
      </w:r>
    </w:p>
    <w:p w14:paraId="67F83D06">
      <w:pPr>
        <w:pStyle w:val="5"/>
        <w:rPr>
          <w:rFonts w:hint="eastAsia" w:asciiTheme="minorHAnsi" w:hAnsiTheme="minorHAnsi" w:eastAsiaTheme="minorEastAsia" w:cstheme="minorBidi"/>
          <w:kern w:val="2"/>
          <w:sz w:val="21"/>
          <w:szCs w:val="24"/>
          <w:highlight w:val="none"/>
          <w:lang w:val="en-US" w:eastAsia="zh-CN" w:bidi="ar-SA"/>
        </w:rPr>
      </w:pPr>
      <w:r>
        <w:rPr>
          <w:rFonts w:hint="eastAsia" w:asciiTheme="minorHAnsi" w:hAnsiTheme="minorHAnsi" w:eastAsiaTheme="minorEastAsia" w:cstheme="minorBidi"/>
          <w:kern w:val="2"/>
          <w:sz w:val="21"/>
          <w:szCs w:val="24"/>
          <w:highlight w:val="none"/>
          <w:lang w:val="en-US" w:eastAsia="zh-CN" w:bidi="ar-SA"/>
        </w:rPr>
        <w:t>5、乙方应参照技术要求，并结合甲方的特殊要求，满足不同区域、不同服务、不同工作对象对产品使用功能的要求。</w:t>
      </w:r>
    </w:p>
    <w:p w14:paraId="3EF7A432">
      <w:pPr>
        <w:pStyle w:val="5"/>
        <w:rPr>
          <w:rFonts w:hint="eastAsia" w:asciiTheme="minorHAnsi" w:hAnsiTheme="minorHAnsi" w:eastAsiaTheme="minorEastAsia" w:cstheme="minorBidi"/>
          <w:kern w:val="2"/>
          <w:sz w:val="21"/>
          <w:szCs w:val="24"/>
          <w:highlight w:val="none"/>
          <w:lang w:val="en-US" w:eastAsia="zh-CN" w:bidi="ar-SA"/>
        </w:rPr>
      </w:pPr>
      <w:r>
        <w:rPr>
          <w:rFonts w:hint="eastAsia" w:asciiTheme="minorHAnsi" w:hAnsiTheme="minorHAnsi" w:eastAsiaTheme="minorEastAsia" w:cstheme="minorBidi"/>
          <w:kern w:val="2"/>
          <w:sz w:val="21"/>
          <w:szCs w:val="24"/>
          <w:highlight w:val="none"/>
          <w:lang w:val="en-US" w:eastAsia="zh-CN" w:bidi="ar-SA"/>
        </w:rPr>
        <w:t>6、产品设计、安装位置符合医院医疗规程、流程。所有产品满足安全、流程规范，实用、简洁、美观、结构牢固，做工表面光滑、精致。</w:t>
      </w:r>
    </w:p>
    <w:p w14:paraId="2A232129">
      <w:pPr>
        <w:numPr>
          <w:ilvl w:val="0"/>
          <w:numId w:val="0"/>
        </w:numPr>
        <w:jc w:val="left"/>
        <w:rPr>
          <w:rFonts w:hint="eastAsia"/>
          <w:b w:val="0"/>
          <w:bCs w:val="0"/>
          <w:highlight w:val="none"/>
          <w:lang w:val="en-US" w:eastAsia="zh-CN"/>
        </w:rPr>
      </w:pPr>
      <w:r>
        <w:rPr>
          <w:rFonts w:hint="eastAsia"/>
          <w:b w:val="0"/>
          <w:bCs w:val="0"/>
          <w:highlight w:val="none"/>
          <w:lang w:val="en-US" w:eastAsia="zh-CN"/>
        </w:rPr>
        <w:t>（六）生产及供货能力要求</w:t>
      </w:r>
    </w:p>
    <w:p w14:paraId="21D28234">
      <w:pPr>
        <w:ind w:firstLine="420" w:firstLineChars="200"/>
        <w:jc w:val="left"/>
        <w:rPr>
          <w:rFonts w:hint="eastAsia" w:asciiTheme="minorHAnsi" w:hAnsiTheme="minorHAnsi" w:eastAsiaTheme="minorEastAsia" w:cstheme="minorBidi"/>
          <w:kern w:val="2"/>
          <w:sz w:val="21"/>
          <w:szCs w:val="24"/>
          <w:highlight w:val="none"/>
          <w:lang w:val="en-US" w:eastAsia="zh-CN" w:bidi="ar-SA"/>
        </w:rPr>
      </w:pPr>
      <w:r>
        <w:rPr>
          <w:rFonts w:hint="eastAsia" w:asciiTheme="minorHAnsi" w:hAnsiTheme="minorHAnsi" w:eastAsiaTheme="minorEastAsia" w:cstheme="minorBidi"/>
          <w:kern w:val="2"/>
          <w:sz w:val="21"/>
          <w:szCs w:val="24"/>
          <w:highlight w:val="none"/>
          <w:lang w:val="en-US" w:eastAsia="zh-CN" w:bidi="ar-SA"/>
        </w:rPr>
        <w:t>乙方须具备科学合理的生产保障措施和供货保障措施。乙方应结合本项目的供货要求和具体特点，制定科学合理的生产保障措施及供货保障措施，乙方需从工艺控制、生产流程做好生产时效的管控，具备足够的生产设备和生产原材料备料，满足本项目的产能需求。</w:t>
      </w:r>
    </w:p>
    <w:p w14:paraId="2D3D2C53">
      <w:pPr>
        <w:numPr>
          <w:ilvl w:val="0"/>
          <w:numId w:val="0"/>
        </w:numPr>
        <w:jc w:val="left"/>
        <w:rPr>
          <w:rFonts w:hint="eastAsia" w:asciiTheme="minorHAnsi" w:hAnsiTheme="minorHAnsi" w:eastAsiaTheme="minorEastAsia" w:cstheme="minorBidi"/>
          <w:kern w:val="2"/>
          <w:sz w:val="21"/>
          <w:szCs w:val="24"/>
          <w:highlight w:val="none"/>
          <w:lang w:val="en-US" w:eastAsia="zh-CN" w:bidi="ar-SA"/>
        </w:rPr>
      </w:pPr>
      <w:r>
        <w:rPr>
          <w:rFonts w:hint="eastAsia" w:asciiTheme="minorHAnsi" w:hAnsiTheme="minorHAnsi" w:eastAsiaTheme="minorEastAsia" w:cstheme="minorBidi"/>
          <w:kern w:val="2"/>
          <w:sz w:val="21"/>
          <w:szCs w:val="24"/>
          <w:highlight w:val="none"/>
          <w:lang w:val="en-US" w:eastAsia="zh-CN" w:bidi="ar-SA"/>
        </w:rPr>
        <w:t>（七）质量保障要求</w:t>
      </w:r>
    </w:p>
    <w:p w14:paraId="10AA3937">
      <w:pPr>
        <w:pStyle w:val="5"/>
        <w:numPr>
          <w:ilvl w:val="0"/>
          <w:numId w:val="0"/>
        </w:numPr>
        <w:ind w:firstLine="420" w:firstLineChars="200"/>
        <w:rPr>
          <w:rFonts w:hint="eastAsia" w:asciiTheme="minorHAnsi" w:hAnsiTheme="minorHAnsi" w:eastAsiaTheme="minorEastAsia" w:cstheme="minorBidi"/>
          <w:kern w:val="2"/>
          <w:sz w:val="21"/>
          <w:szCs w:val="24"/>
          <w:highlight w:val="none"/>
          <w:lang w:val="en-US" w:eastAsia="zh-CN" w:bidi="ar-SA"/>
        </w:rPr>
      </w:pPr>
      <w:r>
        <w:rPr>
          <w:rFonts w:hint="eastAsia" w:asciiTheme="minorHAnsi" w:hAnsiTheme="minorHAnsi" w:eastAsiaTheme="minorEastAsia" w:cstheme="minorBidi"/>
          <w:kern w:val="2"/>
          <w:sz w:val="21"/>
          <w:szCs w:val="24"/>
          <w:highlight w:val="none"/>
          <w:lang w:val="en-US" w:eastAsia="zh-CN" w:bidi="ar-SA"/>
        </w:rPr>
        <w:t>乙方须具备质量保障体系及措施、本次采购的医疗家具以绿色环保材料为主要材料制造，乙方需说明在家具生产和加工的过程中。所采用的主要材料及配件的名称及制造厂家，并提供家具主要图纸及主要剖面图、主要材料、五金件及辅料的材料说明等相应的技术说明，确保能够保证质量。</w:t>
      </w:r>
    </w:p>
    <w:sectPr>
      <w:headerReference r:id="rId5" w:type="default"/>
      <w:footerReference r:id="rId6" w:type="default"/>
      <w:pgSz w:w="11906" w:h="16838"/>
      <w:pgMar w:top="1440" w:right="1486"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宋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FA03E">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EAA82">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2BD323">
                          <w:pPr>
                            <w:pStyle w:val="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E2BD323">
                    <w:pPr>
                      <w:pStyle w:val="8"/>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64875">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D1844">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7A0F6431"/>
    <w:multiLevelType w:val="singleLevel"/>
    <w:tmpl w:val="7A0F6431"/>
    <w:lvl w:ilvl="0" w:tentative="0">
      <w:start w:val="1"/>
      <w:numFmt w:val="decimal"/>
      <w:suff w:val="space"/>
      <w:lvlText w:val="%1."/>
      <w:lvlJc w:val="left"/>
    </w:lvl>
  </w:abstractNum>
  <w:num w:numId="1">
    <w:abstractNumId w:val="6"/>
  </w:num>
  <w:num w:numId="2">
    <w:abstractNumId w:val="1"/>
  </w:num>
  <w:num w:numId="3">
    <w:abstractNumId w:val="5"/>
  </w:num>
  <w:num w:numId="4">
    <w:abstractNumId w:val="3"/>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E4YWIzMjEzOTNkMmNkMDY3ZDY2M2ZlN2QyZjU0MTcifQ=="/>
  </w:docVars>
  <w:rsids>
    <w:rsidRoot w:val="54C92D9C"/>
    <w:rsid w:val="004907B2"/>
    <w:rsid w:val="00966ECA"/>
    <w:rsid w:val="009B6B65"/>
    <w:rsid w:val="00AA2E22"/>
    <w:rsid w:val="00C73E9A"/>
    <w:rsid w:val="00D85467"/>
    <w:rsid w:val="00DD548E"/>
    <w:rsid w:val="00FA33D9"/>
    <w:rsid w:val="01401F5A"/>
    <w:rsid w:val="03624413"/>
    <w:rsid w:val="07051E94"/>
    <w:rsid w:val="090037FF"/>
    <w:rsid w:val="0ADC4CA9"/>
    <w:rsid w:val="0DED3F7D"/>
    <w:rsid w:val="0DF93024"/>
    <w:rsid w:val="0E6D824E"/>
    <w:rsid w:val="12782E2D"/>
    <w:rsid w:val="138B3749"/>
    <w:rsid w:val="14EC61FA"/>
    <w:rsid w:val="154426EF"/>
    <w:rsid w:val="1DDD518B"/>
    <w:rsid w:val="1E7F39E6"/>
    <w:rsid w:val="1F567E19"/>
    <w:rsid w:val="21A27001"/>
    <w:rsid w:val="272C59D1"/>
    <w:rsid w:val="27FFA353"/>
    <w:rsid w:val="290A6D28"/>
    <w:rsid w:val="29AA41A5"/>
    <w:rsid w:val="2ABA4329"/>
    <w:rsid w:val="2CB13EC0"/>
    <w:rsid w:val="2DFDF521"/>
    <w:rsid w:val="2F3A4279"/>
    <w:rsid w:val="2FBD1B59"/>
    <w:rsid w:val="2FBF6131"/>
    <w:rsid w:val="2FBFBAB7"/>
    <w:rsid w:val="303A1F86"/>
    <w:rsid w:val="320C5700"/>
    <w:rsid w:val="324E11EB"/>
    <w:rsid w:val="3328F98F"/>
    <w:rsid w:val="347830EB"/>
    <w:rsid w:val="36EB00DD"/>
    <w:rsid w:val="37BBBCEC"/>
    <w:rsid w:val="384C6E77"/>
    <w:rsid w:val="3B7EB787"/>
    <w:rsid w:val="3BF5C9FB"/>
    <w:rsid w:val="3BFF37C5"/>
    <w:rsid w:val="3C263F3D"/>
    <w:rsid w:val="3CA13ED4"/>
    <w:rsid w:val="3CDE6365"/>
    <w:rsid w:val="3D7E8BC9"/>
    <w:rsid w:val="3D7FEA00"/>
    <w:rsid w:val="3DE870BB"/>
    <w:rsid w:val="3F7FA420"/>
    <w:rsid w:val="3FFE9F1D"/>
    <w:rsid w:val="47AF3FD9"/>
    <w:rsid w:val="494552C4"/>
    <w:rsid w:val="4C03678D"/>
    <w:rsid w:val="4F5C3515"/>
    <w:rsid w:val="4F95AC76"/>
    <w:rsid w:val="4FBBC683"/>
    <w:rsid w:val="4FFFDA0F"/>
    <w:rsid w:val="51377AC7"/>
    <w:rsid w:val="51FBC2E8"/>
    <w:rsid w:val="52204B70"/>
    <w:rsid w:val="54C92D9C"/>
    <w:rsid w:val="55E94F2C"/>
    <w:rsid w:val="57DE89E8"/>
    <w:rsid w:val="590A2A98"/>
    <w:rsid w:val="5B004829"/>
    <w:rsid w:val="5B3BA2EB"/>
    <w:rsid w:val="5BFDEB77"/>
    <w:rsid w:val="5CE341B6"/>
    <w:rsid w:val="5CFED8D1"/>
    <w:rsid w:val="5D1F4688"/>
    <w:rsid w:val="5DE12315"/>
    <w:rsid w:val="5DFB161C"/>
    <w:rsid w:val="5EFF5418"/>
    <w:rsid w:val="5F6D1D52"/>
    <w:rsid w:val="5F7C4D9E"/>
    <w:rsid w:val="5FD7E56C"/>
    <w:rsid w:val="5FDF6AB2"/>
    <w:rsid w:val="618C2450"/>
    <w:rsid w:val="632300B4"/>
    <w:rsid w:val="658EA352"/>
    <w:rsid w:val="65E2BB69"/>
    <w:rsid w:val="66357D8C"/>
    <w:rsid w:val="67506ED5"/>
    <w:rsid w:val="677F7BEF"/>
    <w:rsid w:val="679F957B"/>
    <w:rsid w:val="67EB7B7C"/>
    <w:rsid w:val="67FDBC20"/>
    <w:rsid w:val="67FF0ABD"/>
    <w:rsid w:val="69A37C94"/>
    <w:rsid w:val="6A3691B6"/>
    <w:rsid w:val="6B1906BD"/>
    <w:rsid w:val="6BBF4063"/>
    <w:rsid w:val="6BEC6DE6"/>
    <w:rsid w:val="6C5E35D9"/>
    <w:rsid w:val="6C9FD647"/>
    <w:rsid w:val="6DFF872E"/>
    <w:rsid w:val="6E766BC1"/>
    <w:rsid w:val="6ED5EA47"/>
    <w:rsid w:val="6F1D5ABE"/>
    <w:rsid w:val="6FB6092B"/>
    <w:rsid w:val="6FC7F251"/>
    <w:rsid w:val="6FD22993"/>
    <w:rsid w:val="6FFF103C"/>
    <w:rsid w:val="6FFF371B"/>
    <w:rsid w:val="7158598F"/>
    <w:rsid w:val="71BD1E45"/>
    <w:rsid w:val="71E73B97"/>
    <w:rsid w:val="72FED5EA"/>
    <w:rsid w:val="737F7377"/>
    <w:rsid w:val="73BE23C8"/>
    <w:rsid w:val="757342D9"/>
    <w:rsid w:val="75A80AD8"/>
    <w:rsid w:val="75D57418"/>
    <w:rsid w:val="775F8678"/>
    <w:rsid w:val="777F0353"/>
    <w:rsid w:val="798DC5A4"/>
    <w:rsid w:val="79FFD7BD"/>
    <w:rsid w:val="7ABBD1E5"/>
    <w:rsid w:val="7B7FE54D"/>
    <w:rsid w:val="7BD597A4"/>
    <w:rsid w:val="7BDBA22A"/>
    <w:rsid w:val="7BDFDE74"/>
    <w:rsid w:val="7CE6F64F"/>
    <w:rsid w:val="7CFF7EF7"/>
    <w:rsid w:val="7DF33A1E"/>
    <w:rsid w:val="7E3F44D9"/>
    <w:rsid w:val="7E3FD82D"/>
    <w:rsid w:val="7E4FEF22"/>
    <w:rsid w:val="7E521AB6"/>
    <w:rsid w:val="7E8DFA41"/>
    <w:rsid w:val="7EBFEC92"/>
    <w:rsid w:val="7EEF8F49"/>
    <w:rsid w:val="7F5A277E"/>
    <w:rsid w:val="7F9905AE"/>
    <w:rsid w:val="7F9DE20E"/>
    <w:rsid w:val="7FBD49BC"/>
    <w:rsid w:val="7FDF3174"/>
    <w:rsid w:val="7FEF0372"/>
    <w:rsid w:val="7FFA7BE6"/>
    <w:rsid w:val="7FFB334B"/>
    <w:rsid w:val="8DAF2097"/>
    <w:rsid w:val="8F6B8323"/>
    <w:rsid w:val="96258F1A"/>
    <w:rsid w:val="97CFE92E"/>
    <w:rsid w:val="9BFBCB7D"/>
    <w:rsid w:val="9D1E19CE"/>
    <w:rsid w:val="9EFF5247"/>
    <w:rsid w:val="ADBFA23A"/>
    <w:rsid w:val="AFAFD29B"/>
    <w:rsid w:val="B7DDC480"/>
    <w:rsid w:val="B8DF37AE"/>
    <w:rsid w:val="BAEFB0D2"/>
    <w:rsid w:val="BAFBC193"/>
    <w:rsid w:val="BB7B6277"/>
    <w:rsid w:val="BD7FF04C"/>
    <w:rsid w:val="BDF89806"/>
    <w:rsid w:val="BDFF0F15"/>
    <w:rsid w:val="BEFF57E3"/>
    <w:rsid w:val="BF7BC9DC"/>
    <w:rsid w:val="BF9A5BD8"/>
    <w:rsid w:val="BFEFD165"/>
    <w:rsid w:val="BFF61B28"/>
    <w:rsid w:val="BFF8F801"/>
    <w:rsid w:val="BFFF3CE2"/>
    <w:rsid w:val="CDF87CFD"/>
    <w:rsid w:val="CF5F02DF"/>
    <w:rsid w:val="D2BEAE12"/>
    <w:rsid w:val="D3B2BAAD"/>
    <w:rsid w:val="D3C5761A"/>
    <w:rsid w:val="D3F671D6"/>
    <w:rsid w:val="D6FB3D02"/>
    <w:rsid w:val="D7F97C4B"/>
    <w:rsid w:val="D7FE97E1"/>
    <w:rsid w:val="D9DB2998"/>
    <w:rsid w:val="DA7FD021"/>
    <w:rsid w:val="DACB3CAC"/>
    <w:rsid w:val="DCEE1DB0"/>
    <w:rsid w:val="DCFAD0CE"/>
    <w:rsid w:val="DCFC9F61"/>
    <w:rsid w:val="DD1D0BB3"/>
    <w:rsid w:val="DD6F0DEC"/>
    <w:rsid w:val="DE3F544E"/>
    <w:rsid w:val="DF3F7CC1"/>
    <w:rsid w:val="DF6D7FD6"/>
    <w:rsid w:val="DF7AAB2B"/>
    <w:rsid w:val="DFDE9419"/>
    <w:rsid w:val="DFFF8832"/>
    <w:rsid w:val="DFFFF6D4"/>
    <w:rsid w:val="E4BFB8F7"/>
    <w:rsid w:val="EBCFD03F"/>
    <w:rsid w:val="ED7FB96F"/>
    <w:rsid w:val="EFCF5A10"/>
    <w:rsid w:val="F2EF4ACA"/>
    <w:rsid w:val="F37DAE6D"/>
    <w:rsid w:val="F3DD65AF"/>
    <w:rsid w:val="F3F9F273"/>
    <w:rsid w:val="F754A433"/>
    <w:rsid w:val="F7DD7730"/>
    <w:rsid w:val="F7DFB1B7"/>
    <w:rsid w:val="F7EFE81C"/>
    <w:rsid w:val="F7FABEE2"/>
    <w:rsid w:val="FADBC842"/>
    <w:rsid w:val="FB7F7521"/>
    <w:rsid w:val="FBDFE918"/>
    <w:rsid w:val="FBEF7FD2"/>
    <w:rsid w:val="FC3FB763"/>
    <w:rsid w:val="FDC4F057"/>
    <w:rsid w:val="FDF586CD"/>
    <w:rsid w:val="FEA79DF5"/>
    <w:rsid w:val="FEC6FE8A"/>
    <w:rsid w:val="FF29ACC6"/>
    <w:rsid w:val="FF4E9A4E"/>
    <w:rsid w:val="FF7F20DF"/>
    <w:rsid w:val="FF7F2F18"/>
    <w:rsid w:val="FF7FACA3"/>
    <w:rsid w:val="FFAC992F"/>
    <w:rsid w:val="FFAD76DA"/>
    <w:rsid w:val="FFB7750F"/>
    <w:rsid w:val="FFBF61A2"/>
    <w:rsid w:val="FFDF3DE0"/>
    <w:rsid w:val="FFF78134"/>
    <w:rsid w:val="FFF93365"/>
    <w:rsid w:val="FFFA864B"/>
    <w:rsid w:val="FFFF30E4"/>
    <w:rsid w:val="FFFF3A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widowControl/>
      <w:jc w:val="left"/>
      <w:outlineLvl w:val="0"/>
    </w:pPr>
    <w:rPr>
      <w:b/>
      <w:bCs/>
      <w:kern w:val="0"/>
      <w:sz w:val="24"/>
    </w:rPr>
  </w:style>
  <w:style w:type="paragraph" w:styleId="3">
    <w:name w:val="heading 2"/>
    <w:basedOn w:val="1"/>
    <w:next w:val="1"/>
    <w:qFormat/>
    <w:uiPriority w:val="0"/>
    <w:pPr>
      <w:keepNext/>
      <w:keepLines/>
      <w:spacing w:line="360" w:lineRule="auto"/>
      <w:outlineLvl w:val="1"/>
    </w:pPr>
    <w:rPr>
      <w:rFonts w:ascii="Arial" w:hAnsi="Arial"/>
      <w:b/>
      <w:bCs/>
      <w:sz w:val="24"/>
      <w:szCs w:val="32"/>
    </w:rPr>
  </w:style>
  <w:style w:type="character" w:default="1" w:styleId="12">
    <w:name w:val="Default Paragraph Font"/>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autoRedefine/>
    <w:qFormat/>
    <w:uiPriority w:val="0"/>
    <w:pPr>
      <w:jc w:val="left"/>
    </w:pPr>
  </w:style>
  <w:style w:type="paragraph" w:styleId="5">
    <w:name w:val="Body Text"/>
    <w:basedOn w:val="1"/>
    <w:autoRedefine/>
    <w:unhideWhenUsed/>
    <w:qFormat/>
    <w:uiPriority w:val="0"/>
    <w:pPr>
      <w:spacing w:after="120"/>
    </w:pPr>
    <w:rPr>
      <w:rFonts w:ascii="Calibri" w:hAnsi="Calibri"/>
      <w:szCs w:val="22"/>
    </w:rPr>
  </w:style>
  <w:style w:type="paragraph" w:styleId="6">
    <w:name w:val="Body Text Indent"/>
    <w:basedOn w:val="1"/>
    <w:autoRedefine/>
    <w:qFormat/>
    <w:uiPriority w:val="0"/>
    <w:pPr>
      <w:spacing w:after="120"/>
      <w:ind w:left="420" w:leftChars="200"/>
    </w:pPr>
  </w:style>
  <w:style w:type="paragraph" w:styleId="7">
    <w:name w:val="Plain Text"/>
    <w:basedOn w:val="1"/>
    <w:autoRedefine/>
    <w:qFormat/>
    <w:uiPriority w:val="0"/>
    <w:rPr>
      <w:rFonts w:ascii="宋体" w:hAnsi="Courier New" w:cs="Courier New"/>
      <w:szCs w:val="21"/>
    </w:rPr>
  </w:style>
  <w:style w:type="paragraph" w:styleId="8">
    <w:name w:val="footer"/>
    <w:basedOn w:val="1"/>
    <w:autoRedefine/>
    <w:qFormat/>
    <w:uiPriority w:val="0"/>
    <w:pPr>
      <w:tabs>
        <w:tab w:val="center" w:pos="4153"/>
        <w:tab w:val="right" w:pos="8306"/>
      </w:tabs>
      <w:snapToGrid w:val="0"/>
      <w:jc w:val="left"/>
    </w:pPr>
    <w:rPr>
      <w:sz w:val="18"/>
    </w:rPr>
  </w:style>
  <w:style w:type="paragraph" w:styleId="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autoRedefine/>
    <w:qFormat/>
    <w:uiPriority w:val="0"/>
    <w:pPr>
      <w:spacing w:beforeAutospacing="1" w:afterAutospacing="1"/>
      <w:jc w:val="left"/>
    </w:pPr>
    <w:rPr>
      <w:kern w:val="0"/>
      <w:sz w:val="24"/>
    </w:rPr>
  </w:style>
  <w:style w:type="character" w:styleId="13">
    <w:name w:val="Strong"/>
    <w:basedOn w:val="12"/>
    <w:autoRedefine/>
    <w:qFormat/>
    <w:uiPriority w:val="0"/>
    <w:rPr>
      <w:b/>
    </w:rPr>
  </w:style>
  <w:style w:type="character" w:styleId="14">
    <w:name w:val="annotation reference"/>
    <w:basedOn w:val="12"/>
    <w:autoRedefine/>
    <w:qFormat/>
    <w:uiPriority w:val="0"/>
    <w:rPr>
      <w:sz w:val="21"/>
      <w:szCs w:val="21"/>
    </w:rPr>
  </w:style>
  <w:style w:type="paragraph" w:customStyle="1" w:styleId="15">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6">
    <w:name w:val="列出段落1"/>
    <w:basedOn w:val="1"/>
    <w:autoRedefine/>
    <w:qFormat/>
    <w:uiPriority w:val="0"/>
    <w:pPr>
      <w:ind w:firstLine="420" w:firstLineChars="200"/>
    </w:pPr>
    <w:rPr>
      <w:szCs w:val="21"/>
    </w:rPr>
  </w:style>
  <w:style w:type="paragraph" w:customStyle="1" w:styleId="17">
    <w:name w:val="目录 53"/>
    <w:next w:val="1"/>
    <w:autoRedefine/>
    <w:qFormat/>
    <w:uiPriority w:val="0"/>
    <w:pPr>
      <w:wordWrap w:val="0"/>
      <w:ind w:left="1275"/>
      <w:jc w:val="both"/>
    </w:pPr>
    <w:rPr>
      <w:rFonts w:ascii="Times New Roman" w:hAnsi="Times New Roman" w:eastAsia="宋体" w:cs="Times New Roman"/>
      <w:sz w:val="21"/>
      <w:lang w:val="en-US" w:eastAsia="zh-CN" w:bidi="ar-SA"/>
    </w:rPr>
  </w:style>
  <w:style w:type="character" w:customStyle="1" w:styleId="18">
    <w:name w:val="font41"/>
    <w:basedOn w:val="12"/>
    <w:autoRedefine/>
    <w:qFormat/>
    <w:uiPriority w:val="0"/>
    <w:rPr>
      <w:rFonts w:hint="eastAsia" w:ascii="宋体" w:hAnsi="宋体" w:eastAsia="宋体" w:cs="宋体"/>
      <w:color w:val="75BD42"/>
      <w:sz w:val="22"/>
      <w:szCs w:val="22"/>
      <w:u w:val="none"/>
    </w:rPr>
  </w:style>
  <w:style w:type="character" w:customStyle="1" w:styleId="19">
    <w:name w:val="font61"/>
    <w:basedOn w:val="12"/>
    <w:autoRedefine/>
    <w:qFormat/>
    <w:uiPriority w:val="0"/>
    <w:rPr>
      <w:rFonts w:hint="eastAsia" w:ascii="宋体" w:hAnsi="宋体" w:eastAsia="宋体" w:cs="宋体"/>
      <w:b/>
      <w:bCs/>
      <w:color w:val="000000"/>
      <w:sz w:val="22"/>
      <w:szCs w:val="22"/>
      <w:u w:val="none"/>
    </w:rPr>
  </w:style>
  <w:style w:type="character" w:customStyle="1" w:styleId="20">
    <w:name w:val="font71"/>
    <w:basedOn w:val="12"/>
    <w:autoRedefine/>
    <w:qFormat/>
    <w:uiPriority w:val="0"/>
    <w:rPr>
      <w:rFonts w:hint="eastAsia" w:ascii="宋体" w:hAnsi="宋体" w:eastAsia="宋体" w:cs="宋体"/>
      <w:color w:val="EE822F"/>
      <w:sz w:val="22"/>
      <w:szCs w:val="22"/>
      <w:u w:val="none"/>
    </w:rPr>
  </w:style>
  <w:style w:type="character" w:customStyle="1" w:styleId="21">
    <w:name w:val="font81"/>
    <w:basedOn w:val="12"/>
    <w:autoRedefine/>
    <w:qFormat/>
    <w:uiPriority w:val="0"/>
    <w:rPr>
      <w:rFonts w:hint="eastAsia" w:ascii="宋体" w:hAnsi="宋体" w:eastAsia="宋体" w:cs="宋体"/>
      <w:color w:val="F2BA02"/>
      <w:sz w:val="22"/>
      <w:szCs w:val="22"/>
      <w:u w:val="none"/>
    </w:rPr>
  </w:style>
  <w:style w:type="character" w:customStyle="1" w:styleId="22">
    <w:name w:val="font01"/>
    <w:basedOn w:val="12"/>
    <w:autoRedefine/>
    <w:qFormat/>
    <w:uiPriority w:val="0"/>
    <w:rPr>
      <w:rFonts w:hint="eastAsia" w:ascii="宋体" w:hAnsi="宋体" w:eastAsia="宋体" w:cs="宋体"/>
      <w:color w:val="000000"/>
      <w:sz w:val="22"/>
      <w:szCs w:val="22"/>
      <w:u w:val="none"/>
    </w:rPr>
  </w:style>
  <w:style w:type="character" w:customStyle="1" w:styleId="23">
    <w:name w:val="font122"/>
    <w:basedOn w:val="12"/>
    <w:autoRedefine/>
    <w:qFormat/>
    <w:uiPriority w:val="0"/>
    <w:rPr>
      <w:rFonts w:hint="eastAsia" w:ascii="宋体" w:hAnsi="宋体" w:eastAsia="宋体" w:cs="宋体"/>
      <w:color w:val="30C0B4"/>
      <w:sz w:val="22"/>
      <w:szCs w:val="22"/>
      <w:u w:val="none"/>
    </w:rPr>
  </w:style>
  <w:style w:type="character" w:customStyle="1" w:styleId="24">
    <w:name w:val="font21"/>
    <w:basedOn w:val="12"/>
    <w:autoRedefine/>
    <w:qFormat/>
    <w:uiPriority w:val="0"/>
    <w:rPr>
      <w:rFonts w:hint="eastAsia" w:ascii="宋体" w:hAnsi="宋体" w:eastAsia="宋体" w:cs="宋体"/>
      <w:b/>
      <w:bCs/>
      <w:color w:val="000000"/>
      <w:sz w:val="24"/>
      <w:szCs w:val="24"/>
      <w:u w:val="none"/>
    </w:rPr>
  </w:style>
  <w:style w:type="paragraph" w:customStyle="1" w:styleId="2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42</Pages>
  <Words>11580</Words>
  <Characters>11897</Characters>
  <Lines>64</Lines>
  <Paragraphs>18</Paragraphs>
  <TotalTime>0</TotalTime>
  <ScaleCrop>false</ScaleCrop>
  <LinksUpToDate>false</LinksUpToDate>
  <CharactersWithSpaces>13706</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2024-04-10T22:44:00Z</dcterms:created>
  <dc:creator>草木蕃</dc:creator>
  <cp:lastModifiedBy>AOC</cp:lastModifiedBy>
  <cp:lastPrinted>2024-04-27T10:20:00Z</cp:lastPrinted>
  <dcterms:modified xsi:type="dcterms:W3CDTF">2025-05-24T07:02:23Z</dcterms:modified>
  <dc:title>政府采购货物买卖合同（试行）</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4A34D751CA714FE099D108A327332FE3_13</vt:lpwstr>
  </property>
  <property fmtid="{D5CDD505-2E9C-101B-9397-08002B2CF9AE}" pid="4" name="KSOTemplateDocerSaveRecord">
    <vt:lpwstr>eyJoZGlkIjoiY2E4YWIzMjEzOTNkMmNkMDY3ZDY2M2ZlN2QyZjU0MTcifQ==</vt:lpwstr>
  </property>
</Properties>
</file>