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版本号：SXCFY2025080920250901001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蒲城县“十五五”新型工业化发展规划</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SXCFY20250809</w:t>
      </w:r>
      <w:r>
        <w:br/>
      </w:r>
      <w:r>
        <w:br/>
      </w:r>
      <w:r>
        <w:br/>
      </w:r>
    </w:p>
    <w:p>
      <w:pPr>
        <w:pStyle w:val="null3"/>
        <w:jc w:val="center"/>
        <w:outlineLvl w:val="2"/>
      </w:pPr>
      <w:r>
        <w:rPr>
          <w:rFonts w:ascii="仿宋_GB2312" w:hAnsi="仿宋_GB2312" w:cs="仿宋_GB2312" w:eastAsia="仿宋_GB2312"/>
          <w:sz w:val="28"/>
          <w:b/>
        </w:rPr>
        <w:t>蒲城县工业和信息化局</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蒲城县工业和信息化局</w:t>
      </w:r>
      <w:r>
        <w:rPr>
          <w:rFonts w:ascii="仿宋_GB2312" w:hAnsi="仿宋_GB2312" w:cs="仿宋_GB2312" w:eastAsia="仿宋_GB2312"/>
        </w:rPr>
        <w:t>委托，拟对</w:t>
      </w:r>
      <w:r>
        <w:rPr>
          <w:rFonts w:ascii="仿宋_GB2312" w:hAnsi="仿宋_GB2312" w:cs="仿宋_GB2312" w:eastAsia="仿宋_GB2312"/>
        </w:rPr>
        <w:t>蒲城县“十五五”新型工业化发展规划</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SXCFY20250809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蒲城县“十五五”新型工业化发展规划</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根据蒲城县建设要求和特点，编制蒲城县十五五新型工业化发展规划文本，切实贯彻全县“十五五”规划纲要核心战略，规划内容包括编制工作前期调研、文本的编制、重大项目的谋划等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采购包1（SXCFY20250809）：属于专门面向中小企业采购。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1、法定代表人或其授权代表：法定代表人直接参加磋商的，须出具法定代表人身份证明书；法定代表人授权代表参加磋商的，须出具法定代表人授权委托书</w:t>
      </w:r>
    </w:p>
    <w:p>
      <w:pPr>
        <w:pStyle w:val="null3"/>
      </w:pPr>
      <w:r>
        <w:rPr>
          <w:rFonts w:ascii="仿宋_GB2312" w:hAnsi="仿宋_GB2312" w:cs="仿宋_GB2312" w:eastAsia="仿宋_GB2312"/>
        </w:rPr>
        <w:t>2、营业执照：具有独立承担民事责任能力的法人、其他组织或自然人，并出具合法有效的营业执照或事业单位法人证书等国家规定的相关证明，自然人参与的提供其身份证明；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3、完税证明：提供2025年1月至今已缴纳的至少一个月的纳税证明或完税证明（任意税种），依法免税的单位应提供相关证明材料；</w:t>
      </w:r>
    </w:p>
    <w:p>
      <w:pPr>
        <w:pStyle w:val="null3"/>
      </w:pPr>
      <w:r>
        <w:rPr>
          <w:rFonts w:ascii="仿宋_GB2312" w:hAnsi="仿宋_GB2312" w:cs="仿宋_GB2312" w:eastAsia="仿宋_GB2312"/>
        </w:rPr>
        <w:t>4、社保缴纳证明：提供2025年1月至今已缴存的至少一个月的社会保障资金缴存凭证或社保机构开具的社会保险参保证明，依法不需要缴纳社会保障资金的单位应提供相关证明材料</w:t>
      </w:r>
    </w:p>
    <w:p>
      <w:pPr>
        <w:pStyle w:val="null3"/>
      </w:pPr>
      <w:r>
        <w:rPr>
          <w:rFonts w:ascii="仿宋_GB2312" w:hAnsi="仿宋_GB2312" w:cs="仿宋_GB2312" w:eastAsia="仿宋_GB2312"/>
        </w:rPr>
        <w:t>5、承诺声明：提供具有履行合同所必需的设备和专业技术能力的承诺声明</w:t>
      </w:r>
    </w:p>
    <w:p>
      <w:pPr>
        <w:pStyle w:val="null3"/>
      </w:pPr>
      <w:r>
        <w:rPr>
          <w:rFonts w:ascii="仿宋_GB2312" w:hAnsi="仿宋_GB2312" w:cs="仿宋_GB2312" w:eastAsia="仿宋_GB2312"/>
        </w:rPr>
        <w:t>6、书面声明：提供参加政府采购活动前3年内，在经营活动中没有重大违法记录的书面声明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蒲城县工业和信息化局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蒲城县古镇巷15号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查伟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0913-7203796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陕西省西安市新城区金花北路169号天彩大厦B座20层2001室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开户名称：陕西诚方源项目管理有限公司</w:t>
            </w:r>
          </w:p>
          <w:p>
            <w:pPr>
              <w:pStyle w:val="null3"/>
            </w:pPr>
            <w:r>
              <w:rPr>
                <w:rFonts w:ascii="仿宋_GB2312" w:hAnsi="仿宋_GB2312" w:cs="仿宋_GB2312" w:eastAsia="仿宋_GB2312"/>
              </w:rPr>
              <w:t>开户银行：中信银行股份有限公司西安咸宁路支行</w:t>
            </w:r>
          </w:p>
          <w:p>
            <w:pPr>
              <w:pStyle w:val="null3"/>
            </w:pPr>
            <w:r>
              <w:rPr>
                <w:rFonts w:ascii="仿宋_GB2312" w:hAnsi="仿宋_GB2312" w:cs="仿宋_GB2312" w:eastAsia="仿宋_GB2312"/>
              </w:rPr>
              <w:t>银行账号：8111701011600592875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标准。 2、采购代理服务费账户： 公司名称：陕西诚方源项目管理有限公司 账 号: 8111701011600592875 开 户 行：中信银行股份有限公司西安咸宁路支行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蒲城县工业和信息化局</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蒲城县工业和信息化局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蒲城县工业和信息化局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地址：陕西省西安市新城区金花北路169号天彩大厦B座1单元20层2001室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根据蒲城县建设要求和特点，编制蒲城县十五五新型工业化发展规划文本，切实贯彻全县“十五五”规划纲要核心战略，规划内容包括编制工作前期调研、文本的编制、重大项目的谋划等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蒲城县“十五五”新型工业化发展规划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标的名称：蒲城县“十五五”新型工业化发展规划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b/>
              </w:rPr>
              <w:t>（一）服务要求</w:t>
            </w:r>
          </w:p>
          <w:p>
            <w:pPr>
              <w:pStyle w:val="null3"/>
              <w:ind w:firstLine="560"/>
              <w:jc w:val="both"/>
            </w:pPr>
            <w:r>
              <w:rPr>
                <w:rFonts w:ascii="仿宋_GB2312" w:hAnsi="仿宋_GB2312" w:cs="仿宋_GB2312" w:eastAsia="仿宋_GB2312"/>
                <w:sz w:val="21"/>
              </w:rPr>
              <w:t>根据蒲城县建设要求和特点，编制蒲城县十五五新型工业化发展规划文本，切实贯彻全县“十五五”规划纲要核心战略，规划内容包括编制工作前期调研、文本的编制、重大项目的谋划等。</w:t>
            </w:r>
          </w:p>
          <w:p>
            <w:pPr>
              <w:pStyle w:val="null3"/>
            </w:pPr>
            <w:r>
              <w:rPr>
                <w:rFonts w:ascii="仿宋_GB2312" w:hAnsi="仿宋_GB2312" w:cs="仿宋_GB2312" w:eastAsia="仿宋_GB2312"/>
                <w:sz w:val="21"/>
                <w:b/>
              </w:rPr>
              <w:t>（二）成果要求</w:t>
            </w:r>
          </w:p>
          <w:p>
            <w:pPr>
              <w:pStyle w:val="null3"/>
              <w:jc w:val="both"/>
            </w:pPr>
            <w:r>
              <w:rPr>
                <w:rFonts w:ascii="仿宋_GB2312" w:hAnsi="仿宋_GB2312" w:cs="仿宋_GB2312" w:eastAsia="仿宋_GB2312"/>
                <w:sz w:val="21"/>
              </w:rPr>
              <w:t>编制《蒲城县十五五新型工业化发展规划》纸质版五套，电子版一套</w:t>
            </w:r>
          </w:p>
          <w:p>
            <w:pPr>
              <w:pStyle w:val="null3"/>
              <w:jc w:val="both"/>
            </w:pPr>
            <w:r>
              <w:rPr>
                <w:rFonts w:ascii="仿宋_GB2312" w:hAnsi="仿宋_GB2312" w:cs="仿宋_GB2312" w:eastAsia="仿宋_GB2312"/>
                <w:sz w:val="21"/>
                <w:b/>
              </w:rPr>
              <w:t>（三）质量标准</w:t>
            </w:r>
          </w:p>
          <w:p>
            <w:pPr>
              <w:pStyle w:val="null3"/>
              <w:jc w:val="both"/>
            </w:pPr>
            <w:r>
              <w:rPr>
                <w:rFonts w:ascii="仿宋_GB2312" w:hAnsi="仿宋_GB2312" w:cs="仿宋_GB2312" w:eastAsia="仿宋_GB2312"/>
                <w:sz w:val="21"/>
              </w:rPr>
              <w:t>质量符合国家、省、市相关技术规范要求。</w:t>
            </w:r>
          </w:p>
          <w:p>
            <w:pPr>
              <w:pStyle w:val="null3"/>
              <w:jc w:val="both"/>
            </w:pPr>
            <w:r>
              <w:rPr>
                <w:rFonts w:ascii="仿宋_GB2312" w:hAnsi="仿宋_GB2312" w:cs="仿宋_GB2312" w:eastAsia="仿宋_GB2312"/>
                <w:sz w:val="21"/>
                <w:b/>
              </w:rPr>
              <w:t>（四）项目实施要求</w:t>
            </w:r>
          </w:p>
          <w:p>
            <w:pPr>
              <w:pStyle w:val="null3"/>
              <w:jc w:val="both"/>
            </w:pPr>
            <w:r>
              <w:rPr>
                <w:rFonts w:ascii="仿宋_GB2312" w:hAnsi="仿宋_GB2312" w:cs="仿宋_GB2312" w:eastAsia="仿宋_GB2312"/>
                <w:sz w:val="21"/>
              </w:rPr>
              <w:t>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pPr>
              <w:pStyle w:val="null3"/>
              <w:ind w:firstLine="56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详见综合评分明细表</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自合同签订之日起120天提交服务成果文件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蒲城县，采购人指定地点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符合磋商文件和乙方响应文件标准和要求以及国家相关技术标准，并在成果文件完成后，由专家小组进行评审，经过专家小组评审后一致认为已达到要求视为合格。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提交成果文件，验收合格后一次性支付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成交单位在中标(成交)结果公告结束后3个工作日内向采购代理机构提供纸质版投标文件正本一份，副本二份，电子U盘二份(响应文件内容与电子版一致)。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资格证明文件部分格式.docx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资格证明文件部分格式.docx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资格证明文件部分格式.docx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法定代表人或其授权代表</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w:t>
            </w:r>
          </w:p>
        </w:tc>
        <w:tc>
          <w:tcPr>
            <w:tcW w:type="dxa" w:w="1661"/>
          </w:tcPr>
          <w:p>
            <w:pPr>
              <w:pStyle w:val="null3"/>
            </w:pPr>
            <w:r>
              <w:rPr>
                <w:rFonts w:ascii="仿宋_GB2312" w:hAnsi="仿宋_GB2312" w:cs="仿宋_GB2312" w:eastAsia="仿宋_GB2312"/>
              </w:rPr>
              <w:t>资格证明文件部分格式.docx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资格证明文件部分格式.docx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资格证明文件部分格式.docx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资格证明文件部分格式.docx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资格证明文件部分格式.docx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资格证明文件部分格式.docx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主要人员简历表.docx 资格证明文件部分格式.docx 商务应答表 服务方案 标的清单 供应商应提交的相关资格证明材料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磋商响应文件的签字盖章符合采购文件要求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主要人员简历表.docx 残疾人福利性单位声明函 资格证明文件部分格式.docx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报价未超过预算和最高限价。</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主要人员简历表.docx 残疾人福利性单位声明函 资格证明文件部分格式.docx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主要人员简历表.docx 残疾人福利性单位声明函 资格证明文件部分格式.docx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项目总体思路</w:t>
            </w:r>
          </w:p>
        </w:tc>
        <w:tc>
          <w:tcPr>
            <w:tcW w:type="dxa" w:w="2492"/>
          </w:tcPr>
          <w:p>
            <w:pPr>
              <w:pStyle w:val="null3"/>
            </w:pPr>
            <w:r>
              <w:rPr>
                <w:rFonts w:ascii="仿宋_GB2312" w:hAnsi="仿宋_GB2312" w:cs="仿宋_GB2312" w:eastAsia="仿宋_GB2312"/>
              </w:rPr>
              <w:t>一、评审内容 本项目总体思路，符合国家及地方有关技术规范及标准规定，以及本项目工作背景、目的和工作范围认识准确性、深入程度等，符合磋商文件要求，内容包括：①本项目的基本情况和背景；②工作理解、工作思路。 二、评审标准 1、完整性：方案须全面，对评审内容中的各项要求有详细描述及说明； 2、可实施性：切合本项目实际情况，实施步骤清晰、合理； 3、针对性：方案能够紧扣项目实际情况，内容科学合理。 三、赋分标准（满分12分） ①本项目的基本情况和背景：每完全满足一项评审标准2分，满分6分； ②工作理解、工作思路:每完全满足一项评审标准得2分，满分6分。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规划修编技术服务方案结构清晰、内容完整、表述准确、归纳凝练， 方案中工作程序、工作方法科学严谨及深度切实可行，明确规范性条款、 技术标准、方法、工作重点与技术难点等。 二、评审标准 1、完整性：方案须全面，对评审内容中的各项要求有详细描述及说明； 2、可实施性：切合本项目实际情况，实施步骤清晰、合理； 3、针对性：方案能够紧扣项目实际情况，内容科学合理。 三、赋分标准（满分15分） 规划修编技术服务方案：每完全满足一项评审标准5分，满分15分。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保障服务方案</w:t>
            </w:r>
          </w:p>
        </w:tc>
        <w:tc>
          <w:tcPr>
            <w:tcW w:type="dxa" w:w="2492"/>
          </w:tcPr>
          <w:p>
            <w:pPr>
              <w:pStyle w:val="null3"/>
            </w:pPr>
            <w:r>
              <w:rPr>
                <w:rFonts w:ascii="仿宋_GB2312" w:hAnsi="仿宋_GB2312" w:cs="仿宋_GB2312" w:eastAsia="仿宋_GB2312"/>
              </w:rPr>
              <w:t>一、评审内容 服务期保障服务方案，提供的实施进度计划及工期保证措施方案， 且有实施的工期保障服务承诺等，内容包括：①施进度计划； ②工期保证措施方案； ③实施的工期保障服务承诺。 二、评审标准 1、完整性：方案须全面，对评审内容中的各项要求有详细描述及说明； 2、可实施性：切合本项目实际情况，实施步骤清晰、合理； 3、针对性：方案能够紧扣项目实际情况，内容科学合理。 三、赋分标准（满分9分） ①施进度计划：每完全满足一项评审标准1分，满分3分； ②工期保证措施方案：每完全满足一项评审标准得1分，满分3分； ③实施的工期保障服务承诺：每完全满足一项评审标准得1分，满分3分。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对本项目制定服务质量方案、技术服务流程、技术档案管理、人员组织及保障情况，内容包括：①制定服务质量方案； ②技术服务流程，③技术档案管理，④人员组织及保障情况。 二、评审标准 1、完整性：方案须全面，对评审内容中的各项要求有详细描述及说明； 2、可实施性：切合本项目实际情况，实施步骤清晰、合理； 3、针对性：方案能够紧扣项目实际情况，内容科学合理。 三、赋分标准（满分12分） ①制定服务质量方案：每完全满足一项评审标准1分，满分3分； ②技术服务流程:每完全满足一项评审标准得1分，满分3分； ③技术档案管理：每完全满足一项评审标准1分，满分3分 ④人员组织及保障情况:每完全满足一项评审标准得1分，满分3分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工作组织与项目进度安排</w:t>
            </w:r>
          </w:p>
        </w:tc>
        <w:tc>
          <w:tcPr>
            <w:tcW w:type="dxa" w:w="2492"/>
          </w:tcPr>
          <w:p>
            <w:pPr>
              <w:pStyle w:val="null3"/>
            </w:pPr>
            <w:r>
              <w:rPr>
                <w:rFonts w:ascii="仿宋_GB2312" w:hAnsi="仿宋_GB2312" w:cs="仿宋_GB2312" w:eastAsia="仿宋_GB2312"/>
              </w:rPr>
              <w:t>一、评审内容 针对本项目服务内容提出工作组织与项目进度安排，内容包括：①工作总体安排； ②项目进度安排。 二、评审标准 1、完整性：方案须全面，对评审内容中的各项要求有详细描述及说明； 2、可实施性：切合本项目实际情况，实施步骤清晰、合理； 3、针对性：方案能够紧扣项目实际情况，内容科学合理。 三、赋分标准（满分6分） ①工作总体安排：每完全满足一项评审标准1分，满分3分； ②项目进度安排:每完全满足一项评审标准得1分，满分3分。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针对本项目提供的详细的后续服务方案，后续服务方案包含后续服务人员实力、保证措施、服务流程、响应速度、服务承诺等，内容包括：①后续服务人员实力； ②保证措施；③服务流程；④响应速度；⑤服务承诺。 二、评审标准 1、完整性：方案须全面，对评审内容中的各项要求有详细描述及说明； 2、可实施性：切合本项目实际情况，实施步骤清晰、合理； 3、针对性：方案能够紧扣项目实际情况，内容科学合理。 三、赋分标准（满分9分） ①后续服务人员实力：每完全满足一项评审标准1分，满分3分； ②保证措施:每完全满足一项评审标准得0.5分，满分1.5分； ③服务流程：每完全满足一项评审标准得0.5分，满分1.5分； ④响应速度：每完全满足一项评审标准得0.5分，满分1.5分； ⑤服务承诺：每完全满足一项评审标准得0.5分，满分1.5分；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拟投入本项目的项目负责人具有城乡规划、土地规划、农业经济等相关专业技术职称（提供职称证书）或具有注册城乡规划执业资格或咨询工程师（投资）（提供登记证书，执业单位应与投标单位名称一致）。 （1）具有高级职称或具有注册城乡规划师或具有咨询工程师（投资）的计8分 （2）中级职称的计4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项目组成员情况</w:t>
            </w:r>
          </w:p>
        </w:tc>
        <w:tc>
          <w:tcPr>
            <w:tcW w:type="dxa" w:w="2492"/>
          </w:tcPr>
          <w:p>
            <w:pPr>
              <w:pStyle w:val="null3"/>
            </w:pPr>
            <w:r>
              <w:rPr>
                <w:rFonts w:ascii="仿宋_GB2312" w:hAnsi="仿宋_GB2312" w:cs="仿宋_GB2312" w:eastAsia="仿宋_GB2312"/>
              </w:rPr>
              <w:t>拟投入本项目的专业技术人员（不含项目负责人）具有相关专业中级及以上技术职称（供职称证书）或咨询工程师（投资）（提供登记证书，执业单位应与投标单位名称一致）的每提供一人计2 分，满分 10分。 注：相专业指：城乡规划、农业经济、土地规划、道路交通、给水排水、建筑、电力电信、燃气热力、地理、风景园林、生态环境、经济、地理信息、海洋、测绘、林草、地质。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提供2020年1月至今供应商类似项目业绩，以合同为准，每份3分，最高得9分。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满足竞争性磋商文件要求且最低的磋商报价为评标基准价，其价格分为满分。 各供应商的报价得分按下列公式计算： （基准价/磋商报价）×10×100％。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详见附件：资格证明文件部分格式.docx</w:t>
      </w:r>
    </w:p>
    <w:p>
      <w:pPr>
        <w:pStyle w:val="null3"/>
        <w:ind w:firstLine="960"/>
      </w:pPr>
      <w:r>
        <w:rPr>
          <w:rFonts w:ascii="仿宋_GB2312" w:hAnsi="仿宋_GB2312" w:cs="仿宋_GB2312" w:eastAsia="仿宋_GB2312"/>
        </w:rPr>
        <w:t>详见附件：主要人员简历表.docx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