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55844D">
      <w:pPr>
        <w:keepNext/>
        <w:keepLines/>
        <w:widowControl w:val="0"/>
        <w:suppressLineNumbers w:val="0"/>
        <w:spacing w:before="260" w:beforeAutospacing="0" w:after="260" w:afterAutospacing="0" w:line="360" w:lineRule="auto"/>
        <w:ind w:left="0" w:right="0"/>
        <w:jc w:val="center"/>
        <w:outlineLvl w:val="1"/>
        <w:rPr>
          <w:rFonts w:hint="eastAsia" w:ascii="宋体" w:hAnsi="宋体" w:eastAsia="宋体" w:cs="宋体"/>
          <w:b/>
          <w:bCs/>
          <w:kern w:val="2"/>
          <w:sz w:val="32"/>
          <w:szCs w:val="32"/>
        </w:rPr>
      </w:pPr>
      <w:r>
        <w:rPr>
          <w:rFonts w:hint="eastAsia" w:ascii="宋体" w:hAnsi="宋体" w:eastAsia="宋体" w:cs="宋体"/>
          <w:b/>
          <w:bCs/>
          <w:kern w:val="2"/>
          <w:sz w:val="32"/>
          <w:szCs w:val="32"/>
          <w:lang w:val="en-US" w:eastAsia="zh-CN" w:bidi="ar"/>
        </w:rPr>
        <w:t>投标报价表</w:t>
      </w:r>
    </w:p>
    <w:p w14:paraId="66A2A09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项目名称</w:t>
      </w:r>
      <w:r>
        <w:rPr>
          <w:rFonts w:hint="eastAsia" w:ascii="宋体" w:hAnsi="宋体" w:eastAsia="宋体" w:cs="宋体"/>
          <w:kern w:val="28"/>
          <w:sz w:val="21"/>
          <w:szCs w:val="21"/>
          <w:lang w:val="en-US" w:eastAsia="zh-CN" w:bidi="ar"/>
        </w:rPr>
        <w:t>：</w:t>
      </w:r>
      <w:r>
        <w:rPr>
          <w:rFonts w:hint="eastAsia" w:ascii="宋体" w:hAnsi="宋体" w:eastAsia="宋体" w:cs="宋体"/>
          <w:b/>
          <w:sz w:val="21"/>
          <w:szCs w:val="21"/>
          <w:lang w:eastAsia="zh-CN"/>
        </w:rPr>
        <w:t>增城区公共租赁住房筹建项目</w:t>
      </w:r>
    </w:p>
    <w:p w14:paraId="7A72E85E">
      <w:pPr>
        <w:keepNext w:val="0"/>
        <w:keepLines w:val="0"/>
        <w:widowControl w:val="0"/>
        <w:suppressLineNumbers w:val="0"/>
        <w:spacing w:before="0" w:beforeAutospacing="0" w:after="0" w:afterAutospacing="0" w:line="360" w:lineRule="auto"/>
        <w:ind w:left="0" w:right="0"/>
        <w:jc w:val="both"/>
        <w:rPr>
          <w:rFonts w:hint="default" w:ascii="宋体" w:hAnsi="宋体" w:eastAsia="宋体" w:cs="宋体"/>
          <w:kern w:val="2"/>
          <w:sz w:val="21"/>
          <w:szCs w:val="21"/>
          <w:lang w:val="en-US"/>
        </w:rPr>
      </w:pPr>
      <w:r>
        <w:rPr>
          <w:rFonts w:hint="eastAsia" w:ascii="宋体" w:hAnsi="宋体" w:eastAsia="宋体" w:cs="宋体"/>
          <w:kern w:val="2"/>
          <w:sz w:val="21"/>
          <w:szCs w:val="21"/>
          <w:lang w:val="en-US" w:eastAsia="zh-CN" w:bidi="ar"/>
        </w:rPr>
        <w:t>采购项目编号：</w:t>
      </w:r>
      <w:r>
        <w:rPr>
          <w:rFonts w:hint="eastAsia" w:ascii="宋体" w:hAnsi="宋体" w:eastAsia="宋体" w:cs="宋体"/>
          <w:kern w:val="2"/>
          <w:sz w:val="21"/>
          <w:szCs w:val="21"/>
          <w:u w:val="single"/>
          <w:lang w:val="en-US" w:eastAsia="zh-CN" w:bidi="ar"/>
        </w:rPr>
        <w:t>AG100071-C2510</w:t>
      </w:r>
    </w:p>
    <w:tbl>
      <w:tblPr>
        <w:tblStyle w:val="3"/>
        <w:tblW w:w="14686" w:type="dxa"/>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
      <w:tblGrid>
        <w:gridCol w:w="666"/>
        <w:gridCol w:w="1376"/>
        <w:gridCol w:w="2985"/>
        <w:gridCol w:w="1200"/>
        <w:gridCol w:w="748"/>
        <w:gridCol w:w="1213"/>
        <w:gridCol w:w="1084"/>
        <w:gridCol w:w="1460"/>
        <w:gridCol w:w="1217"/>
        <w:gridCol w:w="1140"/>
        <w:gridCol w:w="1597"/>
      </w:tblGrid>
      <w:tr w14:paraId="635DE34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6" w:type="dxa"/>
            <w:vMerge w:val="restart"/>
            <w:tcBorders>
              <w:top w:val="single" w:color="000000" w:sz="4" w:space="0"/>
              <w:left w:val="single" w:color="000000" w:sz="4" w:space="0"/>
              <w:right w:val="single" w:color="000000" w:sz="4" w:space="0"/>
            </w:tcBorders>
            <w:tcMar>
              <w:top w:w="0" w:type="dxa"/>
              <w:left w:w="105" w:type="dxa"/>
              <w:bottom w:w="0" w:type="dxa"/>
              <w:right w:w="105" w:type="dxa"/>
            </w:tcMar>
            <w:vAlign w:val="center"/>
          </w:tcPr>
          <w:p w14:paraId="58546AAF">
            <w:pPr>
              <w:pStyle w:val="5"/>
              <w:keepNext w:val="0"/>
              <w:keepLines w:val="0"/>
              <w:suppressLineNumbers w:val="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序号</w:t>
            </w:r>
          </w:p>
        </w:tc>
        <w:tc>
          <w:tcPr>
            <w:tcW w:w="1376" w:type="dxa"/>
            <w:vMerge w:val="restart"/>
            <w:tcBorders>
              <w:top w:val="single" w:color="000000" w:sz="4" w:space="0"/>
              <w:left w:val="nil"/>
              <w:right w:val="single" w:color="000000" w:sz="4" w:space="0"/>
            </w:tcBorders>
            <w:tcMar>
              <w:top w:w="0" w:type="dxa"/>
              <w:left w:w="105" w:type="dxa"/>
              <w:bottom w:w="0" w:type="dxa"/>
              <w:right w:w="105" w:type="dxa"/>
            </w:tcMar>
            <w:vAlign w:val="center"/>
          </w:tcPr>
          <w:p w14:paraId="3C482BAC">
            <w:pPr>
              <w:pStyle w:val="5"/>
              <w:keepNext w:val="0"/>
              <w:keepLines w:val="0"/>
              <w:suppressLineNumbers w:val="0"/>
              <w:jc w:val="center"/>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项目名称</w:t>
            </w:r>
          </w:p>
        </w:tc>
        <w:tc>
          <w:tcPr>
            <w:tcW w:w="2985" w:type="dxa"/>
            <w:vMerge w:val="restart"/>
            <w:tcBorders>
              <w:top w:val="single" w:color="000000" w:sz="4" w:space="0"/>
              <w:left w:val="nil"/>
              <w:right w:val="single" w:color="000000" w:sz="4" w:space="0"/>
            </w:tcBorders>
            <w:tcMar>
              <w:top w:w="0" w:type="dxa"/>
              <w:left w:w="105" w:type="dxa"/>
              <w:bottom w:w="0" w:type="dxa"/>
              <w:right w:w="105" w:type="dxa"/>
            </w:tcMar>
            <w:vAlign w:val="center"/>
          </w:tcPr>
          <w:p w14:paraId="54224C75">
            <w:pPr>
              <w:pStyle w:val="5"/>
              <w:keepNext w:val="0"/>
              <w:keepLines w:val="0"/>
              <w:suppressLineNumbers w:val="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地址</w:t>
            </w:r>
          </w:p>
        </w:tc>
        <w:tc>
          <w:tcPr>
            <w:tcW w:w="1200" w:type="dxa"/>
            <w:vMerge w:val="restart"/>
            <w:tcBorders>
              <w:top w:val="single" w:color="000000" w:sz="4" w:space="0"/>
              <w:left w:val="nil"/>
              <w:right w:val="single" w:color="000000" w:sz="4" w:space="0"/>
            </w:tcBorders>
            <w:tcMar>
              <w:top w:w="0" w:type="dxa"/>
              <w:left w:w="105" w:type="dxa"/>
              <w:bottom w:w="0" w:type="dxa"/>
              <w:right w:w="105" w:type="dxa"/>
            </w:tcMar>
            <w:vAlign w:val="center"/>
          </w:tcPr>
          <w:p w14:paraId="252A06C5">
            <w:pPr>
              <w:pStyle w:val="5"/>
              <w:keepNext w:val="0"/>
              <w:keepLines w:val="0"/>
              <w:suppressLineNumbers w:val="0"/>
              <w:jc w:val="center"/>
              <w:rPr>
                <w:rFonts w:hint="eastAsia" w:ascii="宋体" w:hAnsi="宋体" w:eastAsia="宋体" w:cs="宋体"/>
                <w:color w:val="000000"/>
                <w:sz w:val="21"/>
                <w:szCs w:val="21"/>
                <w:lang w:val="en-US" w:eastAsia="zh-CN"/>
              </w:rPr>
            </w:pPr>
            <w:r>
              <w:rPr>
                <w:color w:val="000000"/>
                <w:sz w:val="21"/>
              </w:rPr>
              <w:t>户型</w:t>
            </w:r>
          </w:p>
        </w:tc>
        <w:tc>
          <w:tcPr>
            <w:tcW w:w="748" w:type="dxa"/>
            <w:vMerge w:val="restart"/>
            <w:tcBorders>
              <w:top w:val="single" w:color="000000" w:sz="4" w:space="0"/>
              <w:left w:val="nil"/>
              <w:right w:val="single" w:color="000000" w:sz="4" w:space="0"/>
            </w:tcBorders>
            <w:tcMar>
              <w:top w:w="0" w:type="dxa"/>
              <w:left w:w="105" w:type="dxa"/>
              <w:bottom w:w="0" w:type="dxa"/>
              <w:right w:w="105" w:type="dxa"/>
            </w:tcMar>
            <w:vAlign w:val="center"/>
          </w:tcPr>
          <w:p w14:paraId="07B6634A">
            <w:pPr>
              <w:pStyle w:val="5"/>
              <w:keepNext w:val="0"/>
              <w:keepLines w:val="0"/>
              <w:suppressLineNumbers w:val="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房号</w:t>
            </w:r>
          </w:p>
        </w:tc>
        <w:tc>
          <w:tcPr>
            <w:tcW w:w="121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41D286CE">
            <w:pPr>
              <w:pStyle w:val="5"/>
              <w:keepNext w:val="0"/>
              <w:keepLines w:val="0"/>
              <w:suppressLineNumbers w:val="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房屋建筑面积</w:t>
            </w:r>
          </w:p>
          <w:p w14:paraId="5615A692">
            <w:pPr>
              <w:pStyle w:val="5"/>
              <w:keepNext w:val="0"/>
              <w:keepLines w:val="0"/>
              <w:suppressLineNumbers w:val="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w:t>
            </w:r>
          </w:p>
        </w:tc>
        <w:tc>
          <w:tcPr>
            <w:tcW w:w="108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3A909458">
            <w:pPr>
              <w:pStyle w:val="5"/>
              <w:keepNext w:val="0"/>
              <w:keepLines w:val="0"/>
              <w:suppressLineNumbers w:val="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投标平均单价</w:t>
            </w:r>
          </w:p>
          <w:p w14:paraId="03D3C241">
            <w:pPr>
              <w:pStyle w:val="5"/>
              <w:keepNext w:val="0"/>
              <w:keepLines w:val="0"/>
              <w:suppressLineNumbers w:val="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（元/㎡）</w:t>
            </w:r>
          </w:p>
        </w:tc>
        <w:tc>
          <w:tcPr>
            <w:tcW w:w="146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624A2A38">
            <w:pPr>
              <w:pStyle w:val="5"/>
              <w:keepNext w:val="0"/>
              <w:keepLines w:val="0"/>
              <w:suppressLineNumbers w:val="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房屋总价</w:t>
            </w:r>
          </w:p>
          <w:p w14:paraId="16EA58FD">
            <w:pPr>
              <w:pStyle w:val="5"/>
              <w:keepNext w:val="0"/>
              <w:keepLines w:val="0"/>
              <w:suppressLineNumbers w:val="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（元）</w:t>
            </w:r>
          </w:p>
        </w:tc>
        <w:tc>
          <w:tcPr>
            <w:tcW w:w="121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03352E35">
            <w:pPr>
              <w:pStyle w:val="5"/>
              <w:keepNext w:val="0"/>
              <w:keepLines w:val="0"/>
              <w:suppressLineNumbers w:val="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其他服务费用</w:t>
            </w:r>
          </w:p>
          <w:p w14:paraId="29424C0F">
            <w:pPr>
              <w:pStyle w:val="5"/>
              <w:keepNext w:val="0"/>
              <w:keepLines w:val="0"/>
              <w:suppressLineNumbers w:val="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（元）</w:t>
            </w:r>
          </w:p>
        </w:tc>
        <w:tc>
          <w:tcPr>
            <w:tcW w:w="114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621FB0BC">
            <w:pPr>
              <w:pStyle w:val="5"/>
              <w:keepNext w:val="0"/>
              <w:keepLines w:val="0"/>
              <w:suppressLineNumbers w:val="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投标总价</w:t>
            </w:r>
          </w:p>
          <w:p w14:paraId="0BDFA868">
            <w:pPr>
              <w:pStyle w:val="5"/>
              <w:keepNext w:val="0"/>
              <w:keepLines w:val="0"/>
              <w:suppressLineNumbers w:val="0"/>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（元）</w:t>
            </w:r>
          </w:p>
        </w:tc>
        <w:tc>
          <w:tcPr>
            <w:tcW w:w="159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54718491">
            <w:pPr>
              <w:pStyle w:val="5"/>
              <w:keepNext w:val="0"/>
              <w:keepLines w:val="0"/>
              <w:suppressLineNumbers w:val="0"/>
              <w:jc w:val="center"/>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投标综合单价</w:t>
            </w:r>
          </w:p>
          <w:p w14:paraId="3BA8B269">
            <w:pPr>
              <w:pStyle w:val="5"/>
              <w:keepNext w:val="0"/>
              <w:keepLines w:val="0"/>
              <w:suppressLineNumbers w:val="0"/>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（元/㎡）</w:t>
            </w:r>
          </w:p>
        </w:tc>
      </w:tr>
      <w:tr w14:paraId="5E6C4B2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6" w:type="dxa"/>
            <w:vMerge w:val="continue"/>
            <w:tcBorders>
              <w:left w:val="single" w:color="000000" w:sz="4" w:space="0"/>
              <w:bottom w:val="single" w:color="000000" w:sz="4" w:space="0"/>
              <w:right w:val="single" w:color="000000" w:sz="4" w:space="0"/>
            </w:tcBorders>
            <w:tcMar>
              <w:top w:w="0" w:type="dxa"/>
              <w:left w:w="105" w:type="dxa"/>
              <w:bottom w:w="0" w:type="dxa"/>
              <w:right w:w="105" w:type="dxa"/>
            </w:tcMar>
            <w:vAlign w:val="center"/>
          </w:tcPr>
          <w:p w14:paraId="1F7DDD85">
            <w:pPr>
              <w:pStyle w:val="5"/>
              <w:keepNext w:val="0"/>
              <w:keepLines w:val="0"/>
              <w:suppressLineNumbers w:val="0"/>
              <w:jc w:val="center"/>
              <w:rPr>
                <w:rFonts w:hint="eastAsia" w:ascii="宋体" w:hAnsi="宋体" w:eastAsia="宋体" w:cs="宋体"/>
                <w:sz w:val="21"/>
                <w:szCs w:val="21"/>
              </w:rPr>
            </w:pPr>
          </w:p>
        </w:tc>
        <w:tc>
          <w:tcPr>
            <w:tcW w:w="1376" w:type="dxa"/>
            <w:vMerge w:val="continue"/>
            <w:tcBorders>
              <w:left w:val="nil"/>
              <w:bottom w:val="single" w:color="000000" w:sz="4" w:space="0"/>
              <w:right w:val="single" w:color="000000" w:sz="4" w:space="0"/>
            </w:tcBorders>
            <w:tcMar>
              <w:top w:w="0" w:type="dxa"/>
              <w:left w:w="105" w:type="dxa"/>
              <w:bottom w:w="0" w:type="dxa"/>
              <w:right w:w="105" w:type="dxa"/>
            </w:tcMar>
            <w:vAlign w:val="center"/>
          </w:tcPr>
          <w:p w14:paraId="3A8F6382">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2985" w:type="dxa"/>
            <w:vMerge w:val="continue"/>
            <w:tcBorders>
              <w:left w:val="nil"/>
              <w:bottom w:val="single" w:color="000000" w:sz="4" w:space="0"/>
              <w:right w:val="single" w:color="000000" w:sz="4" w:space="0"/>
            </w:tcBorders>
            <w:tcMar>
              <w:top w:w="0" w:type="dxa"/>
              <w:left w:w="105" w:type="dxa"/>
              <w:bottom w:w="0" w:type="dxa"/>
              <w:right w:w="105" w:type="dxa"/>
            </w:tcMar>
            <w:vAlign w:val="center"/>
          </w:tcPr>
          <w:p w14:paraId="5A98D2CF">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200" w:type="dxa"/>
            <w:vMerge w:val="continue"/>
            <w:tcBorders>
              <w:left w:val="nil"/>
              <w:bottom w:val="single" w:color="000000" w:sz="4" w:space="0"/>
              <w:right w:val="single" w:color="000000" w:sz="4" w:space="0"/>
            </w:tcBorders>
            <w:tcMar>
              <w:top w:w="0" w:type="dxa"/>
              <w:left w:w="105" w:type="dxa"/>
              <w:bottom w:w="0" w:type="dxa"/>
              <w:right w:w="105" w:type="dxa"/>
            </w:tcMar>
            <w:vAlign w:val="center"/>
          </w:tcPr>
          <w:p w14:paraId="34519F99">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748" w:type="dxa"/>
            <w:vMerge w:val="continue"/>
            <w:tcBorders>
              <w:left w:val="nil"/>
              <w:bottom w:val="single" w:color="000000" w:sz="4" w:space="0"/>
              <w:right w:val="single" w:color="000000" w:sz="4" w:space="0"/>
            </w:tcBorders>
            <w:tcMar>
              <w:top w:w="0" w:type="dxa"/>
              <w:left w:w="105" w:type="dxa"/>
              <w:bottom w:w="0" w:type="dxa"/>
              <w:right w:w="105" w:type="dxa"/>
            </w:tcMar>
            <w:vAlign w:val="center"/>
          </w:tcPr>
          <w:p w14:paraId="656C7363">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213"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BB326CD">
            <w:pPr>
              <w:pStyle w:val="5"/>
              <w:keepNext w:val="0"/>
              <w:keepLines w:val="0"/>
              <w:suppressLineNumbers w:val="0"/>
              <w:ind w:left="0" w:leftChars="0" w:right="0" w:rightChars="0"/>
              <w:jc w:val="center"/>
              <w:rPr>
                <w:rFonts w:hint="eastAsia" w:ascii="宋体" w:hAnsi="宋体" w:eastAsia="宋体" w:cs="宋体"/>
                <w:sz w:val="21"/>
                <w:szCs w:val="21"/>
                <w:lang w:val="en-US" w:eastAsia="zh-CN"/>
              </w:rPr>
            </w:pPr>
            <w:r>
              <w:rPr>
                <w:rFonts w:hint="eastAsia" w:ascii="宋体" w:hAnsi="宋体" w:eastAsia="宋体" w:cs="宋体"/>
                <w:color w:val="000000"/>
                <w:sz w:val="21"/>
                <w:szCs w:val="21"/>
                <w:lang w:val="en-US" w:eastAsia="zh-CN"/>
              </w:rPr>
              <w:t>①</w:t>
            </w:r>
          </w:p>
        </w:tc>
        <w:tc>
          <w:tcPr>
            <w:tcW w:w="1084"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1AC03BF">
            <w:pPr>
              <w:pStyle w:val="5"/>
              <w:keepNext w:val="0"/>
              <w:keepLines w:val="0"/>
              <w:suppressLineNumbers w:val="0"/>
              <w:ind w:left="0" w:leftChars="0" w:right="0" w:rightChars="0"/>
              <w:jc w:val="center"/>
              <w:rPr>
                <w:rFonts w:hint="eastAsia" w:ascii="宋体" w:hAnsi="宋体" w:eastAsia="宋体" w:cs="宋体"/>
                <w:sz w:val="21"/>
                <w:szCs w:val="21"/>
                <w:lang w:val="en-US" w:eastAsia="zh-CN"/>
              </w:rPr>
            </w:pPr>
            <w:r>
              <w:rPr>
                <w:rFonts w:hint="eastAsia" w:ascii="宋体" w:hAnsi="宋体" w:eastAsia="宋体" w:cs="宋体"/>
                <w:color w:val="000000"/>
                <w:sz w:val="21"/>
                <w:szCs w:val="21"/>
                <w:lang w:val="en-US" w:eastAsia="zh-CN"/>
              </w:rPr>
              <w:t>②</w:t>
            </w:r>
          </w:p>
        </w:tc>
        <w:tc>
          <w:tcPr>
            <w:tcW w:w="146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750661A">
            <w:pPr>
              <w:pStyle w:val="5"/>
              <w:keepNext w:val="0"/>
              <w:keepLines w:val="0"/>
              <w:suppressLineNumbers w:val="0"/>
              <w:ind w:left="0" w:leftChars="0" w:right="0" w:rightChars="0"/>
              <w:jc w:val="center"/>
              <w:rPr>
                <w:rFonts w:hint="default" w:ascii="宋体" w:hAnsi="宋体" w:eastAsia="宋体" w:cs="宋体"/>
                <w:sz w:val="21"/>
                <w:szCs w:val="21"/>
                <w:lang w:val="en-US" w:eastAsia="zh-CN"/>
              </w:rPr>
            </w:pPr>
            <w:r>
              <w:rPr>
                <w:rFonts w:hint="eastAsia" w:ascii="宋体" w:hAnsi="宋体" w:eastAsia="宋体" w:cs="宋体"/>
                <w:color w:val="000000"/>
                <w:sz w:val="21"/>
                <w:szCs w:val="21"/>
                <w:lang w:val="en-US" w:eastAsia="zh-CN"/>
              </w:rPr>
              <w:t>③=①*②</w:t>
            </w:r>
          </w:p>
        </w:tc>
        <w:tc>
          <w:tcPr>
            <w:tcW w:w="121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904B9D4">
            <w:pPr>
              <w:pStyle w:val="5"/>
              <w:keepNext w:val="0"/>
              <w:keepLines w:val="0"/>
              <w:suppressLineNumbers w:val="0"/>
              <w:ind w:left="0" w:leftChars="0" w:right="0" w:rightChars="0"/>
              <w:jc w:val="center"/>
              <w:rPr>
                <w:rFonts w:hint="eastAsia" w:ascii="宋体" w:hAnsi="宋体" w:eastAsia="宋体" w:cs="宋体"/>
                <w:sz w:val="21"/>
                <w:szCs w:val="21"/>
                <w:lang w:val="en-US" w:eastAsia="zh-CN"/>
              </w:rPr>
            </w:pPr>
            <w:r>
              <w:rPr>
                <w:rFonts w:hint="eastAsia" w:ascii="宋体" w:hAnsi="宋体" w:eastAsia="宋体" w:cs="宋体"/>
                <w:color w:val="000000"/>
                <w:sz w:val="21"/>
                <w:szCs w:val="21"/>
                <w:lang w:val="en-US" w:eastAsia="zh-CN"/>
              </w:rPr>
              <w:t>④</w:t>
            </w:r>
          </w:p>
        </w:tc>
        <w:tc>
          <w:tcPr>
            <w:tcW w:w="11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83E09AF">
            <w:pPr>
              <w:pStyle w:val="5"/>
              <w:keepNext w:val="0"/>
              <w:keepLines w:val="0"/>
              <w:suppressLineNumbers w:val="0"/>
              <w:ind w:left="0" w:leftChars="0" w:right="0" w:rightChars="0"/>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⑤=③+④</w:t>
            </w:r>
          </w:p>
        </w:tc>
        <w:tc>
          <w:tcPr>
            <w:tcW w:w="159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96A135F">
            <w:pPr>
              <w:pStyle w:val="5"/>
              <w:keepNext w:val="0"/>
              <w:keepLines w:val="0"/>
              <w:suppressLineNumbers w:val="0"/>
              <w:ind w:left="0" w:leftChars="0" w:right="0" w:rightChars="0"/>
              <w:jc w:val="center"/>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⑥=投标总价合计/投标总建筑面积</w:t>
            </w:r>
          </w:p>
        </w:tc>
      </w:tr>
      <w:tr w14:paraId="42AF43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3FE073F">
            <w:pPr>
              <w:keepNext w:val="0"/>
              <w:keepLines w:val="0"/>
              <w:suppressLineNumbers w:val="0"/>
              <w:spacing w:before="0" w:beforeAutospacing="0" w:after="0" w:afterAutospacing="0"/>
              <w:ind w:left="0" w:right="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c>
          <w:tcPr>
            <w:tcW w:w="137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29FE9E2">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298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D8F6C4E">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20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3203E90">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748"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3892897">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213"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2870F23">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084" w:type="dxa"/>
            <w:vMerge w:val="restart"/>
            <w:tcBorders>
              <w:top w:val="nil"/>
              <w:left w:val="nil"/>
              <w:right w:val="single" w:color="000000" w:sz="4" w:space="0"/>
            </w:tcBorders>
            <w:tcMar>
              <w:top w:w="0" w:type="dxa"/>
              <w:left w:w="105" w:type="dxa"/>
              <w:bottom w:w="0" w:type="dxa"/>
              <w:right w:w="105" w:type="dxa"/>
            </w:tcMar>
            <w:vAlign w:val="center"/>
          </w:tcPr>
          <w:p w14:paraId="5F014F06">
            <w:pPr>
              <w:keepNext w:val="0"/>
              <w:keepLines w:val="0"/>
              <w:suppressLineNumbers w:val="0"/>
              <w:spacing w:before="0" w:beforeAutospacing="0" w:after="0" w:afterAutospacing="0"/>
              <w:ind w:left="0" w:right="0"/>
              <w:jc w:val="center"/>
              <w:rPr>
                <w:rFonts w:hint="default" w:ascii="宋体" w:hAnsi="宋体" w:eastAsia="宋体" w:cs="宋体"/>
                <w:sz w:val="21"/>
                <w:szCs w:val="21"/>
                <w:lang w:val="en-US" w:eastAsia="zh-CN"/>
              </w:rPr>
            </w:pPr>
          </w:p>
        </w:tc>
        <w:tc>
          <w:tcPr>
            <w:tcW w:w="146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946B96D">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21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2096640">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1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1F9076A">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597" w:type="dxa"/>
            <w:vMerge w:val="restart"/>
            <w:tcBorders>
              <w:top w:val="nil"/>
              <w:left w:val="nil"/>
              <w:right w:val="single" w:color="000000" w:sz="4" w:space="0"/>
            </w:tcBorders>
            <w:tcMar>
              <w:top w:w="0" w:type="dxa"/>
              <w:left w:w="105" w:type="dxa"/>
              <w:bottom w:w="0" w:type="dxa"/>
              <w:right w:w="105" w:type="dxa"/>
            </w:tcMar>
            <w:vAlign w:val="center"/>
          </w:tcPr>
          <w:p w14:paraId="400292BC">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r>
      <w:tr w14:paraId="1731E9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812862E">
            <w:pPr>
              <w:keepNext w:val="0"/>
              <w:keepLines w:val="0"/>
              <w:suppressLineNumbers w:val="0"/>
              <w:spacing w:before="0" w:beforeAutospacing="0" w:after="0" w:afterAutospacing="0"/>
              <w:ind w:left="0" w:right="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p>
        </w:tc>
        <w:tc>
          <w:tcPr>
            <w:tcW w:w="137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87D3623">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298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D18CC54">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20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4DE4583">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748"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05FB9CC">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213"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D69709B">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084" w:type="dxa"/>
            <w:vMerge w:val="continue"/>
            <w:tcBorders>
              <w:left w:val="nil"/>
              <w:right w:val="single" w:color="000000" w:sz="4" w:space="0"/>
            </w:tcBorders>
            <w:tcMar>
              <w:top w:w="0" w:type="dxa"/>
              <w:left w:w="105" w:type="dxa"/>
              <w:bottom w:w="0" w:type="dxa"/>
              <w:right w:w="105" w:type="dxa"/>
            </w:tcMar>
            <w:vAlign w:val="center"/>
          </w:tcPr>
          <w:p w14:paraId="6076862A">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46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5A32553">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21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00C18F4">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1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8A97C33">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597" w:type="dxa"/>
            <w:vMerge w:val="continue"/>
            <w:tcBorders>
              <w:left w:val="nil"/>
              <w:right w:val="single" w:color="000000" w:sz="4" w:space="0"/>
            </w:tcBorders>
            <w:tcMar>
              <w:top w:w="0" w:type="dxa"/>
              <w:left w:w="105" w:type="dxa"/>
              <w:bottom w:w="0" w:type="dxa"/>
              <w:right w:w="105" w:type="dxa"/>
            </w:tcMar>
            <w:vAlign w:val="center"/>
          </w:tcPr>
          <w:p w14:paraId="2D83093B">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r>
      <w:tr w14:paraId="22E392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BD889C7">
            <w:pPr>
              <w:keepNext w:val="0"/>
              <w:keepLines w:val="0"/>
              <w:suppressLineNumbers w:val="0"/>
              <w:spacing w:before="0" w:beforeAutospacing="0" w:after="0" w:afterAutospacing="0"/>
              <w:ind w:left="0" w:right="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w:t>
            </w:r>
          </w:p>
        </w:tc>
        <w:tc>
          <w:tcPr>
            <w:tcW w:w="137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EEA1B06">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298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4B991DF">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20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9A5576C">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748"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3086B53">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213"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2FA61AD">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084" w:type="dxa"/>
            <w:vMerge w:val="continue"/>
            <w:tcBorders>
              <w:left w:val="nil"/>
              <w:right w:val="single" w:color="000000" w:sz="4" w:space="0"/>
            </w:tcBorders>
            <w:tcMar>
              <w:top w:w="0" w:type="dxa"/>
              <w:left w:w="105" w:type="dxa"/>
              <w:bottom w:w="0" w:type="dxa"/>
              <w:right w:w="105" w:type="dxa"/>
            </w:tcMar>
            <w:vAlign w:val="center"/>
          </w:tcPr>
          <w:p w14:paraId="53D35E19">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46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F97373F">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21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1036810">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1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9DA3FAA">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597" w:type="dxa"/>
            <w:vMerge w:val="continue"/>
            <w:tcBorders>
              <w:left w:val="nil"/>
              <w:right w:val="single" w:color="000000" w:sz="4" w:space="0"/>
            </w:tcBorders>
            <w:tcMar>
              <w:top w:w="0" w:type="dxa"/>
              <w:left w:w="105" w:type="dxa"/>
              <w:bottom w:w="0" w:type="dxa"/>
              <w:right w:w="105" w:type="dxa"/>
            </w:tcMar>
            <w:vAlign w:val="center"/>
          </w:tcPr>
          <w:p w14:paraId="143B8F6A">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r>
      <w:tr w14:paraId="6EC71A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7F6BD35">
            <w:pPr>
              <w:keepNext w:val="0"/>
              <w:keepLines w:val="0"/>
              <w:suppressLineNumbers w:val="0"/>
              <w:spacing w:before="0" w:beforeAutospacing="0" w:after="0" w:afterAutospacing="0"/>
              <w:ind w:left="0" w:right="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w:t>
            </w:r>
          </w:p>
        </w:tc>
        <w:tc>
          <w:tcPr>
            <w:tcW w:w="137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76738BD">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298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03DFB8E">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20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9891309">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748"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4CC39F3">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213"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E786425">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084" w:type="dxa"/>
            <w:vMerge w:val="continue"/>
            <w:tcBorders>
              <w:left w:val="nil"/>
              <w:right w:val="single" w:color="000000" w:sz="4" w:space="0"/>
            </w:tcBorders>
            <w:tcMar>
              <w:top w:w="0" w:type="dxa"/>
              <w:left w:w="105" w:type="dxa"/>
              <w:bottom w:w="0" w:type="dxa"/>
              <w:right w:w="105" w:type="dxa"/>
            </w:tcMar>
            <w:vAlign w:val="center"/>
          </w:tcPr>
          <w:p w14:paraId="45D4900F">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46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591B649">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21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BE6554D">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1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793DA00">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597" w:type="dxa"/>
            <w:vMerge w:val="continue"/>
            <w:tcBorders>
              <w:left w:val="nil"/>
              <w:right w:val="single" w:color="000000" w:sz="4" w:space="0"/>
            </w:tcBorders>
            <w:tcMar>
              <w:top w:w="0" w:type="dxa"/>
              <w:left w:w="105" w:type="dxa"/>
              <w:bottom w:w="0" w:type="dxa"/>
              <w:right w:w="105" w:type="dxa"/>
            </w:tcMar>
            <w:vAlign w:val="center"/>
          </w:tcPr>
          <w:p w14:paraId="782D7FE3">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r>
      <w:tr w14:paraId="2842FB4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4B03C7B">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37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983C053">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298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7F2E59B">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20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D4D1E78">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748"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F19DE4F">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213"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B49E849">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084" w:type="dxa"/>
            <w:vMerge w:val="continue"/>
            <w:tcBorders>
              <w:left w:val="nil"/>
              <w:right w:val="single" w:color="000000" w:sz="4" w:space="0"/>
            </w:tcBorders>
            <w:tcMar>
              <w:top w:w="0" w:type="dxa"/>
              <w:left w:w="105" w:type="dxa"/>
              <w:bottom w:w="0" w:type="dxa"/>
              <w:right w:w="105" w:type="dxa"/>
            </w:tcMar>
            <w:vAlign w:val="center"/>
          </w:tcPr>
          <w:p w14:paraId="6377F235">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46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E1765FC">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21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6A1BA3A">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1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508298B">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597" w:type="dxa"/>
            <w:vMerge w:val="continue"/>
            <w:tcBorders>
              <w:left w:val="nil"/>
              <w:right w:val="single" w:color="000000" w:sz="4" w:space="0"/>
            </w:tcBorders>
            <w:tcMar>
              <w:top w:w="0" w:type="dxa"/>
              <w:left w:w="105" w:type="dxa"/>
              <w:bottom w:w="0" w:type="dxa"/>
              <w:right w:w="105" w:type="dxa"/>
            </w:tcMar>
            <w:vAlign w:val="center"/>
          </w:tcPr>
          <w:p w14:paraId="38D1CA66">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r>
      <w:tr w14:paraId="7840D8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88AD2BC">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37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AE5EEE8">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298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A962C79">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20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BDD8499">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748"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6FFCDA5">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213"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0F150C7">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084" w:type="dxa"/>
            <w:vMerge w:val="continue"/>
            <w:tcBorders>
              <w:left w:val="nil"/>
              <w:right w:val="single" w:color="000000" w:sz="4" w:space="0"/>
            </w:tcBorders>
            <w:tcMar>
              <w:top w:w="0" w:type="dxa"/>
              <w:left w:w="105" w:type="dxa"/>
              <w:bottom w:w="0" w:type="dxa"/>
              <w:right w:w="105" w:type="dxa"/>
            </w:tcMar>
            <w:vAlign w:val="center"/>
          </w:tcPr>
          <w:p w14:paraId="495A6886">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46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DF08F47">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21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9A8D93B">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1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A4CB0EA">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597" w:type="dxa"/>
            <w:vMerge w:val="continue"/>
            <w:tcBorders>
              <w:left w:val="nil"/>
              <w:right w:val="single" w:color="000000" w:sz="4" w:space="0"/>
            </w:tcBorders>
            <w:tcMar>
              <w:top w:w="0" w:type="dxa"/>
              <w:left w:w="105" w:type="dxa"/>
              <w:bottom w:w="0" w:type="dxa"/>
              <w:right w:w="105" w:type="dxa"/>
            </w:tcMar>
            <w:vAlign w:val="center"/>
          </w:tcPr>
          <w:p w14:paraId="6B56C200">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r>
      <w:tr w14:paraId="159DFC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C068D60">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37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6AF6942">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298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BF5DBBB">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20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1A8806E">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748"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E2664B6">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213"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E4F7760">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084" w:type="dxa"/>
            <w:vMerge w:val="continue"/>
            <w:tcBorders>
              <w:left w:val="nil"/>
              <w:right w:val="single" w:color="000000" w:sz="4" w:space="0"/>
            </w:tcBorders>
            <w:tcMar>
              <w:top w:w="0" w:type="dxa"/>
              <w:left w:w="105" w:type="dxa"/>
              <w:bottom w:w="0" w:type="dxa"/>
              <w:right w:w="105" w:type="dxa"/>
            </w:tcMar>
            <w:vAlign w:val="center"/>
          </w:tcPr>
          <w:p w14:paraId="2F3C9652">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46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C503648">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21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AB73D9C">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1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9357CC9">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597" w:type="dxa"/>
            <w:vMerge w:val="continue"/>
            <w:tcBorders>
              <w:left w:val="nil"/>
              <w:right w:val="single" w:color="000000" w:sz="4" w:space="0"/>
            </w:tcBorders>
            <w:tcMar>
              <w:top w:w="0" w:type="dxa"/>
              <w:left w:w="105" w:type="dxa"/>
              <w:bottom w:w="0" w:type="dxa"/>
              <w:right w:w="105" w:type="dxa"/>
            </w:tcMar>
            <w:vAlign w:val="center"/>
          </w:tcPr>
          <w:p w14:paraId="166A6018">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r>
      <w:tr w14:paraId="4F6743D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CC69805">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37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E0ACF0C">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298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7D61A7C">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20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91C6B3A">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748"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6C36BDD">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213"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F2C4C76">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084" w:type="dxa"/>
            <w:vMerge w:val="continue"/>
            <w:tcBorders>
              <w:left w:val="nil"/>
              <w:right w:val="single" w:color="000000" w:sz="4" w:space="0"/>
            </w:tcBorders>
            <w:tcMar>
              <w:top w:w="0" w:type="dxa"/>
              <w:left w:w="105" w:type="dxa"/>
              <w:bottom w:w="0" w:type="dxa"/>
              <w:right w:w="105" w:type="dxa"/>
            </w:tcMar>
            <w:vAlign w:val="center"/>
          </w:tcPr>
          <w:p w14:paraId="47F1ACE1">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46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D014714">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21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252A7B1">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1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3BB0210">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597" w:type="dxa"/>
            <w:vMerge w:val="continue"/>
            <w:tcBorders>
              <w:left w:val="nil"/>
              <w:right w:val="single" w:color="000000" w:sz="4" w:space="0"/>
            </w:tcBorders>
            <w:tcMar>
              <w:top w:w="0" w:type="dxa"/>
              <w:left w:w="105" w:type="dxa"/>
              <w:bottom w:w="0" w:type="dxa"/>
              <w:right w:w="105" w:type="dxa"/>
            </w:tcMar>
            <w:vAlign w:val="center"/>
          </w:tcPr>
          <w:p w14:paraId="5111063F">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r>
      <w:tr w14:paraId="7EFA89F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223CCC7">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37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2B0DDFD">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298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C46B112">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20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E3D2C71">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748"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093242F">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213"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00AE9AC">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084" w:type="dxa"/>
            <w:vMerge w:val="continue"/>
            <w:tcBorders>
              <w:left w:val="nil"/>
              <w:right w:val="single" w:color="000000" w:sz="4" w:space="0"/>
            </w:tcBorders>
            <w:tcMar>
              <w:top w:w="0" w:type="dxa"/>
              <w:left w:w="105" w:type="dxa"/>
              <w:bottom w:w="0" w:type="dxa"/>
              <w:right w:w="105" w:type="dxa"/>
            </w:tcMar>
            <w:vAlign w:val="center"/>
          </w:tcPr>
          <w:p w14:paraId="1EDAE45B">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46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8E56919">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21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E69347A">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1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46F001B">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597" w:type="dxa"/>
            <w:vMerge w:val="continue"/>
            <w:tcBorders>
              <w:left w:val="nil"/>
              <w:right w:val="single" w:color="000000" w:sz="4" w:space="0"/>
            </w:tcBorders>
            <w:tcMar>
              <w:top w:w="0" w:type="dxa"/>
              <w:left w:w="105" w:type="dxa"/>
              <w:bottom w:w="0" w:type="dxa"/>
              <w:right w:w="105" w:type="dxa"/>
            </w:tcMar>
            <w:vAlign w:val="center"/>
          </w:tcPr>
          <w:p w14:paraId="79775AD8">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r>
      <w:tr w14:paraId="004FBC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D872CE6">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37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76AE91B">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298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B5AE90F">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20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83AE366">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748"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92C0561">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213"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2F2743F">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084" w:type="dxa"/>
            <w:vMerge w:val="continue"/>
            <w:tcBorders>
              <w:left w:val="nil"/>
              <w:right w:val="single" w:color="000000" w:sz="4" w:space="0"/>
            </w:tcBorders>
            <w:tcMar>
              <w:top w:w="0" w:type="dxa"/>
              <w:left w:w="105" w:type="dxa"/>
              <w:bottom w:w="0" w:type="dxa"/>
              <w:right w:w="105" w:type="dxa"/>
            </w:tcMar>
            <w:vAlign w:val="center"/>
          </w:tcPr>
          <w:p w14:paraId="249BAF7D">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46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AF6CDC2">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21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F95E4E8">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1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B891D48">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597" w:type="dxa"/>
            <w:vMerge w:val="continue"/>
            <w:tcBorders>
              <w:left w:val="nil"/>
              <w:right w:val="single" w:color="000000" w:sz="4" w:space="0"/>
            </w:tcBorders>
            <w:tcMar>
              <w:top w:w="0" w:type="dxa"/>
              <w:left w:w="105" w:type="dxa"/>
              <w:bottom w:w="0" w:type="dxa"/>
              <w:right w:w="105" w:type="dxa"/>
            </w:tcMar>
            <w:vAlign w:val="center"/>
          </w:tcPr>
          <w:p w14:paraId="23E1F201">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r>
      <w:tr w14:paraId="63AA29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E65759A">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37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C0CA2DB">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298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545198B">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20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9A9EF35">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748"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B4CD015">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213" w:type="dxa"/>
            <w:tcBorders>
              <w:top w:val="nil"/>
              <w:left w:val="nil"/>
              <w:bottom w:val="single" w:color="auto" w:sz="4" w:space="0"/>
              <w:right w:val="single" w:color="000000" w:sz="4" w:space="0"/>
            </w:tcBorders>
            <w:tcMar>
              <w:top w:w="0" w:type="dxa"/>
              <w:left w:w="105" w:type="dxa"/>
              <w:bottom w:w="0" w:type="dxa"/>
              <w:right w:w="105" w:type="dxa"/>
            </w:tcMar>
            <w:vAlign w:val="center"/>
          </w:tcPr>
          <w:p w14:paraId="34316DF4">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084" w:type="dxa"/>
            <w:vMerge w:val="continue"/>
            <w:tcBorders>
              <w:left w:val="nil"/>
              <w:bottom w:val="single" w:color="auto" w:sz="4" w:space="0"/>
              <w:right w:val="single" w:color="000000" w:sz="4" w:space="0"/>
            </w:tcBorders>
            <w:tcMar>
              <w:top w:w="0" w:type="dxa"/>
              <w:left w:w="105" w:type="dxa"/>
              <w:bottom w:w="0" w:type="dxa"/>
              <w:right w:w="105" w:type="dxa"/>
            </w:tcMar>
            <w:vAlign w:val="center"/>
          </w:tcPr>
          <w:p w14:paraId="7995C576">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46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222D89E">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21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1187024">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140" w:type="dxa"/>
            <w:tcBorders>
              <w:top w:val="nil"/>
              <w:left w:val="nil"/>
              <w:bottom w:val="single" w:color="auto" w:sz="4" w:space="0"/>
              <w:right w:val="single" w:color="000000" w:sz="4" w:space="0"/>
            </w:tcBorders>
            <w:tcMar>
              <w:top w:w="0" w:type="dxa"/>
              <w:left w:w="105" w:type="dxa"/>
              <w:bottom w:w="0" w:type="dxa"/>
              <w:right w:w="105" w:type="dxa"/>
            </w:tcMar>
            <w:vAlign w:val="center"/>
          </w:tcPr>
          <w:p w14:paraId="090460F7">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597" w:type="dxa"/>
            <w:vMerge w:val="continue"/>
            <w:tcBorders>
              <w:left w:val="nil"/>
              <w:bottom w:val="single" w:color="auto" w:sz="4" w:space="0"/>
              <w:right w:val="single" w:color="000000" w:sz="4" w:space="0"/>
            </w:tcBorders>
            <w:tcMar>
              <w:top w:w="0" w:type="dxa"/>
              <w:left w:w="105" w:type="dxa"/>
              <w:bottom w:w="0" w:type="dxa"/>
              <w:right w:w="105" w:type="dxa"/>
            </w:tcMar>
            <w:vAlign w:val="center"/>
          </w:tcPr>
          <w:p w14:paraId="4DDA60AA">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r>
      <w:tr w14:paraId="71D0FA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19" w:hRule="atLeast"/>
        </w:trPr>
        <w:tc>
          <w:tcPr>
            <w:tcW w:w="6975" w:type="dxa"/>
            <w:gridSpan w:val="5"/>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F33CC50">
            <w:pPr>
              <w:keepNext w:val="0"/>
              <w:keepLines w:val="0"/>
              <w:suppressLineNumbers w:val="0"/>
              <w:spacing w:before="0" w:beforeAutospacing="0" w:after="0" w:afterAutospacing="0"/>
              <w:ind w:left="0" w:right="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合计</w:t>
            </w:r>
          </w:p>
        </w:tc>
        <w:tc>
          <w:tcPr>
            <w:tcW w:w="1213" w:type="dxa"/>
            <w:tcBorders>
              <w:top w:val="single" w:color="auto" w:sz="4" w:space="0"/>
              <w:left w:val="nil"/>
              <w:bottom w:val="single" w:color="000000" w:sz="4" w:space="0"/>
              <w:right w:val="single" w:color="000000" w:sz="4" w:space="0"/>
            </w:tcBorders>
            <w:tcMar>
              <w:top w:w="0" w:type="dxa"/>
              <w:left w:w="105" w:type="dxa"/>
              <w:bottom w:w="0" w:type="dxa"/>
              <w:right w:w="105" w:type="dxa"/>
            </w:tcMar>
            <w:vAlign w:val="center"/>
          </w:tcPr>
          <w:p w14:paraId="3E722C5D">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084" w:type="dxa"/>
            <w:tcBorders>
              <w:top w:val="single" w:color="auto" w:sz="4" w:space="0"/>
              <w:left w:val="nil"/>
              <w:bottom w:val="single" w:color="000000" w:sz="4" w:space="0"/>
              <w:right w:val="single" w:color="000000" w:sz="4" w:space="0"/>
            </w:tcBorders>
            <w:tcMar>
              <w:top w:w="0" w:type="dxa"/>
              <w:left w:w="105" w:type="dxa"/>
              <w:bottom w:w="0" w:type="dxa"/>
              <w:right w:w="105" w:type="dxa"/>
            </w:tcMar>
            <w:vAlign w:val="center"/>
          </w:tcPr>
          <w:p w14:paraId="40861993">
            <w:pPr>
              <w:keepNext w:val="0"/>
              <w:keepLines w:val="0"/>
              <w:suppressLineNumbers w:val="0"/>
              <w:spacing w:before="0" w:beforeAutospacing="0" w:after="0" w:afterAutospacing="0"/>
              <w:ind w:left="0" w:right="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w:t>
            </w:r>
          </w:p>
        </w:tc>
        <w:tc>
          <w:tcPr>
            <w:tcW w:w="146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2D4B83D">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21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B14A31D">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140" w:type="dxa"/>
            <w:tcBorders>
              <w:top w:val="single" w:color="auto" w:sz="4" w:space="0"/>
              <w:left w:val="nil"/>
              <w:bottom w:val="single" w:color="000000" w:sz="4" w:space="0"/>
              <w:right w:val="single" w:color="000000" w:sz="4" w:space="0"/>
            </w:tcBorders>
            <w:tcMar>
              <w:top w:w="0" w:type="dxa"/>
              <w:left w:w="105" w:type="dxa"/>
              <w:bottom w:w="0" w:type="dxa"/>
              <w:right w:w="105" w:type="dxa"/>
            </w:tcMar>
            <w:vAlign w:val="center"/>
          </w:tcPr>
          <w:p w14:paraId="289B92D5">
            <w:pPr>
              <w:keepNext w:val="0"/>
              <w:keepLines w:val="0"/>
              <w:suppressLineNumbers w:val="0"/>
              <w:spacing w:before="0" w:beforeAutospacing="0" w:after="0" w:afterAutospacing="0"/>
              <w:ind w:left="0" w:right="0"/>
              <w:jc w:val="center"/>
              <w:rPr>
                <w:rFonts w:hint="eastAsia" w:ascii="宋体" w:hAnsi="宋体" w:eastAsia="宋体" w:cs="宋体"/>
                <w:sz w:val="21"/>
                <w:szCs w:val="21"/>
              </w:rPr>
            </w:pPr>
          </w:p>
        </w:tc>
        <w:tc>
          <w:tcPr>
            <w:tcW w:w="1597" w:type="dxa"/>
            <w:tcBorders>
              <w:top w:val="single" w:color="auto" w:sz="4" w:space="0"/>
              <w:left w:val="nil"/>
              <w:bottom w:val="single" w:color="000000" w:sz="4" w:space="0"/>
              <w:right w:val="single" w:color="000000" w:sz="4" w:space="0"/>
            </w:tcBorders>
            <w:tcMar>
              <w:top w:w="0" w:type="dxa"/>
              <w:left w:w="105" w:type="dxa"/>
              <w:bottom w:w="0" w:type="dxa"/>
              <w:right w:w="105" w:type="dxa"/>
            </w:tcMar>
            <w:vAlign w:val="center"/>
          </w:tcPr>
          <w:p w14:paraId="10D20ED1">
            <w:pPr>
              <w:keepNext w:val="0"/>
              <w:keepLines w:val="0"/>
              <w:suppressLineNumbers w:val="0"/>
              <w:spacing w:before="0" w:beforeAutospacing="0" w:after="0" w:afterAutospacing="0"/>
              <w:ind w:left="0" w:right="0"/>
              <w:jc w:val="center"/>
              <w:rPr>
                <w:rFonts w:hint="default" w:ascii="宋体" w:hAnsi="宋体" w:eastAsia="宋体" w:cs="宋体"/>
                <w:sz w:val="21"/>
                <w:szCs w:val="21"/>
                <w:lang w:val="en-US"/>
              </w:rPr>
            </w:pPr>
            <w:r>
              <w:rPr>
                <w:rFonts w:hint="eastAsia" w:ascii="宋体" w:hAnsi="宋体" w:eastAsia="宋体" w:cs="宋体"/>
                <w:b/>
                <w:bCs/>
                <w:sz w:val="20"/>
                <w:szCs w:val="20"/>
                <w:highlight w:val="none"/>
                <w:lang w:val="en-US" w:eastAsia="zh-CN"/>
              </w:rPr>
              <w:t>投标</w:t>
            </w:r>
            <w:r>
              <w:rPr>
                <w:rFonts w:hint="eastAsia" w:ascii="宋体" w:hAnsi="宋体" w:cs="宋体"/>
                <w:b/>
                <w:bCs/>
                <w:sz w:val="20"/>
                <w:szCs w:val="20"/>
                <w:highlight w:val="none"/>
                <w:lang w:val="en-US" w:eastAsia="zh-CN"/>
              </w:rPr>
              <w:t>综合</w:t>
            </w:r>
            <w:r>
              <w:rPr>
                <w:rFonts w:hint="eastAsia" w:ascii="宋体" w:hAnsi="宋体" w:eastAsia="宋体" w:cs="宋体"/>
                <w:b/>
                <w:bCs/>
                <w:sz w:val="20"/>
                <w:szCs w:val="20"/>
                <w:highlight w:val="none"/>
                <w:lang w:val="en-US" w:eastAsia="zh-CN"/>
              </w:rPr>
              <w:t>单价折扣率</w:t>
            </w:r>
            <w:r>
              <w:rPr>
                <w:rFonts w:hint="eastAsia" w:ascii="宋体" w:hAnsi="宋体" w:eastAsia="宋体" w:cs="宋体"/>
                <w:b/>
                <w:bCs/>
                <w:sz w:val="20"/>
                <w:szCs w:val="20"/>
                <w:highlight w:val="none"/>
                <w:u w:val="single"/>
                <w:lang w:val="en-US" w:eastAsia="zh-CN"/>
              </w:rPr>
              <w:t xml:space="preserve">     </w:t>
            </w:r>
            <w:r>
              <w:rPr>
                <w:rFonts w:hint="eastAsia" w:ascii="宋体" w:hAnsi="宋体" w:eastAsia="宋体" w:cs="宋体"/>
                <w:b/>
                <w:bCs/>
                <w:sz w:val="20"/>
                <w:szCs w:val="20"/>
                <w:highlight w:val="none"/>
                <w:lang w:val="en-US" w:eastAsia="zh-CN"/>
              </w:rPr>
              <w:t>%</w:t>
            </w:r>
          </w:p>
        </w:tc>
      </w:tr>
    </w:tbl>
    <w:p w14:paraId="281A0A36">
      <w:pPr>
        <w:keepNext w:val="0"/>
        <w:keepLines w:val="0"/>
        <w:widowControl w:val="0"/>
        <w:suppressLineNumbers w:val="0"/>
        <w:spacing w:before="0" w:beforeAutospacing="0" w:after="0" w:afterAutospacing="0"/>
        <w:ind w:right="0"/>
        <w:jc w:val="both"/>
        <w:rPr>
          <w:rFonts w:hint="eastAsia" w:ascii="宋体" w:hAnsi="宋体" w:eastAsia="宋体" w:cs="宋体"/>
          <w:kern w:val="2"/>
          <w:sz w:val="21"/>
          <w:szCs w:val="21"/>
          <w:highlight w:val="none"/>
          <w:lang w:val="en-US" w:eastAsia="zh-CN" w:bidi="ar"/>
        </w:rPr>
      </w:pPr>
      <w:r>
        <w:rPr>
          <w:rFonts w:hint="eastAsia" w:ascii="宋体" w:hAnsi="宋体" w:eastAsia="宋体" w:cs="宋体"/>
          <w:kern w:val="2"/>
          <w:sz w:val="21"/>
          <w:szCs w:val="21"/>
          <w:lang w:val="en-US" w:eastAsia="zh-CN" w:bidi="ar"/>
        </w:rPr>
        <w:t>注：1、</w:t>
      </w:r>
      <w:r>
        <w:rPr>
          <w:rFonts w:hint="eastAsia" w:ascii="宋体" w:hAnsi="宋体" w:cs="宋体"/>
          <w:color w:val="auto"/>
          <w:sz w:val="21"/>
          <w:szCs w:val="21"/>
          <w:highlight w:val="none"/>
        </w:rPr>
        <w:t>本项目为固定总价报价项目，供应商按照项目采购预算金额</w:t>
      </w:r>
      <w:r>
        <w:rPr>
          <w:rFonts w:hint="eastAsia" w:ascii="宋体" w:hAnsi="宋体" w:cs="宋体"/>
          <w:color w:val="auto"/>
          <w:sz w:val="21"/>
          <w:szCs w:val="21"/>
          <w:highlight w:val="none"/>
          <w:lang w:eastAsia="zh-CN"/>
        </w:rPr>
        <w:t>（人民币</w:t>
      </w:r>
      <w:r>
        <w:rPr>
          <w:rFonts w:hint="eastAsia" w:ascii="宋体" w:hAnsi="宋体" w:cs="宋体"/>
          <w:color w:val="auto"/>
          <w:sz w:val="21"/>
          <w:szCs w:val="21"/>
          <w:highlight w:val="none"/>
          <w:lang w:val="en-US" w:eastAsia="zh-CN"/>
        </w:rPr>
        <w:t>1820万元</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总价进行报价，</w:t>
      </w:r>
      <w:r>
        <w:rPr>
          <w:rFonts w:hint="eastAsia" w:ascii="宋体" w:hAnsi="宋体" w:cs="宋体"/>
          <w:color w:val="auto"/>
          <w:sz w:val="21"/>
          <w:szCs w:val="21"/>
          <w:highlight w:val="none"/>
          <w:lang w:eastAsia="zh-CN"/>
        </w:rPr>
        <w:t>投标总价</w:t>
      </w:r>
      <w:r>
        <w:rPr>
          <w:rFonts w:hint="eastAsia" w:ascii="宋体" w:hAnsi="宋体" w:cs="宋体"/>
          <w:color w:val="auto"/>
          <w:sz w:val="21"/>
          <w:szCs w:val="21"/>
          <w:highlight w:val="none"/>
        </w:rPr>
        <w:t>=</w:t>
      </w:r>
      <w:r>
        <w:rPr>
          <w:rFonts w:hint="eastAsia" w:ascii="宋体" w:hAnsi="宋体" w:cs="宋体"/>
          <w:color w:val="auto"/>
          <w:sz w:val="21"/>
          <w:szCs w:val="21"/>
          <w:highlight w:val="none"/>
          <w:lang w:eastAsia="zh-CN"/>
        </w:rPr>
        <w:t>投标</w:t>
      </w:r>
      <w:r>
        <w:rPr>
          <w:rFonts w:hint="eastAsia" w:ascii="宋体" w:hAnsi="宋体" w:cs="宋体"/>
          <w:color w:val="auto"/>
          <w:sz w:val="21"/>
          <w:szCs w:val="21"/>
          <w:highlight w:val="none"/>
        </w:rPr>
        <w:t>平均单价×</w:t>
      </w:r>
      <w:r>
        <w:rPr>
          <w:rFonts w:hint="eastAsia" w:ascii="宋体" w:hAnsi="宋体" w:cs="宋体"/>
          <w:color w:val="auto"/>
          <w:sz w:val="21"/>
          <w:szCs w:val="21"/>
          <w:highlight w:val="none"/>
          <w:lang w:eastAsia="zh-CN"/>
        </w:rPr>
        <w:t>投标</w:t>
      </w:r>
      <w:r>
        <w:rPr>
          <w:rFonts w:hint="eastAsia" w:ascii="宋体" w:hAnsi="宋体" w:cs="宋体"/>
          <w:color w:val="auto"/>
          <w:sz w:val="21"/>
          <w:szCs w:val="21"/>
          <w:highlight w:val="none"/>
        </w:rPr>
        <w:t>建筑面积</w:t>
      </w:r>
      <w:r>
        <w:rPr>
          <w:rFonts w:hint="eastAsia" w:ascii="宋体" w:hAnsi="宋体" w:cs="宋体"/>
          <w:color w:val="auto"/>
          <w:sz w:val="21"/>
          <w:szCs w:val="21"/>
          <w:highlight w:val="none"/>
          <w:lang w:val="en-US" w:eastAsia="zh-CN"/>
        </w:rPr>
        <w:t>+其他服务费用</w:t>
      </w:r>
      <w:r>
        <w:rPr>
          <w:rFonts w:hint="eastAsia" w:ascii="宋体" w:hAnsi="宋体" w:eastAsia="宋体" w:cs="宋体"/>
          <w:kern w:val="2"/>
          <w:sz w:val="21"/>
          <w:szCs w:val="21"/>
          <w:highlight w:val="none"/>
          <w:lang w:val="en-US" w:eastAsia="zh-CN" w:bidi="ar"/>
        </w:rPr>
        <w:t>。</w:t>
      </w:r>
    </w:p>
    <w:p w14:paraId="7FEC12B6">
      <w:pPr>
        <w:keepNext w:val="0"/>
        <w:keepLines w:val="0"/>
        <w:widowControl w:val="0"/>
        <w:numPr>
          <w:ilvl w:val="0"/>
          <w:numId w:val="1"/>
        </w:numPr>
        <w:suppressLineNumbers w:val="0"/>
        <w:spacing w:before="0" w:beforeAutospacing="0" w:after="0" w:afterAutospacing="0"/>
        <w:ind w:left="0" w:right="0" w:firstLine="420" w:firstLineChars="200"/>
        <w:jc w:val="both"/>
        <w:rPr>
          <w:rFonts w:hint="eastAsia" w:ascii="宋体" w:hAnsi="宋体" w:eastAsia="宋体" w:cs="宋体"/>
          <w:kern w:val="2"/>
          <w:sz w:val="21"/>
          <w:szCs w:val="21"/>
          <w:highlight w:val="none"/>
          <w:lang w:val="en-US" w:eastAsia="zh-CN" w:bidi="ar"/>
        </w:rPr>
      </w:pPr>
      <w:r>
        <w:rPr>
          <w:rFonts w:hint="eastAsia" w:ascii="宋体" w:hAnsi="宋体" w:eastAsia="宋体" w:cs="宋体"/>
          <w:kern w:val="2"/>
          <w:sz w:val="21"/>
          <w:szCs w:val="21"/>
          <w:highlight w:val="none"/>
          <w:lang w:val="en-US" w:eastAsia="zh-CN" w:bidi="ar"/>
        </w:rPr>
        <w:t>综合单价上限：</w:t>
      </w:r>
      <w:r>
        <w:rPr>
          <w:rFonts w:hint="eastAsia" w:ascii="宋体" w:hAnsi="宋体" w:cs="宋体"/>
          <w:b/>
          <w:bCs/>
          <w:color w:val="auto"/>
          <w:sz w:val="21"/>
          <w:szCs w:val="21"/>
          <w:highlight w:val="none"/>
          <w:lang w:val="en-US" w:eastAsia="zh-CN"/>
        </w:rPr>
        <w:t>新塘镇：</w:t>
      </w:r>
      <w:r>
        <w:rPr>
          <w:rFonts w:hint="eastAsia" w:ascii="宋体" w:hAnsi="宋体" w:cs="宋体"/>
          <w:b/>
          <w:bCs/>
          <w:color w:val="auto"/>
          <w:sz w:val="21"/>
          <w:szCs w:val="21"/>
          <w:highlight w:val="none"/>
        </w:rPr>
        <w:t>不超过￥</w:t>
      </w:r>
      <w:r>
        <w:rPr>
          <w:rFonts w:hint="eastAsia" w:ascii="宋体" w:hAnsi="宋体" w:cs="宋体"/>
          <w:b/>
          <w:bCs/>
          <w:color w:val="auto"/>
          <w:sz w:val="21"/>
          <w:szCs w:val="21"/>
          <w:highlight w:val="none"/>
          <w:lang w:val="en-US" w:eastAsia="zh-CN"/>
        </w:rPr>
        <w:t>11750.00</w:t>
      </w:r>
      <w:r>
        <w:rPr>
          <w:rFonts w:hint="eastAsia" w:ascii="宋体" w:hAnsi="宋体" w:cs="宋体"/>
          <w:b/>
          <w:bCs/>
          <w:color w:val="auto"/>
          <w:sz w:val="21"/>
          <w:szCs w:val="21"/>
          <w:highlight w:val="none"/>
        </w:rPr>
        <w:t>元</w:t>
      </w:r>
      <w:r>
        <w:rPr>
          <w:rFonts w:ascii="宋体" w:hAnsi="宋体" w:cs="宋体"/>
          <w:b/>
          <w:bCs/>
          <w:color w:val="auto"/>
          <w:sz w:val="21"/>
          <w:szCs w:val="21"/>
          <w:highlight w:val="none"/>
        </w:rPr>
        <w:t>/</w:t>
      </w:r>
      <w:r>
        <w:rPr>
          <w:rFonts w:hint="eastAsia" w:ascii="宋体" w:hAnsi="宋体" w:cs="宋体"/>
          <w:b/>
          <w:bCs/>
          <w:color w:val="auto"/>
          <w:sz w:val="21"/>
          <w:szCs w:val="21"/>
          <w:highlight w:val="none"/>
        </w:rPr>
        <w:t>㎡</w:t>
      </w: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永宁街：</w:t>
      </w:r>
      <w:r>
        <w:rPr>
          <w:rFonts w:hint="eastAsia" w:ascii="宋体" w:hAnsi="宋体" w:cs="宋体"/>
          <w:b/>
          <w:bCs/>
          <w:color w:val="auto"/>
          <w:sz w:val="21"/>
          <w:szCs w:val="21"/>
          <w:highlight w:val="none"/>
        </w:rPr>
        <w:t>不超过￥</w:t>
      </w:r>
      <w:r>
        <w:rPr>
          <w:rFonts w:hint="eastAsia" w:ascii="宋体" w:hAnsi="宋体" w:cs="宋体"/>
          <w:b/>
          <w:bCs/>
          <w:color w:val="auto"/>
          <w:sz w:val="21"/>
          <w:szCs w:val="21"/>
          <w:highlight w:val="none"/>
          <w:lang w:val="en-US" w:eastAsia="zh-CN"/>
        </w:rPr>
        <w:t>9850.00</w:t>
      </w:r>
      <w:r>
        <w:rPr>
          <w:rFonts w:hint="eastAsia" w:ascii="宋体" w:hAnsi="宋体" w:cs="宋体"/>
          <w:b/>
          <w:bCs/>
          <w:color w:val="auto"/>
          <w:sz w:val="21"/>
          <w:szCs w:val="21"/>
          <w:highlight w:val="none"/>
        </w:rPr>
        <w:t>元</w:t>
      </w:r>
      <w:r>
        <w:rPr>
          <w:rFonts w:ascii="宋体" w:hAnsi="宋体" w:cs="宋体"/>
          <w:b/>
          <w:bCs/>
          <w:color w:val="auto"/>
          <w:sz w:val="21"/>
          <w:szCs w:val="21"/>
          <w:highlight w:val="none"/>
        </w:rPr>
        <w:t>/</w:t>
      </w:r>
      <w:r>
        <w:rPr>
          <w:rFonts w:hint="eastAsia" w:ascii="宋体" w:hAnsi="宋体" w:cs="宋体"/>
          <w:b/>
          <w:bCs/>
          <w:color w:val="auto"/>
          <w:sz w:val="21"/>
          <w:szCs w:val="21"/>
          <w:highlight w:val="none"/>
        </w:rPr>
        <w:t>㎡</w:t>
      </w:r>
      <w:r>
        <w:rPr>
          <w:rFonts w:hint="eastAsia" w:ascii="宋体" w:hAnsi="宋体" w:cs="宋体"/>
          <w:b/>
          <w:bCs/>
          <w:color w:val="auto"/>
          <w:sz w:val="21"/>
          <w:szCs w:val="21"/>
          <w:highlight w:val="none"/>
          <w:lang w:eastAsia="zh-CN"/>
        </w:rPr>
        <w:t>。</w:t>
      </w:r>
      <w:r>
        <w:rPr>
          <w:rFonts w:hint="eastAsia" w:ascii="宋体" w:hAnsi="宋体" w:cs="宋体"/>
          <w:color w:val="auto"/>
          <w:sz w:val="21"/>
          <w:szCs w:val="21"/>
          <w:highlight w:val="none"/>
        </w:rPr>
        <w:t>供应商的</w:t>
      </w:r>
      <w:r>
        <w:rPr>
          <w:rFonts w:hint="eastAsia"/>
          <w:highlight w:val="none"/>
          <w:lang w:val="en-US" w:eastAsia="zh-CN"/>
        </w:rPr>
        <w:t>投标综合单价报价超过综合单价上限或超过近八个月实际成交网签单价均价或投标总价超过采购项目预算金额的</w:t>
      </w:r>
      <w:r>
        <w:rPr>
          <w:rFonts w:hint="eastAsia" w:ascii="宋体" w:hAnsi="宋体" w:cs="宋体"/>
          <w:color w:val="auto"/>
          <w:sz w:val="21"/>
          <w:szCs w:val="21"/>
          <w:highlight w:val="none"/>
        </w:rPr>
        <w:t>，将导致投标无效</w:t>
      </w:r>
      <w:r>
        <w:rPr>
          <w:rFonts w:hint="eastAsia" w:ascii="宋体" w:hAnsi="宋体" w:eastAsia="宋体" w:cs="宋体"/>
          <w:kern w:val="2"/>
          <w:sz w:val="21"/>
          <w:szCs w:val="21"/>
          <w:highlight w:val="none"/>
          <w:lang w:val="en-US" w:eastAsia="zh-CN" w:bidi="ar"/>
        </w:rPr>
        <w:t>。</w:t>
      </w:r>
      <w:r>
        <w:rPr>
          <w:rFonts w:hint="eastAsia" w:ascii="宋体" w:hAnsi="宋体" w:cs="宋体"/>
          <w:b/>
          <w:bCs/>
          <w:sz w:val="20"/>
          <w:szCs w:val="20"/>
          <w:highlight w:val="none"/>
          <w:lang w:val="en-US" w:eastAsia="zh-CN"/>
        </w:rPr>
        <w:t>投标综合单价=投标总价/投标总建筑面积，</w:t>
      </w:r>
      <w:r>
        <w:rPr>
          <w:rFonts w:hint="eastAsia" w:ascii="宋体" w:hAnsi="宋体" w:eastAsia="宋体" w:cs="宋体"/>
          <w:b/>
          <w:bCs/>
          <w:sz w:val="20"/>
          <w:szCs w:val="20"/>
          <w:highlight w:val="none"/>
          <w:lang w:val="en-US" w:eastAsia="zh-CN"/>
        </w:rPr>
        <w:t>投标</w:t>
      </w:r>
      <w:r>
        <w:rPr>
          <w:rFonts w:hint="eastAsia" w:ascii="宋体" w:hAnsi="宋体" w:cs="宋体"/>
          <w:b/>
          <w:bCs/>
          <w:sz w:val="20"/>
          <w:szCs w:val="20"/>
          <w:highlight w:val="none"/>
          <w:lang w:val="en-US" w:eastAsia="zh-CN"/>
        </w:rPr>
        <w:t>综合</w:t>
      </w:r>
      <w:r>
        <w:rPr>
          <w:rFonts w:hint="eastAsia" w:ascii="宋体" w:hAnsi="宋体" w:eastAsia="宋体" w:cs="宋体"/>
          <w:b/>
          <w:bCs/>
          <w:sz w:val="20"/>
          <w:szCs w:val="20"/>
          <w:highlight w:val="none"/>
          <w:lang w:val="en-US" w:eastAsia="zh-CN"/>
        </w:rPr>
        <w:t>单价折扣率=（投标</w:t>
      </w:r>
      <w:r>
        <w:rPr>
          <w:rFonts w:hint="eastAsia" w:ascii="宋体" w:hAnsi="宋体" w:cs="宋体"/>
          <w:b/>
          <w:bCs/>
          <w:sz w:val="20"/>
          <w:szCs w:val="20"/>
          <w:highlight w:val="none"/>
          <w:lang w:val="en-US" w:eastAsia="zh-CN"/>
        </w:rPr>
        <w:t>综合</w:t>
      </w:r>
      <w:r>
        <w:rPr>
          <w:rFonts w:hint="eastAsia" w:ascii="宋体" w:hAnsi="宋体" w:eastAsia="宋体" w:cs="宋体"/>
          <w:b/>
          <w:bCs/>
          <w:sz w:val="20"/>
          <w:szCs w:val="20"/>
          <w:highlight w:val="none"/>
          <w:lang w:val="en-US" w:eastAsia="zh-CN"/>
        </w:rPr>
        <w:t>单价/相应区域的综合单价上限）*100%。</w:t>
      </w:r>
    </w:p>
    <w:p w14:paraId="7CF0D83B">
      <w:pPr>
        <w:keepNext w:val="0"/>
        <w:keepLines w:val="0"/>
        <w:widowControl w:val="0"/>
        <w:suppressLineNumbers w:val="0"/>
        <w:spacing w:before="0" w:beforeAutospacing="0" w:after="0" w:afterAutospacing="0"/>
        <w:ind w:left="0" w:right="0" w:firstLine="420" w:firstLineChars="200"/>
        <w:jc w:val="both"/>
        <w:rPr>
          <w:rFonts w:hint="eastAsia" w:ascii="宋体" w:hAnsi="宋体" w:eastAsia="宋体" w:cs="宋体"/>
          <w:kern w:val="2"/>
          <w:sz w:val="21"/>
          <w:szCs w:val="21"/>
          <w:highlight w:val="none"/>
          <w:lang w:val="en-US" w:eastAsia="zh-CN" w:bidi="ar"/>
        </w:rPr>
      </w:pPr>
      <w:r>
        <w:rPr>
          <w:rFonts w:hint="eastAsia" w:ascii="宋体" w:hAnsi="宋体" w:eastAsia="宋体" w:cs="宋体"/>
          <w:kern w:val="2"/>
          <w:sz w:val="21"/>
          <w:szCs w:val="21"/>
          <w:highlight w:val="none"/>
          <w:lang w:val="en-US" w:eastAsia="zh-CN" w:bidi="ar"/>
        </w:rPr>
        <w:t>3、投标报价包括了</w:t>
      </w:r>
      <w:r>
        <w:rPr>
          <w:rFonts w:hint="eastAsia" w:ascii="宋体" w:hAnsi="宋体" w:cs="宋体"/>
          <w:color w:val="auto"/>
          <w:sz w:val="21"/>
          <w:szCs w:val="21"/>
          <w:highlight w:val="none"/>
        </w:rPr>
        <w:t>供应商为完成本项目</w:t>
      </w:r>
      <w:r>
        <w:rPr>
          <w:rFonts w:hint="eastAsia" w:ascii="宋体" w:hAnsi="宋体" w:cs="宋体"/>
          <w:color w:val="auto"/>
          <w:sz w:val="21"/>
          <w:szCs w:val="21"/>
          <w:highlight w:val="none"/>
          <w:lang w:val="en-US" w:eastAsia="zh-CN"/>
        </w:rPr>
        <w:t>至房屋交付及产权证办理</w:t>
      </w:r>
      <w:r>
        <w:rPr>
          <w:rFonts w:hint="eastAsia" w:ascii="宋体" w:hAnsi="宋体" w:cs="宋体"/>
          <w:color w:val="auto"/>
          <w:sz w:val="21"/>
          <w:szCs w:val="21"/>
          <w:highlight w:val="none"/>
        </w:rPr>
        <w:t>所收取的全部费用，包含但不限于房屋办证涉及的</w:t>
      </w:r>
      <w:r>
        <w:rPr>
          <w:rFonts w:hint="eastAsia" w:ascii="宋体" w:hAnsi="宋体" w:cs="宋体"/>
          <w:color w:val="auto"/>
          <w:sz w:val="21"/>
          <w:szCs w:val="21"/>
          <w:highlight w:val="none"/>
          <w:lang w:eastAsia="zh-CN"/>
        </w:rPr>
        <w:t>各类</w:t>
      </w:r>
      <w:r>
        <w:rPr>
          <w:rFonts w:hint="eastAsia" w:ascii="宋体" w:hAnsi="宋体" w:cs="宋体"/>
          <w:color w:val="auto"/>
          <w:sz w:val="21"/>
          <w:szCs w:val="21"/>
          <w:highlight w:val="none"/>
        </w:rPr>
        <w:t>税费、工本费、律师费</w:t>
      </w:r>
      <w:r>
        <w:rPr>
          <w:rFonts w:hint="eastAsia" w:ascii="宋体" w:hAnsi="宋体" w:cs="宋体"/>
          <w:color w:val="auto"/>
          <w:sz w:val="21"/>
          <w:szCs w:val="21"/>
          <w:highlight w:val="none"/>
          <w:lang w:eastAsia="zh-CN"/>
        </w:rPr>
        <w:t>、物业维修资金、采购代理服务费、</w:t>
      </w:r>
      <w:r>
        <w:rPr>
          <w:rFonts w:hint="eastAsia" w:ascii="宋体" w:hAnsi="宋体" w:eastAsia="宋体" w:cs="宋体"/>
          <w:sz w:val="21"/>
          <w:szCs w:val="21"/>
        </w:rPr>
        <w:t>采购限价评估可行性研究报告编制服务费</w:t>
      </w:r>
      <w:bookmarkStart w:id="0" w:name="_GoBack"/>
      <w:bookmarkEnd w:id="0"/>
      <w:r>
        <w:rPr>
          <w:rFonts w:hint="eastAsia" w:ascii="宋体" w:hAnsi="宋体" w:cs="宋体"/>
          <w:color w:val="auto"/>
          <w:sz w:val="21"/>
          <w:szCs w:val="21"/>
          <w:highlight w:val="none"/>
        </w:rPr>
        <w:t>等供应商依据法律及合同约定应负责</w:t>
      </w:r>
      <w:r>
        <w:rPr>
          <w:rFonts w:hint="eastAsia" w:ascii="宋体" w:hAnsi="宋体" w:cs="宋体"/>
          <w:color w:val="auto"/>
          <w:sz w:val="21"/>
          <w:szCs w:val="21"/>
          <w:highlight w:val="none"/>
          <w:lang w:eastAsia="zh-CN"/>
        </w:rPr>
        <w:t>的</w:t>
      </w:r>
      <w:r>
        <w:rPr>
          <w:rFonts w:hint="eastAsia" w:ascii="宋体" w:hAnsi="宋体" w:cs="宋体"/>
          <w:color w:val="auto"/>
          <w:sz w:val="21"/>
          <w:szCs w:val="21"/>
          <w:highlight w:val="none"/>
        </w:rPr>
        <w:t>费用</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及合同实施过程中应预见和可预见的隐含费用</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及完成本项目所需的一切费用</w:t>
      </w:r>
      <w:r>
        <w:rPr>
          <w:rFonts w:hint="eastAsia" w:ascii="宋体" w:hAnsi="宋体" w:eastAsia="宋体" w:cs="宋体"/>
          <w:kern w:val="2"/>
          <w:sz w:val="21"/>
          <w:szCs w:val="21"/>
          <w:highlight w:val="none"/>
          <w:lang w:val="en-US" w:eastAsia="zh-CN" w:bidi="ar"/>
        </w:rPr>
        <w:t>。</w:t>
      </w:r>
    </w:p>
    <w:p w14:paraId="76D4B524">
      <w:pPr>
        <w:keepNext w:val="0"/>
        <w:keepLines w:val="0"/>
        <w:widowControl w:val="0"/>
        <w:suppressLineNumbers w:val="0"/>
        <w:spacing w:before="0" w:beforeAutospacing="0" w:after="0" w:afterAutospacing="0"/>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4.平均单价、房屋总价、其他服务费用、综合单价报价以人民币“元”为单位，保留小数点后两位，第三位四舍五入；投标总价应以人民币“元”为单位，</w:t>
      </w:r>
      <w:r>
        <w:rPr>
          <w:rFonts w:hint="eastAsia" w:ascii="宋体" w:hAnsi="宋体" w:cs="宋体"/>
          <w:color w:val="000000"/>
          <w:sz w:val="21"/>
          <w:szCs w:val="21"/>
          <w:lang w:val="en-US" w:eastAsia="zh-CN"/>
        </w:rPr>
        <w:t>按个位数取整</w:t>
      </w:r>
      <w:r>
        <w:rPr>
          <w:rFonts w:hint="eastAsia" w:ascii="宋体" w:hAnsi="宋体" w:eastAsia="宋体" w:cs="宋体"/>
          <w:kern w:val="2"/>
          <w:sz w:val="21"/>
          <w:szCs w:val="21"/>
          <w:lang w:val="en-US" w:eastAsia="zh-CN" w:bidi="ar"/>
        </w:rPr>
        <w:t>。</w:t>
      </w:r>
    </w:p>
    <w:p w14:paraId="380E090C">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 xml:space="preserve"> </w:t>
      </w:r>
    </w:p>
    <w:p w14:paraId="49118CA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投标人全称（加盖公章）:</w:t>
      </w:r>
    </w:p>
    <w:p w14:paraId="004A8E9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法定代表人（签字或盖章）：</w:t>
      </w:r>
    </w:p>
    <w:p w14:paraId="3DC85124">
      <w:pPr>
        <w:keepNext w:val="0"/>
        <w:keepLines w:val="0"/>
        <w:widowControl w:val="0"/>
        <w:suppressLineNumbers w:val="0"/>
        <w:spacing w:before="0" w:beforeAutospacing="0" w:after="0" w:afterAutospacing="0"/>
        <w:ind w:left="0" w:right="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日    期：     年   月   日</w:t>
      </w:r>
    </w:p>
    <w:p w14:paraId="173F0C08">
      <w:pPr>
        <w:pStyle w:val="5"/>
        <w:keepNext w:val="0"/>
        <w:keepLines w:val="0"/>
        <w:widowControl/>
        <w:suppressLineNumbers w:val="0"/>
        <w:rPr>
          <w:rFonts w:hint="eastAsia" w:ascii="宋体" w:hAnsi="宋体" w:eastAsia="宋体" w:cs="宋体"/>
          <w:sz w:val="21"/>
          <w:szCs w:val="21"/>
        </w:rPr>
      </w:pPr>
    </w:p>
    <w:p w14:paraId="5CFB3FD7">
      <w:pPr>
        <w:rPr>
          <w:rFonts w:hint="eastAsia" w:ascii="宋体" w:hAnsi="宋体" w:eastAsia="宋体" w:cs="宋体"/>
          <w:sz w:val="21"/>
          <w:szCs w:val="21"/>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CC239B5"/>
    <w:multiLevelType w:val="singleLevel"/>
    <w:tmpl w:val="DCC239B5"/>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E1YTYyYmI2ODYzMWEzMTk4MzY4NTZjZmQwYjg4ZjUifQ=="/>
  </w:docVars>
  <w:rsids>
    <w:rsidRoot w:val="725A6A19"/>
    <w:rsid w:val="05AE616F"/>
    <w:rsid w:val="05C5371F"/>
    <w:rsid w:val="117218C0"/>
    <w:rsid w:val="178E23FC"/>
    <w:rsid w:val="23B865EA"/>
    <w:rsid w:val="25567332"/>
    <w:rsid w:val="3392587B"/>
    <w:rsid w:val="3A261C8C"/>
    <w:rsid w:val="461E333F"/>
    <w:rsid w:val="4D691D1D"/>
    <w:rsid w:val="59ED634D"/>
    <w:rsid w:val="616A474D"/>
    <w:rsid w:val="61AC6883"/>
    <w:rsid w:val="628D68EA"/>
    <w:rsid w:val="645E43BF"/>
    <w:rsid w:val="64AB49E5"/>
    <w:rsid w:val="66BE3B7C"/>
    <w:rsid w:val="6BF74351"/>
    <w:rsid w:val="725A6A19"/>
    <w:rsid w:val="7D3455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Normal (Web)"/>
    <w:basedOn w:val="1"/>
    <w:qFormat/>
    <w:uiPriority w:val="0"/>
    <w:pPr>
      <w:widowControl/>
      <w:spacing w:before="0" w:beforeAutospacing="1" w:after="0" w:afterAutospacing="1"/>
      <w:ind w:left="0" w:right="0"/>
      <w:jc w:val="left"/>
    </w:pPr>
    <w:rPr>
      <w:rFonts w:ascii="宋体" w:hAnsi="宋体" w:eastAsia="宋体" w:cs="宋体"/>
      <w:kern w:val="0"/>
      <w:sz w:val="24"/>
      <w:szCs w:val="24"/>
      <w:lang w:val="en-US" w:eastAsia="zh-CN" w:bidi="ar"/>
    </w:rPr>
  </w:style>
  <w:style w:type="paragraph" w:customStyle="1" w:styleId="5">
    <w:name w:val="null3"/>
    <w:basedOn w:val="1"/>
    <w:qFormat/>
    <w:uiPriority w:val="0"/>
    <w:pPr>
      <w:widowControl/>
      <w:spacing w:before="0" w:beforeAutospacing="0" w:after="0" w:afterAutospacing="0"/>
      <w:ind w:left="0" w:right="0"/>
      <w:jc w:val="left"/>
    </w:pPr>
    <w:rPr>
      <w:rFonts w:hint="eastAsia" w:ascii="Calibri" w:hAnsi="Calibri" w:eastAsia="宋体" w:cs="Times New Roman"/>
      <w:kern w:val="0"/>
      <w:sz w:val="24"/>
      <w:szCs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604</Words>
  <Characters>640</Characters>
  <Lines>1</Lines>
  <Paragraphs>1</Paragraphs>
  <TotalTime>0</TotalTime>
  <ScaleCrop>false</ScaleCrop>
  <LinksUpToDate>false</LinksUpToDate>
  <CharactersWithSpaces>661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2024-06-14T09:02:00Z</dcterms:created>
  <dc:creator>Admin</dc:creator>
  <cp:lastModifiedBy>Administrator</cp:lastModifiedBy>
  <dcterms:modified xsi:type="dcterms:W3CDTF">2025-09-19T13:19:14Z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B54BE759DFD449F3BDB9FEC88DEF18F2_13</vt:lpwstr>
  </property>
  <property fmtid="{D5CDD505-2E9C-101B-9397-08002B2CF9AE}" pid="4" name="KSOTemplateDocerSaveRecord">
    <vt:lpwstr>eyJoZGlkIjoiNWYzNjc4NjE3NGE1NDg5YTUyNTAwMGZhY2NlNjAxNWMiLCJ1c2VySWQiOiIyNDI0OTQ3NzIifQ==</vt:lpwstr>
  </property>
</Properties>
</file>