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CAF032">
      <w:pPr>
        <w:pStyle w:val="4"/>
        <w:ind w:firstLine="480"/>
        <w:jc w:val="center"/>
        <w:rPr>
          <w:rFonts w:hint="eastAsia" w:ascii="仿宋_GB2312" w:hAnsi="仿宋_GB2312" w:eastAsia="仿宋_GB2312" w:cs="仿宋_GB2312"/>
          <w:b/>
          <w:sz w:val="36"/>
          <w:lang w:val="en-US" w:eastAsia="zh-CN"/>
        </w:rPr>
      </w:pPr>
      <w:bookmarkStart w:id="0" w:name="_GoBack"/>
      <w:bookmarkEnd w:id="0"/>
      <w:r>
        <w:rPr>
          <w:rFonts w:hint="eastAsia" w:ascii="仿宋_GB2312" w:hAnsi="仿宋_GB2312" w:eastAsia="仿宋_GB2312" w:cs="仿宋_GB2312"/>
          <w:b/>
          <w:sz w:val="36"/>
          <w:lang w:val="en-US" w:eastAsia="zh-CN"/>
        </w:rPr>
        <w:t>采购需求</w:t>
      </w:r>
    </w:p>
    <w:p w14:paraId="1BA60038">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4C57A5B1">
      <w:pPr>
        <w:pStyle w:val="4"/>
        <w:jc w:val="left"/>
        <w:outlineLvl w:val="2"/>
      </w:pPr>
      <w:r>
        <w:rPr>
          <w:rFonts w:ascii="仿宋_GB2312" w:hAnsi="仿宋_GB2312" w:eastAsia="仿宋_GB2312" w:cs="仿宋_GB2312"/>
          <w:b/>
          <w:sz w:val="28"/>
        </w:rPr>
        <w:t>3.1.采购内容</w:t>
      </w:r>
    </w:p>
    <w:p w14:paraId="0D8909BE">
      <w:pPr>
        <w:pStyle w:val="4"/>
        <w:jc w:val="left"/>
      </w:pPr>
      <w:r>
        <w:rPr>
          <w:rFonts w:ascii="仿宋_GB2312" w:hAnsi="仿宋_GB2312" w:eastAsia="仿宋_GB2312" w:cs="仿宋_GB2312"/>
        </w:rPr>
        <w:t>采购包1：</w:t>
      </w:r>
    </w:p>
    <w:p w14:paraId="18101A1B">
      <w:pPr>
        <w:pStyle w:val="4"/>
        <w:jc w:val="left"/>
      </w:pPr>
      <w:r>
        <w:rPr>
          <w:rFonts w:ascii="仿宋_GB2312" w:hAnsi="仿宋_GB2312" w:eastAsia="仿宋_GB2312" w:cs="仿宋_GB2312"/>
        </w:rPr>
        <w:t>采购包预算金额（元）: 868,962.50</w:t>
      </w:r>
    </w:p>
    <w:p w14:paraId="661F38BD">
      <w:pPr>
        <w:pStyle w:val="4"/>
        <w:jc w:val="left"/>
      </w:pPr>
      <w:r>
        <w:rPr>
          <w:rFonts w:ascii="仿宋_GB2312" w:hAnsi="仿宋_GB2312" w:eastAsia="仿宋_GB2312" w:cs="仿宋_GB2312"/>
        </w:rPr>
        <w:t>采购包最高限价（元）: 868,962.50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7"/>
        <w:gridCol w:w="1116"/>
        <w:gridCol w:w="779"/>
        <w:gridCol w:w="820"/>
        <w:gridCol w:w="1216"/>
        <w:gridCol w:w="739"/>
        <w:gridCol w:w="739"/>
        <w:gridCol w:w="739"/>
        <w:gridCol w:w="739"/>
        <w:gridCol w:w="594"/>
        <w:gridCol w:w="594"/>
      </w:tblGrid>
      <w:tr w14:paraId="00FC3C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63339E3">
            <w:pPr>
              <w:pStyle w:val="4"/>
              <w:jc w:val="center"/>
            </w:pPr>
            <w:r>
              <w:rPr>
                <w:rFonts w:ascii="仿宋_GB2312" w:hAnsi="仿宋_GB2312" w:eastAsia="仿宋_GB2312" w:cs="仿宋_GB2312"/>
              </w:rPr>
              <w:t>序号</w:t>
            </w:r>
          </w:p>
        </w:tc>
        <w:tc>
          <w:tcPr>
            <w:tcW w:w="821" w:type="dxa"/>
          </w:tcPr>
          <w:p w14:paraId="46ABA6C3">
            <w:pPr>
              <w:pStyle w:val="4"/>
              <w:jc w:val="center"/>
            </w:pPr>
            <w:r>
              <w:rPr>
                <w:rFonts w:ascii="仿宋_GB2312" w:hAnsi="仿宋_GB2312" w:eastAsia="仿宋_GB2312" w:cs="仿宋_GB2312"/>
              </w:rPr>
              <w:t>采购品目名称</w:t>
            </w:r>
          </w:p>
        </w:tc>
        <w:tc>
          <w:tcPr>
            <w:tcW w:w="821" w:type="dxa"/>
          </w:tcPr>
          <w:p w14:paraId="313E7B4D">
            <w:pPr>
              <w:pStyle w:val="4"/>
              <w:jc w:val="center"/>
            </w:pPr>
            <w:r>
              <w:rPr>
                <w:rFonts w:ascii="仿宋_GB2312" w:hAnsi="仿宋_GB2312" w:eastAsia="仿宋_GB2312" w:cs="仿宋_GB2312"/>
              </w:rPr>
              <w:t>标的名称</w:t>
            </w:r>
          </w:p>
        </w:tc>
        <w:tc>
          <w:tcPr>
            <w:tcW w:w="821" w:type="dxa"/>
          </w:tcPr>
          <w:p w14:paraId="3A9920AC">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2F62B2FF">
            <w:pPr>
              <w:pStyle w:val="4"/>
              <w:jc w:val="center"/>
            </w:pPr>
            <w:r>
              <w:rPr>
                <w:rFonts w:ascii="仿宋_GB2312" w:hAnsi="仿宋_GB2312" w:eastAsia="仿宋_GB2312" w:cs="仿宋_GB2312"/>
              </w:rPr>
              <w:t>标的金额 （元）</w:t>
            </w:r>
          </w:p>
        </w:tc>
        <w:tc>
          <w:tcPr>
            <w:tcW w:w="821" w:type="dxa"/>
          </w:tcPr>
          <w:p w14:paraId="7524B5EF">
            <w:pPr>
              <w:pStyle w:val="4"/>
              <w:jc w:val="center"/>
            </w:pPr>
            <w:r>
              <w:rPr>
                <w:rFonts w:ascii="仿宋_GB2312" w:hAnsi="仿宋_GB2312" w:eastAsia="仿宋_GB2312" w:cs="仿宋_GB2312"/>
              </w:rPr>
              <w:t>所属行业</w:t>
            </w:r>
          </w:p>
        </w:tc>
        <w:tc>
          <w:tcPr>
            <w:tcW w:w="821" w:type="dxa"/>
          </w:tcPr>
          <w:p w14:paraId="55C9F034">
            <w:pPr>
              <w:pStyle w:val="4"/>
              <w:jc w:val="center"/>
            </w:pPr>
            <w:r>
              <w:rPr>
                <w:rFonts w:ascii="仿宋_GB2312" w:hAnsi="仿宋_GB2312" w:eastAsia="仿宋_GB2312" w:cs="仿宋_GB2312"/>
              </w:rPr>
              <w:t>是否涉及核心产品</w:t>
            </w:r>
          </w:p>
        </w:tc>
        <w:tc>
          <w:tcPr>
            <w:tcW w:w="821" w:type="dxa"/>
          </w:tcPr>
          <w:p w14:paraId="36055308">
            <w:pPr>
              <w:pStyle w:val="4"/>
              <w:jc w:val="center"/>
            </w:pPr>
            <w:r>
              <w:rPr>
                <w:rFonts w:ascii="仿宋_GB2312" w:hAnsi="仿宋_GB2312" w:eastAsia="仿宋_GB2312" w:cs="仿宋_GB2312"/>
              </w:rPr>
              <w:t>是否涉及采购进口产品</w:t>
            </w:r>
          </w:p>
        </w:tc>
        <w:tc>
          <w:tcPr>
            <w:tcW w:w="821" w:type="dxa"/>
          </w:tcPr>
          <w:p w14:paraId="31097495">
            <w:pPr>
              <w:pStyle w:val="4"/>
              <w:jc w:val="center"/>
            </w:pPr>
            <w:r>
              <w:rPr>
                <w:rFonts w:ascii="仿宋_GB2312" w:hAnsi="仿宋_GB2312" w:eastAsia="仿宋_GB2312" w:cs="仿宋_GB2312"/>
              </w:rPr>
              <w:t>是否涉及强制采购节能产品</w:t>
            </w:r>
          </w:p>
        </w:tc>
        <w:tc>
          <w:tcPr>
            <w:tcW w:w="639" w:type="dxa"/>
          </w:tcPr>
          <w:p w14:paraId="5F3A24B2">
            <w:pPr>
              <w:pStyle w:val="4"/>
              <w:jc w:val="center"/>
            </w:pPr>
            <w:r>
              <w:rPr>
                <w:rFonts w:ascii="仿宋_GB2312" w:hAnsi="仿宋_GB2312" w:eastAsia="仿宋_GB2312" w:cs="仿宋_GB2312"/>
              </w:rPr>
              <w:t>是否涉及优先采购节能产品</w:t>
            </w:r>
          </w:p>
        </w:tc>
        <w:tc>
          <w:tcPr>
            <w:tcW w:w="639" w:type="dxa"/>
          </w:tcPr>
          <w:p w14:paraId="34D6FCA4">
            <w:pPr>
              <w:pStyle w:val="4"/>
              <w:jc w:val="center"/>
            </w:pPr>
            <w:r>
              <w:rPr>
                <w:rFonts w:ascii="仿宋_GB2312" w:hAnsi="仿宋_GB2312" w:eastAsia="仿宋_GB2312" w:cs="仿宋_GB2312"/>
              </w:rPr>
              <w:t>是否涉及优先采购环境标志产品</w:t>
            </w:r>
          </w:p>
        </w:tc>
      </w:tr>
      <w:tr w14:paraId="4D476E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E8891C9">
            <w:pPr>
              <w:pStyle w:val="4"/>
              <w:jc w:val="left"/>
            </w:pPr>
            <w:r>
              <w:rPr>
                <w:rFonts w:ascii="仿宋_GB2312" w:hAnsi="仿宋_GB2312" w:eastAsia="仿宋_GB2312" w:cs="仿宋_GB2312"/>
              </w:rPr>
              <w:t>1</w:t>
            </w:r>
          </w:p>
        </w:tc>
        <w:tc>
          <w:tcPr>
            <w:tcW w:w="821" w:type="dxa"/>
          </w:tcPr>
          <w:p w14:paraId="3C15387F">
            <w:pPr>
              <w:pStyle w:val="4"/>
              <w:jc w:val="left"/>
            </w:pPr>
            <w:r>
              <w:rPr>
                <w:rFonts w:ascii="仿宋_GB2312" w:hAnsi="仿宋_GB2312" w:eastAsia="仿宋_GB2312" w:cs="仿宋_GB2312"/>
              </w:rPr>
              <w:t>C16070200 硬件运维服务</w:t>
            </w:r>
          </w:p>
        </w:tc>
        <w:tc>
          <w:tcPr>
            <w:tcW w:w="821" w:type="dxa"/>
          </w:tcPr>
          <w:p w14:paraId="1DD046FD">
            <w:pPr>
              <w:pStyle w:val="4"/>
              <w:jc w:val="left"/>
            </w:pPr>
            <w:r>
              <w:rPr>
                <w:rFonts w:ascii="仿宋_GB2312" w:hAnsi="仿宋_GB2312" w:eastAsia="仿宋_GB2312" w:cs="仿宋_GB2312"/>
              </w:rPr>
              <w:t>2026年川主寺镇旅游购物场所智慧监管平台服务项目</w:t>
            </w:r>
          </w:p>
        </w:tc>
        <w:tc>
          <w:tcPr>
            <w:tcW w:w="821" w:type="dxa"/>
          </w:tcPr>
          <w:p w14:paraId="195DBCD0">
            <w:pPr>
              <w:pStyle w:val="4"/>
              <w:jc w:val="right"/>
            </w:pPr>
            <w:r>
              <w:rPr>
                <w:rFonts w:ascii="仿宋_GB2312" w:hAnsi="仿宋_GB2312" w:eastAsia="仿宋_GB2312" w:cs="仿宋_GB2312"/>
              </w:rPr>
              <w:t>1.00（项）</w:t>
            </w:r>
          </w:p>
        </w:tc>
        <w:tc>
          <w:tcPr>
            <w:tcW w:w="821" w:type="dxa"/>
          </w:tcPr>
          <w:p w14:paraId="004F8D6C">
            <w:pPr>
              <w:pStyle w:val="4"/>
              <w:jc w:val="right"/>
            </w:pPr>
            <w:r>
              <w:rPr>
                <w:rFonts w:ascii="仿宋_GB2312" w:hAnsi="仿宋_GB2312" w:eastAsia="仿宋_GB2312" w:cs="仿宋_GB2312"/>
              </w:rPr>
              <w:t>868,962.50</w:t>
            </w:r>
          </w:p>
        </w:tc>
        <w:tc>
          <w:tcPr>
            <w:tcW w:w="821" w:type="dxa"/>
          </w:tcPr>
          <w:p w14:paraId="781723CF">
            <w:pPr>
              <w:pStyle w:val="4"/>
              <w:jc w:val="left"/>
            </w:pPr>
            <w:r>
              <w:rPr>
                <w:rFonts w:ascii="仿宋_GB2312" w:hAnsi="仿宋_GB2312" w:eastAsia="仿宋_GB2312" w:cs="仿宋_GB2312"/>
              </w:rPr>
              <w:t>其他未列明行业</w:t>
            </w:r>
          </w:p>
        </w:tc>
        <w:tc>
          <w:tcPr>
            <w:tcW w:w="821" w:type="dxa"/>
          </w:tcPr>
          <w:p w14:paraId="38DDA17F">
            <w:pPr>
              <w:pStyle w:val="4"/>
              <w:jc w:val="left"/>
            </w:pPr>
            <w:r>
              <w:rPr>
                <w:rFonts w:ascii="仿宋_GB2312" w:hAnsi="仿宋_GB2312" w:eastAsia="仿宋_GB2312" w:cs="仿宋_GB2312"/>
              </w:rPr>
              <w:t>否</w:t>
            </w:r>
          </w:p>
        </w:tc>
        <w:tc>
          <w:tcPr>
            <w:tcW w:w="821" w:type="dxa"/>
          </w:tcPr>
          <w:p w14:paraId="41C88140">
            <w:pPr>
              <w:pStyle w:val="4"/>
              <w:jc w:val="left"/>
            </w:pPr>
            <w:r>
              <w:rPr>
                <w:rFonts w:ascii="仿宋_GB2312" w:hAnsi="仿宋_GB2312" w:eastAsia="仿宋_GB2312" w:cs="仿宋_GB2312"/>
              </w:rPr>
              <w:t>否</w:t>
            </w:r>
          </w:p>
        </w:tc>
        <w:tc>
          <w:tcPr>
            <w:tcW w:w="821" w:type="dxa"/>
          </w:tcPr>
          <w:p w14:paraId="68A9C2C1">
            <w:pPr>
              <w:pStyle w:val="4"/>
              <w:jc w:val="left"/>
            </w:pPr>
            <w:r>
              <w:rPr>
                <w:rFonts w:ascii="仿宋_GB2312" w:hAnsi="仿宋_GB2312" w:eastAsia="仿宋_GB2312" w:cs="仿宋_GB2312"/>
              </w:rPr>
              <w:t>否</w:t>
            </w:r>
          </w:p>
        </w:tc>
        <w:tc>
          <w:tcPr>
            <w:tcW w:w="639" w:type="dxa"/>
          </w:tcPr>
          <w:p w14:paraId="3263D921">
            <w:pPr>
              <w:pStyle w:val="4"/>
              <w:jc w:val="left"/>
            </w:pPr>
            <w:r>
              <w:rPr>
                <w:rFonts w:ascii="仿宋_GB2312" w:hAnsi="仿宋_GB2312" w:eastAsia="仿宋_GB2312" w:cs="仿宋_GB2312"/>
              </w:rPr>
              <w:t>否</w:t>
            </w:r>
          </w:p>
        </w:tc>
        <w:tc>
          <w:tcPr>
            <w:tcW w:w="639" w:type="dxa"/>
          </w:tcPr>
          <w:p w14:paraId="5958B515">
            <w:pPr>
              <w:pStyle w:val="4"/>
              <w:jc w:val="left"/>
            </w:pPr>
            <w:r>
              <w:rPr>
                <w:rFonts w:ascii="仿宋_GB2312" w:hAnsi="仿宋_GB2312" w:eastAsia="仿宋_GB2312" w:cs="仿宋_GB2312"/>
              </w:rPr>
              <w:t>否</w:t>
            </w:r>
          </w:p>
        </w:tc>
      </w:tr>
    </w:tbl>
    <w:p w14:paraId="728B6010">
      <w:pPr>
        <w:pStyle w:val="4"/>
        <w:jc w:val="left"/>
      </w:pPr>
      <w:r>
        <w:rPr>
          <w:rFonts w:ascii="仿宋_GB2312" w:hAnsi="仿宋_GB2312" w:eastAsia="仿宋_GB2312" w:cs="仿宋_GB2312"/>
        </w:rPr>
        <w:t>是否适用本国产品标准：是</w:t>
      </w:r>
    </w:p>
    <w:p w14:paraId="5238E8A3">
      <w:pPr>
        <w:pStyle w:val="4"/>
        <w:jc w:val="left"/>
        <w:outlineLvl w:val="3"/>
      </w:pPr>
      <w:r>
        <w:rPr>
          <w:rFonts w:ascii="仿宋_GB2312" w:hAnsi="仿宋_GB2312" w:eastAsia="仿宋_GB2312" w:cs="仿宋_GB2312"/>
          <w:b/>
          <w:sz w:val="24"/>
        </w:rPr>
        <w:t>报价要求</w:t>
      </w:r>
    </w:p>
    <w:p w14:paraId="75D493F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1373D2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E42F144">
            <w:pPr>
              <w:pStyle w:val="4"/>
              <w:jc w:val="center"/>
            </w:pPr>
            <w:r>
              <w:rPr>
                <w:rFonts w:ascii="仿宋_GB2312" w:hAnsi="仿宋_GB2312" w:eastAsia="仿宋_GB2312" w:cs="仿宋_GB2312"/>
              </w:rPr>
              <w:t>序号</w:t>
            </w:r>
          </w:p>
        </w:tc>
        <w:tc>
          <w:tcPr>
            <w:tcW w:w="1707" w:type="dxa"/>
          </w:tcPr>
          <w:p w14:paraId="2626BBB5">
            <w:pPr>
              <w:pStyle w:val="4"/>
              <w:jc w:val="center"/>
            </w:pPr>
            <w:r>
              <w:rPr>
                <w:rFonts w:ascii="仿宋_GB2312" w:hAnsi="仿宋_GB2312" w:eastAsia="仿宋_GB2312" w:cs="仿宋_GB2312"/>
              </w:rPr>
              <w:t>报价内容</w:t>
            </w:r>
          </w:p>
        </w:tc>
        <w:tc>
          <w:tcPr>
            <w:tcW w:w="1138" w:type="dxa"/>
          </w:tcPr>
          <w:p w14:paraId="10CFCD9D">
            <w:pPr>
              <w:pStyle w:val="4"/>
              <w:jc w:val="center"/>
            </w:pPr>
            <w:r>
              <w:rPr>
                <w:rFonts w:ascii="仿宋_GB2312" w:hAnsi="仿宋_GB2312" w:eastAsia="仿宋_GB2312" w:cs="仿宋_GB2312"/>
              </w:rPr>
              <w:t>数量（计量单位）</w:t>
            </w:r>
          </w:p>
        </w:tc>
        <w:tc>
          <w:tcPr>
            <w:tcW w:w="1365" w:type="dxa"/>
          </w:tcPr>
          <w:p w14:paraId="7827DCA6">
            <w:pPr>
              <w:pStyle w:val="4"/>
              <w:jc w:val="center"/>
            </w:pPr>
            <w:r>
              <w:rPr>
                <w:rFonts w:ascii="仿宋_GB2312" w:hAnsi="仿宋_GB2312" w:eastAsia="仿宋_GB2312" w:cs="仿宋_GB2312"/>
              </w:rPr>
              <w:t>最高限价</w:t>
            </w:r>
          </w:p>
        </w:tc>
        <w:tc>
          <w:tcPr>
            <w:tcW w:w="1138" w:type="dxa"/>
          </w:tcPr>
          <w:p w14:paraId="077D44E9">
            <w:pPr>
              <w:pStyle w:val="4"/>
              <w:jc w:val="center"/>
            </w:pPr>
            <w:r>
              <w:rPr>
                <w:rFonts w:ascii="仿宋_GB2312" w:hAnsi="仿宋_GB2312" w:eastAsia="仿宋_GB2312" w:cs="仿宋_GB2312"/>
              </w:rPr>
              <w:t>价款形式</w:t>
            </w:r>
          </w:p>
        </w:tc>
        <w:tc>
          <w:tcPr>
            <w:tcW w:w="1934" w:type="dxa"/>
          </w:tcPr>
          <w:p w14:paraId="465C6C3F">
            <w:pPr>
              <w:pStyle w:val="4"/>
              <w:jc w:val="center"/>
            </w:pPr>
            <w:r>
              <w:rPr>
                <w:rFonts w:ascii="仿宋_GB2312" w:hAnsi="仿宋_GB2312" w:eastAsia="仿宋_GB2312" w:cs="仿宋_GB2312"/>
              </w:rPr>
              <w:t>报价说明</w:t>
            </w:r>
          </w:p>
        </w:tc>
      </w:tr>
      <w:tr w14:paraId="40E40C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0C66942">
            <w:pPr>
              <w:pStyle w:val="4"/>
              <w:jc w:val="center"/>
            </w:pPr>
            <w:r>
              <w:rPr>
                <w:rFonts w:ascii="仿宋_GB2312" w:hAnsi="仿宋_GB2312" w:eastAsia="仿宋_GB2312" w:cs="仿宋_GB2312"/>
              </w:rPr>
              <w:t>1</w:t>
            </w:r>
          </w:p>
        </w:tc>
        <w:tc>
          <w:tcPr>
            <w:tcW w:w="1707" w:type="dxa"/>
          </w:tcPr>
          <w:p w14:paraId="75202F12">
            <w:pPr>
              <w:pStyle w:val="4"/>
              <w:jc w:val="center"/>
            </w:pPr>
            <w:r>
              <w:rPr>
                <w:rFonts w:ascii="仿宋_GB2312" w:hAnsi="仿宋_GB2312" w:eastAsia="仿宋_GB2312" w:cs="仿宋_GB2312"/>
              </w:rPr>
              <w:t>2026年川主寺镇旅游购物场所智慧监管平台服务项目</w:t>
            </w:r>
          </w:p>
        </w:tc>
        <w:tc>
          <w:tcPr>
            <w:tcW w:w="1138" w:type="dxa"/>
          </w:tcPr>
          <w:p w14:paraId="23470272">
            <w:pPr>
              <w:pStyle w:val="4"/>
              <w:jc w:val="center"/>
            </w:pPr>
            <w:r>
              <w:rPr>
                <w:rFonts w:ascii="仿宋_GB2312" w:hAnsi="仿宋_GB2312" w:eastAsia="仿宋_GB2312" w:cs="仿宋_GB2312"/>
              </w:rPr>
              <w:t>1.00（项）</w:t>
            </w:r>
          </w:p>
        </w:tc>
        <w:tc>
          <w:tcPr>
            <w:tcW w:w="1365" w:type="dxa"/>
          </w:tcPr>
          <w:p w14:paraId="019D5A7A">
            <w:pPr>
              <w:pStyle w:val="4"/>
              <w:jc w:val="center"/>
            </w:pPr>
            <w:r>
              <w:rPr>
                <w:rFonts w:ascii="仿宋_GB2312" w:hAnsi="仿宋_GB2312" w:eastAsia="仿宋_GB2312" w:cs="仿宋_GB2312"/>
              </w:rPr>
              <w:t>868,962.50</w:t>
            </w:r>
          </w:p>
        </w:tc>
        <w:tc>
          <w:tcPr>
            <w:tcW w:w="1138" w:type="dxa"/>
          </w:tcPr>
          <w:p w14:paraId="437A7874">
            <w:pPr>
              <w:pStyle w:val="4"/>
              <w:jc w:val="center"/>
            </w:pPr>
            <w:r>
              <w:rPr>
                <w:rFonts w:ascii="仿宋_GB2312" w:hAnsi="仿宋_GB2312" w:eastAsia="仿宋_GB2312" w:cs="仿宋_GB2312"/>
              </w:rPr>
              <w:t>总价</w:t>
            </w:r>
          </w:p>
        </w:tc>
        <w:tc>
          <w:tcPr>
            <w:tcW w:w="1934" w:type="dxa"/>
          </w:tcPr>
          <w:p w14:paraId="51EE13CE">
            <w:pPr>
              <w:pStyle w:val="4"/>
              <w:jc w:val="left"/>
            </w:pPr>
            <w:r>
              <w:rPr>
                <w:rFonts w:ascii="仿宋_GB2312" w:hAnsi="仿宋_GB2312" w:eastAsia="仿宋_GB2312" w:cs="仿宋_GB2312"/>
              </w:rPr>
              <w:t>无</w:t>
            </w:r>
          </w:p>
        </w:tc>
      </w:tr>
    </w:tbl>
    <w:p w14:paraId="7EDE0FCC">
      <w:pPr>
        <w:pStyle w:val="4"/>
        <w:ind w:firstLine="480"/>
        <w:jc w:val="left"/>
      </w:pPr>
      <w:r>
        <w:rPr>
          <w:rFonts w:ascii="仿宋_GB2312" w:hAnsi="仿宋_GB2312" w:eastAsia="仿宋_GB2312" w:cs="仿宋_GB2312"/>
        </w:rPr>
        <w:t>★注：本采购包涉及采购货物的，供应商响应产品应当明确品牌和规格型号并指向唯一产品，不能指向唯一产品的，应通过报价表唯一产品说明栏补充说明。</w:t>
      </w:r>
    </w:p>
    <w:p w14:paraId="0FC5D5E4">
      <w:pPr>
        <w:pStyle w:val="4"/>
        <w:jc w:val="left"/>
        <w:outlineLvl w:val="3"/>
      </w:pPr>
      <w:r>
        <w:rPr>
          <w:rFonts w:ascii="仿宋_GB2312" w:hAnsi="仿宋_GB2312" w:eastAsia="仿宋_GB2312" w:cs="仿宋_GB2312"/>
          <w:b/>
          <w:sz w:val="24"/>
        </w:rPr>
        <w:t>本项目涉及核心产品：</w:t>
      </w:r>
    </w:p>
    <w:p w14:paraId="2B46439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0D8E6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C719BB5">
            <w:pPr>
              <w:pStyle w:val="4"/>
              <w:jc w:val="center"/>
            </w:pPr>
            <w:r>
              <w:rPr>
                <w:rFonts w:ascii="仿宋_GB2312" w:hAnsi="仿宋_GB2312" w:eastAsia="仿宋_GB2312" w:cs="仿宋_GB2312"/>
              </w:rPr>
              <w:t>序号</w:t>
            </w:r>
          </w:p>
        </w:tc>
        <w:tc>
          <w:tcPr>
            <w:tcW w:w="2492" w:type="dxa"/>
          </w:tcPr>
          <w:p w14:paraId="1E3C3CBD">
            <w:pPr>
              <w:pStyle w:val="4"/>
              <w:jc w:val="center"/>
            </w:pPr>
            <w:r>
              <w:rPr>
                <w:rFonts w:ascii="仿宋_GB2312" w:hAnsi="仿宋_GB2312" w:eastAsia="仿宋_GB2312" w:cs="仿宋_GB2312"/>
              </w:rPr>
              <w:t>采购品目名称</w:t>
            </w:r>
          </w:p>
        </w:tc>
        <w:tc>
          <w:tcPr>
            <w:tcW w:w="2492" w:type="dxa"/>
          </w:tcPr>
          <w:p w14:paraId="52E17ADE">
            <w:pPr>
              <w:pStyle w:val="4"/>
              <w:jc w:val="center"/>
            </w:pPr>
            <w:r>
              <w:rPr>
                <w:rFonts w:ascii="仿宋_GB2312" w:hAnsi="仿宋_GB2312" w:eastAsia="仿宋_GB2312" w:cs="仿宋_GB2312"/>
              </w:rPr>
              <w:t>标的名称</w:t>
            </w:r>
          </w:p>
        </w:tc>
        <w:tc>
          <w:tcPr>
            <w:tcW w:w="2492" w:type="dxa"/>
          </w:tcPr>
          <w:p w14:paraId="6E05F6FF">
            <w:pPr>
              <w:pStyle w:val="4"/>
              <w:jc w:val="center"/>
            </w:pPr>
            <w:r>
              <w:rPr>
                <w:rFonts w:ascii="仿宋_GB2312" w:hAnsi="仿宋_GB2312" w:eastAsia="仿宋_GB2312" w:cs="仿宋_GB2312"/>
              </w:rPr>
              <w:t>产品名称</w:t>
            </w:r>
          </w:p>
        </w:tc>
      </w:tr>
      <w:tr w14:paraId="27EB89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F37E0B4">
            <w:pPr>
              <w:pStyle w:val="4"/>
              <w:jc w:val="center"/>
            </w:pPr>
            <w:r>
              <w:rPr>
                <w:rFonts w:ascii="仿宋_GB2312" w:hAnsi="仿宋_GB2312" w:eastAsia="仿宋_GB2312" w:cs="仿宋_GB2312"/>
              </w:rPr>
              <w:t>不涉及</w:t>
            </w:r>
          </w:p>
        </w:tc>
      </w:tr>
    </w:tbl>
    <w:p w14:paraId="0F0E73FA">
      <w:pPr>
        <w:pStyle w:val="4"/>
        <w:ind w:firstLine="480"/>
        <w:jc w:val="left"/>
      </w:pPr>
      <w:r>
        <w:rPr>
          <w:rFonts w:ascii="仿宋_GB2312" w:hAnsi="仿宋_GB2312" w:eastAsia="仿宋_GB2312" w:cs="仿宋_GB2312"/>
        </w:rPr>
        <w:t>注：涉及核心产品的，具体评审规定见第五章。</w:t>
      </w:r>
    </w:p>
    <w:p w14:paraId="46308F04">
      <w:pPr>
        <w:pStyle w:val="4"/>
        <w:jc w:val="left"/>
        <w:outlineLvl w:val="3"/>
      </w:pPr>
      <w:r>
        <w:rPr>
          <w:rFonts w:ascii="仿宋_GB2312" w:hAnsi="仿宋_GB2312" w:eastAsia="仿宋_GB2312" w:cs="仿宋_GB2312"/>
          <w:b/>
          <w:sz w:val="24"/>
        </w:rPr>
        <w:t>本项目涉及采购进口产品：</w:t>
      </w:r>
    </w:p>
    <w:p w14:paraId="1A30234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C49A9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C202392">
            <w:pPr>
              <w:pStyle w:val="4"/>
              <w:jc w:val="center"/>
            </w:pPr>
            <w:r>
              <w:rPr>
                <w:rFonts w:ascii="仿宋_GB2312" w:hAnsi="仿宋_GB2312" w:eastAsia="仿宋_GB2312" w:cs="仿宋_GB2312"/>
              </w:rPr>
              <w:t>序号</w:t>
            </w:r>
          </w:p>
        </w:tc>
        <w:tc>
          <w:tcPr>
            <w:tcW w:w="2492" w:type="dxa"/>
          </w:tcPr>
          <w:p w14:paraId="09CB2959">
            <w:pPr>
              <w:pStyle w:val="4"/>
              <w:jc w:val="center"/>
            </w:pPr>
            <w:r>
              <w:rPr>
                <w:rFonts w:ascii="仿宋_GB2312" w:hAnsi="仿宋_GB2312" w:eastAsia="仿宋_GB2312" w:cs="仿宋_GB2312"/>
              </w:rPr>
              <w:t>采购品目名称</w:t>
            </w:r>
          </w:p>
        </w:tc>
        <w:tc>
          <w:tcPr>
            <w:tcW w:w="2492" w:type="dxa"/>
          </w:tcPr>
          <w:p w14:paraId="3A359441">
            <w:pPr>
              <w:pStyle w:val="4"/>
              <w:jc w:val="center"/>
            </w:pPr>
            <w:r>
              <w:rPr>
                <w:rFonts w:ascii="仿宋_GB2312" w:hAnsi="仿宋_GB2312" w:eastAsia="仿宋_GB2312" w:cs="仿宋_GB2312"/>
              </w:rPr>
              <w:t>标的名称</w:t>
            </w:r>
          </w:p>
        </w:tc>
        <w:tc>
          <w:tcPr>
            <w:tcW w:w="2492" w:type="dxa"/>
          </w:tcPr>
          <w:p w14:paraId="39245C36">
            <w:pPr>
              <w:pStyle w:val="4"/>
              <w:jc w:val="center"/>
            </w:pPr>
            <w:r>
              <w:rPr>
                <w:rFonts w:ascii="仿宋_GB2312" w:hAnsi="仿宋_GB2312" w:eastAsia="仿宋_GB2312" w:cs="仿宋_GB2312"/>
              </w:rPr>
              <w:t>产品名称</w:t>
            </w:r>
          </w:p>
        </w:tc>
      </w:tr>
      <w:tr w14:paraId="409A87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9CD9812">
            <w:pPr>
              <w:pStyle w:val="4"/>
              <w:jc w:val="center"/>
            </w:pPr>
            <w:r>
              <w:rPr>
                <w:rFonts w:ascii="仿宋_GB2312" w:hAnsi="仿宋_GB2312" w:eastAsia="仿宋_GB2312" w:cs="仿宋_GB2312"/>
              </w:rPr>
              <w:t>不涉及</w:t>
            </w:r>
          </w:p>
        </w:tc>
      </w:tr>
    </w:tbl>
    <w:p w14:paraId="1610E608">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43B5790E">
      <w:pPr>
        <w:pStyle w:val="4"/>
        <w:jc w:val="left"/>
        <w:outlineLvl w:val="3"/>
      </w:pPr>
      <w:r>
        <w:rPr>
          <w:rFonts w:ascii="仿宋_GB2312" w:hAnsi="仿宋_GB2312" w:eastAsia="仿宋_GB2312" w:cs="仿宋_GB2312"/>
          <w:b/>
          <w:sz w:val="24"/>
        </w:rPr>
        <w:t>本项目涉及强制采购节能产品：</w:t>
      </w:r>
    </w:p>
    <w:p w14:paraId="2617615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A2549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E42BC26">
            <w:pPr>
              <w:pStyle w:val="4"/>
              <w:jc w:val="center"/>
            </w:pPr>
            <w:r>
              <w:rPr>
                <w:rFonts w:ascii="仿宋_GB2312" w:hAnsi="仿宋_GB2312" w:eastAsia="仿宋_GB2312" w:cs="仿宋_GB2312"/>
              </w:rPr>
              <w:t>序号</w:t>
            </w:r>
          </w:p>
        </w:tc>
        <w:tc>
          <w:tcPr>
            <w:tcW w:w="2492" w:type="dxa"/>
          </w:tcPr>
          <w:p w14:paraId="087E5F5D">
            <w:pPr>
              <w:pStyle w:val="4"/>
              <w:jc w:val="center"/>
            </w:pPr>
            <w:r>
              <w:rPr>
                <w:rFonts w:ascii="仿宋_GB2312" w:hAnsi="仿宋_GB2312" w:eastAsia="仿宋_GB2312" w:cs="仿宋_GB2312"/>
              </w:rPr>
              <w:t>采购品目名称</w:t>
            </w:r>
          </w:p>
        </w:tc>
        <w:tc>
          <w:tcPr>
            <w:tcW w:w="2492" w:type="dxa"/>
          </w:tcPr>
          <w:p w14:paraId="0CF35DDB">
            <w:pPr>
              <w:pStyle w:val="4"/>
              <w:jc w:val="center"/>
            </w:pPr>
            <w:r>
              <w:rPr>
                <w:rFonts w:ascii="仿宋_GB2312" w:hAnsi="仿宋_GB2312" w:eastAsia="仿宋_GB2312" w:cs="仿宋_GB2312"/>
              </w:rPr>
              <w:t>标的名称</w:t>
            </w:r>
          </w:p>
        </w:tc>
        <w:tc>
          <w:tcPr>
            <w:tcW w:w="2492" w:type="dxa"/>
          </w:tcPr>
          <w:p w14:paraId="7291AAFF">
            <w:pPr>
              <w:pStyle w:val="4"/>
              <w:jc w:val="center"/>
            </w:pPr>
            <w:r>
              <w:rPr>
                <w:rFonts w:ascii="仿宋_GB2312" w:hAnsi="仿宋_GB2312" w:eastAsia="仿宋_GB2312" w:cs="仿宋_GB2312"/>
              </w:rPr>
              <w:t>产品名称</w:t>
            </w:r>
          </w:p>
        </w:tc>
      </w:tr>
      <w:tr w14:paraId="56490F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36BEF42">
            <w:pPr>
              <w:pStyle w:val="4"/>
              <w:jc w:val="center"/>
            </w:pPr>
            <w:r>
              <w:rPr>
                <w:rFonts w:ascii="仿宋_GB2312" w:hAnsi="仿宋_GB2312" w:eastAsia="仿宋_GB2312" w:cs="仿宋_GB2312"/>
              </w:rPr>
              <w:t>不涉及</w:t>
            </w:r>
          </w:p>
        </w:tc>
      </w:tr>
    </w:tbl>
    <w:p w14:paraId="6F8C630A">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2F5F4D6B">
      <w:pPr>
        <w:pStyle w:val="4"/>
        <w:jc w:val="left"/>
      </w:pPr>
      <w:r>
        <w:rPr>
          <w:rFonts w:ascii="仿宋_GB2312" w:hAnsi="仿宋_GB2312" w:eastAsia="仿宋_GB2312" w:cs="仿宋_GB2312"/>
          <w:b/>
        </w:rPr>
        <w:t>本项目涉及优先采购节能产品：</w:t>
      </w:r>
    </w:p>
    <w:p w14:paraId="0677BE5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11B0A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1AFD3967">
            <w:pPr>
              <w:pStyle w:val="4"/>
              <w:jc w:val="center"/>
            </w:pPr>
            <w:r>
              <w:rPr>
                <w:rFonts w:ascii="仿宋_GB2312" w:hAnsi="仿宋_GB2312" w:eastAsia="仿宋_GB2312" w:cs="仿宋_GB2312"/>
              </w:rPr>
              <w:t>序号</w:t>
            </w:r>
          </w:p>
        </w:tc>
        <w:tc>
          <w:tcPr>
            <w:tcW w:w="2492" w:type="dxa"/>
          </w:tcPr>
          <w:p w14:paraId="2841A4A6">
            <w:pPr>
              <w:pStyle w:val="4"/>
              <w:jc w:val="center"/>
            </w:pPr>
            <w:r>
              <w:rPr>
                <w:rFonts w:ascii="仿宋_GB2312" w:hAnsi="仿宋_GB2312" w:eastAsia="仿宋_GB2312" w:cs="仿宋_GB2312"/>
              </w:rPr>
              <w:t>采购品目名称</w:t>
            </w:r>
          </w:p>
        </w:tc>
        <w:tc>
          <w:tcPr>
            <w:tcW w:w="2492" w:type="dxa"/>
          </w:tcPr>
          <w:p w14:paraId="6EC2383A">
            <w:pPr>
              <w:pStyle w:val="4"/>
              <w:jc w:val="center"/>
            </w:pPr>
            <w:r>
              <w:rPr>
                <w:rFonts w:ascii="仿宋_GB2312" w:hAnsi="仿宋_GB2312" w:eastAsia="仿宋_GB2312" w:cs="仿宋_GB2312"/>
              </w:rPr>
              <w:t>标的名称</w:t>
            </w:r>
          </w:p>
        </w:tc>
        <w:tc>
          <w:tcPr>
            <w:tcW w:w="2492" w:type="dxa"/>
          </w:tcPr>
          <w:p w14:paraId="468DCA19">
            <w:pPr>
              <w:pStyle w:val="4"/>
              <w:jc w:val="center"/>
            </w:pPr>
            <w:r>
              <w:rPr>
                <w:rFonts w:ascii="仿宋_GB2312" w:hAnsi="仿宋_GB2312" w:eastAsia="仿宋_GB2312" w:cs="仿宋_GB2312"/>
              </w:rPr>
              <w:t>产品名称</w:t>
            </w:r>
          </w:p>
        </w:tc>
      </w:tr>
      <w:tr w14:paraId="7DC272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A92226D">
            <w:pPr>
              <w:pStyle w:val="4"/>
              <w:jc w:val="center"/>
            </w:pPr>
            <w:r>
              <w:rPr>
                <w:rFonts w:ascii="仿宋_GB2312" w:hAnsi="仿宋_GB2312" w:eastAsia="仿宋_GB2312" w:cs="仿宋_GB2312"/>
              </w:rPr>
              <w:t>不涉及</w:t>
            </w:r>
          </w:p>
        </w:tc>
      </w:tr>
    </w:tbl>
    <w:p w14:paraId="1533CE66">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4006C117">
      <w:pPr>
        <w:pStyle w:val="4"/>
        <w:jc w:val="left"/>
        <w:outlineLvl w:val="3"/>
      </w:pPr>
      <w:r>
        <w:rPr>
          <w:rFonts w:ascii="仿宋_GB2312" w:hAnsi="仿宋_GB2312" w:eastAsia="仿宋_GB2312" w:cs="仿宋_GB2312"/>
          <w:b/>
          <w:sz w:val="24"/>
        </w:rPr>
        <w:t>本项目涉及优先采购环境标志产品：</w:t>
      </w:r>
    </w:p>
    <w:p w14:paraId="469AEBF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2E226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35F0C11">
            <w:pPr>
              <w:pStyle w:val="4"/>
              <w:jc w:val="center"/>
            </w:pPr>
            <w:r>
              <w:rPr>
                <w:rFonts w:ascii="仿宋_GB2312" w:hAnsi="仿宋_GB2312" w:eastAsia="仿宋_GB2312" w:cs="仿宋_GB2312"/>
              </w:rPr>
              <w:t>序号</w:t>
            </w:r>
          </w:p>
        </w:tc>
        <w:tc>
          <w:tcPr>
            <w:tcW w:w="2492" w:type="dxa"/>
          </w:tcPr>
          <w:p w14:paraId="79A33834">
            <w:pPr>
              <w:pStyle w:val="4"/>
              <w:jc w:val="center"/>
            </w:pPr>
            <w:r>
              <w:rPr>
                <w:rFonts w:ascii="仿宋_GB2312" w:hAnsi="仿宋_GB2312" w:eastAsia="仿宋_GB2312" w:cs="仿宋_GB2312"/>
              </w:rPr>
              <w:t>采购品目名称</w:t>
            </w:r>
          </w:p>
        </w:tc>
        <w:tc>
          <w:tcPr>
            <w:tcW w:w="2492" w:type="dxa"/>
          </w:tcPr>
          <w:p w14:paraId="35A9AFCC">
            <w:pPr>
              <w:pStyle w:val="4"/>
              <w:jc w:val="center"/>
            </w:pPr>
            <w:r>
              <w:rPr>
                <w:rFonts w:ascii="仿宋_GB2312" w:hAnsi="仿宋_GB2312" w:eastAsia="仿宋_GB2312" w:cs="仿宋_GB2312"/>
              </w:rPr>
              <w:t>标的名称</w:t>
            </w:r>
          </w:p>
        </w:tc>
        <w:tc>
          <w:tcPr>
            <w:tcW w:w="2492" w:type="dxa"/>
          </w:tcPr>
          <w:p w14:paraId="693514D8">
            <w:pPr>
              <w:pStyle w:val="4"/>
              <w:jc w:val="center"/>
            </w:pPr>
            <w:r>
              <w:rPr>
                <w:rFonts w:ascii="仿宋_GB2312" w:hAnsi="仿宋_GB2312" w:eastAsia="仿宋_GB2312" w:cs="仿宋_GB2312"/>
              </w:rPr>
              <w:t>产品名称</w:t>
            </w:r>
          </w:p>
        </w:tc>
      </w:tr>
      <w:tr w14:paraId="44B4E8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FA545A8">
            <w:pPr>
              <w:pStyle w:val="4"/>
              <w:jc w:val="center"/>
            </w:pPr>
            <w:r>
              <w:rPr>
                <w:rFonts w:ascii="仿宋_GB2312" w:hAnsi="仿宋_GB2312" w:eastAsia="仿宋_GB2312" w:cs="仿宋_GB2312"/>
              </w:rPr>
              <w:t>不涉及</w:t>
            </w:r>
          </w:p>
        </w:tc>
      </w:tr>
    </w:tbl>
    <w:p w14:paraId="708A9172">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4C2B517F">
      <w:pPr>
        <w:pStyle w:val="4"/>
        <w:jc w:val="left"/>
        <w:outlineLvl w:val="2"/>
      </w:pPr>
      <w:r>
        <w:rPr>
          <w:rFonts w:ascii="仿宋_GB2312" w:hAnsi="仿宋_GB2312" w:eastAsia="仿宋_GB2312" w:cs="仿宋_GB2312"/>
          <w:b/>
          <w:sz w:val="28"/>
        </w:rPr>
        <w:t>3.2.技术要求</w:t>
      </w:r>
    </w:p>
    <w:p w14:paraId="5FC04C4C">
      <w:pPr>
        <w:pStyle w:val="4"/>
        <w:jc w:val="left"/>
      </w:pPr>
      <w:r>
        <w:rPr>
          <w:rFonts w:ascii="仿宋_GB2312" w:hAnsi="仿宋_GB2312" w:eastAsia="仿宋_GB2312" w:cs="仿宋_GB2312"/>
        </w:rPr>
        <w:t>采购包1：</w:t>
      </w:r>
    </w:p>
    <w:p w14:paraId="47A1D423">
      <w:pPr>
        <w:pStyle w:val="4"/>
        <w:jc w:val="left"/>
      </w:pPr>
      <w:r>
        <w:rPr>
          <w:rFonts w:ascii="仿宋_GB2312" w:hAnsi="仿宋_GB2312" w:eastAsia="仿宋_GB2312" w:cs="仿宋_GB2312"/>
        </w:rPr>
        <w:t>标的名称：2026年川主寺镇旅游购物场所智慧监管平台服务项目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DB5B8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4A6DC38">
            <w:pPr>
              <w:pStyle w:val="4"/>
              <w:jc w:val="center"/>
            </w:pPr>
            <w:r>
              <w:rPr>
                <w:rFonts w:ascii="仿宋_GB2312" w:hAnsi="仿宋_GB2312" w:eastAsia="仿宋_GB2312" w:cs="仿宋_GB2312"/>
              </w:rPr>
              <w:t>序号</w:t>
            </w:r>
          </w:p>
        </w:tc>
        <w:tc>
          <w:tcPr>
            <w:tcW w:w="581" w:type="dxa"/>
          </w:tcPr>
          <w:p w14:paraId="10810306">
            <w:pPr>
              <w:pStyle w:val="4"/>
              <w:jc w:val="center"/>
            </w:pPr>
            <w:r>
              <w:rPr>
                <w:rFonts w:ascii="仿宋_GB2312" w:hAnsi="仿宋_GB2312" w:eastAsia="仿宋_GB2312" w:cs="仿宋_GB2312"/>
              </w:rPr>
              <w:t>符号标识</w:t>
            </w:r>
          </w:p>
        </w:tc>
        <w:tc>
          <w:tcPr>
            <w:tcW w:w="1495" w:type="dxa"/>
          </w:tcPr>
          <w:p w14:paraId="77CA8EF6">
            <w:pPr>
              <w:pStyle w:val="4"/>
              <w:jc w:val="center"/>
            </w:pPr>
            <w:r>
              <w:rPr>
                <w:rFonts w:ascii="仿宋_GB2312" w:hAnsi="仿宋_GB2312" w:eastAsia="仿宋_GB2312" w:cs="仿宋_GB2312"/>
              </w:rPr>
              <w:t>技术要求名称</w:t>
            </w:r>
          </w:p>
        </w:tc>
        <w:tc>
          <w:tcPr>
            <w:tcW w:w="5814" w:type="dxa"/>
          </w:tcPr>
          <w:p w14:paraId="5B349317">
            <w:pPr>
              <w:pStyle w:val="4"/>
              <w:jc w:val="center"/>
            </w:pPr>
            <w:r>
              <w:rPr>
                <w:rFonts w:ascii="仿宋_GB2312" w:hAnsi="仿宋_GB2312" w:eastAsia="仿宋_GB2312" w:cs="仿宋_GB2312"/>
              </w:rPr>
              <w:t>技术参数与性能指标</w:t>
            </w:r>
          </w:p>
        </w:tc>
      </w:tr>
      <w:tr w14:paraId="36B7F4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B8163EE">
            <w:pPr>
              <w:pStyle w:val="4"/>
              <w:jc w:val="center"/>
            </w:pPr>
            <w:r>
              <w:rPr>
                <w:rFonts w:ascii="仿宋_GB2312" w:hAnsi="仿宋_GB2312" w:eastAsia="仿宋_GB2312" w:cs="仿宋_GB2312"/>
              </w:rPr>
              <w:t>1</w:t>
            </w:r>
          </w:p>
        </w:tc>
        <w:tc>
          <w:tcPr>
            <w:tcW w:w="581" w:type="dxa"/>
          </w:tcPr>
          <w:p w14:paraId="1FE2467E"/>
        </w:tc>
        <w:tc>
          <w:tcPr>
            <w:tcW w:w="1495" w:type="dxa"/>
          </w:tcPr>
          <w:p w14:paraId="397C7F6A">
            <w:pPr>
              <w:pStyle w:val="4"/>
              <w:jc w:val="left"/>
            </w:pPr>
            <w:r>
              <w:rPr>
                <w:rFonts w:ascii="仿宋_GB2312" w:hAnsi="仿宋_GB2312" w:eastAsia="仿宋_GB2312" w:cs="仿宋_GB2312"/>
              </w:rPr>
              <w:t>2026年川主寺镇旅游购物场所智慧监管平台服务项目</w:t>
            </w:r>
          </w:p>
        </w:tc>
        <w:tc>
          <w:tcPr>
            <w:tcW w:w="5814" w:type="dxa"/>
          </w:tcPr>
          <w:p w14:paraId="6375F884">
            <w:pPr>
              <w:pStyle w:val="4"/>
              <w:jc w:val="both"/>
            </w:pPr>
            <w:r>
              <w:rPr>
                <w:rFonts w:ascii="仿宋_GB2312" w:hAnsi="仿宋_GB2312" w:eastAsia="仿宋_GB2312" w:cs="仿宋_GB2312"/>
                <w:sz w:val="28"/>
              </w:rPr>
              <w:t>★</w:t>
            </w:r>
            <w:r>
              <w:rPr>
                <w:rFonts w:ascii="仿宋_GB2312" w:hAnsi="仿宋_GB2312" w:eastAsia="仿宋_GB2312" w:cs="仿宋_GB2312"/>
                <w:b/>
                <w:sz w:val="28"/>
              </w:rPr>
              <w:t>（一）服务清单</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32"/>
              <w:gridCol w:w="2439"/>
              <w:gridCol w:w="532"/>
              <w:gridCol w:w="532"/>
              <w:gridCol w:w="1558"/>
            </w:tblGrid>
            <w:tr w14:paraId="36088E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53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DCE793F">
                  <w:pPr>
                    <w:pStyle w:val="4"/>
                    <w:jc w:val="center"/>
                  </w:pPr>
                  <w:r>
                    <w:rPr>
                      <w:rFonts w:ascii="仿宋_GB2312" w:hAnsi="仿宋_GB2312" w:eastAsia="仿宋_GB2312" w:cs="仿宋_GB2312"/>
                      <w:b/>
                      <w:color w:val="000000"/>
                      <w:sz w:val="28"/>
                    </w:rPr>
                    <w:t>序号</w:t>
                  </w:r>
                </w:p>
              </w:tc>
              <w:tc>
                <w:tcPr>
                  <w:tcW w:w="244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B86E14E">
                  <w:pPr>
                    <w:pStyle w:val="4"/>
                    <w:jc w:val="center"/>
                  </w:pPr>
                  <w:r>
                    <w:rPr>
                      <w:rFonts w:ascii="仿宋_GB2312" w:hAnsi="仿宋_GB2312" w:eastAsia="仿宋_GB2312" w:cs="仿宋_GB2312"/>
                      <w:b/>
                      <w:color w:val="000000"/>
                      <w:sz w:val="28"/>
                    </w:rPr>
                    <w:t>项目名称</w:t>
                  </w:r>
                </w:p>
              </w:tc>
              <w:tc>
                <w:tcPr>
                  <w:tcW w:w="53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D2FFD60">
                  <w:pPr>
                    <w:pStyle w:val="4"/>
                    <w:jc w:val="center"/>
                  </w:pPr>
                  <w:r>
                    <w:rPr>
                      <w:rFonts w:ascii="仿宋_GB2312" w:hAnsi="仿宋_GB2312" w:eastAsia="仿宋_GB2312" w:cs="仿宋_GB2312"/>
                      <w:b/>
                      <w:color w:val="000000"/>
                      <w:sz w:val="28"/>
                    </w:rPr>
                    <w:t>单位</w:t>
                  </w:r>
                </w:p>
              </w:tc>
              <w:tc>
                <w:tcPr>
                  <w:tcW w:w="53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E8BF715">
                  <w:pPr>
                    <w:pStyle w:val="4"/>
                    <w:jc w:val="center"/>
                  </w:pPr>
                  <w:r>
                    <w:rPr>
                      <w:rFonts w:ascii="仿宋_GB2312" w:hAnsi="仿宋_GB2312" w:eastAsia="仿宋_GB2312" w:cs="仿宋_GB2312"/>
                      <w:b/>
                      <w:color w:val="000000"/>
                      <w:sz w:val="28"/>
                    </w:rPr>
                    <w:t>数量</w:t>
                  </w:r>
                </w:p>
              </w:tc>
              <w:tc>
                <w:tcPr>
                  <w:tcW w:w="155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9BB8774">
                  <w:pPr>
                    <w:pStyle w:val="4"/>
                    <w:jc w:val="center"/>
                  </w:pPr>
                  <w:r>
                    <w:rPr>
                      <w:rFonts w:ascii="仿宋_GB2312" w:hAnsi="仿宋_GB2312" w:eastAsia="仿宋_GB2312" w:cs="仿宋_GB2312"/>
                      <w:b/>
                      <w:color w:val="000000"/>
                      <w:sz w:val="28"/>
                    </w:rPr>
                    <w:t>最高限价（万元）</w:t>
                  </w:r>
                </w:p>
              </w:tc>
            </w:tr>
            <w:tr w14:paraId="022802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AD9767">
                  <w:pPr>
                    <w:pStyle w:val="4"/>
                    <w:jc w:val="center"/>
                  </w:pPr>
                  <w:r>
                    <w:rPr>
                      <w:rFonts w:ascii="仿宋_GB2312" w:hAnsi="仿宋_GB2312" w:eastAsia="仿宋_GB2312" w:cs="仿宋_GB2312"/>
                      <w:color w:val="000000"/>
                      <w:sz w:val="28"/>
                    </w:rPr>
                    <w:t>1</w:t>
                  </w:r>
                </w:p>
              </w:tc>
              <w:tc>
                <w:tcPr>
                  <w:tcW w:w="244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A390CE">
                  <w:pPr>
                    <w:pStyle w:val="4"/>
                    <w:jc w:val="center"/>
                  </w:pPr>
                  <w:r>
                    <w:rPr>
                      <w:rFonts w:ascii="仿宋_GB2312" w:hAnsi="仿宋_GB2312" w:eastAsia="仿宋_GB2312" w:cs="仿宋_GB2312"/>
                      <w:color w:val="000000"/>
                      <w:sz w:val="28"/>
                    </w:rPr>
                    <w:t>运维服务</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20BD11">
                  <w:pPr>
                    <w:pStyle w:val="4"/>
                    <w:jc w:val="center"/>
                  </w:pPr>
                  <w:r>
                    <w:rPr>
                      <w:rFonts w:ascii="仿宋_GB2312" w:hAnsi="仿宋_GB2312" w:eastAsia="仿宋_GB2312" w:cs="仿宋_GB2312"/>
                      <w:color w:val="000000"/>
                      <w:sz w:val="28"/>
                    </w:rPr>
                    <w:t>年</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D1C961">
                  <w:pPr>
                    <w:pStyle w:val="4"/>
                    <w:jc w:val="center"/>
                  </w:pPr>
                  <w:r>
                    <w:rPr>
                      <w:rFonts w:ascii="仿宋_GB2312" w:hAnsi="仿宋_GB2312" w:eastAsia="仿宋_GB2312" w:cs="仿宋_GB2312"/>
                      <w:color w:val="000000"/>
                      <w:sz w:val="28"/>
                    </w:rPr>
                    <w:t>1</w:t>
                  </w:r>
                </w:p>
              </w:tc>
              <w:tc>
                <w:tcPr>
                  <w:tcW w:w="15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493E08">
                  <w:pPr>
                    <w:pStyle w:val="4"/>
                    <w:jc w:val="center"/>
                  </w:pPr>
                  <w:r>
                    <w:rPr>
                      <w:rFonts w:ascii="仿宋_GB2312" w:hAnsi="仿宋_GB2312" w:eastAsia="仿宋_GB2312" w:cs="仿宋_GB2312"/>
                      <w:color w:val="000000"/>
                      <w:sz w:val="28"/>
                    </w:rPr>
                    <w:t>48.8</w:t>
                  </w:r>
                </w:p>
              </w:tc>
            </w:tr>
            <w:tr w14:paraId="40DC8D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D87968">
                  <w:pPr>
                    <w:pStyle w:val="4"/>
                    <w:jc w:val="center"/>
                  </w:pPr>
                  <w:r>
                    <w:rPr>
                      <w:rFonts w:ascii="仿宋_GB2312" w:hAnsi="仿宋_GB2312" w:eastAsia="仿宋_GB2312" w:cs="仿宋_GB2312"/>
                      <w:color w:val="000000"/>
                      <w:sz w:val="28"/>
                    </w:rPr>
                    <w:t>2</w:t>
                  </w:r>
                </w:p>
              </w:tc>
              <w:tc>
                <w:tcPr>
                  <w:tcW w:w="244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2126C7">
                  <w:pPr>
                    <w:pStyle w:val="4"/>
                    <w:jc w:val="center"/>
                  </w:pPr>
                  <w:r>
                    <w:rPr>
                      <w:rFonts w:ascii="仿宋_GB2312" w:hAnsi="仿宋_GB2312" w:eastAsia="仿宋_GB2312" w:cs="仿宋_GB2312"/>
                      <w:sz w:val="28"/>
                    </w:rPr>
                    <w:t>设备及系统采购</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499D7F">
                  <w:pPr>
                    <w:pStyle w:val="4"/>
                    <w:jc w:val="center"/>
                  </w:pPr>
                  <w:r>
                    <w:rPr>
                      <w:rFonts w:ascii="仿宋_GB2312" w:hAnsi="仿宋_GB2312" w:eastAsia="仿宋_GB2312" w:cs="仿宋_GB2312"/>
                      <w:color w:val="000000"/>
                      <w:sz w:val="28"/>
                    </w:rPr>
                    <w:t>批</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18F329">
                  <w:pPr>
                    <w:pStyle w:val="4"/>
                    <w:jc w:val="center"/>
                  </w:pPr>
                  <w:r>
                    <w:rPr>
                      <w:rFonts w:ascii="仿宋_GB2312" w:hAnsi="仿宋_GB2312" w:eastAsia="仿宋_GB2312" w:cs="仿宋_GB2312"/>
                      <w:color w:val="000000"/>
                      <w:sz w:val="28"/>
                    </w:rPr>
                    <w:t>1</w:t>
                  </w:r>
                </w:p>
              </w:tc>
              <w:tc>
                <w:tcPr>
                  <w:tcW w:w="15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935348">
                  <w:pPr>
                    <w:pStyle w:val="4"/>
                    <w:jc w:val="center"/>
                  </w:pPr>
                  <w:r>
                    <w:rPr>
                      <w:rFonts w:ascii="仿宋_GB2312" w:hAnsi="仿宋_GB2312" w:eastAsia="仿宋_GB2312" w:cs="仿宋_GB2312"/>
                      <w:color w:val="000000"/>
                      <w:sz w:val="28"/>
                    </w:rPr>
                    <w:t>38.09625</w:t>
                  </w:r>
                </w:p>
              </w:tc>
            </w:tr>
          </w:tbl>
          <w:p w14:paraId="1EB20F9E">
            <w:pPr>
              <w:pStyle w:val="4"/>
              <w:jc w:val="both"/>
            </w:pPr>
            <w:r>
              <w:rPr>
                <w:rFonts w:ascii="仿宋_GB2312" w:hAnsi="仿宋_GB2312" w:eastAsia="仿宋_GB2312" w:cs="仿宋_GB2312"/>
                <w:sz w:val="28"/>
              </w:rPr>
              <w:t>★</w:t>
            </w:r>
            <w:r>
              <w:rPr>
                <w:rFonts w:ascii="仿宋_GB2312" w:hAnsi="仿宋_GB2312" w:eastAsia="仿宋_GB2312" w:cs="仿宋_GB2312"/>
                <w:b/>
                <w:sz w:val="28"/>
              </w:rPr>
              <w:t>（二）运维服务要求：</w:t>
            </w:r>
          </w:p>
          <w:p w14:paraId="1AC2D89D">
            <w:pPr>
              <w:pStyle w:val="4"/>
              <w:ind w:firstLine="552"/>
              <w:jc w:val="both"/>
            </w:pPr>
            <w:r>
              <w:rPr>
                <w:rFonts w:ascii="仿宋_GB2312" w:hAnsi="仿宋_GB2312" w:eastAsia="仿宋_GB2312" w:cs="仿宋_GB2312"/>
                <w:sz w:val="28"/>
              </w:rPr>
              <w:t>1.平台建成后须提供专业技术人员驻场服务驻场期3年，负责系统日常巡检、故障排查、设备运维及平台操作技术支撑，保障系统持续稳定运行，及时响应监管调阅、取证等业务需求。</w:t>
            </w:r>
          </w:p>
          <w:p w14:paraId="709068CA">
            <w:pPr>
              <w:pStyle w:val="4"/>
              <w:ind w:firstLine="552"/>
              <w:jc w:val="both"/>
            </w:pPr>
            <w:r>
              <w:rPr>
                <w:rFonts w:ascii="仿宋_GB2312" w:hAnsi="仿宋_GB2312" w:eastAsia="仿宋_GB2312" w:cs="仿宋_GB2312"/>
                <w:sz w:val="28"/>
              </w:rPr>
              <w:t>2.定期维保监控设备，包含但不限于前端设备巡检、传输网络维护等，保障其运行稳定，及时处理故障，做好数据备份与安全维护。</w:t>
            </w:r>
          </w:p>
          <w:p w14:paraId="0BFAEAA6">
            <w:pPr>
              <w:pStyle w:val="4"/>
              <w:ind w:firstLine="552"/>
              <w:jc w:val="both"/>
            </w:pPr>
            <w:r>
              <w:rPr>
                <w:rFonts w:ascii="仿宋_GB2312" w:hAnsi="仿宋_GB2312" w:eastAsia="仿宋_GB2312" w:cs="仿宋_GB2312"/>
                <w:sz w:val="28"/>
              </w:rPr>
              <w:t>3.确保前端设备、传输网络、监控中心各系统之间的互联互通稳定可靠，及时解决系统间的数据传输、接口等问题。</w:t>
            </w:r>
            <w:r>
              <w:rPr>
                <w:rFonts w:ascii="仿宋_GB2312" w:hAnsi="仿宋_GB2312" w:eastAsia="仿宋_GB2312" w:cs="仿宋_GB2312"/>
              </w:rPr>
              <w:t xml:space="preserve"> </w:t>
            </w:r>
          </w:p>
          <w:p w14:paraId="44420444">
            <w:pPr>
              <w:pStyle w:val="4"/>
              <w:ind w:firstLine="552"/>
              <w:jc w:val="both"/>
            </w:pPr>
            <w:r>
              <w:rPr>
                <w:rFonts w:ascii="仿宋_GB2312" w:hAnsi="仿宋_GB2312" w:eastAsia="仿宋_GB2312" w:cs="仿宋_GB2312"/>
                <w:sz w:val="28"/>
              </w:rPr>
              <w:t>4.前端网络链路：每个前端点位网络带宽上下行≥50兆、≥1个月云存。</w:t>
            </w:r>
          </w:p>
          <w:p w14:paraId="1B5D7241">
            <w:pPr>
              <w:pStyle w:val="4"/>
              <w:ind w:firstLine="552"/>
              <w:jc w:val="both"/>
            </w:pPr>
            <w:r>
              <w:rPr>
                <w:rFonts w:ascii="仿宋_GB2312" w:hAnsi="仿宋_GB2312" w:eastAsia="仿宋_GB2312" w:cs="仿宋_GB2312"/>
                <w:sz w:val="28"/>
              </w:rPr>
              <w:t>5.千兆网络汇聚：提供1条≥1000兆网络汇聚链路。</w:t>
            </w:r>
          </w:p>
          <w:p w14:paraId="688098CF">
            <w:pPr>
              <w:pStyle w:val="4"/>
              <w:ind w:firstLine="552"/>
              <w:jc w:val="both"/>
            </w:pPr>
            <w:r>
              <w:rPr>
                <w:rFonts w:ascii="仿宋_GB2312" w:hAnsi="仿宋_GB2312" w:eastAsia="仿宋_GB2312" w:cs="仿宋_GB2312"/>
                <w:sz w:val="28"/>
              </w:rPr>
              <w:t>6.运维考核办法</w:t>
            </w:r>
          </w:p>
          <w:p w14:paraId="35990343">
            <w:pPr>
              <w:pStyle w:val="4"/>
              <w:ind w:firstLine="552"/>
              <w:jc w:val="both"/>
            </w:pPr>
            <w:r>
              <w:rPr>
                <w:rFonts w:ascii="仿宋_GB2312" w:hAnsi="仿宋_GB2312" w:eastAsia="仿宋_GB2312" w:cs="仿宋_GB2312"/>
                <w:sz w:val="28"/>
              </w:rPr>
              <w:t>本项目为购物点视频监控运维服务项目，监控摄像头共350 个。购物点每日闭店断电、冬季歇业断电属正常经营情况，非供应商原因，考核仅针对营业时段内应在线点位的在线情况及供应商运维服务质量。</w:t>
            </w:r>
          </w:p>
          <w:p w14:paraId="1FB715F4">
            <w:pPr>
              <w:pStyle w:val="4"/>
              <w:ind w:firstLine="552"/>
              <w:jc w:val="both"/>
            </w:pPr>
            <w:r>
              <w:rPr>
                <w:rFonts w:ascii="仿宋_GB2312" w:hAnsi="仿宋_GB2312" w:eastAsia="仿宋_GB2312" w:cs="仿宋_GB2312"/>
                <w:sz w:val="28"/>
              </w:rPr>
              <w:t>（1）考核内容与指标（总分100分）</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49"/>
              <w:gridCol w:w="980"/>
              <w:gridCol w:w="2666"/>
              <w:gridCol w:w="1392"/>
            </w:tblGrid>
            <w:tr w14:paraId="0105D4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696F508">
                  <w:pPr>
                    <w:pStyle w:val="4"/>
                    <w:jc w:val="both"/>
                  </w:pPr>
                  <w:r>
                    <w:rPr>
                      <w:rFonts w:ascii="仿宋_GB2312" w:hAnsi="仿宋_GB2312" w:eastAsia="仿宋_GB2312" w:cs="仿宋_GB2312"/>
                      <w:b/>
                      <w:sz w:val="28"/>
                    </w:rPr>
                    <w:t>序号</w:t>
                  </w:r>
                </w:p>
              </w:tc>
              <w:tc>
                <w:tcPr>
                  <w:tcW w:w="98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1381B65">
                  <w:pPr>
                    <w:pStyle w:val="4"/>
                    <w:jc w:val="both"/>
                  </w:pPr>
                  <w:r>
                    <w:rPr>
                      <w:rFonts w:ascii="仿宋_GB2312" w:hAnsi="仿宋_GB2312" w:eastAsia="仿宋_GB2312" w:cs="仿宋_GB2312"/>
                      <w:b/>
                      <w:sz w:val="28"/>
                    </w:rPr>
                    <w:t>评分项目</w:t>
                  </w:r>
                </w:p>
              </w:tc>
              <w:tc>
                <w:tcPr>
                  <w:tcW w:w="266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CED642F">
                  <w:pPr>
                    <w:pStyle w:val="4"/>
                    <w:jc w:val="both"/>
                  </w:pPr>
                  <w:r>
                    <w:rPr>
                      <w:rFonts w:ascii="仿宋_GB2312" w:hAnsi="仿宋_GB2312" w:eastAsia="仿宋_GB2312" w:cs="仿宋_GB2312"/>
                      <w:b/>
                      <w:sz w:val="28"/>
                    </w:rPr>
                    <w:t>评分标准</w:t>
                  </w:r>
                </w:p>
              </w:tc>
              <w:tc>
                <w:tcPr>
                  <w:tcW w:w="139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310AE9B">
                  <w:pPr>
                    <w:pStyle w:val="4"/>
                    <w:jc w:val="both"/>
                  </w:pPr>
                  <w:r>
                    <w:rPr>
                      <w:rFonts w:ascii="仿宋_GB2312" w:hAnsi="仿宋_GB2312" w:eastAsia="仿宋_GB2312" w:cs="仿宋_GB2312"/>
                      <w:b/>
                      <w:sz w:val="28"/>
                    </w:rPr>
                    <w:t>备注</w:t>
                  </w:r>
                </w:p>
              </w:tc>
            </w:tr>
            <w:tr w14:paraId="050826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9"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0C34F2">
                  <w:pPr>
                    <w:pStyle w:val="4"/>
                    <w:jc w:val="both"/>
                  </w:pPr>
                  <w:r>
                    <w:rPr>
                      <w:rFonts w:ascii="仿宋_GB2312" w:hAnsi="仿宋_GB2312" w:eastAsia="仿宋_GB2312" w:cs="仿宋_GB2312"/>
                      <w:sz w:val="28"/>
                    </w:rPr>
                    <w:t>1</w:t>
                  </w:r>
                </w:p>
              </w:tc>
              <w:tc>
                <w:tcPr>
                  <w:tcW w:w="98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92D640">
                  <w:pPr>
                    <w:pStyle w:val="4"/>
                    <w:jc w:val="both"/>
                  </w:pPr>
                  <w:r>
                    <w:rPr>
                      <w:rFonts w:ascii="仿宋_GB2312" w:hAnsi="仿宋_GB2312" w:eastAsia="仿宋_GB2312" w:cs="仿宋_GB2312"/>
                      <w:sz w:val="28"/>
                    </w:rPr>
                    <w:t>在线运行（31分）</w:t>
                  </w:r>
                </w:p>
              </w:tc>
              <w:tc>
                <w:tcPr>
                  <w:tcW w:w="26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47EB42">
                  <w:pPr>
                    <w:pStyle w:val="4"/>
                    <w:jc w:val="both"/>
                  </w:pPr>
                  <w:r>
                    <w:rPr>
                      <w:rFonts w:ascii="仿宋_GB2312" w:hAnsi="仿宋_GB2312" w:eastAsia="仿宋_GB2312" w:cs="仿宋_GB2312"/>
                      <w:sz w:val="28"/>
                    </w:rPr>
                    <w:t>供应商未通过中心管理平台对点位在线状态开展实时监测、未建立每日在线巡查记录的，每缺1次扣1分（单个考核周期扣分上限8分）。</w:t>
                  </w:r>
                </w:p>
              </w:tc>
              <w:tc>
                <w:tcPr>
                  <w:tcW w:w="13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CD930B">
                  <w:pPr>
                    <w:pStyle w:val="4"/>
                    <w:jc w:val="both"/>
                  </w:pPr>
                  <w:r>
                    <w:rPr>
                      <w:rFonts w:ascii="仿宋_GB2312" w:hAnsi="仿宋_GB2312" w:eastAsia="仿宋_GB2312" w:cs="仿宋_GB2312"/>
                      <w:sz w:val="28"/>
                    </w:rPr>
                    <w:t>巡查记录以平台日志或值守台账为准。</w:t>
                  </w:r>
                </w:p>
              </w:tc>
            </w:tr>
            <w:tr w14:paraId="1C8CCE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9" w:type="dxa"/>
                  <w:vMerge w:val="continue"/>
                  <w:tcBorders>
                    <w:top w:val="nil"/>
                    <w:left w:val="single" w:color="000000" w:sz="4" w:space="0"/>
                    <w:bottom w:val="single" w:color="000000" w:sz="4" w:space="0"/>
                    <w:right w:val="single" w:color="000000" w:sz="4" w:space="0"/>
                  </w:tcBorders>
                </w:tcPr>
                <w:p w14:paraId="2A08AC34"/>
              </w:tc>
              <w:tc>
                <w:tcPr>
                  <w:tcW w:w="980" w:type="dxa"/>
                  <w:vMerge w:val="continue"/>
                  <w:tcBorders>
                    <w:top w:val="nil"/>
                    <w:left w:val="single" w:color="000000" w:sz="4" w:space="0"/>
                    <w:bottom w:val="single" w:color="000000" w:sz="4" w:space="0"/>
                    <w:right w:val="single" w:color="000000" w:sz="4" w:space="0"/>
                  </w:tcBorders>
                </w:tcPr>
                <w:p w14:paraId="683057B3"/>
              </w:tc>
              <w:tc>
                <w:tcPr>
                  <w:tcW w:w="26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4C5D80">
                  <w:pPr>
                    <w:pStyle w:val="4"/>
                    <w:jc w:val="both"/>
                  </w:pPr>
                  <w:r>
                    <w:rPr>
                      <w:rFonts w:ascii="仿宋_GB2312" w:hAnsi="仿宋_GB2312" w:eastAsia="仿宋_GB2312" w:cs="仿宋_GB2312"/>
                      <w:sz w:val="28"/>
                    </w:rPr>
                    <w:t>摄像头离线后，供应商未在48小时内通过微信、电话、邮件任一方式登记报备，经采购人抽查发现漏报的，每个漏报点位扣1分（单个考核周期扣分上限14分）。</w:t>
                  </w:r>
                </w:p>
              </w:tc>
              <w:tc>
                <w:tcPr>
                  <w:tcW w:w="13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75F8EA">
                  <w:pPr>
                    <w:pStyle w:val="4"/>
                    <w:jc w:val="both"/>
                  </w:pPr>
                  <w:r>
                    <w:rPr>
                      <w:rFonts w:ascii="仿宋_GB2312" w:hAnsi="仿宋_GB2312" w:eastAsia="仿宋_GB2312" w:cs="仿宋_GB2312"/>
                      <w:sz w:val="28"/>
                    </w:rPr>
                    <w:t>采购人按不低于当期离线点位数30%的比例抽查；已报备歇业、停用的点位不纳入抽查范围；单次离线120分钟内自动恢复的，不纳入报备考核。</w:t>
                  </w:r>
                </w:p>
              </w:tc>
            </w:tr>
            <w:tr w14:paraId="7879C2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9" w:type="dxa"/>
                  <w:vMerge w:val="continue"/>
                  <w:tcBorders>
                    <w:top w:val="nil"/>
                    <w:left w:val="single" w:color="000000" w:sz="4" w:space="0"/>
                    <w:bottom w:val="single" w:color="000000" w:sz="4" w:space="0"/>
                    <w:right w:val="single" w:color="000000" w:sz="4" w:space="0"/>
                  </w:tcBorders>
                </w:tcPr>
                <w:p w14:paraId="7D57120A"/>
              </w:tc>
              <w:tc>
                <w:tcPr>
                  <w:tcW w:w="980" w:type="dxa"/>
                  <w:vMerge w:val="continue"/>
                  <w:tcBorders>
                    <w:top w:val="nil"/>
                    <w:left w:val="single" w:color="000000" w:sz="4" w:space="0"/>
                    <w:bottom w:val="single" w:color="000000" w:sz="4" w:space="0"/>
                    <w:right w:val="single" w:color="000000" w:sz="4" w:space="0"/>
                  </w:tcBorders>
                </w:tcPr>
                <w:p w14:paraId="1077F278"/>
              </w:tc>
              <w:tc>
                <w:tcPr>
                  <w:tcW w:w="26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4D957D">
                  <w:pPr>
                    <w:pStyle w:val="4"/>
                    <w:jc w:val="both"/>
                  </w:pPr>
                  <w:r>
                    <w:rPr>
                      <w:rFonts w:ascii="仿宋_GB2312" w:hAnsi="仿宋_GB2312" w:eastAsia="仿宋_GB2312" w:cs="仿宋_GB2312"/>
                      <w:sz w:val="28"/>
                    </w:rPr>
                    <w:t>因点位方停业、停电、装修、搬迁，市政停电，极端天气等非供应商原因导致离线，供应商未在48小时内报障并跟进修复的，每次扣1分（单个考核周期扣分上限9分）。</w:t>
                  </w:r>
                </w:p>
              </w:tc>
              <w:tc>
                <w:tcPr>
                  <w:tcW w:w="13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325CD3">
                  <w:pPr>
                    <w:pStyle w:val="4"/>
                    <w:jc w:val="both"/>
                  </w:pPr>
                  <w:r>
                    <w:rPr>
                      <w:rFonts w:ascii="仿宋_GB2312" w:hAnsi="仿宋_GB2312" w:eastAsia="仿宋_GB2312" w:cs="仿宋_GB2312"/>
                      <w:sz w:val="28"/>
                    </w:rPr>
                    <w:t>已报障并持续跟进修复的不扣分。</w:t>
                  </w:r>
                </w:p>
              </w:tc>
            </w:tr>
            <w:tr w14:paraId="02931B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9"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A51362">
                  <w:pPr>
                    <w:pStyle w:val="4"/>
                    <w:jc w:val="both"/>
                  </w:pPr>
                  <w:r>
                    <w:rPr>
                      <w:rFonts w:ascii="仿宋_GB2312" w:hAnsi="仿宋_GB2312" w:eastAsia="仿宋_GB2312" w:cs="仿宋_GB2312"/>
                      <w:sz w:val="28"/>
                    </w:rPr>
                    <w:t>2</w:t>
                  </w:r>
                </w:p>
              </w:tc>
              <w:tc>
                <w:tcPr>
                  <w:tcW w:w="98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D11D58">
                  <w:pPr>
                    <w:pStyle w:val="4"/>
                    <w:jc w:val="both"/>
                  </w:pPr>
                  <w:r>
                    <w:rPr>
                      <w:rFonts w:ascii="仿宋_GB2312" w:hAnsi="仿宋_GB2312" w:eastAsia="仿宋_GB2312" w:cs="仿宋_GB2312"/>
                      <w:sz w:val="28"/>
                    </w:rPr>
                    <w:t>运维管理（24分）</w:t>
                  </w:r>
                </w:p>
              </w:tc>
              <w:tc>
                <w:tcPr>
                  <w:tcW w:w="26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36068F">
                  <w:pPr>
                    <w:pStyle w:val="4"/>
                    <w:jc w:val="both"/>
                  </w:pPr>
                  <w:r>
                    <w:rPr>
                      <w:rFonts w:ascii="仿宋_GB2312" w:hAnsi="仿宋_GB2312" w:eastAsia="仿宋_GB2312" w:cs="仿宋_GB2312"/>
                      <w:sz w:val="28"/>
                    </w:rPr>
                    <w:t>未按要求完成月度远程巡检（覆盖率100%）或季度现场巡检（每年不少于3次）的，每缺一次扣4分（单个考核周期扣分上限12分）。</w:t>
                  </w:r>
                </w:p>
              </w:tc>
              <w:tc>
                <w:tcPr>
                  <w:tcW w:w="13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21A5FD">
                  <w:pPr>
                    <w:pStyle w:val="4"/>
                    <w:jc w:val="both"/>
                  </w:pPr>
                  <w:r>
                    <w:rPr>
                      <w:rFonts w:ascii="仿宋_GB2312" w:hAnsi="仿宋_GB2312" w:eastAsia="仿宋_GB2312" w:cs="仿宋_GB2312"/>
                      <w:sz w:val="28"/>
                    </w:rPr>
                    <w:t>歇业期间点位无法进入的，现场巡检顺延至可通达时执行。</w:t>
                  </w:r>
                </w:p>
              </w:tc>
            </w:tr>
            <w:tr w14:paraId="453058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9" w:type="dxa"/>
                  <w:vMerge w:val="continue"/>
                  <w:tcBorders>
                    <w:top w:val="nil"/>
                    <w:left w:val="single" w:color="000000" w:sz="4" w:space="0"/>
                    <w:bottom w:val="single" w:color="000000" w:sz="4" w:space="0"/>
                    <w:right w:val="single" w:color="000000" w:sz="4" w:space="0"/>
                  </w:tcBorders>
                </w:tcPr>
                <w:p w14:paraId="506CC7C8"/>
              </w:tc>
              <w:tc>
                <w:tcPr>
                  <w:tcW w:w="980" w:type="dxa"/>
                  <w:vMerge w:val="continue"/>
                  <w:tcBorders>
                    <w:top w:val="nil"/>
                    <w:left w:val="single" w:color="000000" w:sz="4" w:space="0"/>
                    <w:bottom w:val="single" w:color="000000" w:sz="4" w:space="0"/>
                    <w:right w:val="single" w:color="000000" w:sz="4" w:space="0"/>
                  </w:tcBorders>
                </w:tcPr>
                <w:p w14:paraId="35BFDDD1"/>
              </w:tc>
              <w:tc>
                <w:tcPr>
                  <w:tcW w:w="26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D2EBF4">
                  <w:pPr>
                    <w:pStyle w:val="4"/>
                    <w:jc w:val="both"/>
                  </w:pPr>
                  <w:r>
                    <w:rPr>
                      <w:rFonts w:ascii="仿宋_GB2312" w:hAnsi="仿宋_GB2312" w:eastAsia="仿宋_GB2312" w:cs="仿宋_GB2312"/>
                      <w:sz w:val="28"/>
                    </w:rPr>
                    <w:t>未在每月5日前提交运行月报的，每次扣2分（该项单个考核周期扣分上限12分）。</w:t>
                  </w:r>
                </w:p>
              </w:tc>
              <w:tc>
                <w:tcPr>
                  <w:tcW w:w="13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323E20">
                  <w:pPr>
                    <w:pStyle w:val="4"/>
                    <w:jc w:val="both"/>
                  </w:pPr>
                </w:p>
              </w:tc>
            </w:tr>
            <w:tr w14:paraId="5DC19C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9"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C8FEEA">
                  <w:pPr>
                    <w:pStyle w:val="4"/>
                    <w:jc w:val="both"/>
                  </w:pPr>
                  <w:r>
                    <w:rPr>
                      <w:rFonts w:ascii="仿宋_GB2312" w:hAnsi="仿宋_GB2312" w:eastAsia="仿宋_GB2312" w:cs="仿宋_GB2312"/>
                      <w:sz w:val="28"/>
                    </w:rPr>
                    <w:t>3</w:t>
                  </w:r>
                </w:p>
              </w:tc>
              <w:tc>
                <w:tcPr>
                  <w:tcW w:w="98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371EAB">
                  <w:pPr>
                    <w:pStyle w:val="4"/>
                    <w:jc w:val="both"/>
                  </w:pPr>
                  <w:r>
                    <w:rPr>
                      <w:rFonts w:ascii="仿宋_GB2312" w:hAnsi="仿宋_GB2312" w:eastAsia="仿宋_GB2312" w:cs="仿宋_GB2312"/>
                      <w:sz w:val="28"/>
                    </w:rPr>
                    <w:t>应急处突（25分）</w:t>
                  </w:r>
                </w:p>
              </w:tc>
              <w:tc>
                <w:tcPr>
                  <w:tcW w:w="26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BC7EED">
                  <w:pPr>
                    <w:pStyle w:val="4"/>
                    <w:jc w:val="both"/>
                  </w:pPr>
                  <w:r>
                    <w:rPr>
                      <w:rFonts w:ascii="仿宋_GB2312" w:hAnsi="仿宋_GB2312" w:eastAsia="仿宋_GB2312" w:cs="仿宋_GB2312"/>
                      <w:sz w:val="28"/>
                    </w:rPr>
                    <w:t>电话、远程支持未在60分钟内响应，或未在48小时内到场的，每次扣2分（单个考核周期扣分上限10分）。</w:t>
                  </w:r>
                </w:p>
              </w:tc>
              <w:tc>
                <w:tcPr>
                  <w:tcW w:w="13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B99EAF">
                  <w:pPr>
                    <w:pStyle w:val="4"/>
                    <w:jc w:val="both"/>
                  </w:pPr>
                  <w:r>
                    <w:rPr>
                      <w:rFonts w:ascii="仿宋_GB2312" w:hAnsi="仿宋_GB2312" w:eastAsia="仿宋_GB2312" w:cs="仿宋_GB2312"/>
                      <w:sz w:val="28"/>
                    </w:rPr>
                    <w:t>极端天气、道路中断等客观原因无法到场的，报备后顺延。</w:t>
                  </w:r>
                </w:p>
              </w:tc>
            </w:tr>
            <w:tr w14:paraId="58E1DF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9" w:type="dxa"/>
                  <w:vMerge w:val="continue"/>
                  <w:tcBorders>
                    <w:top w:val="nil"/>
                    <w:left w:val="single" w:color="000000" w:sz="4" w:space="0"/>
                    <w:bottom w:val="single" w:color="000000" w:sz="4" w:space="0"/>
                    <w:right w:val="single" w:color="000000" w:sz="4" w:space="0"/>
                  </w:tcBorders>
                </w:tcPr>
                <w:p w14:paraId="54391A9D"/>
              </w:tc>
              <w:tc>
                <w:tcPr>
                  <w:tcW w:w="980" w:type="dxa"/>
                  <w:vMerge w:val="continue"/>
                  <w:tcBorders>
                    <w:top w:val="nil"/>
                    <w:left w:val="single" w:color="000000" w:sz="4" w:space="0"/>
                    <w:bottom w:val="single" w:color="000000" w:sz="4" w:space="0"/>
                    <w:right w:val="single" w:color="000000" w:sz="4" w:space="0"/>
                  </w:tcBorders>
                </w:tcPr>
                <w:p w14:paraId="2BBCA548"/>
              </w:tc>
              <w:tc>
                <w:tcPr>
                  <w:tcW w:w="26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226CFA">
                  <w:pPr>
                    <w:pStyle w:val="4"/>
                    <w:jc w:val="both"/>
                  </w:pPr>
                  <w:r>
                    <w:rPr>
                      <w:rFonts w:ascii="仿宋_GB2312" w:hAnsi="仿宋_GB2312" w:eastAsia="仿宋_GB2312" w:cs="仿宋_GB2312"/>
                      <w:sz w:val="28"/>
                    </w:rPr>
                    <w:t>一般故障超过48小时，重大故障（5个及以上点位同时离线或平台故障）超过72小时未修复的，每次扣3分（单个考核周期扣分上限15分）。</w:t>
                  </w:r>
                </w:p>
              </w:tc>
              <w:tc>
                <w:tcPr>
                  <w:tcW w:w="13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76D3FB">
                  <w:pPr>
                    <w:pStyle w:val="4"/>
                    <w:jc w:val="both"/>
                  </w:pPr>
                  <w:r>
                    <w:rPr>
                      <w:rFonts w:ascii="仿宋_GB2312" w:hAnsi="仿宋_GB2312" w:eastAsia="仿宋_GB2312" w:cs="仿宋_GB2312"/>
                      <w:sz w:val="28"/>
                    </w:rPr>
                    <w:t>需点位方配合停电、备件采购等客观原因导致的延期，报备后顺延。</w:t>
                  </w:r>
                </w:p>
              </w:tc>
            </w:tr>
            <w:tr w14:paraId="7652E3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529080">
                  <w:pPr>
                    <w:pStyle w:val="4"/>
                    <w:jc w:val="both"/>
                  </w:pPr>
                  <w:r>
                    <w:rPr>
                      <w:rFonts w:ascii="仿宋_GB2312" w:hAnsi="仿宋_GB2312" w:eastAsia="仿宋_GB2312" w:cs="仿宋_GB2312"/>
                      <w:sz w:val="28"/>
                    </w:rPr>
                    <w:t>4</w:t>
                  </w:r>
                </w:p>
              </w:tc>
              <w:tc>
                <w:tcPr>
                  <w:tcW w:w="9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F0C990">
                  <w:pPr>
                    <w:pStyle w:val="4"/>
                    <w:jc w:val="both"/>
                  </w:pPr>
                  <w:r>
                    <w:rPr>
                      <w:rFonts w:ascii="仿宋_GB2312" w:hAnsi="仿宋_GB2312" w:eastAsia="仿宋_GB2312" w:cs="仿宋_GB2312"/>
                      <w:sz w:val="28"/>
                    </w:rPr>
                    <w:t>图像质量（20分）</w:t>
                  </w:r>
                </w:p>
              </w:tc>
              <w:tc>
                <w:tcPr>
                  <w:tcW w:w="26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F60DBE">
                  <w:pPr>
                    <w:pStyle w:val="4"/>
                    <w:jc w:val="both"/>
                  </w:pPr>
                  <w:r>
                    <w:rPr>
                      <w:rFonts w:ascii="仿宋_GB2312" w:hAnsi="仿宋_GB2312" w:eastAsia="仿宋_GB2312" w:cs="仿宋_GB2312"/>
                      <w:sz w:val="28"/>
                    </w:rPr>
                    <w:t>月度图像抽检（不低于点位总数10%）中画面不清、遮挡、偏色、录像不完整的，合格率低于95%的，每低1个百分点扣2分（单个考核周期扣分上限20分）。</w:t>
                  </w:r>
                </w:p>
              </w:tc>
              <w:tc>
                <w:tcPr>
                  <w:tcW w:w="13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AE26DF">
                  <w:pPr>
                    <w:pStyle w:val="4"/>
                    <w:jc w:val="both"/>
                  </w:pPr>
                  <w:r>
                    <w:rPr>
                      <w:rFonts w:ascii="仿宋_GB2312" w:hAnsi="仿宋_GB2312" w:eastAsia="仿宋_GB2312" w:cs="仿宋_GB2312"/>
                      <w:sz w:val="28"/>
                    </w:rPr>
                    <w:t>歇业闭店期间无法抽检的点位不纳入当期抽检基数。</w:t>
                  </w:r>
                </w:p>
              </w:tc>
            </w:tr>
          </w:tbl>
          <w:p w14:paraId="76CAA816">
            <w:pPr>
              <w:pStyle w:val="4"/>
              <w:ind w:firstLine="560"/>
              <w:jc w:val="both"/>
            </w:pPr>
            <w:r>
              <w:rPr>
                <w:rFonts w:ascii="仿宋_GB2312" w:hAnsi="仿宋_GB2312" w:eastAsia="仿宋_GB2312" w:cs="仿宋_GB2312"/>
                <w:sz w:val="28"/>
              </w:rPr>
              <w:t>备注：</w:t>
            </w:r>
          </w:p>
          <w:p w14:paraId="309F3DC1">
            <w:pPr>
              <w:pStyle w:val="4"/>
              <w:ind w:firstLine="560"/>
              <w:jc w:val="left"/>
            </w:pPr>
            <w:r>
              <w:rPr>
                <w:rFonts w:ascii="仿宋_GB2312" w:hAnsi="仿宋_GB2312" w:eastAsia="仿宋_GB2312" w:cs="仿宋_GB2312"/>
                <w:sz w:val="28"/>
              </w:rPr>
              <w:t>①该表满分100分，实行扣分考核制，考核周期为一年，每年度只考核一次，年度考核于每一年服务到期当日组织实施。考核得分＝100分－扣分总数＋加分总数（加分总数不超过扣分总数）。</w:t>
            </w:r>
          </w:p>
          <w:p w14:paraId="71717B7E">
            <w:pPr>
              <w:pStyle w:val="4"/>
              <w:ind w:firstLine="560"/>
              <w:jc w:val="left"/>
            </w:pPr>
            <w:r>
              <w:rPr>
                <w:rFonts w:ascii="仿宋_GB2312" w:hAnsi="仿宋_GB2312" w:eastAsia="仿宋_GB2312" w:cs="仿宋_GB2312"/>
                <w:sz w:val="28"/>
              </w:rPr>
              <w:t>②本项目实行年度考核、年度结算，不实行季度考核。每年度服务费的</w:t>
            </w:r>
            <w:r>
              <w:rPr>
                <w:rFonts w:ascii="仿宋_GB2312" w:hAnsi="仿宋_GB2312" w:eastAsia="仿宋_GB2312" w:cs="仿宋_GB2312"/>
                <w:b/>
                <w:sz w:val="28"/>
              </w:rPr>
              <w:t>5%</w:t>
            </w:r>
            <w:r>
              <w:rPr>
                <w:rFonts w:ascii="仿宋_GB2312" w:hAnsi="仿宋_GB2312" w:eastAsia="仿宋_GB2312" w:cs="仿宋_GB2312"/>
                <w:sz w:val="28"/>
              </w:rPr>
              <w:t>作为年度考核金，其余部分按合同约定支付。年度考核完成后，年度考核金按下列公式据实折算支付：实付考核金＝年度考核金×（年度考核得分÷100）；年度考核得分90分（含）以上的，年度考核金全额支付。</w:t>
            </w:r>
          </w:p>
          <w:p w14:paraId="3E681323">
            <w:pPr>
              <w:pStyle w:val="4"/>
              <w:ind w:firstLine="560"/>
              <w:jc w:val="left"/>
            </w:pPr>
            <w:r>
              <w:rPr>
                <w:rFonts w:ascii="仿宋_GB2312" w:hAnsi="仿宋_GB2312" w:eastAsia="仿宋_GB2312" w:cs="仿宋_GB2312"/>
                <w:sz w:val="28"/>
              </w:rPr>
              <w:t>③考核时段以购物点实际公示营业时间为准；每日闭店断电时段及冬季歇业期间（以采购人书面通知为准）的摄像头离线不纳入考核，相应指标不扣分。</w:t>
            </w:r>
          </w:p>
          <w:p w14:paraId="48EBBF22">
            <w:pPr>
              <w:pStyle w:val="4"/>
              <w:ind w:firstLine="560"/>
              <w:jc w:val="left"/>
            </w:pPr>
            <w:r>
              <w:rPr>
                <w:rFonts w:ascii="仿宋_GB2312" w:hAnsi="仿宋_GB2312" w:eastAsia="仿宋_GB2312" w:cs="仿宋_GB2312"/>
                <w:sz w:val="28"/>
              </w:rPr>
              <w:t>④因购物点停业、停电、装修、搬迁，市政停电，极端天气等非供应商原因导致的离线，经报备或及时跟进修复的不扣分，亦不作为中止合同的依据。</w:t>
            </w:r>
          </w:p>
          <w:p w14:paraId="10A9FAF4">
            <w:pPr>
              <w:pStyle w:val="4"/>
              <w:ind w:firstLine="560"/>
              <w:jc w:val="left"/>
            </w:pPr>
            <w:r>
              <w:rPr>
                <w:rFonts w:ascii="仿宋_GB2312" w:hAnsi="仿宋_GB2312" w:eastAsia="仿宋_GB2312" w:cs="仿宋_GB2312"/>
                <w:sz w:val="28"/>
              </w:rPr>
              <w:t>⑤供应商运维工作受到县级及以上单位书面表扬通报的，每个考核年度加2分（同一表扬事项仅加分1次）。</w:t>
            </w:r>
          </w:p>
          <w:p w14:paraId="00C255C0">
            <w:pPr>
              <w:pStyle w:val="4"/>
              <w:ind w:firstLine="560"/>
              <w:jc w:val="left"/>
            </w:pPr>
            <w:r>
              <w:rPr>
                <w:rFonts w:ascii="仿宋_GB2312" w:hAnsi="仿宋_GB2312" w:eastAsia="仿宋_GB2312" w:cs="仿宋_GB2312"/>
                <w:sz w:val="28"/>
              </w:rPr>
              <w:t>⑥签订合同时间未在考核期内的指标，不扣分。</w:t>
            </w:r>
          </w:p>
          <w:p w14:paraId="51AEB5AC">
            <w:pPr>
              <w:pStyle w:val="4"/>
              <w:ind w:firstLine="560"/>
              <w:jc w:val="both"/>
            </w:pPr>
            <w:r>
              <w:rPr>
                <w:rFonts w:ascii="仿宋_GB2312" w:hAnsi="仿宋_GB2312" w:eastAsia="仿宋_GB2312" w:cs="仿宋_GB2312"/>
                <w:sz w:val="28"/>
              </w:rPr>
              <w:t>（2）年度考核计算方法：</w:t>
            </w:r>
          </w:p>
          <w:p w14:paraId="4FA06D08">
            <w:pPr>
              <w:pStyle w:val="4"/>
              <w:ind w:firstLine="560"/>
              <w:jc w:val="both"/>
            </w:pPr>
            <w:r>
              <w:rPr>
                <w:rFonts w:ascii="仿宋_GB2312" w:hAnsi="仿宋_GB2312" w:eastAsia="仿宋_GB2312" w:cs="仿宋_GB2312"/>
                <w:sz w:val="28"/>
              </w:rPr>
              <w:t>①优秀：得分≥90分；</w:t>
            </w:r>
          </w:p>
          <w:p w14:paraId="0EEEA0B5">
            <w:pPr>
              <w:pStyle w:val="4"/>
              <w:ind w:firstLine="560"/>
              <w:jc w:val="both"/>
            </w:pPr>
            <w:r>
              <w:rPr>
                <w:rFonts w:ascii="仿宋_GB2312" w:hAnsi="仿宋_GB2312" w:eastAsia="仿宋_GB2312" w:cs="仿宋_GB2312"/>
                <w:sz w:val="28"/>
              </w:rPr>
              <w:t>②良好：80分≤得分＜90分；</w:t>
            </w:r>
          </w:p>
          <w:p w14:paraId="494E09AD">
            <w:pPr>
              <w:pStyle w:val="4"/>
              <w:ind w:firstLine="560"/>
              <w:jc w:val="both"/>
            </w:pPr>
            <w:r>
              <w:rPr>
                <w:rFonts w:ascii="仿宋_GB2312" w:hAnsi="仿宋_GB2312" w:eastAsia="仿宋_GB2312" w:cs="仿宋_GB2312"/>
                <w:sz w:val="28"/>
              </w:rPr>
              <w:t>③合格：60分≤得分＜80分；</w:t>
            </w:r>
          </w:p>
          <w:p w14:paraId="2CBAB88A">
            <w:pPr>
              <w:pStyle w:val="4"/>
              <w:ind w:firstLine="560"/>
              <w:jc w:val="both"/>
            </w:pPr>
            <w:r>
              <w:rPr>
                <w:rFonts w:ascii="仿宋_GB2312" w:hAnsi="仿宋_GB2312" w:eastAsia="仿宋_GB2312" w:cs="仿宋_GB2312"/>
                <w:sz w:val="28"/>
              </w:rPr>
              <w:t>④不合格：得分＜60分。</w:t>
            </w:r>
          </w:p>
          <w:p w14:paraId="09695A89">
            <w:pPr>
              <w:pStyle w:val="4"/>
              <w:ind w:firstLine="560"/>
              <w:jc w:val="both"/>
            </w:pPr>
            <w:r>
              <w:rPr>
                <w:rFonts w:ascii="仿宋_GB2312" w:hAnsi="仿宋_GB2312" w:eastAsia="仿宋_GB2312" w:cs="仿宋_GB2312"/>
                <w:sz w:val="28"/>
              </w:rPr>
              <w:t>（3）考核程序</w:t>
            </w:r>
          </w:p>
          <w:p w14:paraId="3936C66A">
            <w:pPr>
              <w:pStyle w:val="4"/>
              <w:ind w:firstLine="560"/>
              <w:jc w:val="both"/>
            </w:pPr>
            <w:r>
              <w:rPr>
                <w:rFonts w:ascii="仿宋_GB2312" w:hAnsi="仿宋_GB2312" w:eastAsia="仿宋_GB2312" w:cs="仿宋_GB2312"/>
                <w:sz w:val="28"/>
              </w:rPr>
              <w:t>年度考核由采购人于每一年服务到期当日组织实施，每年度考核一次。采购人应在年度考核结束后10个工作日内将考核结果书面通知供应商。</w:t>
            </w:r>
          </w:p>
          <w:p w14:paraId="1314EEC7">
            <w:pPr>
              <w:pStyle w:val="4"/>
              <w:ind w:firstLine="560"/>
              <w:jc w:val="both"/>
            </w:pPr>
            <w:r>
              <w:rPr>
                <w:rFonts w:ascii="仿宋_GB2312" w:hAnsi="仿宋_GB2312" w:eastAsia="仿宋_GB2312" w:cs="仿宋_GB2312"/>
                <w:sz w:val="28"/>
              </w:rPr>
              <w:t>供应商对考核结果有异议的，可在收到通知后5个工作日内书面提出复核申请，采购人应在收到复核申请后10个工作日内复核并反馈。</w:t>
            </w:r>
          </w:p>
          <w:p w14:paraId="4580F75A">
            <w:pPr>
              <w:pStyle w:val="4"/>
              <w:ind w:firstLine="560"/>
              <w:jc w:val="both"/>
            </w:pPr>
            <w:r>
              <w:rPr>
                <w:rFonts w:ascii="仿宋_GB2312" w:hAnsi="仿宋_GB2312" w:eastAsia="仿宋_GB2312" w:cs="仿宋_GB2312"/>
                <w:sz w:val="28"/>
              </w:rPr>
              <w:t>（4）考核结果应用</w:t>
            </w:r>
          </w:p>
          <w:p w14:paraId="061DEF86">
            <w:pPr>
              <w:pStyle w:val="4"/>
              <w:ind w:firstLine="560"/>
              <w:jc w:val="both"/>
            </w:pPr>
            <w:r>
              <w:rPr>
                <w:rFonts w:ascii="仿宋_GB2312" w:hAnsi="仿宋_GB2312" w:eastAsia="仿宋_GB2312" w:cs="仿宋_GB2312"/>
                <w:sz w:val="28"/>
              </w:rPr>
              <w:t>①年度考核结果为合格及以上等次的，按约定续签下一年度服务合同。</w:t>
            </w:r>
          </w:p>
          <w:p w14:paraId="01734730">
            <w:pPr>
              <w:pStyle w:val="4"/>
              <w:ind w:firstLine="560"/>
              <w:jc w:val="both"/>
            </w:pPr>
            <w:r>
              <w:rPr>
                <w:rFonts w:ascii="仿宋_GB2312" w:hAnsi="仿宋_GB2312" w:eastAsia="仿宋_GB2312" w:cs="仿宋_GB2312"/>
                <w:sz w:val="28"/>
              </w:rPr>
              <w:t>②年度考核不合格的，采购人向供应商发出书面整改通知，供应商应在30日内提交整改方案并限期完成整改。整改期满后，采购人组织复评：a.复评合格的，可续签下一年度合同；b.复评仍不合格的，采购人有权不再续签下一年度合同。</w:t>
            </w:r>
          </w:p>
          <w:p w14:paraId="3F90B85C">
            <w:pPr>
              <w:pStyle w:val="4"/>
              <w:ind w:firstLine="560"/>
              <w:jc w:val="both"/>
            </w:pPr>
            <w:r>
              <w:rPr>
                <w:rFonts w:ascii="仿宋_GB2312" w:hAnsi="仿宋_GB2312" w:eastAsia="仿宋_GB2312" w:cs="仿宋_GB2312"/>
                <w:sz w:val="28"/>
              </w:rPr>
              <w:t>③考核结果作为合同续签、履约管理和年度考核金支付折算的依据。供应商违约责任的承担，按合同违约责任条款执行。</w:t>
            </w:r>
          </w:p>
          <w:p w14:paraId="41A68181">
            <w:pPr>
              <w:pStyle w:val="4"/>
              <w:ind w:firstLine="560"/>
              <w:jc w:val="both"/>
            </w:pPr>
            <w:r>
              <w:rPr>
                <w:rFonts w:ascii="仿宋_GB2312" w:hAnsi="仿宋_GB2312" w:eastAsia="仿宋_GB2312" w:cs="仿宋_GB2312"/>
                <w:sz w:val="28"/>
              </w:rPr>
              <w:t>（5）其他</w:t>
            </w:r>
          </w:p>
          <w:p w14:paraId="618A4861">
            <w:pPr>
              <w:pStyle w:val="4"/>
              <w:ind w:firstLine="560"/>
              <w:jc w:val="both"/>
            </w:pPr>
            <w:r>
              <w:rPr>
                <w:rFonts w:ascii="仿宋_GB2312" w:hAnsi="仿宋_GB2312" w:eastAsia="仿宋_GB2312" w:cs="仿宋_GB2312"/>
                <w:sz w:val="28"/>
              </w:rPr>
              <w:t>本考核办法及退出机制作为采购文件和采购合同的组成部分，自合同签订之日起执行。</w:t>
            </w:r>
          </w:p>
          <w:p w14:paraId="3CA692FD">
            <w:pPr>
              <w:pStyle w:val="4"/>
              <w:ind w:firstLine="560"/>
              <w:jc w:val="both"/>
            </w:pPr>
            <w:r>
              <w:rPr>
                <w:rFonts w:ascii="仿宋_GB2312" w:hAnsi="仿宋_GB2312" w:eastAsia="仿宋_GB2312" w:cs="仿宋_GB2312"/>
                <w:sz w:val="28"/>
              </w:rPr>
              <w:t>购物点歇业、闭店断电等非供应商原因且按约定报备豁免的事项，不计入扣分，亦不作为中止合同的依据。</w:t>
            </w:r>
          </w:p>
          <w:p w14:paraId="6D13692D">
            <w:pPr>
              <w:pStyle w:val="4"/>
              <w:jc w:val="both"/>
            </w:pPr>
            <w:r>
              <w:rPr>
                <w:rFonts w:ascii="仿宋_GB2312" w:hAnsi="仿宋_GB2312" w:eastAsia="仿宋_GB2312" w:cs="仿宋_GB2312"/>
                <w:b/>
                <w:sz w:val="28"/>
              </w:rPr>
              <w:t>（三）设备及系统采购要求：</w:t>
            </w:r>
          </w:p>
          <w:p w14:paraId="04E77DC0">
            <w:pPr>
              <w:pStyle w:val="4"/>
              <w:ind w:firstLine="552"/>
              <w:jc w:val="both"/>
            </w:pPr>
            <w:r>
              <w:rPr>
                <w:rFonts w:ascii="仿宋_GB2312" w:hAnsi="仿宋_GB2312" w:eastAsia="仿宋_GB2312" w:cs="仿宋_GB2312"/>
                <w:sz w:val="28"/>
              </w:rPr>
              <w:t>★1.本次项目实施主要针对川主寺镇旅游购物场所监测体系进行建设，川主寺镇为区域旅游集散中心，辖区购物场所密集、消费活动频繁。现有监控平台设备老旧，不具备音频采集能力，收银及交易环节的语音交互无法同步记录与追溯。本次建设以辖区48家购物点为核心，围绕收银台、交易区、购物区及消费动线等高价值场景，部署音视频同步采集设备350路，构建全天候、全场景的川主旅游智慧监管平台，实现交易全过程“可视、可听、可追溯”，为化解消费纠纷、规范收银行为提供完整有效的音视频证据链，为消费者营造安全可信的购物环境，提升旅游市场秩序与政府监管效能。</w:t>
            </w:r>
          </w:p>
          <w:p w14:paraId="306DF40B">
            <w:pPr>
              <w:pStyle w:val="4"/>
              <w:ind w:firstLine="552"/>
              <w:jc w:val="both"/>
            </w:pPr>
            <w:r>
              <w:rPr>
                <w:rFonts w:ascii="仿宋_GB2312" w:hAnsi="仿宋_GB2312" w:eastAsia="仿宋_GB2312" w:cs="仿宋_GB2312"/>
                <w:sz w:val="28"/>
              </w:rPr>
              <w:t>主要内容如下：</w:t>
            </w:r>
          </w:p>
          <w:p w14:paraId="6FB3B4C4">
            <w:pPr>
              <w:pStyle w:val="4"/>
              <w:ind w:firstLine="552"/>
              <w:jc w:val="center"/>
            </w:pPr>
            <w:r>
              <w:rPr>
                <w:rFonts w:ascii="仿宋_GB2312" w:hAnsi="仿宋_GB2312" w:eastAsia="仿宋_GB2312" w:cs="仿宋_GB2312"/>
                <w:b/>
                <w:sz w:val="28"/>
              </w:rPr>
              <w:t>设备及系统汇总表</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984"/>
              <w:gridCol w:w="2802"/>
              <w:gridCol w:w="892"/>
              <w:gridCol w:w="915"/>
            </w:tblGrid>
            <w:tr w14:paraId="50BC40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single" w:color="000000" w:sz="4" w:space="0"/>
                    <w:left w:val="single" w:color="000000" w:sz="4" w:space="0"/>
                    <w:bottom w:val="single" w:color="000000" w:sz="4" w:space="0"/>
                    <w:right w:val="single" w:color="000000" w:sz="4" w:space="0"/>
                  </w:tcBorders>
                  <w:shd w:val="clear" w:color="auto" w:fill="A6A6A6"/>
                  <w:tcMar>
                    <w:top w:w="0" w:type="dxa"/>
                    <w:left w:w="105" w:type="dxa"/>
                    <w:bottom w:w="0" w:type="dxa"/>
                    <w:right w:w="105" w:type="dxa"/>
                  </w:tcMar>
                  <w:vAlign w:val="top"/>
                </w:tcPr>
                <w:p w14:paraId="50E5778F">
                  <w:pPr>
                    <w:pStyle w:val="4"/>
                    <w:jc w:val="center"/>
                  </w:pPr>
                  <w:r>
                    <w:rPr>
                      <w:rFonts w:ascii="仿宋_GB2312" w:hAnsi="仿宋_GB2312" w:eastAsia="仿宋_GB2312" w:cs="仿宋_GB2312"/>
                      <w:b/>
                      <w:color w:val="000000"/>
                      <w:sz w:val="28"/>
                    </w:rPr>
                    <w:t>序号</w:t>
                  </w:r>
                </w:p>
              </w:tc>
              <w:tc>
                <w:tcPr>
                  <w:tcW w:w="2806" w:type="dxa"/>
                  <w:tcBorders>
                    <w:top w:val="single" w:color="000000" w:sz="4" w:space="0"/>
                    <w:left w:val="nil"/>
                    <w:bottom w:val="single" w:color="000000" w:sz="4" w:space="0"/>
                    <w:right w:val="single" w:color="000000" w:sz="4" w:space="0"/>
                  </w:tcBorders>
                  <w:shd w:val="clear" w:color="auto" w:fill="A6A6A6"/>
                  <w:tcMar>
                    <w:top w:w="0" w:type="dxa"/>
                    <w:left w:w="105" w:type="dxa"/>
                    <w:bottom w:w="0" w:type="dxa"/>
                    <w:right w:w="105" w:type="dxa"/>
                  </w:tcMar>
                  <w:vAlign w:val="top"/>
                </w:tcPr>
                <w:p w14:paraId="4B4C6469">
                  <w:pPr>
                    <w:pStyle w:val="4"/>
                    <w:jc w:val="center"/>
                  </w:pPr>
                  <w:r>
                    <w:rPr>
                      <w:rFonts w:ascii="仿宋_GB2312" w:hAnsi="仿宋_GB2312" w:eastAsia="仿宋_GB2312" w:cs="仿宋_GB2312"/>
                      <w:b/>
                      <w:sz w:val="28"/>
                    </w:rPr>
                    <w:t>设备及系统名称</w:t>
                  </w:r>
                </w:p>
              </w:tc>
              <w:tc>
                <w:tcPr>
                  <w:tcW w:w="893" w:type="dxa"/>
                  <w:tcBorders>
                    <w:top w:val="single" w:color="000000" w:sz="4" w:space="0"/>
                    <w:left w:val="nil"/>
                    <w:bottom w:val="single" w:color="000000" w:sz="4" w:space="0"/>
                    <w:right w:val="single" w:color="000000" w:sz="4" w:space="0"/>
                  </w:tcBorders>
                  <w:shd w:val="clear" w:color="auto" w:fill="A6A6A6"/>
                  <w:tcMar>
                    <w:top w:w="0" w:type="dxa"/>
                    <w:left w:w="105" w:type="dxa"/>
                    <w:bottom w:w="0" w:type="dxa"/>
                    <w:right w:w="105" w:type="dxa"/>
                  </w:tcMar>
                  <w:vAlign w:val="top"/>
                </w:tcPr>
                <w:p w14:paraId="0AEB9250">
                  <w:pPr>
                    <w:pStyle w:val="4"/>
                    <w:jc w:val="center"/>
                  </w:pPr>
                  <w:r>
                    <w:rPr>
                      <w:rFonts w:ascii="仿宋_GB2312" w:hAnsi="仿宋_GB2312" w:eastAsia="仿宋_GB2312" w:cs="仿宋_GB2312"/>
                      <w:b/>
                      <w:color w:val="000000"/>
                      <w:sz w:val="28"/>
                    </w:rPr>
                    <w:t>单位</w:t>
                  </w:r>
                </w:p>
              </w:tc>
              <w:tc>
                <w:tcPr>
                  <w:tcW w:w="915" w:type="dxa"/>
                  <w:tcBorders>
                    <w:top w:val="single" w:color="000000" w:sz="4" w:space="0"/>
                    <w:left w:val="nil"/>
                    <w:bottom w:val="single" w:color="000000" w:sz="4" w:space="0"/>
                    <w:right w:val="single" w:color="000000" w:sz="4" w:space="0"/>
                  </w:tcBorders>
                  <w:shd w:val="clear" w:color="auto" w:fill="A6A6A6"/>
                  <w:tcMar>
                    <w:top w:w="0" w:type="dxa"/>
                    <w:left w:w="105" w:type="dxa"/>
                    <w:bottom w:w="0" w:type="dxa"/>
                    <w:right w:w="105" w:type="dxa"/>
                  </w:tcMar>
                  <w:vAlign w:val="top"/>
                </w:tcPr>
                <w:p w14:paraId="6F97122A">
                  <w:pPr>
                    <w:pStyle w:val="4"/>
                    <w:jc w:val="center"/>
                  </w:pPr>
                  <w:r>
                    <w:rPr>
                      <w:rFonts w:ascii="仿宋_GB2312" w:hAnsi="仿宋_GB2312" w:eastAsia="仿宋_GB2312" w:cs="仿宋_GB2312"/>
                      <w:b/>
                      <w:color w:val="000000"/>
                      <w:sz w:val="28"/>
                    </w:rPr>
                    <w:t>数量</w:t>
                  </w:r>
                </w:p>
              </w:tc>
            </w:tr>
            <w:tr w14:paraId="15C902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749DA0">
                  <w:pPr>
                    <w:pStyle w:val="4"/>
                    <w:jc w:val="left"/>
                  </w:pPr>
                  <w:r>
                    <w:rPr>
                      <w:rFonts w:ascii="仿宋_GB2312" w:hAnsi="仿宋_GB2312" w:eastAsia="仿宋_GB2312" w:cs="仿宋_GB2312"/>
                      <w:color w:val="000000"/>
                      <w:sz w:val="28"/>
                    </w:rPr>
                    <w:t>1</w:t>
                  </w:r>
                </w:p>
              </w:tc>
              <w:tc>
                <w:tcPr>
                  <w:tcW w:w="28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BC8688">
                  <w:pPr>
                    <w:pStyle w:val="4"/>
                    <w:jc w:val="left"/>
                  </w:pPr>
                  <w:r>
                    <w:rPr>
                      <w:rFonts w:ascii="仿宋_GB2312" w:hAnsi="仿宋_GB2312" w:eastAsia="仿宋_GB2312" w:cs="仿宋_GB2312"/>
                      <w:color w:val="000000"/>
                      <w:sz w:val="28"/>
                    </w:rPr>
                    <w:t>监控系统</w:t>
                  </w:r>
                </w:p>
              </w:tc>
              <w:tc>
                <w:tcPr>
                  <w:tcW w:w="8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11C416">
                  <w:pPr>
                    <w:pStyle w:val="4"/>
                    <w:jc w:val="left"/>
                  </w:pPr>
                  <w:r>
                    <w:rPr>
                      <w:rFonts w:ascii="仿宋_GB2312" w:hAnsi="仿宋_GB2312" w:eastAsia="仿宋_GB2312" w:cs="仿宋_GB2312"/>
                      <w:color w:val="000000"/>
                      <w:sz w:val="28"/>
                    </w:rPr>
                    <w:t>项</w:t>
                  </w:r>
                </w:p>
              </w:tc>
              <w:tc>
                <w:tcPr>
                  <w:tcW w:w="9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E5E151">
                  <w:pPr>
                    <w:pStyle w:val="4"/>
                    <w:jc w:val="left"/>
                  </w:pPr>
                  <w:r>
                    <w:rPr>
                      <w:rFonts w:ascii="仿宋_GB2312" w:hAnsi="仿宋_GB2312" w:eastAsia="仿宋_GB2312" w:cs="仿宋_GB2312"/>
                      <w:color w:val="000000"/>
                      <w:sz w:val="28"/>
                    </w:rPr>
                    <w:t>1</w:t>
                  </w:r>
                </w:p>
              </w:tc>
            </w:tr>
            <w:tr w14:paraId="02BCA1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E41487">
                  <w:pPr>
                    <w:pStyle w:val="4"/>
                    <w:jc w:val="left"/>
                  </w:pPr>
                  <w:r>
                    <w:rPr>
                      <w:rFonts w:ascii="仿宋_GB2312" w:hAnsi="仿宋_GB2312" w:eastAsia="仿宋_GB2312" w:cs="仿宋_GB2312"/>
                      <w:color w:val="000000"/>
                      <w:sz w:val="28"/>
                    </w:rPr>
                    <w:t>2</w:t>
                  </w:r>
                </w:p>
              </w:tc>
              <w:tc>
                <w:tcPr>
                  <w:tcW w:w="28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798B75">
                  <w:pPr>
                    <w:pStyle w:val="4"/>
                    <w:jc w:val="left"/>
                  </w:pPr>
                  <w:r>
                    <w:rPr>
                      <w:rFonts w:ascii="仿宋_GB2312" w:hAnsi="仿宋_GB2312" w:eastAsia="仿宋_GB2312" w:cs="仿宋_GB2312"/>
                      <w:color w:val="000000"/>
                      <w:sz w:val="28"/>
                    </w:rPr>
                    <w:t>半球网络摄像机</w:t>
                  </w:r>
                </w:p>
              </w:tc>
              <w:tc>
                <w:tcPr>
                  <w:tcW w:w="8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E26CA8">
                  <w:pPr>
                    <w:pStyle w:val="4"/>
                    <w:jc w:val="left"/>
                  </w:pPr>
                  <w:r>
                    <w:rPr>
                      <w:rFonts w:ascii="仿宋_GB2312" w:hAnsi="仿宋_GB2312" w:eastAsia="仿宋_GB2312" w:cs="仿宋_GB2312"/>
                      <w:color w:val="000000"/>
                      <w:sz w:val="28"/>
                    </w:rPr>
                    <w:t>台</w:t>
                  </w:r>
                </w:p>
              </w:tc>
              <w:tc>
                <w:tcPr>
                  <w:tcW w:w="9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38E2A1">
                  <w:pPr>
                    <w:pStyle w:val="4"/>
                    <w:jc w:val="left"/>
                  </w:pPr>
                  <w:r>
                    <w:rPr>
                      <w:rFonts w:ascii="仿宋_GB2312" w:hAnsi="仿宋_GB2312" w:eastAsia="仿宋_GB2312" w:cs="仿宋_GB2312"/>
                      <w:color w:val="000000"/>
                      <w:sz w:val="28"/>
                    </w:rPr>
                    <w:t>50</w:t>
                  </w:r>
                </w:p>
              </w:tc>
            </w:tr>
            <w:tr w14:paraId="4E64CE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73B0DB">
                  <w:pPr>
                    <w:pStyle w:val="4"/>
                    <w:jc w:val="left"/>
                  </w:pPr>
                  <w:r>
                    <w:rPr>
                      <w:rFonts w:ascii="仿宋_GB2312" w:hAnsi="仿宋_GB2312" w:eastAsia="仿宋_GB2312" w:cs="仿宋_GB2312"/>
                      <w:color w:val="000000"/>
                      <w:sz w:val="28"/>
                    </w:rPr>
                    <w:t>3</w:t>
                  </w:r>
                </w:p>
              </w:tc>
              <w:tc>
                <w:tcPr>
                  <w:tcW w:w="28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DE2E3A">
                  <w:pPr>
                    <w:pStyle w:val="4"/>
                    <w:jc w:val="left"/>
                  </w:pPr>
                  <w:r>
                    <w:rPr>
                      <w:rFonts w:ascii="仿宋_GB2312" w:hAnsi="仿宋_GB2312" w:eastAsia="仿宋_GB2312" w:cs="仿宋_GB2312"/>
                      <w:color w:val="000000"/>
                      <w:sz w:val="28"/>
                    </w:rPr>
                    <w:t>筒型网络摄像机</w:t>
                  </w:r>
                </w:p>
              </w:tc>
              <w:tc>
                <w:tcPr>
                  <w:tcW w:w="8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C512A9">
                  <w:pPr>
                    <w:pStyle w:val="4"/>
                    <w:jc w:val="left"/>
                  </w:pPr>
                  <w:r>
                    <w:rPr>
                      <w:rFonts w:ascii="仿宋_GB2312" w:hAnsi="仿宋_GB2312" w:eastAsia="仿宋_GB2312" w:cs="仿宋_GB2312"/>
                      <w:color w:val="000000"/>
                      <w:sz w:val="28"/>
                    </w:rPr>
                    <w:t>台</w:t>
                  </w:r>
                </w:p>
              </w:tc>
              <w:tc>
                <w:tcPr>
                  <w:tcW w:w="9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91A3BE">
                  <w:pPr>
                    <w:pStyle w:val="4"/>
                    <w:jc w:val="left"/>
                  </w:pPr>
                  <w:r>
                    <w:rPr>
                      <w:rFonts w:ascii="仿宋_GB2312" w:hAnsi="仿宋_GB2312" w:eastAsia="仿宋_GB2312" w:cs="仿宋_GB2312"/>
                      <w:color w:val="000000"/>
                      <w:sz w:val="28"/>
                    </w:rPr>
                    <w:t>300</w:t>
                  </w:r>
                </w:p>
              </w:tc>
            </w:tr>
            <w:tr w14:paraId="03DFE1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C25DAB">
                  <w:pPr>
                    <w:pStyle w:val="4"/>
                    <w:jc w:val="left"/>
                  </w:pPr>
                  <w:r>
                    <w:rPr>
                      <w:rFonts w:ascii="仿宋_GB2312" w:hAnsi="仿宋_GB2312" w:eastAsia="仿宋_GB2312" w:cs="仿宋_GB2312"/>
                      <w:color w:val="000000"/>
                      <w:sz w:val="28"/>
                    </w:rPr>
                    <w:t>4</w:t>
                  </w:r>
                </w:p>
              </w:tc>
              <w:tc>
                <w:tcPr>
                  <w:tcW w:w="28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46280C">
                  <w:pPr>
                    <w:pStyle w:val="4"/>
                    <w:jc w:val="left"/>
                  </w:pPr>
                  <w:r>
                    <w:rPr>
                      <w:rFonts w:ascii="仿宋_GB2312" w:hAnsi="仿宋_GB2312" w:eastAsia="仿宋_GB2312" w:cs="仿宋_GB2312"/>
                      <w:color w:val="000000"/>
                      <w:sz w:val="28"/>
                    </w:rPr>
                    <w:t>拾音设备</w:t>
                  </w:r>
                </w:p>
              </w:tc>
              <w:tc>
                <w:tcPr>
                  <w:tcW w:w="8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F18931">
                  <w:pPr>
                    <w:pStyle w:val="4"/>
                    <w:jc w:val="left"/>
                  </w:pPr>
                  <w:r>
                    <w:rPr>
                      <w:rFonts w:ascii="仿宋_GB2312" w:hAnsi="仿宋_GB2312" w:eastAsia="仿宋_GB2312" w:cs="仿宋_GB2312"/>
                      <w:color w:val="000000"/>
                      <w:sz w:val="28"/>
                    </w:rPr>
                    <w:t>台</w:t>
                  </w:r>
                </w:p>
              </w:tc>
              <w:tc>
                <w:tcPr>
                  <w:tcW w:w="9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6F7D1B">
                  <w:pPr>
                    <w:pStyle w:val="4"/>
                    <w:jc w:val="left"/>
                  </w:pPr>
                  <w:r>
                    <w:rPr>
                      <w:rFonts w:ascii="仿宋_GB2312" w:hAnsi="仿宋_GB2312" w:eastAsia="仿宋_GB2312" w:cs="仿宋_GB2312"/>
                      <w:color w:val="000000"/>
                      <w:sz w:val="28"/>
                    </w:rPr>
                    <w:t>350</w:t>
                  </w:r>
                </w:p>
              </w:tc>
            </w:tr>
            <w:tr w14:paraId="718BAB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0585BC">
                  <w:pPr>
                    <w:pStyle w:val="4"/>
                    <w:jc w:val="left"/>
                  </w:pPr>
                  <w:r>
                    <w:rPr>
                      <w:rFonts w:ascii="仿宋_GB2312" w:hAnsi="仿宋_GB2312" w:eastAsia="仿宋_GB2312" w:cs="仿宋_GB2312"/>
                      <w:color w:val="000000"/>
                      <w:sz w:val="28"/>
                    </w:rPr>
                    <w:t>5</w:t>
                  </w:r>
                </w:p>
              </w:tc>
              <w:tc>
                <w:tcPr>
                  <w:tcW w:w="28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B09C3F">
                  <w:pPr>
                    <w:pStyle w:val="4"/>
                    <w:jc w:val="left"/>
                  </w:pPr>
                  <w:r>
                    <w:rPr>
                      <w:rFonts w:ascii="仿宋_GB2312" w:hAnsi="仿宋_GB2312" w:eastAsia="仿宋_GB2312" w:cs="仿宋_GB2312"/>
                      <w:color w:val="000000"/>
                      <w:sz w:val="28"/>
                    </w:rPr>
                    <w:t>网线</w:t>
                  </w:r>
                </w:p>
              </w:tc>
              <w:tc>
                <w:tcPr>
                  <w:tcW w:w="8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B50EEC">
                  <w:pPr>
                    <w:pStyle w:val="4"/>
                    <w:jc w:val="left"/>
                  </w:pPr>
                  <w:r>
                    <w:rPr>
                      <w:rFonts w:ascii="仿宋_GB2312" w:hAnsi="仿宋_GB2312" w:eastAsia="仿宋_GB2312" w:cs="仿宋_GB2312"/>
                      <w:color w:val="000000"/>
                      <w:sz w:val="28"/>
                    </w:rPr>
                    <w:t>米</w:t>
                  </w:r>
                </w:p>
              </w:tc>
              <w:tc>
                <w:tcPr>
                  <w:tcW w:w="9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62F3C7">
                  <w:pPr>
                    <w:pStyle w:val="4"/>
                    <w:jc w:val="left"/>
                  </w:pPr>
                  <w:r>
                    <w:rPr>
                      <w:rFonts w:ascii="仿宋_GB2312" w:hAnsi="仿宋_GB2312" w:eastAsia="仿宋_GB2312" w:cs="仿宋_GB2312"/>
                      <w:color w:val="000000"/>
                      <w:sz w:val="28"/>
                    </w:rPr>
                    <w:t>5250</w:t>
                  </w:r>
                </w:p>
              </w:tc>
            </w:tr>
            <w:tr w14:paraId="311C21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DE424A">
                  <w:pPr>
                    <w:pStyle w:val="4"/>
                    <w:jc w:val="left"/>
                  </w:pPr>
                  <w:r>
                    <w:rPr>
                      <w:rFonts w:ascii="仿宋_GB2312" w:hAnsi="仿宋_GB2312" w:eastAsia="仿宋_GB2312" w:cs="仿宋_GB2312"/>
                      <w:color w:val="000000"/>
                      <w:sz w:val="28"/>
                    </w:rPr>
                    <w:t>6</w:t>
                  </w:r>
                </w:p>
              </w:tc>
              <w:tc>
                <w:tcPr>
                  <w:tcW w:w="28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B89310">
                  <w:pPr>
                    <w:pStyle w:val="4"/>
                    <w:jc w:val="left"/>
                  </w:pPr>
                  <w:r>
                    <w:rPr>
                      <w:rFonts w:ascii="仿宋_GB2312" w:hAnsi="仿宋_GB2312" w:eastAsia="仿宋_GB2312" w:cs="仿宋_GB2312"/>
                      <w:color w:val="000000"/>
                      <w:sz w:val="28"/>
                    </w:rPr>
                    <w:t>网络链路</w:t>
                  </w:r>
                </w:p>
              </w:tc>
              <w:tc>
                <w:tcPr>
                  <w:tcW w:w="8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E736B2">
                  <w:pPr>
                    <w:pStyle w:val="4"/>
                    <w:jc w:val="left"/>
                  </w:pPr>
                  <w:r>
                    <w:rPr>
                      <w:rFonts w:ascii="仿宋_GB2312" w:hAnsi="仿宋_GB2312" w:eastAsia="仿宋_GB2312" w:cs="仿宋_GB2312"/>
                      <w:color w:val="000000"/>
                      <w:sz w:val="28"/>
                    </w:rPr>
                    <w:t>年</w:t>
                  </w:r>
                </w:p>
              </w:tc>
              <w:tc>
                <w:tcPr>
                  <w:tcW w:w="9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9E924A">
                  <w:pPr>
                    <w:pStyle w:val="4"/>
                    <w:jc w:val="left"/>
                  </w:pPr>
                  <w:r>
                    <w:rPr>
                      <w:rFonts w:ascii="仿宋_GB2312" w:hAnsi="仿宋_GB2312" w:eastAsia="仿宋_GB2312" w:cs="仿宋_GB2312"/>
                      <w:color w:val="000000"/>
                      <w:sz w:val="28"/>
                    </w:rPr>
                    <w:t>3</w:t>
                  </w:r>
                </w:p>
              </w:tc>
            </w:tr>
            <w:tr w14:paraId="3D00F7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AE3F62">
                  <w:pPr>
                    <w:pStyle w:val="4"/>
                    <w:jc w:val="left"/>
                  </w:pPr>
                  <w:r>
                    <w:rPr>
                      <w:rFonts w:ascii="仿宋_GB2312" w:hAnsi="仿宋_GB2312" w:eastAsia="仿宋_GB2312" w:cs="仿宋_GB2312"/>
                      <w:color w:val="000000"/>
                      <w:sz w:val="28"/>
                    </w:rPr>
                    <w:t>7</w:t>
                  </w:r>
                </w:p>
              </w:tc>
              <w:tc>
                <w:tcPr>
                  <w:tcW w:w="28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8E38C7">
                  <w:pPr>
                    <w:pStyle w:val="4"/>
                    <w:jc w:val="left"/>
                  </w:pPr>
                  <w:r>
                    <w:rPr>
                      <w:rFonts w:ascii="仿宋_GB2312" w:hAnsi="仿宋_GB2312" w:eastAsia="仿宋_GB2312" w:cs="仿宋_GB2312"/>
                      <w:color w:val="000000"/>
                      <w:sz w:val="28"/>
                    </w:rPr>
                    <w:t>其他</w:t>
                  </w:r>
                </w:p>
              </w:tc>
              <w:tc>
                <w:tcPr>
                  <w:tcW w:w="8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AFCF48">
                  <w:pPr>
                    <w:pStyle w:val="4"/>
                    <w:jc w:val="left"/>
                  </w:pPr>
                  <w:r>
                    <w:rPr>
                      <w:rFonts w:ascii="仿宋_GB2312" w:hAnsi="仿宋_GB2312" w:eastAsia="仿宋_GB2312" w:cs="仿宋_GB2312"/>
                      <w:color w:val="000000"/>
                      <w:sz w:val="28"/>
                    </w:rPr>
                    <w:t>项</w:t>
                  </w:r>
                </w:p>
              </w:tc>
              <w:tc>
                <w:tcPr>
                  <w:tcW w:w="9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C55D3B">
                  <w:pPr>
                    <w:pStyle w:val="4"/>
                    <w:jc w:val="left"/>
                  </w:pPr>
                  <w:r>
                    <w:rPr>
                      <w:rFonts w:ascii="仿宋_GB2312" w:hAnsi="仿宋_GB2312" w:eastAsia="仿宋_GB2312" w:cs="仿宋_GB2312"/>
                      <w:color w:val="000000"/>
                      <w:sz w:val="28"/>
                    </w:rPr>
                    <w:t>1</w:t>
                  </w:r>
                </w:p>
              </w:tc>
            </w:tr>
          </w:tbl>
          <w:p w14:paraId="28280645">
            <w:pPr>
              <w:pStyle w:val="4"/>
              <w:ind w:firstLine="552"/>
              <w:jc w:val="both"/>
            </w:pPr>
            <w:r>
              <w:rPr>
                <w:rFonts w:ascii="仿宋_GB2312" w:hAnsi="仿宋_GB2312" w:eastAsia="仿宋_GB2312" w:cs="仿宋_GB2312"/>
                <w:sz w:val="28"/>
              </w:rPr>
              <w:t>注：供应商在填报《关于符合本国产品标准的声明函》时，需按“设备及系统汇总表”中的“设备及系统名称”进行逐项填报。未按要求填报的，所填报《关于符合本国产品标准的声明函》视为无效。</w:t>
            </w:r>
          </w:p>
          <w:p w14:paraId="09E9E534">
            <w:pPr>
              <w:pStyle w:val="4"/>
              <w:ind w:firstLine="552"/>
              <w:jc w:val="both"/>
            </w:pPr>
            <w:r>
              <w:rPr>
                <w:rFonts w:ascii="仿宋_GB2312" w:hAnsi="仿宋_GB2312" w:eastAsia="仿宋_GB2312" w:cs="仿宋_GB2312"/>
                <w:sz w:val="28"/>
              </w:rPr>
              <w:t>2.设备及系统技术参数与性能指标</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90"/>
              <w:gridCol w:w="749"/>
              <w:gridCol w:w="4354"/>
            </w:tblGrid>
            <w:tr w14:paraId="19313B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BCC32A5">
                  <w:pPr>
                    <w:pStyle w:val="4"/>
                    <w:jc w:val="both"/>
                  </w:pPr>
                  <w:r>
                    <w:rPr>
                      <w:rFonts w:ascii="仿宋_GB2312" w:hAnsi="仿宋_GB2312" w:eastAsia="仿宋_GB2312" w:cs="仿宋_GB2312"/>
                      <w:sz w:val="28"/>
                    </w:rPr>
                    <w:t>序号</w:t>
                  </w:r>
                </w:p>
              </w:tc>
              <w:tc>
                <w:tcPr>
                  <w:tcW w:w="77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C4FF045">
                  <w:pPr>
                    <w:pStyle w:val="4"/>
                    <w:jc w:val="both"/>
                  </w:pPr>
                  <w:r>
                    <w:rPr>
                      <w:rFonts w:ascii="仿宋_GB2312" w:hAnsi="仿宋_GB2312" w:eastAsia="仿宋_GB2312" w:cs="仿宋_GB2312"/>
                      <w:color w:val="000000"/>
                      <w:sz w:val="28"/>
                    </w:rPr>
                    <w:t>系统/设备名称</w:t>
                  </w:r>
                </w:p>
              </w:tc>
              <w:tc>
                <w:tcPr>
                  <w:tcW w:w="436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5F4C720">
                  <w:pPr>
                    <w:pStyle w:val="4"/>
                    <w:ind w:left="285"/>
                    <w:jc w:val="both"/>
                  </w:pPr>
                  <w:r>
                    <w:rPr>
                      <w:rFonts w:ascii="仿宋_GB2312" w:hAnsi="仿宋_GB2312" w:eastAsia="仿宋_GB2312" w:cs="仿宋_GB2312"/>
                      <w:sz w:val="28"/>
                    </w:rPr>
                    <w:t>技术参数与性能指标</w:t>
                  </w:r>
                </w:p>
              </w:tc>
            </w:tr>
            <w:tr w14:paraId="7C80B5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B4B750">
                  <w:pPr>
                    <w:pStyle w:val="4"/>
                    <w:jc w:val="both"/>
                  </w:pPr>
                  <w:r>
                    <w:rPr>
                      <w:rFonts w:ascii="仿宋_GB2312" w:hAnsi="仿宋_GB2312" w:eastAsia="仿宋_GB2312" w:cs="仿宋_GB2312"/>
                      <w:sz w:val="28"/>
                    </w:rPr>
                    <w:t>1</w:t>
                  </w:r>
                </w:p>
              </w:tc>
              <w:tc>
                <w:tcPr>
                  <w:tcW w:w="7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8DF48B">
                  <w:pPr>
                    <w:pStyle w:val="4"/>
                    <w:jc w:val="both"/>
                  </w:pPr>
                  <w:r>
                    <w:rPr>
                      <w:rFonts w:ascii="仿宋_GB2312" w:hAnsi="仿宋_GB2312" w:eastAsia="仿宋_GB2312" w:cs="仿宋_GB2312"/>
                      <w:sz w:val="28"/>
                    </w:rPr>
                    <w:t>监控系统</w:t>
                  </w:r>
                </w:p>
              </w:tc>
              <w:tc>
                <w:tcPr>
                  <w:tcW w:w="4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1CF1AB">
                  <w:pPr>
                    <w:pStyle w:val="4"/>
                    <w:ind w:left="285"/>
                    <w:jc w:val="both"/>
                  </w:pPr>
                  <w:r>
                    <w:rPr>
                      <w:rFonts w:ascii="仿宋_GB2312" w:hAnsi="仿宋_GB2312" w:eastAsia="仿宋_GB2312" w:cs="仿宋_GB2312"/>
                      <w:sz w:val="28"/>
                    </w:rPr>
                    <w:t>1.▲具备分布式视频云能力，在全国范围内提供300个及以上的视频云节点，各节点间实现统一调度、统一管理。具备高并发能力，保障本次项目视频终端的接入。</w:t>
                  </w:r>
                  <w:r>
                    <w:rPr>
                      <w:rFonts w:ascii="仿宋_GB2312" w:hAnsi="仿宋_GB2312" w:eastAsia="仿宋_GB2312" w:cs="仿宋_GB2312"/>
                      <w:b/>
                      <w:sz w:val="28"/>
                    </w:rPr>
                    <w:t>（提供承诺函并加盖供应商公章）</w:t>
                  </w:r>
                </w:p>
                <w:p w14:paraId="7CA5B14F">
                  <w:pPr>
                    <w:pStyle w:val="4"/>
                    <w:ind w:left="285"/>
                    <w:jc w:val="both"/>
                  </w:pPr>
                  <w:r>
                    <w:rPr>
                      <w:rFonts w:ascii="仿宋_GB2312" w:hAnsi="仿宋_GB2312" w:eastAsia="仿宋_GB2312" w:cs="仿宋_GB2312"/>
                      <w:sz w:val="28"/>
                    </w:rPr>
                    <w:t>2.7×24小时连续不断稳定的工作，系统可用率须达到99.99％；系统在国家法定节假日期间，保持7×24小时连续不断稳定的工作；</w:t>
                  </w:r>
                </w:p>
                <w:p w14:paraId="5311740E">
                  <w:pPr>
                    <w:pStyle w:val="4"/>
                    <w:ind w:left="285"/>
                    <w:jc w:val="both"/>
                  </w:pPr>
                  <w:r>
                    <w:rPr>
                      <w:rFonts w:ascii="仿宋_GB2312" w:hAnsi="仿宋_GB2312" w:eastAsia="仿宋_GB2312" w:cs="仿宋_GB2312"/>
                      <w:sz w:val="28"/>
                    </w:rPr>
                    <w:t>3.通过视频云平台交互信息的响应时间、平台内数据交换处理的平均响应时间≤3秒/次。非网络或下级平台响应原因，视频云平台终端操作应无明显等待及卡顿，终端操作响应时间≤3秒。系统忙时系统资源占用指标：服务忙时系统资源占用率指标≤85%；</w:t>
                  </w:r>
                </w:p>
                <w:p w14:paraId="156B242F">
                  <w:pPr>
                    <w:pStyle w:val="4"/>
                    <w:ind w:left="285"/>
                    <w:jc w:val="both"/>
                  </w:pPr>
                  <w:r>
                    <w:rPr>
                      <w:rFonts w:ascii="仿宋_GB2312" w:hAnsi="仿宋_GB2312" w:eastAsia="仿宋_GB2312" w:cs="仿宋_GB2312"/>
                      <w:sz w:val="28"/>
                    </w:rPr>
                    <w:t>4.系统要求具备异地灾备方案，灾难恢复达到第五级及以上，要求实现远程实时备份，数据零丢失；</w:t>
                  </w:r>
                </w:p>
                <w:p w14:paraId="690679F5">
                  <w:pPr>
                    <w:pStyle w:val="4"/>
                    <w:ind w:left="285"/>
                    <w:jc w:val="both"/>
                  </w:pPr>
                  <w:r>
                    <w:rPr>
                      <w:rFonts w:ascii="仿宋_GB2312" w:hAnsi="仿宋_GB2312" w:eastAsia="仿宋_GB2312" w:cs="仿宋_GB2312"/>
                      <w:sz w:val="28"/>
                    </w:rPr>
                    <w:t>5.▲需具备建立从数据到传输、从摄像机到APP的端到端安全管控方案，全方位防范摄像机被攻破、传输被劫持、数据被泄露、平台及APP被破解的安全风险保障；</w:t>
                  </w:r>
                  <w:r>
                    <w:rPr>
                      <w:rFonts w:ascii="仿宋_GB2312" w:hAnsi="仿宋_GB2312" w:eastAsia="仿宋_GB2312" w:cs="仿宋_GB2312"/>
                      <w:b/>
                      <w:sz w:val="28"/>
                    </w:rPr>
                    <w:t>（提供承诺函并加盖供应商公章）</w:t>
                  </w:r>
                </w:p>
                <w:p w14:paraId="4F8F290C">
                  <w:pPr>
                    <w:pStyle w:val="4"/>
                    <w:ind w:left="285"/>
                    <w:jc w:val="both"/>
                  </w:pPr>
                  <w:r>
                    <w:rPr>
                      <w:rFonts w:ascii="仿宋_GB2312" w:hAnsi="仿宋_GB2312" w:eastAsia="仿宋_GB2312" w:cs="仿宋_GB2312"/>
                      <w:sz w:val="28"/>
                    </w:rPr>
                    <w:t>6.需具有独立的用户及权限管理能力，支持多类型用户、多层级用户权限管理功能；</w:t>
                  </w:r>
                </w:p>
                <w:p w14:paraId="15619A62">
                  <w:pPr>
                    <w:pStyle w:val="4"/>
                    <w:ind w:left="285"/>
                    <w:jc w:val="both"/>
                  </w:pPr>
                  <w:r>
                    <w:rPr>
                      <w:rFonts w:ascii="仿宋_GB2312" w:hAnsi="仿宋_GB2312" w:eastAsia="仿宋_GB2312" w:cs="仿宋_GB2312"/>
                      <w:sz w:val="28"/>
                    </w:rPr>
                    <w:t>7.▲支持GB/T 28181-2022协议，支持系统的二次开发以及和异构系统的集成功能；</w:t>
                  </w:r>
                  <w:r>
                    <w:rPr>
                      <w:rFonts w:ascii="仿宋_GB2312" w:hAnsi="仿宋_GB2312" w:eastAsia="仿宋_GB2312" w:cs="仿宋_GB2312"/>
                      <w:b/>
                      <w:sz w:val="28"/>
                    </w:rPr>
                    <w:t>（提供承诺函并加盖供应商公章）</w:t>
                  </w:r>
                </w:p>
                <w:p w14:paraId="38A3D2F6">
                  <w:pPr>
                    <w:pStyle w:val="4"/>
                    <w:ind w:left="285"/>
                    <w:jc w:val="both"/>
                  </w:pPr>
                  <w:r>
                    <w:rPr>
                      <w:rFonts w:ascii="仿宋_GB2312" w:hAnsi="仿宋_GB2312" w:eastAsia="仿宋_GB2312" w:cs="仿宋_GB2312"/>
                      <w:sz w:val="28"/>
                    </w:rPr>
                    <w:t>8.支持采用包含但不限于H.264、H.265常用视频编码格式，支持G.711常用音频编码格式，支持RTSP、RTMP、HLS网络视频流传输，集音视频编码压缩和数据传输为一体；</w:t>
                  </w:r>
                </w:p>
                <w:p w14:paraId="5938D096">
                  <w:pPr>
                    <w:pStyle w:val="4"/>
                    <w:ind w:left="285"/>
                    <w:jc w:val="both"/>
                  </w:pPr>
                  <w:r>
                    <w:rPr>
                      <w:rFonts w:ascii="仿宋_GB2312" w:hAnsi="仿宋_GB2312" w:eastAsia="仿宋_GB2312" w:cs="仿宋_GB2312"/>
                      <w:sz w:val="28"/>
                    </w:rPr>
                    <w:t>9.具备多种AI分析告警以及联动处理能力，具备区域入侵、口罩识别、火情识别、客流统计、人群聚集、防护服识别、行为分析场景的AI分析和语音播报能力；</w:t>
                  </w:r>
                </w:p>
                <w:p w14:paraId="089B119C">
                  <w:pPr>
                    <w:pStyle w:val="4"/>
                    <w:ind w:left="285"/>
                    <w:jc w:val="both"/>
                  </w:pPr>
                  <w:r>
                    <w:rPr>
                      <w:rFonts w:ascii="仿宋_GB2312" w:hAnsi="仿宋_GB2312" w:eastAsia="仿宋_GB2312" w:cs="仿宋_GB2312"/>
                      <w:sz w:val="28"/>
                    </w:rPr>
                    <w:t>10.支持对实时监控画面进行手动录像并存储在用户指定的位置；支持对实时监控画面进行手动抓图并以包含但不限于JPG文件格式存储到用户指定位置；</w:t>
                  </w:r>
                </w:p>
                <w:p w14:paraId="595FEAA1">
                  <w:pPr>
                    <w:pStyle w:val="4"/>
                    <w:ind w:left="285"/>
                    <w:jc w:val="both"/>
                  </w:pPr>
                  <w:r>
                    <w:rPr>
                      <w:rFonts w:ascii="仿宋_GB2312" w:hAnsi="仿宋_GB2312" w:eastAsia="仿宋_GB2312" w:cs="仿宋_GB2312"/>
                      <w:sz w:val="28"/>
                    </w:rPr>
                    <w:t>11.支持布局管理，用户可以对浏览窗口进行单画面和多画面分屏（包含但不限于4、6、9、16、36分屏）等操作，支持显示实时视频信息。支持根据需要选择每个画面要浏览的视频通道。支持单画面固定显示、多画面固定显示、支持分组轮询。支持以多路分发的方式使多个用户同时监视同一路视频。</w:t>
                  </w:r>
                </w:p>
                <w:p w14:paraId="1D0D7460">
                  <w:pPr>
                    <w:pStyle w:val="4"/>
                    <w:ind w:left="285"/>
                    <w:jc w:val="both"/>
                  </w:pPr>
                  <w:r>
                    <w:rPr>
                      <w:rFonts w:ascii="仿宋_GB2312" w:hAnsi="仿宋_GB2312" w:eastAsia="仿宋_GB2312" w:cs="仿宋_GB2312"/>
                      <w:sz w:val="28"/>
                    </w:rPr>
                    <w:t>12.实现本项目中所有视频监控点位满足≥30天视频存储。</w:t>
                  </w:r>
                </w:p>
              </w:tc>
            </w:tr>
            <w:tr w14:paraId="3BFC34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D08A06">
                  <w:pPr>
                    <w:pStyle w:val="4"/>
                    <w:jc w:val="both"/>
                  </w:pPr>
                  <w:r>
                    <w:rPr>
                      <w:rFonts w:ascii="仿宋_GB2312" w:hAnsi="仿宋_GB2312" w:eastAsia="仿宋_GB2312" w:cs="仿宋_GB2312"/>
                      <w:sz w:val="28"/>
                    </w:rPr>
                    <w:t>2</w:t>
                  </w:r>
                </w:p>
              </w:tc>
              <w:tc>
                <w:tcPr>
                  <w:tcW w:w="7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9BF1F7">
                  <w:pPr>
                    <w:pStyle w:val="4"/>
                    <w:jc w:val="both"/>
                  </w:pPr>
                  <w:r>
                    <w:rPr>
                      <w:rFonts w:ascii="仿宋_GB2312" w:hAnsi="仿宋_GB2312" w:eastAsia="仿宋_GB2312" w:cs="仿宋_GB2312"/>
                      <w:sz w:val="28"/>
                    </w:rPr>
                    <w:t>半球网络摄像机</w:t>
                  </w:r>
                </w:p>
              </w:tc>
              <w:tc>
                <w:tcPr>
                  <w:tcW w:w="4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C4DED2">
                  <w:pPr>
                    <w:pStyle w:val="4"/>
                    <w:ind w:left="285"/>
                    <w:jc w:val="both"/>
                  </w:pPr>
                  <w:r>
                    <w:rPr>
                      <w:rFonts w:ascii="仿宋_GB2312" w:hAnsi="仿宋_GB2312" w:eastAsia="仿宋_GB2312" w:cs="仿宋_GB2312"/>
                      <w:sz w:val="28"/>
                    </w:rPr>
                    <w:t>1.支持最高分辨率不低于3840 × 2160 @25 fps；</w:t>
                  </w:r>
                </w:p>
                <w:p w14:paraId="24FE1909">
                  <w:pPr>
                    <w:pStyle w:val="4"/>
                    <w:ind w:left="285"/>
                    <w:jc w:val="both"/>
                  </w:pPr>
                  <w:r>
                    <w:rPr>
                      <w:rFonts w:ascii="仿宋_GB2312" w:hAnsi="仿宋_GB2312" w:eastAsia="仿宋_GB2312" w:cs="仿宋_GB2312"/>
                      <w:sz w:val="28"/>
                    </w:rPr>
                    <w:t>2.支持背光补偿，强光抑制，3D数字降噪，≥120 dB宽动态，适应不同环境；</w:t>
                  </w:r>
                </w:p>
                <w:p w14:paraId="0B0A4F48">
                  <w:pPr>
                    <w:pStyle w:val="4"/>
                    <w:ind w:left="285"/>
                    <w:jc w:val="both"/>
                  </w:pPr>
                  <w:r>
                    <w:rPr>
                      <w:rFonts w:ascii="仿宋_GB2312" w:hAnsi="仿宋_GB2312" w:eastAsia="仿宋_GB2312" w:cs="仿宋_GB2312"/>
                      <w:sz w:val="28"/>
                    </w:rPr>
                    <w:t>3.支持区域入侵侦测，越界侦测，进入区域侦测，离开区域侦测等≥10种侦测方式；</w:t>
                  </w:r>
                </w:p>
                <w:p w14:paraId="052404CB">
                  <w:pPr>
                    <w:pStyle w:val="4"/>
                    <w:ind w:left="285"/>
                    <w:jc w:val="both"/>
                  </w:pPr>
                  <w:r>
                    <w:rPr>
                      <w:rFonts w:ascii="仿宋_GB2312" w:hAnsi="仿宋_GB2312" w:eastAsia="仿宋_GB2312" w:cs="仿宋_GB2312"/>
                      <w:sz w:val="28"/>
                    </w:rPr>
                    <w:t>4.支持ROI感兴趣区域增强编码，可根据场景情况自适应调整码率分配；</w:t>
                  </w:r>
                </w:p>
                <w:p w14:paraId="3B14B9FF">
                  <w:pPr>
                    <w:pStyle w:val="4"/>
                    <w:ind w:left="285"/>
                    <w:jc w:val="both"/>
                  </w:pPr>
                  <w:r>
                    <w:rPr>
                      <w:rFonts w:ascii="仿宋_GB2312" w:hAnsi="仿宋_GB2312" w:eastAsia="仿宋_GB2312" w:cs="仿宋_GB2312"/>
                      <w:sz w:val="28"/>
                    </w:rPr>
                    <w:t>5.支持MicroSD/MicroSDHC/MicroSDXC卡，≥最大512 GB本地存储；</w:t>
                  </w:r>
                </w:p>
                <w:p w14:paraId="71943EBE">
                  <w:pPr>
                    <w:pStyle w:val="4"/>
                    <w:ind w:left="285"/>
                    <w:jc w:val="both"/>
                  </w:pPr>
                  <w:r>
                    <w:rPr>
                      <w:rFonts w:ascii="仿宋_GB2312" w:hAnsi="仿宋_GB2312" w:eastAsia="仿宋_GB2312" w:cs="仿宋_GB2312"/>
                      <w:sz w:val="28"/>
                    </w:rPr>
                    <w:t>6.★1个内置麦克风，1个内置扬声器，支持双向语音对讲；</w:t>
                  </w:r>
                </w:p>
                <w:p w14:paraId="16B21929">
                  <w:pPr>
                    <w:pStyle w:val="4"/>
                    <w:ind w:left="285"/>
                    <w:jc w:val="both"/>
                  </w:pPr>
                  <w:r>
                    <w:rPr>
                      <w:rFonts w:ascii="仿宋_GB2312" w:hAnsi="仿宋_GB2312" w:eastAsia="仿宋_GB2312" w:cs="仿宋_GB2312"/>
                      <w:sz w:val="28"/>
                    </w:rPr>
                    <w:t>7.支持白光/红外双补光，≥红外最远30 m，≥白光最远20 m；</w:t>
                  </w:r>
                </w:p>
                <w:p w14:paraId="6E5CEC33">
                  <w:pPr>
                    <w:pStyle w:val="4"/>
                    <w:ind w:left="285"/>
                    <w:jc w:val="both"/>
                  </w:pPr>
                  <w:r>
                    <w:rPr>
                      <w:rFonts w:ascii="仿宋_GB2312" w:hAnsi="仿宋_GB2312" w:eastAsia="仿宋_GB2312" w:cs="仿宋_GB2312"/>
                      <w:sz w:val="28"/>
                    </w:rPr>
                    <w:t>8.符合≥IP37级防尘防水；</w:t>
                  </w:r>
                </w:p>
                <w:p w14:paraId="5F6F66A0">
                  <w:pPr>
                    <w:pStyle w:val="4"/>
                    <w:ind w:left="285"/>
                    <w:jc w:val="both"/>
                  </w:pPr>
                  <w:r>
                    <w:rPr>
                      <w:rFonts w:ascii="仿宋_GB2312" w:hAnsi="仿宋_GB2312" w:eastAsia="仿宋_GB2312" w:cs="仿宋_GB2312"/>
                      <w:sz w:val="28"/>
                    </w:rPr>
                    <w:t>9.在大模型的加持下，对人、机动车等高价值目标进行解析，通过ROI分割技术，分离前景目标与背景区域，前景采用常规编码保障细节完整，背景实施高效压缩降低存储占用；</w:t>
                  </w:r>
                </w:p>
                <w:p w14:paraId="1421AC23">
                  <w:pPr>
                    <w:pStyle w:val="4"/>
                    <w:ind w:left="285"/>
                    <w:jc w:val="both"/>
                  </w:pPr>
                  <w:r>
                    <w:rPr>
                      <w:rFonts w:ascii="仿宋_GB2312" w:hAnsi="仿宋_GB2312" w:eastAsia="仿宋_GB2312" w:cs="仿宋_GB2312"/>
                      <w:sz w:val="28"/>
                    </w:rPr>
                    <w:t>10.传感器类型：1/1.8" Progressive Scan CMOS；</w:t>
                  </w:r>
                </w:p>
                <w:p w14:paraId="1B14E959">
                  <w:pPr>
                    <w:pStyle w:val="4"/>
                    <w:ind w:left="285"/>
                    <w:jc w:val="both"/>
                  </w:pPr>
                  <w:r>
                    <w:rPr>
                      <w:rFonts w:ascii="仿宋_GB2312" w:hAnsi="仿宋_GB2312" w:eastAsia="仿宋_GB2312" w:cs="仿宋_GB2312"/>
                      <w:sz w:val="28"/>
                    </w:rPr>
                    <w:t>11.最低照度：彩色：0.002 Lux @（F1.2，AGC ON），0 Lux with IR；</w:t>
                  </w:r>
                </w:p>
                <w:p w14:paraId="7574C74E">
                  <w:pPr>
                    <w:pStyle w:val="4"/>
                    <w:ind w:left="285"/>
                    <w:jc w:val="both"/>
                  </w:pPr>
                  <w:r>
                    <w:rPr>
                      <w:rFonts w:ascii="仿宋_GB2312" w:hAnsi="仿宋_GB2312" w:eastAsia="仿宋_GB2312" w:cs="仿宋_GB2312"/>
                      <w:sz w:val="28"/>
                    </w:rPr>
                    <w:t>12.调节角度：水平：0~360°，垂直：0~75°，旋转：0~360° ；</w:t>
                  </w:r>
                </w:p>
                <w:p w14:paraId="22C2F4B5">
                  <w:pPr>
                    <w:pStyle w:val="4"/>
                    <w:ind w:left="285"/>
                    <w:jc w:val="both"/>
                  </w:pPr>
                  <w:r>
                    <w:rPr>
                      <w:rFonts w:ascii="仿宋_GB2312" w:hAnsi="仿宋_GB2312" w:eastAsia="仿宋_GB2312" w:cs="仿宋_GB2312"/>
                      <w:sz w:val="28"/>
                    </w:rPr>
                    <w:t>13.焦距&amp;视场角：2.8 mm，水平视场角：109°，垂直视场角：57°，对角视场角：134°；</w:t>
                  </w:r>
                </w:p>
                <w:p w14:paraId="57EEF439">
                  <w:pPr>
                    <w:pStyle w:val="4"/>
                    <w:ind w:left="285"/>
                    <w:jc w:val="both"/>
                  </w:pPr>
                  <w:r>
                    <w:rPr>
                      <w:rFonts w:ascii="仿宋_GB2312" w:hAnsi="仿宋_GB2312" w:eastAsia="仿宋_GB2312" w:cs="仿宋_GB2312"/>
                      <w:sz w:val="28"/>
                    </w:rPr>
                    <w:t>14.补光灯类型：智能补光，可切换白光灯、红外灯；</w:t>
                  </w:r>
                </w:p>
                <w:p w14:paraId="3945FBB6">
                  <w:pPr>
                    <w:pStyle w:val="4"/>
                    <w:ind w:left="285"/>
                    <w:jc w:val="both"/>
                  </w:pPr>
                  <w:r>
                    <w:rPr>
                      <w:rFonts w:ascii="仿宋_GB2312" w:hAnsi="仿宋_GB2312" w:eastAsia="仿宋_GB2312" w:cs="仿宋_GB2312"/>
                      <w:sz w:val="28"/>
                    </w:rPr>
                    <w:t>15.▲支持对H.264、H.265编码格式的视频进行AI编码。开启AI编码功能后，视频编码格式、分辨率、帧率保持不变。</w:t>
                  </w:r>
                  <w:r>
                    <w:rPr>
                      <w:rFonts w:ascii="仿宋_GB2312" w:hAnsi="仿宋_GB2312" w:eastAsia="仿宋_GB2312" w:cs="仿宋_GB2312"/>
                      <w:b/>
                      <w:sz w:val="28"/>
                    </w:rPr>
                    <w:t>（提供国家认可的第三方检测机构出具的检测报告复印件）；</w:t>
                  </w:r>
                </w:p>
                <w:p w14:paraId="01ACDA52">
                  <w:pPr>
                    <w:pStyle w:val="4"/>
                    <w:ind w:left="285"/>
                    <w:jc w:val="both"/>
                  </w:pPr>
                  <w:r>
                    <w:rPr>
                      <w:rFonts w:ascii="仿宋_GB2312" w:hAnsi="仿宋_GB2312" w:eastAsia="仿宋_GB2312" w:cs="仿宋_GB2312"/>
                      <w:sz w:val="28"/>
                    </w:rPr>
                    <w:t>16.▲支持大模型AI编码功能。可保持可视场景中目标（如人）的图像质量，并虚化背景以降低码率和存储空间。</w:t>
                  </w:r>
                  <w:r>
                    <w:rPr>
                      <w:rFonts w:ascii="仿宋_GB2312" w:hAnsi="仿宋_GB2312" w:eastAsia="仿宋_GB2312" w:cs="仿宋_GB2312"/>
                      <w:b/>
                      <w:sz w:val="28"/>
                    </w:rPr>
                    <w:t>（提供国家认可的第三方检测机构出具的检测报告复印件）</w:t>
                  </w:r>
                </w:p>
                <w:p w14:paraId="7E36C6ED">
                  <w:pPr>
                    <w:pStyle w:val="4"/>
                    <w:ind w:left="285"/>
                    <w:jc w:val="both"/>
                  </w:pPr>
                  <w:r>
                    <w:rPr>
                      <w:rFonts w:ascii="仿宋_GB2312" w:hAnsi="仿宋_GB2312" w:eastAsia="仿宋_GB2312" w:cs="仿宋_GB2312"/>
                      <w:sz w:val="28"/>
                    </w:rPr>
                    <w:t>17.▲在同一监控场景下，AI编码功能开启并运行24h后，相比于不开启AI编码功能状态下的H.265编码，在目标清晰度无明显降低的条件下，码率节约不小于50％。</w:t>
                  </w:r>
                  <w:r>
                    <w:rPr>
                      <w:rFonts w:ascii="仿宋_GB2312" w:hAnsi="仿宋_GB2312" w:eastAsia="仿宋_GB2312" w:cs="仿宋_GB2312"/>
                      <w:b/>
                      <w:sz w:val="28"/>
                    </w:rPr>
                    <w:t>（提供国家认可的第三方检测机构出具的检测报告复印件）</w:t>
                  </w:r>
                </w:p>
                <w:p w14:paraId="1D890AB4">
                  <w:pPr>
                    <w:pStyle w:val="4"/>
                    <w:ind w:left="285"/>
                    <w:jc w:val="both"/>
                  </w:pPr>
                  <w:r>
                    <w:rPr>
                      <w:rFonts w:ascii="仿宋_GB2312" w:hAnsi="仿宋_GB2312" w:eastAsia="仿宋_GB2312" w:cs="仿宋_GB2312"/>
                      <w:sz w:val="28"/>
                    </w:rPr>
                    <w:t>18.▲支持流量管理功能，可设置日平均码率和最大码率上限。功能开启后，可控制平均网传流量和统计日流量余额；无历史结余流量时，实时网传码率应不超过日平均码率，存在历史结余流量时，历史结余流量可按需动态分配给当前场景使用。</w:t>
                  </w:r>
                  <w:r>
                    <w:rPr>
                      <w:rFonts w:ascii="仿宋_GB2312" w:hAnsi="仿宋_GB2312" w:eastAsia="仿宋_GB2312" w:cs="仿宋_GB2312"/>
                      <w:b/>
                      <w:sz w:val="28"/>
                    </w:rPr>
                    <w:t>（提供国家认可的第三方检测机构出具的检测报告复印件）</w:t>
                  </w:r>
                </w:p>
              </w:tc>
            </w:tr>
            <w:tr w14:paraId="7F8725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8BA497">
                  <w:pPr>
                    <w:pStyle w:val="4"/>
                    <w:jc w:val="both"/>
                  </w:pPr>
                  <w:r>
                    <w:rPr>
                      <w:rFonts w:ascii="仿宋_GB2312" w:hAnsi="仿宋_GB2312" w:eastAsia="仿宋_GB2312" w:cs="仿宋_GB2312"/>
                      <w:sz w:val="28"/>
                    </w:rPr>
                    <w:t>3</w:t>
                  </w:r>
                </w:p>
              </w:tc>
              <w:tc>
                <w:tcPr>
                  <w:tcW w:w="7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437A51">
                  <w:pPr>
                    <w:pStyle w:val="4"/>
                    <w:jc w:val="both"/>
                  </w:pPr>
                  <w:r>
                    <w:rPr>
                      <w:rFonts w:ascii="仿宋_GB2312" w:hAnsi="仿宋_GB2312" w:eastAsia="仿宋_GB2312" w:cs="仿宋_GB2312"/>
                      <w:sz w:val="28"/>
                    </w:rPr>
                    <w:t>筒型网络摄像机</w:t>
                  </w:r>
                </w:p>
              </w:tc>
              <w:tc>
                <w:tcPr>
                  <w:tcW w:w="4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2E99A0">
                  <w:pPr>
                    <w:pStyle w:val="4"/>
                    <w:ind w:left="285"/>
                    <w:jc w:val="both"/>
                  </w:pPr>
                  <w:r>
                    <w:rPr>
                      <w:rFonts w:ascii="仿宋_GB2312" w:hAnsi="仿宋_GB2312" w:eastAsia="仿宋_GB2312" w:cs="仿宋_GB2312"/>
                      <w:sz w:val="28"/>
                    </w:rPr>
                    <w:t>1.配置1/3" Progressive Scan CMOS传感器，最大输出分辨率≥2560×1440 @25fps，支持≥120dB宽动态、3D数字降噪，最低照度彩色0.005 Lux @（F1.2，AGC ON），微光环境下画面清晰无拖影。</w:t>
                  </w:r>
                </w:p>
                <w:p w14:paraId="3B2A1F4C">
                  <w:pPr>
                    <w:pStyle w:val="4"/>
                    <w:ind w:left="285"/>
                    <w:jc w:val="both"/>
                  </w:pPr>
                  <w:r>
                    <w:rPr>
                      <w:rFonts w:ascii="仿宋_GB2312" w:hAnsi="仿宋_GB2312" w:eastAsia="仿宋_GB2312" w:cs="仿宋_GB2312"/>
                      <w:sz w:val="28"/>
                    </w:rPr>
                    <w:t>2.采用白光+红外双补光设计，红外最远补光距离≥50m，白光最远补光距离≥30m，全黑场景下可按需切换彩色夜视或红外夜视模式。</w:t>
                  </w:r>
                </w:p>
                <w:p w14:paraId="71A7A3E6">
                  <w:pPr>
                    <w:pStyle w:val="4"/>
                    <w:ind w:left="285"/>
                    <w:jc w:val="both"/>
                  </w:pPr>
                  <w:r>
                    <w:rPr>
                      <w:rFonts w:ascii="仿宋_GB2312" w:hAnsi="仿宋_GB2312" w:eastAsia="仿宋_GB2312" w:cs="仿宋_GB2312"/>
                      <w:sz w:val="28"/>
                    </w:rPr>
                    <w:t>3.编码性能：支持H.265，同等画质下码率较传统H.264降低50%，≥400万像素全天24小时录像占用空间约15G-20G，支持ROI感兴趣区域增强编码，重点监控区域画质不压缩。</w:t>
                  </w:r>
                </w:p>
                <w:p w14:paraId="57C55764">
                  <w:pPr>
                    <w:pStyle w:val="4"/>
                    <w:ind w:left="285"/>
                    <w:jc w:val="both"/>
                  </w:pPr>
                  <w:r>
                    <w:rPr>
                      <w:rFonts w:ascii="仿宋_GB2312" w:hAnsi="仿宋_GB2312" w:eastAsia="仿宋_GB2312" w:cs="仿宋_GB2312"/>
                      <w:sz w:val="28"/>
                    </w:rPr>
                    <w:t>4.★音视频与智能应用：内置麦克风与扬声器，支持双向语音对讲；配备1路报警输入、1路报警输出，支持越界侦测、区域入侵等智能事件检测，触发后可联动声光报警。</w:t>
                  </w:r>
                </w:p>
                <w:p w14:paraId="55B41221">
                  <w:pPr>
                    <w:pStyle w:val="4"/>
                    <w:ind w:left="285"/>
                    <w:jc w:val="both"/>
                  </w:pPr>
                  <w:r>
                    <w:rPr>
                      <w:rFonts w:ascii="仿宋_GB2312" w:hAnsi="仿宋_GB2312" w:eastAsia="仿宋_GB2312" w:cs="仿宋_GB2312"/>
                      <w:sz w:val="28"/>
                    </w:rPr>
                    <w:t>5.网络与防护：支持PoE IEEE 802.3af或DC 12V双供电模式，设备功耗控制在12.5W以内；支持GB28181、ISAPI等标准协议接入主流安防平台，内置MicroSD卡槽最大支持≥512GB本地存储；</w:t>
                  </w:r>
                </w:p>
                <w:p w14:paraId="479C10DC">
                  <w:pPr>
                    <w:pStyle w:val="4"/>
                    <w:ind w:left="285"/>
                    <w:jc w:val="both"/>
                  </w:pPr>
                  <w:r>
                    <w:rPr>
                      <w:rFonts w:ascii="仿宋_GB2312" w:hAnsi="仿宋_GB2312" w:eastAsia="仿宋_GB2312" w:cs="仿宋_GB2312"/>
                      <w:sz w:val="28"/>
                    </w:rPr>
                    <w:t>6.整机≥IP37防尘防水，工作温度覆盖-30℃~60℃，可稳定适用户外各类复杂环境。</w:t>
                  </w:r>
                </w:p>
                <w:p w14:paraId="44D873EA">
                  <w:pPr>
                    <w:pStyle w:val="4"/>
                    <w:ind w:left="285"/>
                    <w:jc w:val="both"/>
                  </w:pPr>
                  <w:r>
                    <w:rPr>
                      <w:rFonts w:ascii="仿宋_GB2312" w:hAnsi="仿宋_GB2312" w:eastAsia="仿宋_GB2312" w:cs="仿宋_GB2312"/>
                      <w:sz w:val="28"/>
                    </w:rPr>
                    <w:t>7.▲支持同时对经过设定检测区域内的不少于12个行人进行人脸检测、跟踪、评分和抓拍，可筛选和抓拍最佳人脸图片存储及上报中心。</w:t>
                  </w:r>
                  <w:r>
                    <w:rPr>
                      <w:rFonts w:ascii="仿宋_GB2312" w:hAnsi="仿宋_GB2312" w:eastAsia="仿宋_GB2312" w:cs="仿宋_GB2312"/>
                      <w:b/>
                      <w:sz w:val="28"/>
                    </w:rPr>
                    <w:t>（提供国家认可的第三方检测机构出具的检测报告复印件）</w:t>
                  </w:r>
                </w:p>
                <w:p w14:paraId="6EEE7AA7">
                  <w:pPr>
                    <w:pStyle w:val="4"/>
                    <w:ind w:left="285"/>
                    <w:jc w:val="both"/>
                  </w:pPr>
                  <w:r>
                    <w:rPr>
                      <w:rFonts w:ascii="仿宋_GB2312" w:hAnsi="仿宋_GB2312" w:eastAsia="仿宋_GB2312" w:cs="仿宋_GB2312"/>
                      <w:sz w:val="28"/>
                    </w:rPr>
                    <w:t>8.▲支持对出现在监控场景内的两眼瞳距不小于19像素的人脸进行检验，并叠加目标提示框。</w:t>
                  </w:r>
                  <w:r>
                    <w:rPr>
                      <w:rFonts w:ascii="仿宋_GB2312" w:hAnsi="仿宋_GB2312" w:eastAsia="仿宋_GB2312" w:cs="仿宋_GB2312"/>
                      <w:b/>
                      <w:sz w:val="28"/>
                    </w:rPr>
                    <w:t>（提供国家认可的第三方检测机构出具的检测报告复印件）</w:t>
                  </w:r>
                </w:p>
                <w:p w14:paraId="535136FC">
                  <w:pPr>
                    <w:pStyle w:val="4"/>
                    <w:ind w:left="285"/>
                    <w:jc w:val="both"/>
                  </w:pPr>
                  <w:r>
                    <w:rPr>
                      <w:rFonts w:ascii="仿宋_GB2312" w:hAnsi="仿宋_GB2312" w:eastAsia="仿宋_GB2312" w:cs="仿宋_GB2312"/>
                      <w:sz w:val="28"/>
                    </w:rPr>
                    <w:t>9.▲具有区域入侵、人员聚集、快速移动、徘徊、物品拿取、物品遗留、虚焦智能分析功能，可通过客户端软件或IE浏览器给出报警提示、触发报警上传、发送邮件、联动录像、抓图等多种报警触发方式。</w:t>
                  </w:r>
                  <w:r>
                    <w:rPr>
                      <w:rFonts w:ascii="仿宋_GB2312" w:hAnsi="仿宋_GB2312" w:eastAsia="仿宋_GB2312" w:cs="仿宋_GB2312"/>
                      <w:b/>
                      <w:sz w:val="28"/>
                    </w:rPr>
                    <w:t>（提供国家认可的第三方检测机构出具的检测报告复印件）</w:t>
                  </w:r>
                </w:p>
              </w:tc>
            </w:tr>
            <w:tr w14:paraId="597872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AAFC3F">
                  <w:pPr>
                    <w:pStyle w:val="4"/>
                    <w:jc w:val="both"/>
                  </w:pPr>
                  <w:r>
                    <w:rPr>
                      <w:rFonts w:ascii="仿宋_GB2312" w:hAnsi="仿宋_GB2312" w:eastAsia="仿宋_GB2312" w:cs="仿宋_GB2312"/>
                      <w:sz w:val="28"/>
                    </w:rPr>
                    <w:t>4</w:t>
                  </w:r>
                </w:p>
              </w:tc>
              <w:tc>
                <w:tcPr>
                  <w:tcW w:w="7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ECE393">
                  <w:pPr>
                    <w:pStyle w:val="4"/>
                    <w:jc w:val="both"/>
                  </w:pPr>
                  <w:r>
                    <w:rPr>
                      <w:rFonts w:ascii="仿宋_GB2312" w:hAnsi="仿宋_GB2312" w:eastAsia="仿宋_GB2312" w:cs="仿宋_GB2312"/>
                      <w:sz w:val="28"/>
                    </w:rPr>
                    <w:t>拾音设备</w:t>
                  </w:r>
                </w:p>
              </w:tc>
              <w:tc>
                <w:tcPr>
                  <w:tcW w:w="4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4C4A0D">
                  <w:pPr>
                    <w:pStyle w:val="4"/>
                    <w:ind w:left="285"/>
                    <w:jc w:val="both"/>
                  </w:pPr>
                  <w:r>
                    <w:rPr>
                      <w:rFonts w:ascii="仿宋_GB2312" w:hAnsi="仿宋_GB2312" w:eastAsia="仿宋_GB2312" w:cs="仿宋_GB2312"/>
                      <w:sz w:val="28"/>
                    </w:rPr>
                    <w:t>1.拾音范围：≥30平方米（可调节）；</w:t>
                  </w:r>
                </w:p>
                <w:p w14:paraId="171FABBC">
                  <w:pPr>
                    <w:pStyle w:val="4"/>
                    <w:ind w:left="285"/>
                    <w:jc w:val="both"/>
                  </w:pPr>
                  <w:r>
                    <w:rPr>
                      <w:rFonts w:ascii="仿宋_GB2312" w:hAnsi="仿宋_GB2312" w:eastAsia="仿宋_GB2312" w:cs="仿宋_GB2312"/>
                      <w:sz w:val="28"/>
                    </w:rPr>
                    <w:t>2.频率响应：20Hz-20kHz；</w:t>
                  </w:r>
                </w:p>
                <w:p w14:paraId="53EB6263">
                  <w:pPr>
                    <w:pStyle w:val="4"/>
                    <w:ind w:left="285"/>
                    <w:jc w:val="both"/>
                  </w:pPr>
                  <w:r>
                    <w:rPr>
                      <w:rFonts w:ascii="仿宋_GB2312" w:hAnsi="仿宋_GB2312" w:eastAsia="仿宋_GB2312" w:cs="仿宋_GB2312"/>
                      <w:sz w:val="28"/>
                    </w:rPr>
                    <w:t>3.电源电压：DC 12V；</w:t>
                  </w:r>
                </w:p>
                <w:p w14:paraId="51E45244">
                  <w:pPr>
                    <w:pStyle w:val="4"/>
                    <w:ind w:left="285"/>
                    <w:jc w:val="both"/>
                  </w:pPr>
                  <w:r>
                    <w:rPr>
                      <w:rFonts w:ascii="仿宋_GB2312" w:hAnsi="仿宋_GB2312" w:eastAsia="仿宋_GB2312" w:cs="仿宋_GB2312"/>
                      <w:sz w:val="28"/>
                    </w:rPr>
                    <w:t>4.保护电路：电源反接保护、过流保护；</w:t>
                  </w:r>
                </w:p>
                <w:p w14:paraId="3035993B">
                  <w:pPr>
                    <w:pStyle w:val="4"/>
                    <w:ind w:left="285"/>
                    <w:jc w:val="both"/>
                  </w:pPr>
                  <w:r>
                    <w:rPr>
                      <w:rFonts w:ascii="仿宋_GB2312" w:hAnsi="仿宋_GB2312" w:eastAsia="仿宋_GB2312" w:cs="仿宋_GB2312"/>
                      <w:sz w:val="28"/>
                    </w:rPr>
                    <w:t>5.指向特性：全向型；</w:t>
                  </w:r>
                </w:p>
                <w:p w14:paraId="6912B475">
                  <w:pPr>
                    <w:pStyle w:val="4"/>
                    <w:ind w:left="285"/>
                    <w:jc w:val="both"/>
                  </w:pPr>
                  <w:r>
                    <w:rPr>
                      <w:rFonts w:ascii="仿宋_GB2312" w:hAnsi="仿宋_GB2312" w:eastAsia="仿宋_GB2312" w:cs="仿宋_GB2312"/>
                      <w:sz w:val="28"/>
                    </w:rPr>
                    <w:t>6.信号输出幅度：≤1Vrms；</w:t>
                  </w:r>
                </w:p>
                <w:p w14:paraId="5D2C5D82">
                  <w:pPr>
                    <w:pStyle w:val="4"/>
                    <w:ind w:left="285"/>
                    <w:jc w:val="both"/>
                  </w:pPr>
                  <w:r>
                    <w:rPr>
                      <w:rFonts w:ascii="仿宋_GB2312" w:hAnsi="仿宋_GB2312" w:eastAsia="仿宋_GB2312" w:cs="仿宋_GB2312"/>
                      <w:sz w:val="28"/>
                    </w:rPr>
                    <w:t>7.信号传输距离：≤3km；</w:t>
                  </w:r>
                </w:p>
                <w:p w14:paraId="7314DB09">
                  <w:pPr>
                    <w:pStyle w:val="4"/>
                    <w:ind w:left="285"/>
                    <w:jc w:val="both"/>
                  </w:pPr>
                  <w:r>
                    <w:rPr>
                      <w:rFonts w:ascii="仿宋_GB2312" w:hAnsi="仿宋_GB2312" w:eastAsia="仿宋_GB2312" w:cs="仿宋_GB2312"/>
                      <w:sz w:val="28"/>
                    </w:rPr>
                    <w:t>8.工作环境温度：-20℃～+60℃；</w:t>
                  </w:r>
                </w:p>
                <w:p w14:paraId="685B613D">
                  <w:pPr>
                    <w:pStyle w:val="4"/>
                    <w:ind w:left="285"/>
                    <w:jc w:val="both"/>
                  </w:pPr>
                  <w:r>
                    <w:rPr>
                      <w:rFonts w:ascii="仿宋_GB2312" w:hAnsi="仿宋_GB2312" w:eastAsia="仿宋_GB2312" w:cs="仿宋_GB2312"/>
                      <w:sz w:val="28"/>
                    </w:rPr>
                    <w:t>9.外壳材质：铝合金；</w:t>
                  </w:r>
                </w:p>
                <w:p w14:paraId="1D1A7F7B">
                  <w:pPr>
                    <w:pStyle w:val="4"/>
                    <w:ind w:left="285"/>
                    <w:jc w:val="both"/>
                  </w:pPr>
                  <w:r>
                    <w:rPr>
                      <w:rFonts w:ascii="仿宋_GB2312" w:hAnsi="仿宋_GB2312" w:eastAsia="仿宋_GB2312" w:cs="仿宋_GB2312"/>
                      <w:sz w:val="28"/>
                    </w:rPr>
                    <w:t>10.支持音频接口、12V电源输入：1路模拟输出接口和1路12V电源输入接口</w:t>
                  </w:r>
                </w:p>
              </w:tc>
            </w:tr>
            <w:tr w14:paraId="01A725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7452BF">
                  <w:pPr>
                    <w:pStyle w:val="4"/>
                    <w:jc w:val="both"/>
                  </w:pPr>
                  <w:r>
                    <w:rPr>
                      <w:rFonts w:ascii="仿宋_GB2312" w:hAnsi="仿宋_GB2312" w:eastAsia="仿宋_GB2312" w:cs="仿宋_GB2312"/>
                      <w:sz w:val="28"/>
                    </w:rPr>
                    <w:t>5</w:t>
                  </w:r>
                </w:p>
              </w:tc>
              <w:tc>
                <w:tcPr>
                  <w:tcW w:w="7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077407">
                  <w:pPr>
                    <w:pStyle w:val="4"/>
                    <w:jc w:val="both"/>
                  </w:pPr>
                  <w:r>
                    <w:rPr>
                      <w:rFonts w:ascii="仿宋_GB2312" w:hAnsi="仿宋_GB2312" w:eastAsia="仿宋_GB2312" w:cs="仿宋_GB2312"/>
                      <w:sz w:val="28"/>
                    </w:rPr>
                    <w:t>网线</w:t>
                  </w:r>
                </w:p>
              </w:tc>
              <w:tc>
                <w:tcPr>
                  <w:tcW w:w="4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A1A0EA">
                  <w:pPr>
                    <w:pStyle w:val="4"/>
                    <w:jc w:val="both"/>
                  </w:pPr>
                  <w:r>
                    <w:rPr>
                      <w:rFonts w:ascii="仿宋_GB2312" w:hAnsi="仿宋_GB2312" w:eastAsia="仿宋_GB2312" w:cs="仿宋_GB2312"/>
                      <w:sz w:val="28"/>
                    </w:rPr>
                    <w:t>1.Cat.6 UTP 六类非屏蔽双绞线，PVC 阻燃护套；</w:t>
                  </w:r>
                </w:p>
                <w:p w14:paraId="5D6E2A60">
                  <w:pPr>
                    <w:pStyle w:val="4"/>
                    <w:jc w:val="both"/>
                  </w:pPr>
                  <w:r>
                    <w:rPr>
                      <w:rFonts w:ascii="仿宋_GB2312" w:hAnsi="仿宋_GB2312" w:eastAsia="仿宋_GB2312" w:cs="仿宋_GB2312"/>
                      <w:sz w:val="28"/>
                    </w:rPr>
                    <w:t>2.支持千兆以太网（≥1000Mbps）传输。</w:t>
                  </w:r>
                </w:p>
              </w:tc>
            </w:tr>
            <w:tr w14:paraId="5EA551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CEF051">
                  <w:pPr>
                    <w:pStyle w:val="4"/>
                    <w:jc w:val="both"/>
                  </w:pPr>
                  <w:r>
                    <w:rPr>
                      <w:rFonts w:ascii="仿宋_GB2312" w:hAnsi="仿宋_GB2312" w:eastAsia="仿宋_GB2312" w:cs="仿宋_GB2312"/>
                      <w:sz w:val="28"/>
                    </w:rPr>
                    <w:t>6</w:t>
                  </w:r>
                </w:p>
              </w:tc>
              <w:tc>
                <w:tcPr>
                  <w:tcW w:w="7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DD4FE4">
                  <w:pPr>
                    <w:pStyle w:val="4"/>
                    <w:jc w:val="both"/>
                  </w:pPr>
                  <w:r>
                    <w:rPr>
                      <w:rFonts w:ascii="仿宋_GB2312" w:hAnsi="仿宋_GB2312" w:eastAsia="仿宋_GB2312" w:cs="仿宋_GB2312"/>
                      <w:sz w:val="28"/>
                    </w:rPr>
                    <w:t>网络链路</w:t>
                  </w:r>
                </w:p>
              </w:tc>
              <w:tc>
                <w:tcPr>
                  <w:tcW w:w="4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340219">
                  <w:pPr>
                    <w:pStyle w:val="4"/>
                    <w:ind w:left="285"/>
                    <w:jc w:val="both"/>
                  </w:pPr>
                  <w:r>
                    <w:rPr>
                      <w:rFonts w:ascii="仿宋_GB2312" w:hAnsi="仿宋_GB2312" w:eastAsia="仿宋_GB2312" w:cs="仿宋_GB2312"/>
                      <w:sz w:val="28"/>
                    </w:rPr>
                    <w:t>1.部署专用互联网出口，供监控上传使用。</w:t>
                  </w:r>
                </w:p>
                <w:p w14:paraId="78F35E3C">
                  <w:pPr>
                    <w:pStyle w:val="4"/>
                    <w:ind w:left="285"/>
                    <w:jc w:val="both"/>
                  </w:pPr>
                  <w:r>
                    <w:rPr>
                      <w:rFonts w:ascii="仿宋_GB2312" w:hAnsi="仿宋_GB2312" w:eastAsia="仿宋_GB2312" w:cs="仿宋_GB2312"/>
                      <w:sz w:val="28"/>
                    </w:rPr>
                    <w:t>2.支持分层 QoS，可对业务平台、数据库同步等业务设置转发优先级。</w:t>
                  </w:r>
                </w:p>
                <w:p w14:paraId="01ED2054">
                  <w:pPr>
                    <w:pStyle w:val="4"/>
                    <w:ind w:left="285"/>
                    <w:jc w:val="both"/>
                  </w:pPr>
                  <w:r>
                    <w:rPr>
                      <w:rFonts w:ascii="仿宋_GB2312" w:hAnsi="仿宋_GB2312" w:eastAsia="仿宋_GB2312" w:cs="仿宋_GB2312"/>
                      <w:sz w:val="28"/>
                    </w:rPr>
                    <w:t>3.带宽要求：≥50M。</w:t>
                  </w:r>
                </w:p>
              </w:tc>
            </w:tr>
            <w:tr w14:paraId="4E7FC0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B2DBBC">
                  <w:pPr>
                    <w:pStyle w:val="4"/>
                    <w:jc w:val="both"/>
                  </w:pPr>
                  <w:r>
                    <w:rPr>
                      <w:rFonts w:ascii="仿宋_GB2312" w:hAnsi="仿宋_GB2312" w:eastAsia="仿宋_GB2312" w:cs="仿宋_GB2312"/>
                      <w:sz w:val="28"/>
                    </w:rPr>
                    <w:t>7</w:t>
                  </w:r>
                </w:p>
              </w:tc>
              <w:tc>
                <w:tcPr>
                  <w:tcW w:w="7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A8673F">
                  <w:pPr>
                    <w:pStyle w:val="4"/>
                    <w:jc w:val="both"/>
                  </w:pPr>
                  <w:r>
                    <w:rPr>
                      <w:rFonts w:ascii="仿宋_GB2312" w:hAnsi="仿宋_GB2312" w:eastAsia="仿宋_GB2312" w:cs="仿宋_GB2312"/>
                      <w:sz w:val="28"/>
                    </w:rPr>
                    <w:t>其他</w:t>
                  </w:r>
                </w:p>
              </w:tc>
              <w:tc>
                <w:tcPr>
                  <w:tcW w:w="4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7C8F7C">
                  <w:pPr>
                    <w:pStyle w:val="4"/>
                    <w:ind w:left="285"/>
                    <w:jc w:val="both"/>
                  </w:pPr>
                  <w:r>
                    <w:rPr>
                      <w:rFonts w:ascii="仿宋_GB2312" w:hAnsi="仿宋_GB2312" w:eastAsia="仿宋_GB2312" w:cs="仿宋_GB2312"/>
                      <w:sz w:val="28"/>
                    </w:rPr>
                    <w:t>1.</w:t>
                  </w:r>
                  <w:r>
                    <w:rPr>
                      <w:rFonts w:ascii="仿宋_GB2312" w:hAnsi="仿宋_GB2312" w:eastAsia="仿宋_GB2312" w:cs="仿宋_GB2312"/>
                      <w:color w:val="000000"/>
                      <w:sz w:val="28"/>
                    </w:rPr>
                    <w:t>★</w:t>
                  </w:r>
                  <w:r>
                    <w:rPr>
                      <w:rFonts w:ascii="仿宋_GB2312" w:hAnsi="仿宋_GB2312" w:eastAsia="仿宋_GB2312" w:cs="仿宋_GB2312"/>
                      <w:sz w:val="28"/>
                    </w:rPr>
                    <w:t>包含运输，安装，设备调试及其他配套费用。</w:t>
                  </w:r>
                </w:p>
              </w:tc>
            </w:tr>
          </w:tbl>
          <w:p w14:paraId="2FF184A9"/>
        </w:tc>
      </w:tr>
    </w:tbl>
    <w:p w14:paraId="14A6BBEA">
      <w:pPr>
        <w:pStyle w:val="4"/>
        <w:jc w:val="left"/>
        <w:outlineLvl w:val="2"/>
      </w:pPr>
      <w:r>
        <w:rPr>
          <w:rFonts w:ascii="仿宋_GB2312" w:hAnsi="仿宋_GB2312" w:eastAsia="仿宋_GB2312" w:cs="仿宋_GB2312"/>
          <w:b/>
          <w:sz w:val="28"/>
        </w:rPr>
        <w:t>3.3.服务要求</w:t>
      </w:r>
    </w:p>
    <w:p w14:paraId="63E54905">
      <w:pPr>
        <w:pStyle w:val="4"/>
        <w:jc w:val="left"/>
        <w:outlineLvl w:val="3"/>
      </w:pPr>
      <w:r>
        <w:rPr>
          <w:rFonts w:ascii="仿宋_GB2312" w:hAnsi="仿宋_GB2312" w:eastAsia="仿宋_GB2312" w:cs="仿宋_GB2312"/>
          <w:b/>
          <w:sz w:val="24"/>
        </w:rPr>
        <w:t>3.3.1服务内容要求</w:t>
      </w:r>
    </w:p>
    <w:p w14:paraId="47DA298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6E76F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01A7B25">
            <w:pPr>
              <w:pStyle w:val="4"/>
              <w:jc w:val="center"/>
            </w:pPr>
            <w:r>
              <w:rPr>
                <w:rFonts w:ascii="仿宋_GB2312" w:hAnsi="仿宋_GB2312" w:eastAsia="仿宋_GB2312" w:cs="仿宋_GB2312"/>
              </w:rPr>
              <w:t xml:space="preserve"> 序号</w:t>
            </w:r>
          </w:p>
        </w:tc>
        <w:tc>
          <w:tcPr>
            <w:tcW w:w="581" w:type="dxa"/>
          </w:tcPr>
          <w:p w14:paraId="110C18C7">
            <w:pPr>
              <w:pStyle w:val="4"/>
              <w:jc w:val="center"/>
            </w:pPr>
            <w:r>
              <w:rPr>
                <w:rFonts w:ascii="仿宋_GB2312" w:hAnsi="仿宋_GB2312" w:eastAsia="仿宋_GB2312" w:cs="仿宋_GB2312"/>
              </w:rPr>
              <w:t xml:space="preserve"> 符号标识</w:t>
            </w:r>
          </w:p>
        </w:tc>
        <w:tc>
          <w:tcPr>
            <w:tcW w:w="1495" w:type="dxa"/>
          </w:tcPr>
          <w:p w14:paraId="4D89A7E6">
            <w:pPr>
              <w:pStyle w:val="4"/>
              <w:jc w:val="center"/>
            </w:pPr>
            <w:r>
              <w:rPr>
                <w:rFonts w:ascii="仿宋_GB2312" w:hAnsi="仿宋_GB2312" w:eastAsia="仿宋_GB2312" w:cs="仿宋_GB2312"/>
              </w:rPr>
              <w:t xml:space="preserve"> 服务要求名称</w:t>
            </w:r>
          </w:p>
        </w:tc>
        <w:tc>
          <w:tcPr>
            <w:tcW w:w="5814" w:type="dxa"/>
          </w:tcPr>
          <w:p w14:paraId="2C79FF92">
            <w:pPr>
              <w:pStyle w:val="4"/>
              <w:jc w:val="center"/>
            </w:pPr>
            <w:r>
              <w:rPr>
                <w:rFonts w:ascii="仿宋_GB2312" w:hAnsi="仿宋_GB2312" w:eastAsia="仿宋_GB2312" w:cs="仿宋_GB2312"/>
              </w:rPr>
              <w:t xml:space="preserve"> 服务要求内容</w:t>
            </w:r>
          </w:p>
        </w:tc>
      </w:tr>
      <w:tr w14:paraId="01C8BD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162F9D4">
            <w:pPr>
              <w:pStyle w:val="4"/>
              <w:jc w:val="center"/>
            </w:pPr>
            <w:r>
              <w:rPr>
                <w:rFonts w:ascii="仿宋_GB2312" w:hAnsi="仿宋_GB2312" w:eastAsia="仿宋_GB2312" w:cs="仿宋_GB2312"/>
              </w:rPr>
              <w:t>1</w:t>
            </w:r>
          </w:p>
        </w:tc>
        <w:tc>
          <w:tcPr>
            <w:tcW w:w="581" w:type="dxa"/>
          </w:tcPr>
          <w:p w14:paraId="0C48317A">
            <w:pPr>
              <w:pStyle w:val="4"/>
              <w:jc w:val="center"/>
            </w:pPr>
            <w:r>
              <w:rPr>
                <w:rFonts w:ascii="仿宋_GB2312" w:hAnsi="仿宋_GB2312" w:eastAsia="仿宋_GB2312" w:cs="仿宋_GB2312"/>
              </w:rPr>
              <w:t>★</w:t>
            </w:r>
          </w:p>
        </w:tc>
        <w:tc>
          <w:tcPr>
            <w:tcW w:w="1495" w:type="dxa"/>
          </w:tcPr>
          <w:p w14:paraId="3BC16437">
            <w:pPr>
              <w:pStyle w:val="4"/>
              <w:jc w:val="left"/>
            </w:pPr>
            <w:r>
              <w:rPr>
                <w:rFonts w:ascii="仿宋_GB2312" w:hAnsi="仿宋_GB2312" w:eastAsia="仿宋_GB2312" w:cs="仿宋_GB2312"/>
              </w:rPr>
              <w:t>报价要求</w:t>
            </w:r>
          </w:p>
        </w:tc>
        <w:tc>
          <w:tcPr>
            <w:tcW w:w="5814" w:type="dxa"/>
          </w:tcPr>
          <w:p w14:paraId="5B0C74D2">
            <w:pPr>
              <w:pStyle w:val="4"/>
              <w:jc w:val="left"/>
            </w:pPr>
            <w:r>
              <w:rPr>
                <w:rFonts w:ascii="仿宋_GB2312" w:hAnsi="仿宋_GB2312" w:eastAsia="仿宋_GB2312" w:cs="仿宋_GB2312"/>
                <w:sz w:val="28"/>
              </w:rPr>
              <w:t>本项目总报价包括全部服务内容、评审、验收、人工、设备、交通、保险、食宿、各种税费、专利技术、技术支持与培训、运维服务及相关劳务支出、招标代理费等所发生的全部费用以及供应商企业利润、税金和政策性文件规定及合同包含的所有风险、责任、代理费等各项应有费用以及其它应纳入的一切费用。</w:t>
            </w:r>
            <w:r>
              <w:rPr>
                <w:rFonts w:ascii="仿宋_GB2312" w:hAnsi="仿宋_GB2312" w:eastAsia="仿宋_GB2312" w:cs="仿宋_GB2312"/>
                <w:b/>
                <w:sz w:val="28"/>
              </w:rPr>
              <w:t>（提供响应承诺函并加盖公章,如未提供视为未实质性响应）</w:t>
            </w:r>
          </w:p>
        </w:tc>
      </w:tr>
      <w:tr w14:paraId="5655A8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3C11113">
            <w:pPr>
              <w:pStyle w:val="4"/>
              <w:jc w:val="center"/>
            </w:pPr>
            <w:r>
              <w:rPr>
                <w:rFonts w:ascii="仿宋_GB2312" w:hAnsi="仿宋_GB2312" w:eastAsia="仿宋_GB2312" w:cs="仿宋_GB2312"/>
              </w:rPr>
              <w:t>2</w:t>
            </w:r>
          </w:p>
        </w:tc>
        <w:tc>
          <w:tcPr>
            <w:tcW w:w="581" w:type="dxa"/>
          </w:tcPr>
          <w:p w14:paraId="339FC1B4">
            <w:pPr>
              <w:pStyle w:val="4"/>
              <w:jc w:val="center"/>
            </w:pPr>
            <w:r>
              <w:rPr>
                <w:rFonts w:ascii="仿宋_GB2312" w:hAnsi="仿宋_GB2312" w:eastAsia="仿宋_GB2312" w:cs="仿宋_GB2312"/>
              </w:rPr>
              <w:t>★</w:t>
            </w:r>
          </w:p>
        </w:tc>
        <w:tc>
          <w:tcPr>
            <w:tcW w:w="1495" w:type="dxa"/>
          </w:tcPr>
          <w:p w14:paraId="65B210A4">
            <w:pPr>
              <w:pStyle w:val="4"/>
              <w:jc w:val="left"/>
            </w:pPr>
            <w:r>
              <w:rPr>
                <w:rFonts w:ascii="仿宋_GB2312" w:hAnsi="仿宋_GB2312" w:eastAsia="仿宋_GB2312" w:cs="仿宋_GB2312"/>
              </w:rPr>
              <w:t>安全责任</w:t>
            </w:r>
          </w:p>
        </w:tc>
        <w:tc>
          <w:tcPr>
            <w:tcW w:w="5814" w:type="dxa"/>
          </w:tcPr>
          <w:p w14:paraId="45FA5976">
            <w:pPr>
              <w:pStyle w:val="4"/>
              <w:jc w:val="left"/>
            </w:pPr>
            <w:r>
              <w:rPr>
                <w:rFonts w:ascii="仿宋_GB2312" w:hAnsi="仿宋_GB2312" w:eastAsia="仿宋_GB2312" w:cs="仿宋_GB2312"/>
                <w:sz w:val="28"/>
              </w:rPr>
              <w:t>供应商投入本项目工作人员的人身安全由供应商负责，供应商应为本项目投入的工作人员购买人身意外伤害险及与项目实施有关的一切保险。因供应商自身原因造成的事故责任和因此发生的费用及后果由供应商承担，采购人概不负责。</w:t>
            </w:r>
            <w:r>
              <w:rPr>
                <w:rFonts w:ascii="仿宋_GB2312" w:hAnsi="仿宋_GB2312" w:eastAsia="仿宋_GB2312" w:cs="仿宋_GB2312"/>
                <w:b/>
                <w:sz w:val="28"/>
              </w:rPr>
              <w:t>（提供响应承诺函并加盖公章,如未提供视为未实质性响应）</w:t>
            </w:r>
          </w:p>
        </w:tc>
      </w:tr>
      <w:tr w14:paraId="5762A9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7E0FD6B">
            <w:pPr>
              <w:pStyle w:val="4"/>
              <w:jc w:val="center"/>
            </w:pPr>
            <w:r>
              <w:rPr>
                <w:rFonts w:ascii="仿宋_GB2312" w:hAnsi="仿宋_GB2312" w:eastAsia="仿宋_GB2312" w:cs="仿宋_GB2312"/>
              </w:rPr>
              <w:t>3</w:t>
            </w:r>
          </w:p>
        </w:tc>
        <w:tc>
          <w:tcPr>
            <w:tcW w:w="581" w:type="dxa"/>
          </w:tcPr>
          <w:p w14:paraId="1D8C256E">
            <w:pPr>
              <w:pStyle w:val="4"/>
              <w:jc w:val="center"/>
            </w:pPr>
            <w:r>
              <w:rPr>
                <w:rFonts w:ascii="仿宋_GB2312" w:hAnsi="仿宋_GB2312" w:eastAsia="仿宋_GB2312" w:cs="仿宋_GB2312"/>
              </w:rPr>
              <w:t>★</w:t>
            </w:r>
          </w:p>
        </w:tc>
        <w:tc>
          <w:tcPr>
            <w:tcW w:w="1495" w:type="dxa"/>
          </w:tcPr>
          <w:p w14:paraId="07318EB8">
            <w:pPr>
              <w:pStyle w:val="4"/>
              <w:jc w:val="left"/>
            </w:pPr>
            <w:r>
              <w:rPr>
                <w:rFonts w:ascii="仿宋_GB2312" w:hAnsi="仿宋_GB2312" w:eastAsia="仿宋_GB2312" w:cs="仿宋_GB2312"/>
              </w:rPr>
              <w:t>保险</w:t>
            </w:r>
          </w:p>
        </w:tc>
        <w:tc>
          <w:tcPr>
            <w:tcW w:w="5814" w:type="dxa"/>
          </w:tcPr>
          <w:p w14:paraId="0DBBD4E7">
            <w:pPr>
              <w:pStyle w:val="4"/>
              <w:ind w:firstLine="560"/>
              <w:jc w:val="both"/>
            </w:pPr>
            <w:r>
              <w:rPr>
                <w:rFonts w:ascii="仿宋_GB2312" w:hAnsi="仿宋_GB2312" w:eastAsia="仿宋_GB2312" w:cs="仿宋_GB2312"/>
                <w:sz w:val="28"/>
              </w:rPr>
              <w:t>1.供应商应当遵守国家有关消防、安全、生产操作、劳动保护等方面的规定，并根据自身实际情况和项目履约实际情况，购买涉及上述履约风险的对应保险，保险金额以抵消可能发生的事故因其发生所造成的财产、人身损失承担赔偿保险金责任，维护保险标的的安全。</w:t>
            </w:r>
          </w:p>
          <w:p w14:paraId="72DC2D6A">
            <w:pPr>
              <w:pStyle w:val="4"/>
              <w:ind w:firstLine="560"/>
              <w:jc w:val="both"/>
            </w:pPr>
            <w:r>
              <w:rPr>
                <w:rFonts w:ascii="仿宋_GB2312" w:hAnsi="仿宋_GB2312" w:eastAsia="仿宋_GB2312" w:cs="仿宋_GB2312"/>
                <w:sz w:val="28"/>
              </w:rPr>
              <w:t>2.供应商应为本项目提供履约的所有人员按照国家规定购买相关保险。</w:t>
            </w:r>
          </w:p>
          <w:p w14:paraId="237BAB14">
            <w:pPr>
              <w:pStyle w:val="4"/>
              <w:ind w:firstLine="560"/>
              <w:jc w:val="both"/>
            </w:pPr>
            <w:r>
              <w:rPr>
                <w:rFonts w:ascii="仿宋_GB2312" w:hAnsi="仿宋_GB2312" w:eastAsia="仿宋_GB2312" w:cs="仿宋_GB2312"/>
                <w:sz w:val="28"/>
              </w:rPr>
              <w:t>3.供应商自行运输标的物或委托承运人运输的，应为该批货物购买货物运输保险及运输工具航程保险。</w:t>
            </w:r>
            <w:r>
              <w:rPr>
                <w:rFonts w:ascii="仿宋_GB2312" w:hAnsi="仿宋_GB2312" w:eastAsia="仿宋_GB2312" w:cs="仿宋_GB2312"/>
                <w:b/>
                <w:sz w:val="28"/>
              </w:rPr>
              <w:t>（以上三项提供响应承诺函并加盖供应商公章,如未提供视为未实质性响应）</w:t>
            </w:r>
          </w:p>
        </w:tc>
      </w:tr>
      <w:tr w14:paraId="33FA25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7BF8DBB">
            <w:pPr>
              <w:pStyle w:val="4"/>
              <w:jc w:val="center"/>
            </w:pPr>
            <w:r>
              <w:rPr>
                <w:rFonts w:ascii="仿宋_GB2312" w:hAnsi="仿宋_GB2312" w:eastAsia="仿宋_GB2312" w:cs="仿宋_GB2312"/>
              </w:rPr>
              <w:t>4</w:t>
            </w:r>
          </w:p>
        </w:tc>
        <w:tc>
          <w:tcPr>
            <w:tcW w:w="581" w:type="dxa"/>
          </w:tcPr>
          <w:p w14:paraId="1F29CD3B">
            <w:pPr>
              <w:pStyle w:val="4"/>
              <w:jc w:val="center"/>
            </w:pPr>
            <w:r>
              <w:rPr>
                <w:rFonts w:ascii="仿宋_GB2312" w:hAnsi="仿宋_GB2312" w:eastAsia="仿宋_GB2312" w:cs="仿宋_GB2312"/>
              </w:rPr>
              <w:t>★</w:t>
            </w:r>
          </w:p>
        </w:tc>
        <w:tc>
          <w:tcPr>
            <w:tcW w:w="1495" w:type="dxa"/>
          </w:tcPr>
          <w:p w14:paraId="39CBD68F">
            <w:pPr>
              <w:pStyle w:val="4"/>
              <w:jc w:val="left"/>
            </w:pPr>
            <w:r>
              <w:rPr>
                <w:rFonts w:ascii="仿宋_GB2312" w:hAnsi="仿宋_GB2312" w:eastAsia="仿宋_GB2312" w:cs="仿宋_GB2312"/>
              </w:rPr>
              <w:t>其他实质性规定</w:t>
            </w:r>
          </w:p>
        </w:tc>
        <w:tc>
          <w:tcPr>
            <w:tcW w:w="5814" w:type="dxa"/>
          </w:tcPr>
          <w:p w14:paraId="1D37CD4E">
            <w:pPr>
              <w:pStyle w:val="4"/>
              <w:ind w:firstLine="560"/>
              <w:jc w:val="both"/>
            </w:pPr>
            <w:r>
              <w:rPr>
                <w:rFonts w:ascii="仿宋_GB2312" w:hAnsi="仿宋_GB2312" w:eastAsia="仿宋_GB2312" w:cs="仿宋_GB2312"/>
                <w:sz w:val="28"/>
              </w:rPr>
              <w:t>1.国家或行业主管部门对采购产品的技术标准、质量标准和资格资质条件等有强制性规定的，必须符合其要求。成交后，若涉及国家强制性产品3C认证证书、有效期内的无线电发射设备型号核准证、列入《网络关键设备和网络安全专用产品目录》的网络安全专用产品应当按照《信息安全技术网络安全专用产品安全技术要求》等相关国家标准的强制性要求，由具备资格的机构安全认证合格或者安全检测符合要求的证明材料，其中任意一种的，签订采购合同时提供给采购人，由采购人查验。</w:t>
            </w:r>
          </w:p>
          <w:p w14:paraId="3E590EA0">
            <w:pPr>
              <w:pStyle w:val="4"/>
              <w:ind w:firstLine="560"/>
              <w:jc w:val="both"/>
            </w:pPr>
            <w:r>
              <w:rPr>
                <w:rFonts w:ascii="仿宋_GB2312" w:hAnsi="仿宋_GB2312" w:eastAsia="仿宋_GB2312" w:cs="仿宋_GB2312"/>
                <w:sz w:val="28"/>
              </w:rPr>
              <w:t>2.根据《关于在政府采购活动中对有关美国企业采取相关措施的通知》(财库[2026]10号)规定，供应商不得提供该通知中所列46家美国企业(不包括在华美资企业)生产的产品，否则投标(响应)无效。</w:t>
            </w:r>
          </w:p>
          <w:p w14:paraId="4D296F9E">
            <w:pPr>
              <w:pStyle w:val="4"/>
              <w:jc w:val="left"/>
            </w:pPr>
            <w:r>
              <w:rPr>
                <w:rFonts w:ascii="仿宋_GB2312" w:hAnsi="仿宋_GB2312" w:eastAsia="仿宋_GB2312" w:cs="仿宋_GB2312"/>
                <w:b/>
                <w:sz w:val="28"/>
              </w:rPr>
              <w:t>（以上两项提供响应承诺函并加盖公章,如未提供视为未实质性响应）</w:t>
            </w:r>
          </w:p>
        </w:tc>
      </w:tr>
      <w:tr w14:paraId="4DC3CE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BCF630C">
            <w:pPr>
              <w:pStyle w:val="4"/>
              <w:jc w:val="center"/>
            </w:pPr>
            <w:r>
              <w:rPr>
                <w:rFonts w:ascii="仿宋_GB2312" w:hAnsi="仿宋_GB2312" w:eastAsia="仿宋_GB2312" w:cs="仿宋_GB2312"/>
              </w:rPr>
              <w:t>5</w:t>
            </w:r>
          </w:p>
        </w:tc>
        <w:tc>
          <w:tcPr>
            <w:tcW w:w="581" w:type="dxa"/>
          </w:tcPr>
          <w:p w14:paraId="1242A150"/>
        </w:tc>
        <w:tc>
          <w:tcPr>
            <w:tcW w:w="1495" w:type="dxa"/>
          </w:tcPr>
          <w:p w14:paraId="5DAB75CF">
            <w:pPr>
              <w:pStyle w:val="4"/>
              <w:jc w:val="left"/>
            </w:pPr>
            <w:r>
              <w:rPr>
                <w:rFonts w:ascii="仿宋_GB2312" w:hAnsi="仿宋_GB2312" w:eastAsia="仿宋_GB2312" w:cs="仿宋_GB2312"/>
              </w:rPr>
              <w:t>其他要求</w:t>
            </w:r>
          </w:p>
        </w:tc>
        <w:tc>
          <w:tcPr>
            <w:tcW w:w="5814" w:type="dxa"/>
          </w:tcPr>
          <w:p w14:paraId="026B6CA5">
            <w:pPr>
              <w:pStyle w:val="4"/>
              <w:ind w:firstLine="560"/>
              <w:jc w:val="left"/>
            </w:pPr>
            <w:r>
              <w:rPr>
                <w:rFonts w:ascii="仿宋_GB2312" w:hAnsi="仿宋_GB2312" w:eastAsia="仿宋_GB2312" w:cs="仿宋_GB2312"/>
                <w:sz w:val="28"/>
              </w:rPr>
              <w:t>1.供应商提供的项目实施方案包括:①项目实施计划(包括a.总体方案设计、b.总体实施计划)；②项目进度控制方案（包括a.各环节进度计划、b.进度保障实施措施）；③团队及人员配置方案（包括a.项目实施人员内控制度、b.人员的分工职责和工作搭接）；④后续服务方案（包括a.后续服务保障措施、b.后续服务流程结构图）；⑤总体运行维护方案（包括a.总体运行维护保障措施、b.总体运行维护应急处理）；⑥运维质量保证方案（包括a.运维组织与职责保障、b.运维管理制度与流程保障）；⑦定期巡检及故障处置方案（包括a.定期巡检方案、b.故障处置方案）；⑧培训方案（包括a.培训内容及培训方式、b.培训时间与计划安排）。</w:t>
            </w:r>
          </w:p>
          <w:p w14:paraId="1C9D4874">
            <w:pPr>
              <w:pStyle w:val="4"/>
              <w:ind w:firstLine="560"/>
              <w:jc w:val="left"/>
            </w:pPr>
            <w:r>
              <w:rPr>
                <w:rFonts w:ascii="仿宋_GB2312" w:hAnsi="仿宋_GB2312" w:eastAsia="仿宋_GB2312" w:cs="仿宋_GB2312"/>
                <w:sz w:val="28"/>
              </w:rPr>
              <w:t>2.为顺利完成本项目，供应商为本项目配置专业的服务团队以及类似项目的履约经验（类似业绩）。</w:t>
            </w:r>
          </w:p>
          <w:p w14:paraId="1C408626">
            <w:pPr>
              <w:pStyle w:val="4"/>
              <w:ind w:firstLine="560"/>
              <w:jc w:val="left"/>
            </w:pPr>
            <w:r>
              <w:rPr>
                <w:rFonts w:ascii="仿宋_GB2312" w:hAnsi="仿宋_GB2312" w:eastAsia="仿宋_GB2312" w:cs="仿宋_GB2312"/>
                <w:sz w:val="24"/>
              </w:rPr>
              <w:t>注：本项服务要求供应商无需在（服务要求应答表/技术要求响应表）中响应，由供应商根据自身实际情况按以上要求另行提供即可，评审小组按照“采购文件第五章 5.4.2. 评标细则及标准”对供应商提供的相应内容进行评审。</w:t>
            </w:r>
          </w:p>
        </w:tc>
      </w:tr>
    </w:tbl>
    <w:p w14:paraId="7C72D9A6">
      <w:pPr>
        <w:pStyle w:val="4"/>
        <w:jc w:val="left"/>
        <w:outlineLvl w:val="3"/>
      </w:pPr>
      <w:r>
        <w:rPr>
          <w:rFonts w:ascii="仿宋_GB2312" w:hAnsi="仿宋_GB2312" w:eastAsia="仿宋_GB2312" w:cs="仿宋_GB2312"/>
          <w:b/>
          <w:sz w:val="24"/>
        </w:rPr>
        <w:t>3.3.2.商务要求</w:t>
      </w:r>
    </w:p>
    <w:p w14:paraId="7A03924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7749A8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DA21F92">
            <w:pPr>
              <w:pStyle w:val="4"/>
              <w:jc w:val="left"/>
            </w:pPr>
            <w:r>
              <w:rPr>
                <w:rFonts w:ascii="仿宋_GB2312" w:hAnsi="仿宋_GB2312" w:eastAsia="仿宋_GB2312" w:cs="仿宋_GB2312"/>
              </w:rPr>
              <w:t>序号</w:t>
            </w:r>
          </w:p>
        </w:tc>
        <w:tc>
          <w:tcPr>
            <w:tcW w:w="2076" w:type="dxa"/>
          </w:tcPr>
          <w:p w14:paraId="0BDE94AB">
            <w:pPr>
              <w:pStyle w:val="4"/>
              <w:jc w:val="left"/>
            </w:pPr>
            <w:r>
              <w:rPr>
                <w:rFonts w:ascii="仿宋_GB2312" w:hAnsi="仿宋_GB2312" w:eastAsia="仿宋_GB2312" w:cs="仿宋_GB2312"/>
              </w:rPr>
              <w:t>符号标识</w:t>
            </w:r>
          </w:p>
        </w:tc>
        <w:tc>
          <w:tcPr>
            <w:tcW w:w="2076" w:type="dxa"/>
          </w:tcPr>
          <w:p w14:paraId="3330A1A1">
            <w:pPr>
              <w:pStyle w:val="4"/>
              <w:jc w:val="left"/>
            </w:pPr>
            <w:r>
              <w:rPr>
                <w:rFonts w:ascii="仿宋_GB2312" w:hAnsi="仿宋_GB2312" w:eastAsia="仿宋_GB2312" w:cs="仿宋_GB2312"/>
              </w:rPr>
              <w:t>商务要求名称</w:t>
            </w:r>
          </w:p>
        </w:tc>
        <w:tc>
          <w:tcPr>
            <w:tcW w:w="2076" w:type="dxa"/>
          </w:tcPr>
          <w:p w14:paraId="46958965">
            <w:pPr>
              <w:pStyle w:val="4"/>
              <w:jc w:val="left"/>
            </w:pPr>
            <w:r>
              <w:rPr>
                <w:rFonts w:ascii="仿宋_GB2312" w:hAnsi="仿宋_GB2312" w:eastAsia="仿宋_GB2312" w:cs="仿宋_GB2312"/>
              </w:rPr>
              <w:t>商务要求内容</w:t>
            </w:r>
          </w:p>
        </w:tc>
      </w:tr>
      <w:tr w14:paraId="1C468C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1728897">
            <w:pPr>
              <w:pStyle w:val="4"/>
              <w:jc w:val="left"/>
            </w:pPr>
            <w:r>
              <w:rPr>
                <w:rFonts w:ascii="仿宋_GB2312" w:hAnsi="仿宋_GB2312" w:eastAsia="仿宋_GB2312" w:cs="仿宋_GB2312"/>
              </w:rPr>
              <w:t>1</w:t>
            </w:r>
          </w:p>
        </w:tc>
        <w:tc>
          <w:tcPr>
            <w:tcW w:w="2076" w:type="dxa"/>
          </w:tcPr>
          <w:p w14:paraId="09C998B0">
            <w:pPr>
              <w:pStyle w:val="4"/>
              <w:jc w:val="left"/>
            </w:pPr>
            <w:r>
              <w:rPr>
                <w:rFonts w:ascii="仿宋_GB2312" w:hAnsi="仿宋_GB2312" w:eastAsia="仿宋_GB2312" w:cs="仿宋_GB2312"/>
              </w:rPr>
              <w:t>★</w:t>
            </w:r>
          </w:p>
        </w:tc>
        <w:tc>
          <w:tcPr>
            <w:tcW w:w="2076" w:type="dxa"/>
          </w:tcPr>
          <w:p w14:paraId="75B6932C">
            <w:pPr>
              <w:pStyle w:val="4"/>
              <w:jc w:val="left"/>
            </w:pPr>
            <w:r>
              <w:rPr>
                <w:rFonts w:ascii="仿宋_GB2312" w:hAnsi="仿宋_GB2312" w:eastAsia="仿宋_GB2312" w:cs="仿宋_GB2312"/>
              </w:rPr>
              <w:t>服务期限</w:t>
            </w:r>
          </w:p>
        </w:tc>
        <w:tc>
          <w:tcPr>
            <w:tcW w:w="2076" w:type="dxa"/>
          </w:tcPr>
          <w:p w14:paraId="71A9054C">
            <w:pPr>
              <w:pStyle w:val="4"/>
              <w:jc w:val="left"/>
            </w:pPr>
            <w:r>
              <w:rPr>
                <w:rFonts w:ascii="仿宋_GB2312" w:hAnsi="仿宋_GB2312" w:eastAsia="仿宋_GB2312" w:cs="仿宋_GB2312"/>
              </w:rPr>
              <w:t>自合同签订后3年，合同一年一签，考核合格后续签下一年合同。</w:t>
            </w:r>
          </w:p>
        </w:tc>
      </w:tr>
      <w:tr w14:paraId="119B7C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DE34A71">
            <w:pPr>
              <w:pStyle w:val="4"/>
              <w:jc w:val="left"/>
            </w:pPr>
            <w:r>
              <w:rPr>
                <w:rFonts w:ascii="仿宋_GB2312" w:hAnsi="仿宋_GB2312" w:eastAsia="仿宋_GB2312" w:cs="仿宋_GB2312"/>
              </w:rPr>
              <w:t>2</w:t>
            </w:r>
          </w:p>
        </w:tc>
        <w:tc>
          <w:tcPr>
            <w:tcW w:w="2076" w:type="dxa"/>
          </w:tcPr>
          <w:p w14:paraId="4F816621">
            <w:pPr>
              <w:pStyle w:val="4"/>
              <w:jc w:val="left"/>
            </w:pPr>
            <w:r>
              <w:rPr>
                <w:rFonts w:ascii="仿宋_GB2312" w:hAnsi="仿宋_GB2312" w:eastAsia="仿宋_GB2312" w:cs="仿宋_GB2312"/>
              </w:rPr>
              <w:t>★</w:t>
            </w:r>
          </w:p>
        </w:tc>
        <w:tc>
          <w:tcPr>
            <w:tcW w:w="2076" w:type="dxa"/>
          </w:tcPr>
          <w:p w14:paraId="3D6257EB">
            <w:pPr>
              <w:pStyle w:val="4"/>
              <w:jc w:val="left"/>
            </w:pPr>
            <w:r>
              <w:rPr>
                <w:rFonts w:ascii="仿宋_GB2312" w:hAnsi="仿宋_GB2312" w:eastAsia="仿宋_GB2312" w:cs="仿宋_GB2312"/>
              </w:rPr>
              <w:t>服务地点</w:t>
            </w:r>
          </w:p>
        </w:tc>
        <w:tc>
          <w:tcPr>
            <w:tcW w:w="2076" w:type="dxa"/>
          </w:tcPr>
          <w:p w14:paraId="3F1B55D6">
            <w:pPr>
              <w:pStyle w:val="4"/>
              <w:jc w:val="left"/>
            </w:pPr>
            <w:r>
              <w:rPr>
                <w:rFonts w:ascii="仿宋_GB2312" w:hAnsi="仿宋_GB2312" w:eastAsia="仿宋_GB2312" w:cs="仿宋_GB2312"/>
              </w:rPr>
              <w:t>阿坝藏族羌族自治州松潘县（采购人指定地点）</w:t>
            </w:r>
          </w:p>
        </w:tc>
      </w:tr>
      <w:tr w14:paraId="4A31FE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5CEA51B">
            <w:pPr>
              <w:pStyle w:val="4"/>
              <w:jc w:val="left"/>
            </w:pPr>
            <w:r>
              <w:rPr>
                <w:rFonts w:ascii="仿宋_GB2312" w:hAnsi="仿宋_GB2312" w:eastAsia="仿宋_GB2312" w:cs="仿宋_GB2312"/>
              </w:rPr>
              <w:t>3</w:t>
            </w:r>
          </w:p>
        </w:tc>
        <w:tc>
          <w:tcPr>
            <w:tcW w:w="2076" w:type="dxa"/>
          </w:tcPr>
          <w:p w14:paraId="79D1DC7B">
            <w:pPr>
              <w:pStyle w:val="4"/>
              <w:jc w:val="left"/>
            </w:pPr>
            <w:r>
              <w:rPr>
                <w:rFonts w:ascii="仿宋_GB2312" w:hAnsi="仿宋_GB2312" w:eastAsia="仿宋_GB2312" w:cs="仿宋_GB2312"/>
              </w:rPr>
              <w:t>★</w:t>
            </w:r>
          </w:p>
        </w:tc>
        <w:tc>
          <w:tcPr>
            <w:tcW w:w="2076" w:type="dxa"/>
          </w:tcPr>
          <w:p w14:paraId="0DE242C5">
            <w:pPr>
              <w:pStyle w:val="4"/>
              <w:jc w:val="left"/>
            </w:pPr>
            <w:r>
              <w:rPr>
                <w:rFonts w:ascii="仿宋_GB2312" w:hAnsi="仿宋_GB2312" w:eastAsia="仿宋_GB2312" w:cs="仿宋_GB2312"/>
              </w:rPr>
              <w:t>验收、交付标准和方法</w:t>
            </w:r>
          </w:p>
        </w:tc>
        <w:tc>
          <w:tcPr>
            <w:tcW w:w="2076" w:type="dxa"/>
          </w:tcPr>
          <w:p w14:paraId="1A4B964D">
            <w:pPr>
              <w:pStyle w:val="4"/>
              <w:jc w:val="left"/>
            </w:pPr>
            <w:r>
              <w:rPr>
                <w:rFonts w:ascii="仿宋_GB2312" w:hAnsi="仿宋_GB2312" w:eastAsia="仿宋_GB2312" w:cs="仿宋_GB2312"/>
              </w:rPr>
              <w:t>（1）技术履约内容及标准：结合采购文件要求的每项服务要求、规定的验收交付标准和方法、服务内容，以及供应商的响应文件应答和承诺的条款及内容逐项核实履约情况。 （2）商务履约内容及标准：结合采购文件要求的商务要求，以及供应商的响应文件应答和承诺的条款及内容逐项核实履约情况。 （3）采购人在合同约定时间内无故不进行验收工作，视同供应商已完成并验收合格。 （4）项目验收结果合格的，采购人按合同约定支付采购资金；验收结果不合格的，供应商应在15个工作日内修改完善并申请重新验收，如3次验收均未通过，采购人有权利单方面无责终止合同，并不再支付剩余款项，同时有权要求供应商全额退还采购人已支付的全部款项并承担相应的违约责任。由此给采购人带来的损失，采购人有权向供应商索赔。 （5）若本项目的采购内容涉及强制性国家、行业以及地方规定或标准的，按其相关规定或标准执行，若涉及须提供相关证书或证明材料的，验收时由采购人查验。 （6）其他未尽事宜：按照《财政部关于进一步加强政府采购需求和履约验收管理的指导意见》(财库〔2016〕205号)、《政府采购需求管理办法》(财库〔2021〕22号)和采购文件要求进行验收。符合国家有关规定、采购文件的服务要求和服务内容、供应商的响应文件及承诺以及合同条款。</w:t>
            </w:r>
          </w:p>
        </w:tc>
      </w:tr>
      <w:tr w14:paraId="6B8309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EAEA73C">
            <w:pPr>
              <w:pStyle w:val="4"/>
              <w:jc w:val="left"/>
            </w:pPr>
            <w:r>
              <w:rPr>
                <w:rFonts w:ascii="仿宋_GB2312" w:hAnsi="仿宋_GB2312" w:eastAsia="仿宋_GB2312" w:cs="仿宋_GB2312"/>
              </w:rPr>
              <w:t>4</w:t>
            </w:r>
          </w:p>
        </w:tc>
        <w:tc>
          <w:tcPr>
            <w:tcW w:w="2076" w:type="dxa"/>
          </w:tcPr>
          <w:p w14:paraId="45B50643">
            <w:pPr>
              <w:pStyle w:val="4"/>
              <w:jc w:val="left"/>
            </w:pPr>
            <w:r>
              <w:rPr>
                <w:rFonts w:ascii="仿宋_GB2312" w:hAnsi="仿宋_GB2312" w:eastAsia="仿宋_GB2312" w:cs="仿宋_GB2312"/>
              </w:rPr>
              <w:t>★</w:t>
            </w:r>
          </w:p>
        </w:tc>
        <w:tc>
          <w:tcPr>
            <w:tcW w:w="2076" w:type="dxa"/>
          </w:tcPr>
          <w:p w14:paraId="520B091C">
            <w:pPr>
              <w:pStyle w:val="4"/>
              <w:jc w:val="left"/>
            </w:pPr>
            <w:r>
              <w:rPr>
                <w:rFonts w:ascii="仿宋_GB2312" w:hAnsi="仿宋_GB2312" w:eastAsia="仿宋_GB2312" w:cs="仿宋_GB2312"/>
              </w:rPr>
              <w:t>支付方式</w:t>
            </w:r>
          </w:p>
        </w:tc>
        <w:tc>
          <w:tcPr>
            <w:tcW w:w="2076" w:type="dxa"/>
          </w:tcPr>
          <w:p w14:paraId="31C54AA9">
            <w:pPr>
              <w:pStyle w:val="4"/>
              <w:jc w:val="left"/>
            </w:pPr>
            <w:r>
              <w:rPr>
                <w:rFonts w:ascii="仿宋_GB2312" w:hAnsi="仿宋_GB2312" w:eastAsia="仿宋_GB2312" w:cs="仿宋_GB2312"/>
              </w:rPr>
              <w:t>分期付款</w:t>
            </w:r>
          </w:p>
        </w:tc>
      </w:tr>
      <w:tr w14:paraId="34044B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79DA0F6">
            <w:pPr>
              <w:pStyle w:val="4"/>
              <w:jc w:val="left"/>
            </w:pPr>
            <w:r>
              <w:rPr>
                <w:rFonts w:ascii="仿宋_GB2312" w:hAnsi="仿宋_GB2312" w:eastAsia="仿宋_GB2312" w:cs="仿宋_GB2312"/>
              </w:rPr>
              <w:t>5</w:t>
            </w:r>
          </w:p>
        </w:tc>
        <w:tc>
          <w:tcPr>
            <w:tcW w:w="2076" w:type="dxa"/>
          </w:tcPr>
          <w:p w14:paraId="715381BF">
            <w:pPr>
              <w:pStyle w:val="4"/>
              <w:jc w:val="left"/>
            </w:pPr>
            <w:r>
              <w:rPr>
                <w:rFonts w:ascii="仿宋_GB2312" w:hAnsi="仿宋_GB2312" w:eastAsia="仿宋_GB2312" w:cs="仿宋_GB2312"/>
              </w:rPr>
              <w:t>★</w:t>
            </w:r>
          </w:p>
        </w:tc>
        <w:tc>
          <w:tcPr>
            <w:tcW w:w="2076" w:type="dxa"/>
          </w:tcPr>
          <w:p w14:paraId="65D2C5ED">
            <w:pPr>
              <w:pStyle w:val="4"/>
              <w:jc w:val="left"/>
            </w:pPr>
            <w:r>
              <w:rPr>
                <w:rFonts w:ascii="仿宋_GB2312" w:hAnsi="仿宋_GB2312" w:eastAsia="仿宋_GB2312" w:cs="仿宋_GB2312"/>
              </w:rPr>
              <w:t>付款进度安排</w:t>
            </w:r>
          </w:p>
        </w:tc>
        <w:tc>
          <w:tcPr>
            <w:tcW w:w="2076" w:type="dxa"/>
          </w:tcPr>
          <w:p w14:paraId="082CAEF4">
            <w:pPr>
              <w:pStyle w:val="4"/>
              <w:jc w:val="left"/>
            </w:pPr>
            <w:r>
              <w:rPr>
                <w:rFonts w:ascii="仿宋_GB2312" w:hAnsi="仿宋_GB2312" w:eastAsia="仿宋_GB2312" w:cs="仿宋_GB2312"/>
              </w:rPr>
              <w:t>1付款条件：年度合同签订后，采购人收到成交供应商提交的付款申请、合法有效完整的完税发票及验收、服务相关资料后，达到该付款条件起10个工作日内，支付合同总金额的95.00%</w:t>
            </w:r>
          </w:p>
          <w:p w14:paraId="64805836">
            <w:pPr>
              <w:pStyle w:val="4"/>
              <w:jc w:val="left"/>
            </w:pPr>
            <w:r>
              <w:rPr>
                <w:rFonts w:ascii="仿宋_GB2312" w:hAnsi="仿宋_GB2312" w:eastAsia="仿宋_GB2312" w:cs="仿宋_GB2312"/>
              </w:rPr>
              <w:t>2付款条件：待年度服务考核完成，根据考核结果，采购人凭供应商提供的对应票据及考核相关资料后，达到该付款条件起10个工作日内，支付合同总金额的5.00%</w:t>
            </w:r>
          </w:p>
        </w:tc>
      </w:tr>
      <w:tr w14:paraId="7599B7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0D3F974">
            <w:pPr>
              <w:pStyle w:val="4"/>
              <w:jc w:val="left"/>
            </w:pPr>
            <w:r>
              <w:rPr>
                <w:rFonts w:ascii="仿宋_GB2312" w:hAnsi="仿宋_GB2312" w:eastAsia="仿宋_GB2312" w:cs="仿宋_GB2312"/>
              </w:rPr>
              <w:t>6</w:t>
            </w:r>
          </w:p>
        </w:tc>
        <w:tc>
          <w:tcPr>
            <w:tcW w:w="2076" w:type="dxa"/>
          </w:tcPr>
          <w:p w14:paraId="6D55535C">
            <w:pPr>
              <w:pStyle w:val="4"/>
              <w:jc w:val="left"/>
            </w:pPr>
            <w:r>
              <w:rPr>
                <w:rFonts w:ascii="仿宋_GB2312" w:hAnsi="仿宋_GB2312" w:eastAsia="仿宋_GB2312" w:cs="仿宋_GB2312"/>
              </w:rPr>
              <w:t>★</w:t>
            </w:r>
          </w:p>
        </w:tc>
        <w:tc>
          <w:tcPr>
            <w:tcW w:w="2076" w:type="dxa"/>
          </w:tcPr>
          <w:p w14:paraId="180126E5">
            <w:pPr>
              <w:pStyle w:val="4"/>
              <w:jc w:val="left"/>
            </w:pPr>
            <w:r>
              <w:rPr>
                <w:rFonts w:ascii="仿宋_GB2312" w:hAnsi="仿宋_GB2312" w:eastAsia="仿宋_GB2312" w:cs="仿宋_GB2312"/>
              </w:rPr>
              <w:t>违约责任与解决争议的方法</w:t>
            </w:r>
          </w:p>
        </w:tc>
        <w:tc>
          <w:tcPr>
            <w:tcW w:w="2076" w:type="dxa"/>
          </w:tcPr>
          <w:p w14:paraId="18D1B256">
            <w:pPr>
              <w:pStyle w:val="4"/>
              <w:jc w:val="left"/>
            </w:pPr>
            <w:r>
              <w:rPr>
                <w:rFonts w:ascii="仿宋_GB2312" w:hAnsi="仿宋_GB2312" w:eastAsia="仿宋_GB2312" w:cs="仿宋_GB2312"/>
              </w:rPr>
              <w:t>1.采购人违约责任： （1）采购人应遵守合同并执行合同中的各项规定，保证合同的正常履行。 （2）采购人无正当理由拒收服务成果的，采购人应偿付合同总价百分之五的违约金； （3）采购人逾期支付服务合同款项的，除应及时付足合同款项外，应向供应商偿付欠款总额万分之一/天的违约金；逾期付款超过60天的，供应商有权终止合同。 （4）采购人偿付的违约金不足以弥补供应商损失的，还应按供应商经济损失尚未弥补的部分，支付赔偿金给供应商。 2.供应商违约责任： （1）供应商必须遵守采购合同并执行合同中的各项规定，保证采购合同的正常履行。 （2）如因供应商工作人员在履行职务过程中的疏忽、失职、过错等故意或者过失原因给采购人造成损失或侵害，包括但不限于采购人本身的财产损失、由此而导致的采购人对任何第三方的法律责任等，供应商对此均应承担全部的赔偿责任。 （3）中标人不能交付服务成果或逾期交付服务成果而违约的，除应及时交足服务成果外，应向采购方偿付逾期交付部分货款总额的万分之一/天的违约金；逾期交货超过 60 天，采购方有权终止合同，中标人则应按合同总价的百分之一的款额向采购人偿付赔偿金，并须全额退还采购方已经付给中标人的货款及其利息。 （4）供应商在履约过程中，服务经采购人考核不合格的，采购人有权要求供应商整改，供应商三次整改仍不符合要求的，采购人有权终止合同。 （5）供应商应当遵守采购人的相关项目需求及相关技术要求及实质性条款，实施完成采购合同应当完全满足相关项目需求及相关技术要求及实质性条款，若供应商瑕疵履行采购合同，采购人有权向供应商要求赔偿合同总价款百分之五的违约金，若造成相关损失的，采购人有权要求供应商承担所有赔偿责任。 3.争议解决的办法 （1）在执行本合同中发生的或与本合同有关的争端，双方应通过友好协商解决，经协商在60天内不能达成协议时，双方均有权向采购人所在地人民法院提起诉讼。 （2）合同落款处双方通讯地址视为双方确认送达地址，适用于双方文件、函件往来、法院文书送达等。供应商地址变更应当书面告知采购人，否则采购人按照该地址送达视为有效送达。</w:t>
            </w:r>
          </w:p>
        </w:tc>
      </w:tr>
    </w:tbl>
    <w:p w14:paraId="1F099383">
      <w:pPr>
        <w:pStyle w:val="4"/>
        <w:jc w:val="left"/>
        <w:outlineLvl w:val="2"/>
      </w:pPr>
      <w:r>
        <w:rPr>
          <w:rFonts w:ascii="仿宋_GB2312" w:hAnsi="仿宋_GB2312" w:eastAsia="仿宋_GB2312" w:cs="仿宋_GB2312"/>
          <w:b/>
          <w:sz w:val="28"/>
        </w:rPr>
        <w:t>3.4.其他要求</w:t>
      </w:r>
    </w:p>
    <w:p w14:paraId="0224BD93">
      <w:pPr>
        <w:pStyle w:val="4"/>
        <w:ind w:firstLine="480"/>
        <w:jc w:val="left"/>
      </w:pPr>
      <w:r>
        <w:rPr>
          <w:rFonts w:ascii="仿宋_GB2312" w:hAnsi="仿宋_GB2312" w:eastAsia="仿宋_GB2312" w:cs="仿宋_GB2312"/>
        </w:rPr>
        <w:t>采购包1：</w:t>
      </w:r>
    </w:p>
    <w:p w14:paraId="6D04FAA1">
      <w:pPr>
        <w:pStyle w:val="4"/>
        <w:jc w:val="left"/>
      </w:pPr>
      <w:r>
        <w:rPr>
          <w:rFonts w:ascii="仿宋_GB2312" w:hAnsi="仿宋_GB2312" w:eastAsia="仿宋_GB2312" w:cs="仿宋_GB2312"/>
        </w:rPr>
        <w:t>无。</w:t>
      </w:r>
    </w:p>
    <w:p w14:paraId="64B4766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1C25A8"/>
    <w:rsid w:val="3A1C25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29</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2026-10-27T08:57:00Z</dcterms:created>
  <dc:creator>审核岗</dc:creator>
  <cp:lastModifiedBy>审核岗</cp:lastModifiedBy>
  <dcterms:modified xsi:type="dcterms:W3CDTF">2026-10-27T08:58:03Z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1953ABA7562D435184A1C0E8486119DC_11</vt:lpwstr>
  </property>
  <property fmtid="{D5CDD505-2E9C-101B-9397-08002B2CF9AE}" pid="4" name="KSOTemplateDocerSaveRecord">
    <vt:lpwstr>eyJoZGlkIjoiMmM0M2UxNmYzOTFmNGVmZWM3ZjVlNmNjZjUwODE3MWUiLCJ1c2VySWQiOiIzMTU1NzUzMzQifQ==</vt:lpwstr>
  </property>
</Properties>
</file>