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6B9DA4">
      <w:pPr>
        <w:spacing w:line="480" w:lineRule="exact"/>
        <w:jc w:val="center"/>
        <w:rPr>
          <w:rFonts w:hint="eastAsia" w:ascii="仿宋_GB2312" w:hAnsi="仿宋_GB2312" w:eastAsia="仿宋_GB2312" w:cs="仿宋_GB2312"/>
          <w:b/>
          <w:sz w:val="32"/>
          <w:szCs w:val="32"/>
          <w:highlight w:val="none"/>
        </w:rPr>
      </w:pPr>
    </w:p>
    <w:p w14:paraId="16A591AB">
      <w:pPr>
        <w:spacing w:line="360" w:lineRule="auto"/>
        <w:ind w:firstLine="260" w:firstLineChars="50"/>
        <w:jc w:val="center"/>
        <w:rPr>
          <w:rFonts w:ascii="仿宋_GB2312" w:hAnsi="仿宋_GB2312" w:eastAsia="仿宋_GB2312" w:cs="仿宋_GB2312"/>
          <w:b/>
          <w:sz w:val="52"/>
          <w:szCs w:val="52"/>
          <w:highlight w:val="none"/>
        </w:rPr>
      </w:pPr>
    </w:p>
    <w:p w14:paraId="1330F0B9">
      <w:pPr>
        <w:spacing w:line="360" w:lineRule="auto"/>
        <w:ind w:firstLine="260" w:firstLineChars="50"/>
        <w:jc w:val="center"/>
        <w:rPr>
          <w:rFonts w:ascii="仿宋_GB2312" w:hAnsi="仿宋_GB2312" w:eastAsia="仿宋_GB2312" w:cs="仿宋_GB2312"/>
          <w:b/>
          <w:sz w:val="52"/>
          <w:szCs w:val="52"/>
          <w:highlight w:val="none"/>
        </w:rPr>
      </w:pPr>
    </w:p>
    <w:p w14:paraId="67FF418E">
      <w:pPr>
        <w:spacing w:line="360" w:lineRule="auto"/>
        <w:ind w:firstLine="240" w:firstLineChars="50"/>
        <w:jc w:val="center"/>
        <w:rPr>
          <w:rFonts w:hint="eastAsia"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辽宁政府采购项目</w:t>
      </w:r>
    </w:p>
    <w:p w14:paraId="13A69377">
      <w:pPr>
        <w:spacing w:line="360" w:lineRule="auto"/>
        <w:ind w:firstLine="120" w:firstLineChars="50"/>
        <w:jc w:val="center"/>
        <w:rPr>
          <w:rFonts w:ascii="仿宋_GB2312" w:hAnsi="仿宋_GB2312" w:eastAsia="仿宋_GB2312" w:cs="仿宋_GB2312"/>
          <w:b/>
          <w:sz w:val="24"/>
          <w:highlight w:val="none"/>
        </w:rPr>
      </w:pPr>
    </w:p>
    <w:p w14:paraId="75D9D323">
      <w:pPr>
        <w:spacing w:line="360" w:lineRule="auto"/>
        <w:ind w:firstLine="240" w:firstLineChars="50"/>
        <w:jc w:val="center"/>
        <w:rPr>
          <w:rFonts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服务类公开招标</w:t>
      </w:r>
    </w:p>
    <w:p w14:paraId="44672B0C">
      <w:pPr>
        <w:spacing w:line="360" w:lineRule="auto"/>
        <w:ind w:firstLine="120" w:firstLineChars="50"/>
        <w:jc w:val="center"/>
        <w:rPr>
          <w:rFonts w:ascii="仿宋_GB2312" w:hAnsi="仿宋_GB2312" w:eastAsia="仿宋_GB2312" w:cs="仿宋_GB2312"/>
          <w:b/>
          <w:sz w:val="24"/>
          <w:highlight w:val="none"/>
        </w:rPr>
      </w:pPr>
    </w:p>
    <w:p w14:paraId="2045D681">
      <w:pPr>
        <w:spacing w:line="360" w:lineRule="auto"/>
        <w:ind w:firstLine="240" w:firstLineChars="50"/>
        <w:jc w:val="center"/>
        <w:rPr>
          <w:rFonts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招标文件</w:t>
      </w:r>
    </w:p>
    <w:p w14:paraId="15908414">
      <w:pPr>
        <w:spacing w:line="480" w:lineRule="exact"/>
        <w:jc w:val="center"/>
        <w:rPr>
          <w:rFonts w:ascii="仿宋_GB2312" w:hAnsi="仿宋_GB2312" w:eastAsia="仿宋_GB2312" w:cs="仿宋_GB2312"/>
          <w:b/>
          <w:sz w:val="24"/>
          <w:highlight w:val="none"/>
        </w:rPr>
      </w:pPr>
    </w:p>
    <w:p w14:paraId="4F87F0C9">
      <w:pPr>
        <w:spacing w:line="480" w:lineRule="exact"/>
        <w:jc w:val="center"/>
        <w:rPr>
          <w:rFonts w:hint="eastAsia" w:ascii="仿宋_GB2312" w:hAnsi="仿宋_GB2312" w:eastAsia="仿宋_GB2312" w:cs="仿宋_GB2312"/>
          <w:b/>
          <w:sz w:val="24"/>
          <w:highlight w:val="none"/>
        </w:rPr>
      </w:pPr>
    </w:p>
    <w:p w14:paraId="162DDDBA">
      <w:pPr>
        <w:spacing w:line="480" w:lineRule="exact"/>
        <w:jc w:val="center"/>
        <w:rPr>
          <w:rFonts w:ascii="仿宋_GB2312" w:hAnsi="仿宋_GB2312" w:eastAsia="仿宋_GB2312" w:cs="仿宋_GB2312"/>
          <w:b/>
          <w:sz w:val="24"/>
          <w:highlight w:val="none"/>
        </w:rPr>
      </w:pPr>
    </w:p>
    <w:p w14:paraId="5EEDDF6B">
      <w:pPr>
        <w:spacing w:line="480" w:lineRule="exact"/>
        <w:jc w:val="center"/>
        <w:rPr>
          <w:rFonts w:ascii="仿宋_GB2312" w:hAnsi="仿宋_GB2312" w:eastAsia="仿宋_GB2312" w:cs="仿宋_GB2312"/>
          <w:b/>
          <w:sz w:val="24"/>
          <w:highlight w:val="none"/>
        </w:rPr>
      </w:pPr>
    </w:p>
    <w:p w14:paraId="3286E613">
      <w:pPr>
        <w:spacing w:line="480" w:lineRule="exact"/>
        <w:rPr>
          <w:rFonts w:ascii="仿宋_GB2312" w:hAnsi="仿宋_GB2312" w:eastAsia="仿宋_GB2312" w:cs="仿宋_GB2312"/>
          <w:b/>
          <w:sz w:val="24"/>
          <w:highlight w:val="none"/>
        </w:rPr>
      </w:pPr>
    </w:p>
    <w:p w14:paraId="3C8243B7">
      <w:pPr>
        <w:spacing w:line="480" w:lineRule="exact"/>
        <w:jc w:val="center"/>
        <w:rPr>
          <w:rFonts w:ascii="仿宋_GB2312" w:hAnsi="仿宋_GB2312" w:eastAsia="仿宋_GB2312" w:cs="仿宋_GB2312"/>
          <w:b/>
          <w:sz w:val="24"/>
          <w:highlight w:val="none"/>
        </w:rPr>
      </w:pPr>
    </w:p>
    <w:p w14:paraId="7429E8D3">
      <w:pPr>
        <w:spacing w:line="480" w:lineRule="exact"/>
        <w:jc w:val="center"/>
        <w:rPr>
          <w:rFonts w:ascii="仿宋_GB2312" w:hAnsi="仿宋_GB2312" w:eastAsia="仿宋_GB2312" w:cs="仿宋_GB2312"/>
          <w:b/>
          <w:sz w:val="24"/>
          <w:highlight w:val="none"/>
        </w:rPr>
      </w:pPr>
    </w:p>
    <w:p w14:paraId="46644052">
      <w:pPr>
        <w:spacing w:line="360" w:lineRule="auto"/>
        <w:ind w:left="2518" w:leftChars="342" w:hanging="1800" w:hangingChars="500"/>
        <w:rPr>
          <w:rFonts w:hint="eastAsia" w:ascii="仿宋_GB2312" w:hAnsi="仿宋_GB2312" w:eastAsia="仿宋_GB2312" w:cs="仿宋_GB2312"/>
          <w:b/>
          <w:sz w:val="36"/>
          <w:szCs w:val="36"/>
          <w:highlight w:val="none"/>
          <w:lang w:eastAsia="zh-CN"/>
        </w:rPr>
      </w:pPr>
      <w:r>
        <w:rPr>
          <w:rFonts w:hint="eastAsia" w:ascii="仿宋_GB2312" w:hAnsi="仿宋_GB2312" w:eastAsia="仿宋_GB2312" w:cs="仿宋_GB2312"/>
          <w:b/>
          <w:sz w:val="36"/>
          <w:szCs w:val="36"/>
          <w:highlight w:val="none"/>
        </w:rPr>
        <w:t>项目名称：</w:t>
      </w:r>
      <w:r>
        <w:rPr>
          <w:rFonts w:hint="eastAsia" w:ascii="仿宋_GB2312" w:hAnsi="仿宋_GB2312" w:eastAsia="仿宋_GB2312" w:cs="仿宋_GB2312"/>
          <w:b/>
          <w:sz w:val="36"/>
          <w:szCs w:val="36"/>
          <w:highlight w:val="none"/>
          <w:lang w:eastAsia="zh-CN"/>
        </w:rPr>
        <w:t>沈阳市第一0七中学购买师生餐饮服务</w:t>
      </w:r>
    </w:p>
    <w:p w14:paraId="766D972C">
      <w:pPr>
        <w:spacing w:line="360" w:lineRule="auto"/>
        <w:ind w:left="2518" w:leftChars="342" w:hanging="1800" w:hangingChars="500"/>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项目编号：JH25-210104-00385</w:t>
      </w:r>
    </w:p>
    <w:p w14:paraId="1C2B7F09">
      <w:pPr>
        <w:spacing w:line="360" w:lineRule="auto"/>
        <w:ind w:left="2518" w:leftChars="342" w:hanging="1800" w:hangingChars="500"/>
        <w:rPr>
          <w:rFonts w:ascii="仿宋_GB2312" w:hAnsi="仿宋_GB2312" w:cs="仿宋_GB2312"/>
          <w:b/>
          <w:bCs/>
          <w:sz w:val="44"/>
          <w:szCs w:val="44"/>
          <w:highlight w:val="none"/>
        </w:rPr>
        <w:sectPr>
          <w:headerReference r:id="rId3" w:type="default"/>
          <w:pgSz w:w="11906" w:h="16838"/>
          <w:pgMar w:top="1440" w:right="2125" w:bottom="1440" w:left="1803" w:header="851" w:footer="992" w:gutter="0"/>
          <w:pgNumType w:start="1"/>
          <w:cols w:space="720" w:num="1"/>
          <w:docGrid w:type="linesAndChars" w:linePitch="312" w:charSpace="0"/>
        </w:sectPr>
      </w:pPr>
      <w:r>
        <w:rPr>
          <w:rFonts w:hint="eastAsia" w:ascii="仿宋_GB2312" w:hAnsi="仿宋_GB2312" w:eastAsia="仿宋_GB2312" w:cs="仿宋_GB2312"/>
          <w:b/>
          <w:sz w:val="36"/>
          <w:szCs w:val="36"/>
          <w:highlight w:val="none"/>
        </w:rPr>
        <w:t>编制单位：沈阳鸿诺招标代理有限公司</w:t>
      </w:r>
    </w:p>
    <w:p w14:paraId="6682DF5D">
      <w:pPr>
        <w:jc w:val="center"/>
        <w:rPr>
          <w:rFonts w:ascii="仿宋_GB2312" w:hAnsi="仿宋_GB2312" w:eastAsia="仿宋_GB2312" w:cs="仿宋_GB2312"/>
          <w:b/>
          <w:bCs/>
          <w:sz w:val="44"/>
          <w:szCs w:val="44"/>
          <w:highlight w:val="none"/>
        </w:rPr>
      </w:pPr>
      <w:r>
        <w:rPr>
          <w:rFonts w:hint="eastAsia" w:ascii="仿宋_GB2312" w:hAnsi="仿宋_GB2312" w:eastAsia="仿宋_GB2312" w:cs="仿宋_GB2312"/>
          <w:b/>
          <w:bCs/>
          <w:sz w:val="44"/>
          <w:szCs w:val="44"/>
          <w:highlight w:val="none"/>
        </w:rPr>
        <w:t>目  录</w:t>
      </w:r>
    </w:p>
    <w:p w14:paraId="6062C74C">
      <w:pPr>
        <w:jc w:val="center"/>
        <w:rPr>
          <w:rFonts w:ascii="仿宋_GB2312" w:hAnsi="仿宋_GB2312" w:eastAsia="仿宋_GB2312" w:cs="仿宋_GB2312"/>
          <w:b/>
          <w:bCs/>
          <w:sz w:val="44"/>
          <w:szCs w:val="44"/>
          <w:highlight w:val="none"/>
        </w:rPr>
      </w:pPr>
    </w:p>
    <w:p w14:paraId="4C33D3FA">
      <w:pPr>
        <w:pStyle w:val="15"/>
        <w:tabs>
          <w:tab w:val="right" w:leader="dot" w:pos="8300"/>
        </w:tabs>
        <w:spacing w:line="480" w:lineRule="auto"/>
        <w:rPr>
          <w:b/>
          <w:bCs/>
          <w:sz w:val="24"/>
          <w:highlight w:val="none"/>
        </w:rPr>
      </w:pPr>
      <w:r>
        <w:rPr>
          <w:b/>
          <w:bCs/>
          <w:sz w:val="24"/>
          <w:highlight w:val="none"/>
        </w:rPr>
        <w:fldChar w:fldCharType="begin"/>
      </w:r>
      <w:r>
        <w:rPr>
          <w:b/>
          <w:bCs/>
          <w:sz w:val="24"/>
          <w:highlight w:val="none"/>
        </w:rPr>
        <w:instrText xml:space="preserve">TOC \o "1-1" \h \u </w:instrText>
      </w:r>
      <w:r>
        <w:rPr>
          <w:b/>
          <w:bCs/>
          <w:sz w:val="24"/>
          <w:highlight w:val="none"/>
        </w:rPr>
        <w:fldChar w:fldCharType="separate"/>
      </w:r>
      <w:r>
        <w:rPr>
          <w:highlight w:val="none"/>
        </w:rPr>
        <w:fldChar w:fldCharType="begin"/>
      </w:r>
      <w:r>
        <w:rPr>
          <w:highlight w:val="none"/>
        </w:rPr>
        <w:instrText xml:space="preserve"> HYPERLINK \l "_Toc9521" </w:instrText>
      </w:r>
      <w:r>
        <w:rPr>
          <w:highlight w:val="none"/>
        </w:rPr>
        <w:fldChar w:fldCharType="separate"/>
      </w:r>
      <w:r>
        <w:rPr>
          <w:rFonts w:hint="eastAsia" w:ascii="仿宋_GB2312" w:hAnsi="仿宋_GB2312" w:eastAsia="仿宋_GB2312" w:cs="仿宋_GB2312"/>
          <w:b/>
          <w:bCs/>
          <w:sz w:val="24"/>
          <w:highlight w:val="none"/>
        </w:rPr>
        <w:t>招标公告</w:t>
      </w:r>
      <w:r>
        <w:rPr>
          <w:b/>
          <w:bCs/>
          <w:sz w:val="24"/>
          <w:highlight w:val="none"/>
        </w:rPr>
        <w:tab/>
      </w:r>
      <w:r>
        <w:rPr>
          <w:b/>
          <w:bCs/>
          <w:sz w:val="24"/>
          <w:highlight w:val="none"/>
        </w:rPr>
        <w:fldChar w:fldCharType="begin"/>
      </w:r>
      <w:r>
        <w:rPr>
          <w:b/>
          <w:bCs/>
          <w:sz w:val="24"/>
          <w:highlight w:val="none"/>
        </w:rPr>
        <w:instrText xml:space="preserve"> PAGEREF _Toc9521 </w:instrText>
      </w:r>
      <w:r>
        <w:rPr>
          <w:b/>
          <w:bCs/>
          <w:sz w:val="24"/>
          <w:highlight w:val="none"/>
        </w:rPr>
        <w:fldChar w:fldCharType="separate"/>
      </w:r>
      <w:r>
        <w:rPr>
          <w:b/>
          <w:bCs/>
          <w:sz w:val="24"/>
          <w:highlight w:val="none"/>
        </w:rPr>
        <w:t>1</w:t>
      </w:r>
      <w:r>
        <w:rPr>
          <w:b/>
          <w:bCs/>
          <w:sz w:val="24"/>
          <w:highlight w:val="none"/>
        </w:rPr>
        <w:fldChar w:fldCharType="end"/>
      </w:r>
      <w:r>
        <w:rPr>
          <w:b/>
          <w:bCs/>
          <w:sz w:val="24"/>
          <w:highlight w:val="none"/>
        </w:rPr>
        <w:fldChar w:fldCharType="end"/>
      </w:r>
    </w:p>
    <w:p w14:paraId="490270DE">
      <w:pPr>
        <w:pStyle w:val="15"/>
        <w:tabs>
          <w:tab w:val="right" w:leader="dot" w:pos="8300"/>
        </w:tabs>
        <w:spacing w:line="480" w:lineRule="auto"/>
        <w:rPr>
          <w:b/>
          <w:bCs/>
          <w:sz w:val="24"/>
          <w:highlight w:val="none"/>
        </w:rPr>
      </w:pPr>
      <w:r>
        <w:rPr>
          <w:highlight w:val="none"/>
        </w:rPr>
        <w:fldChar w:fldCharType="begin"/>
      </w:r>
      <w:r>
        <w:rPr>
          <w:highlight w:val="none"/>
        </w:rPr>
        <w:instrText xml:space="preserve"> HYPERLINK \l "_Toc27235" </w:instrText>
      </w:r>
      <w:r>
        <w:rPr>
          <w:highlight w:val="none"/>
        </w:rPr>
        <w:fldChar w:fldCharType="separate"/>
      </w:r>
      <w:r>
        <w:rPr>
          <w:rFonts w:hint="eastAsia" w:ascii="仿宋_GB2312" w:hAnsi="仿宋_GB2312" w:eastAsia="仿宋_GB2312" w:cs="仿宋_GB2312"/>
          <w:b/>
          <w:bCs/>
          <w:sz w:val="24"/>
          <w:highlight w:val="none"/>
        </w:rPr>
        <w:t>第一章 投标人须知</w:t>
      </w:r>
      <w:r>
        <w:rPr>
          <w:b/>
          <w:bCs/>
          <w:sz w:val="24"/>
          <w:highlight w:val="none"/>
        </w:rPr>
        <w:tab/>
      </w:r>
      <w:r>
        <w:rPr>
          <w:b/>
          <w:bCs/>
          <w:sz w:val="24"/>
          <w:highlight w:val="none"/>
        </w:rPr>
        <w:fldChar w:fldCharType="begin"/>
      </w:r>
      <w:r>
        <w:rPr>
          <w:b/>
          <w:bCs/>
          <w:sz w:val="24"/>
          <w:highlight w:val="none"/>
        </w:rPr>
        <w:instrText xml:space="preserve"> PAGEREF _Toc27235 </w:instrText>
      </w:r>
      <w:r>
        <w:rPr>
          <w:b/>
          <w:bCs/>
          <w:sz w:val="24"/>
          <w:highlight w:val="none"/>
        </w:rPr>
        <w:fldChar w:fldCharType="separate"/>
      </w:r>
      <w:r>
        <w:rPr>
          <w:b/>
          <w:bCs/>
          <w:sz w:val="24"/>
          <w:highlight w:val="none"/>
        </w:rPr>
        <w:t>5</w:t>
      </w:r>
      <w:r>
        <w:rPr>
          <w:b/>
          <w:bCs/>
          <w:sz w:val="24"/>
          <w:highlight w:val="none"/>
        </w:rPr>
        <w:fldChar w:fldCharType="end"/>
      </w:r>
      <w:r>
        <w:rPr>
          <w:b/>
          <w:bCs/>
          <w:sz w:val="24"/>
          <w:highlight w:val="none"/>
        </w:rPr>
        <w:fldChar w:fldCharType="end"/>
      </w:r>
    </w:p>
    <w:p w14:paraId="460BE065">
      <w:pPr>
        <w:pStyle w:val="15"/>
        <w:tabs>
          <w:tab w:val="right" w:leader="dot" w:pos="8300"/>
        </w:tabs>
        <w:spacing w:line="480" w:lineRule="auto"/>
        <w:rPr>
          <w:b/>
          <w:bCs/>
          <w:sz w:val="24"/>
          <w:highlight w:val="none"/>
        </w:rPr>
      </w:pPr>
      <w:r>
        <w:rPr>
          <w:highlight w:val="none"/>
        </w:rPr>
        <w:fldChar w:fldCharType="begin"/>
      </w:r>
      <w:r>
        <w:rPr>
          <w:highlight w:val="none"/>
        </w:rPr>
        <w:instrText xml:space="preserve"> HYPERLINK \l "_Toc13351" </w:instrText>
      </w:r>
      <w:r>
        <w:rPr>
          <w:highlight w:val="none"/>
        </w:rPr>
        <w:fldChar w:fldCharType="separate"/>
      </w:r>
      <w:r>
        <w:rPr>
          <w:rFonts w:hint="eastAsia" w:ascii="仿宋_GB2312" w:hAnsi="仿宋_GB2312" w:eastAsia="仿宋_GB2312" w:cs="仿宋_GB2312"/>
          <w:b/>
          <w:bCs/>
          <w:sz w:val="24"/>
          <w:highlight w:val="none"/>
        </w:rPr>
        <w:t>第二章 投标文件内容及格式</w:t>
      </w:r>
      <w:r>
        <w:rPr>
          <w:b/>
          <w:bCs/>
          <w:sz w:val="24"/>
          <w:highlight w:val="none"/>
        </w:rPr>
        <w:tab/>
      </w:r>
      <w:r>
        <w:rPr>
          <w:b/>
          <w:bCs/>
          <w:sz w:val="24"/>
          <w:highlight w:val="none"/>
        </w:rPr>
        <w:fldChar w:fldCharType="begin"/>
      </w:r>
      <w:r>
        <w:rPr>
          <w:b/>
          <w:bCs/>
          <w:sz w:val="24"/>
          <w:highlight w:val="none"/>
        </w:rPr>
        <w:instrText xml:space="preserve"> PAGEREF _Toc13351 </w:instrText>
      </w:r>
      <w:r>
        <w:rPr>
          <w:b/>
          <w:bCs/>
          <w:sz w:val="24"/>
          <w:highlight w:val="none"/>
        </w:rPr>
        <w:fldChar w:fldCharType="separate"/>
      </w:r>
      <w:r>
        <w:rPr>
          <w:b/>
          <w:bCs/>
          <w:sz w:val="24"/>
          <w:highlight w:val="none"/>
        </w:rPr>
        <w:t>21</w:t>
      </w:r>
      <w:r>
        <w:rPr>
          <w:b/>
          <w:bCs/>
          <w:sz w:val="24"/>
          <w:highlight w:val="none"/>
        </w:rPr>
        <w:fldChar w:fldCharType="end"/>
      </w:r>
      <w:r>
        <w:rPr>
          <w:b/>
          <w:bCs/>
          <w:sz w:val="24"/>
          <w:highlight w:val="none"/>
        </w:rPr>
        <w:fldChar w:fldCharType="end"/>
      </w:r>
    </w:p>
    <w:p w14:paraId="2C36AAB0">
      <w:pPr>
        <w:pStyle w:val="15"/>
        <w:tabs>
          <w:tab w:val="right" w:leader="dot" w:pos="8300"/>
        </w:tabs>
        <w:spacing w:line="480" w:lineRule="auto"/>
        <w:rPr>
          <w:b/>
          <w:bCs/>
          <w:sz w:val="24"/>
          <w:highlight w:val="none"/>
        </w:rPr>
      </w:pPr>
      <w:r>
        <w:rPr>
          <w:highlight w:val="none"/>
        </w:rPr>
        <w:fldChar w:fldCharType="begin"/>
      </w:r>
      <w:r>
        <w:rPr>
          <w:highlight w:val="none"/>
        </w:rPr>
        <w:instrText xml:space="preserve"> HYPERLINK \l "_Toc11327" </w:instrText>
      </w:r>
      <w:r>
        <w:rPr>
          <w:highlight w:val="none"/>
        </w:rPr>
        <w:fldChar w:fldCharType="separate"/>
      </w:r>
      <w:r>
        <w:rPr>
          <w:rFonts w:hint="eastAsia" w:ascii="仿宋_GB2312" w:hAnsi="仿宋_GB2312" w:eastAsia="仿宋_GB2312" w:cs="仿宋_GB2312"/>
          <w:b/>
          <w:bCs/>
          <w:sz w:val="24"/>
          <w:highlight w:val="none"/>
        </w:rPr>
        <w:t>第三章 服务需求</w:t>
      </w:r>
      <w:r>
        <w:rPr>
          <w:b/>
          <w:bCs/>
          <w:sz w:val="24"/>
          <w:highlight w:val="none"/>
        </w:rPr>
        <w:tab/>
      </w:r>
      <w:r>
        <w:rPr>
          <w:b/>
          <w:bCs/>
          <w:sz w:val="24"/>
          <w:highlight w:val="none"/>
        </w:rPr>
        <w:fldChar w:fldCharType="begin"/>
      </w:r>
      <w:r>
        <w:rPr>
          <w:b/>
          <w:bCs/>
          <w:sz w:val="24"/>
          <w:highlight w:val="none"/>
        </w:rPr>
        <w:instrText xml:space="preserve"> PAGEREF _Toc11327 </w:instrText>
      </w:r>
      <w:r>
        <w:rPr>
          <w:b/>
          <w:bCs/>
          <w:sz w:val="24"/>
          <w:highlight w:val="none"/>
        </w:rPr>
        <w:fldChar w:fldCharType="separate"/>
      </w:r>
      <w:r>
        <w:rPr>
          <w:b/>
          <w:bCs/>
          <w:sz w:val="24"/>
          <w:highlight w:val="none"/>
        </w:rPr>
        <w:t>56</w:t>
      </w:r>
      <w:r>
        <w:rPr>
          <w:b/>
          <w:bCs/>
          <w:sz w:val="24"/>
          <w:highlight w:val="none"/>
        </w:rPr>
        <w:fldChar w:fldCharType="end"/>
      </w:r>
      <w:r>
        <w:rPr>
          <w:b/>
          <w:bCs/>
          <w:sz w:val="24"/>
          <w:highlight w:val="none"/>
        </w:rPr>
        <w:fldChar w:fldCharType="end"/>
      </w:r>
    </w:p>
    <w:p w14:paraId="3F09FE58">
      <w:pPr>
        <w:pStyle w:val="15"/>
        <w:tabs>
          <w:tab w:val="right" w:leader="dot" w:pos="8300"/>
        </w:tabs>
        <w:spacing w:line="480" w:lineRule="auto"/>
        <w:rPr>
          <w:rFonts w:hint="eastAsia"/>
          <w:b/>
          <w:bCs/>
          <w:sz w:val="24"/>
          <w:highlight w:val="none"/>
        </w:rPr>
      </w:pPr>
      <w:r>
        <w:rPr>
          <w:highlight w:val="none"/>
        </w:rPr>
        <w:fldChar w:fldCharType="begin"/>
      </w:r>
      <w:r>
        <w:rPr>
          <w:highlight w:val="none"/>
        </w:rPr>
        <w:instrText xml:space="preserve"> HYPERLINK \l "_Toc8062" </w:instrText>
      </w:r>
      <w:r>
        <w:rPr>
          <w:highlight w:val="none"/>
        </w:rPr>
        <w:fldChar w:fldCharType="separate"/>
      </w:r>
      <w:r>
        <w:rPr>
          <w:rFonts w:hint="eastAsia" w:ascii="仿宋_GB2312" w:hAnsi="仿宋_GB2312" w:eastAsia="仿宋_GB2312" w:cs="仿宋_GB2312"/>
          <w:b/>
          <w:bCs/>
          <w:sz w:val="24"/>
          <w:highlight w:val="none"/>
        </w:rPr>
        <w:t>第四章 评标方法</w:t>
      </w:r>
      <w:r>
        <w:rPr>
          <w:b/>
          <w:bCs/>
          <w:sz w:val="24"/>
          <w:highlight w:val="none"/>
        </w:rPr>
        <w:tab/>
      </w:r>
      <w:r>
        <w:rPr>
          <w:rFonts w:hint="eastAsia"/>
          <w:b/>
          <w:bCs/>
          <w:sz w:val="24"/>
          <w:highlight w:val="none"/>
        </w:rPr>
        <w:t>4</w:t>
      </w:r>
      <w:r>
        <w:rPr>
          <w:b/>
          <w:bCs/>
          <w:sz w:val="24"/>
          <w:highlight w:val="none"/>
        </w:rPr>
        <w:fldChar w:fldCharType="end"/>
      </w:r>
      <w:r>
        <w:rPr>
          <w:rFonts w:hint="eastAsia"/>
          <w:b/>
          <w:bCs/>
          <w:sz w:val="24"/>
          <w:highlight w:val="none"/>
        </w:rPr>
        <w:t>7</w:t>
      </w:r>
    </w:p>
    <w:p w14:paraId="54A494CA">
      <w:pPr>
        <w:pStyle w:val="15"/>
        <w:tabs>
          <w:tab w:val="right" w:leader="dot" w:pos="8300"/>
        </w:tabs>
        <w:spacing w:line="480" w:lineRule="auto"/>
        <w:rPr>
          <w:b/>
          <w:bCs/>
          <w:sz w:val="24"/>
          <w:highlight w:val="none"/>
        </w:rPr>
      </w:pPr>
      <w:r>
        <w:rPr>
          <w:highlight w:val="none"/>
        </w:rPr>
        <w:fldChar w:fldCharType="begin"/>
      </w:r>
      <w:r>
        <w:rPr>
          <w:highlight w:val="none"/>
        </w:rPr>
        <w:instrText xml:space="preserve"> HYPERLINK \l "_Toc24606" </w:instrText>
      </w:r>
      <w:r>
        <w:rPr>
          <w:highlight w:val="none"/>
        </w:rPr>
        <w:fldChar w:fldCharType="separate"/>
      </w:r>
      <w:r>
        <w:rPr>
          <w:rFonts w:hint="eastAsia" w:ascii="仿宋_GB2312" w:hAnsi="仿宋_GB2312" w:eastAsia="仿宋_GB2312" w:cs="仿宋_GB2312"/>
          <w:b/>
          <w:bCs/>
          <w:sz w:val="24"/>
          <w:highlight w:val="none"/>
        </w:rPr>
        <w:t>第五章 政府采购合同条款及格式</w:t>
      </w:r>
      <w:r>
        <w:rPr>
          <w:b/>
          <w:bCs/>
          <w:sz w:val="24"/>
          <w:highlight w:val="none"/>
        </w:rPr>
        <w:tab/>
      </w:r>
      <w:r>
        <w:rPr>
          <w:b/>
          <w:bCs/>
          <w:sz w:val="24"/>
          <w:highlight w:val="none"/>
        </w:rPr>
        <w:fldChar w:fldCharType="begin"/>
      </w:r>
      <w:r>
        <w:rPr>
          <w:b/>
          <w:bCs/>
          <w:sz w:val="24"/>
          <w:highlight w:val="none"/>
        </w:rPr>
        <w:instrText xml:space="preserve"> PAGEREF _Toc24606 </w:instrText>
      </w:r>
      <w:r>
        <w:rPr>
          <w:b/>
          <w:bCs/>
          <w:sz w:val="24"/>
          <w:highlight w:val="none"/>
        </w:rPr>
        <w:fldChar w:fldCharType="separate"/>
      </w:r>
      <w:r>
        <w:rPr>
          <w:b/>
          <w:bCs/>
          <w:sz w:val="24"/>
          <w:highlight w:val="none"/>
        </w:rPr>
        <w:t>74</w:t>
      </w:r>
      <w:r>
        <w:rPr>
          <w:b/>
          <w:bCs/>
          <w:sz w:val="24"/>
          <w:highlight w:val="none"/>
        </w:rPr>
        <w:fldChar w:fldCharType="end"/>
      </w:r>
      <w:r>
        <w:rPr>
          <w:b/>
          <w:bCs/>
          <w:sz w:val="24"/>
          <w:highlight w:val="none"/>
        </w:rPr>
        <w:fldChar w:fldCharType="end"/>
      </w:r>
    </w:p>
    <w:p w14:paraId="58365292">
      <w:pPr>
        <w:spacing w:line="480" w:lineRule="auto"/>
        <w:rPr>
          <w:highlight w:val="none"/>
        </w:rPr>
      </w:pPr>
      <w:r>
        <w:rPr>
          <w:b/>
          <w:bCs/>
          <w:sz w:val="24"/>
          <w:highlight w:val="none"/>
        </w:rPr>
        <w:fldChar w:fldCharType="end"/>
      </w:r>
    </w:p>
    <w:p w14:paraId="49F4C499">
      <w:pPr>
        <w:pStyle w:val="2"/>
        <w:rPr>
          <w:rFonts w:ascii="仿宋_GB2312" w:hAnsi="仿宋_GB2312" w:eastAsia="仿宋_GB2312" w:cs="仿宋_GB2312"/>
          <w:highlight w:val="none"/>
        </w:rPr>
        <w:sectPr>
          <w:footerReference r:id="rId4" w:type="default"/>
          <w:pgSz w:w="11906" w:h="16838"/>
          <w:pgMar w:top="1440" w:right="1803" w:bottom="1440" w:left="1803" w:header="851" w:footer="992" w:gutter="0"/>
          <w:pgNumType w:start="1"/>
          <w:cols w:space="720" w:num="1"/>
          <w:docGrid w:type="linesAndChars" w:linePitch="312" w:charSpace="0"/>
        </w:sectPr>
      </w:pPr>
      <w:bookmarkStart w:id="0" w:name="_Toc2983"/>
      <w:bookmarkStart w:id="1" w:name="_Toc1124_WPSOffice_Level1"/>
      <w:bookmarkStart w:id="2" w:name="_Toc9521"/>
    </w:p>
    <w:p w14:paraId="4861A88D">
      <w:pPr>
        <w:pStyle w:val="2"/>
        <w:rPr>
          <w:rFonts w:ascii="仿宋_GB2312" w:hAnsi="仿宋_GB2312" w:eastAsia="仿宋_GB2312" w:cs="仿宋_GB2312"/>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沈阳市第一0七中学购买师生餐饮服务</w:t>
      </w:r>
      <w:r>
        <w:rPr>
          <w:rFonts w:hint="eastAsia" w:ascii="仿宋_GB2312" w:hAnsi="仿宋_GB2312" w:eastAsia="仿宋_GB2312" w:cs="仿宋_GB2312"/>
          <w:highlight w:val="none"/>
        </w:rPr>
        <w:t>）的招标公告</w:t>
      </w:r>
      <w:bookmarkEnd w:id="0"/>
      <w:bookmarkEnd w:id="1"/>
      <w:bookmarkEnd w:id="2"/>
    </w:p>
    <w:p w14:paraId="3BA5029F">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项目概况</w:t>
      </w:r>
    </w:p>
    <w:p w14:paraId="59327F7C">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u w:val="single"/>
          <w:lang w:eastAsia="zh-CN"/>
        </w:rPr>
        <w:t>沈阳市第一0七中学购买师生餐饮服务</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招标项目的潜在供应商应在</w:t>
      </w:r>
      <w:r>
        <w:rPr>
          <w:rFonts w:hint="eastAsia" w:ascii="仿宋_GB2312" w:hAnsi="仿宋_GB2312" w:eastAsia="仿宋_GB2312" w:cs="仿宋_GB2312"/>
          <w:szCs w:val="21"/>
          <w:highlight w:val="none"/>
          <w:u w:val="single"/>
        </w:rPr>
        <w:t>（辽宁政府采购网）</w:t>
      </w:r>
      <w:r>
        <w:rPr>
          <w:rFonts w:hint="eastAsia" w:ascii="仿宋_GB2312" w:hAnsi="仿宋_GB2312" w:eastAsia="仿宋_GB2312" w:cs="仿宋_GB2312"/>
          <w:szCs w:val="21"/>
          <w:highlight w:val="none"/>
        </w:rPr>
        <w:t>获取招标文件，并于</w:t>
      </w:r>
      <w:r>
        <w:rPr>
          <w:rFonts w:hint="eastAsia" w:ascii="仿宋_GB2312" w:hAnsi="仿宋_GB2312" w:eastAsia="仿宋_GB2312" w:cs="仿宋_GB2312"/>
          <w:szCs w:val="21"/>
          <w:highlight w:val="none"/>
          <w:u w:val="single"/>
        </w:rPr>
        <w:t>2025</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05</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06</w:t>
      </w:r>
      <w:r>
        <w:rPr>
          <w:rFonts w:hint="eastAsia" w:ascii="仿宋_GB2312" w:hAnsi="仿宋_GB2312" w:eastAsia="仿宋_GB2312" w:cs="仿宋_GB2312"/>
          <w:bCs/>
          <w:szCs w:val="21"/>
          <w:highlight w:val="none"/>
          <w:u w:val="single"/>
        </w:rPr>
        <w:t>日13点30分</w:t>
      </w:r>
      <w:r>
        <w:rPr>
          <w:rFonts w:hint="eastAsia" w:ascii="仿宋_GB2312" w:hAnsi="仿宋_GB2312" w:eastAsia="仿宋_GB2312" w:cs="仿宋_GB2312"/>
          <w:bCs/>
          <w:szCs w:val="21"/>
          <w:highlight w:val="none"/>
        </w:rPr>
        <w:t>（北京时间）前提交投标文件</w:t>
      </w:r>
      <w:r>
        <w:rPr>
          <w:rFonts w:hint="eastAsia" w:ascii="仿宋_GB2312" w:hAnsi="仿宋_GB2312" w:eastAsia="仿宋_GB2312" w:cs="仿宋_GB2312"/>
          <w:szCs w:val="21"/>
          <w:highlight w:val="none"/>
        </w:rPr>
        <w:t>。</w:t>
      </w:r>
    </w:p>
    <w:p w14:paraId="39EC47F8">
      <w:pPr>
        <w:widowControl/>
        <w:adjustRightInd w:val="0"/>
        <w:snapToGrid w:val="0"/>
        <w:spacing w:line="360" w:lineRule="auto"/>
        <w:ind w:firstLine="420" w:firstLineChars="200"/>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kern w:val="0"/>
          <w:szCs w:val="21"/>
          <w:highlight w:val="none"/>
        </w:rPr>
        <w:t xml:space="preserve"> </w:t>
      </w:r>
    </w:p>
    <w:p w14:paraId="760CD3B9">
      <w:pPr>
        <w:adjustRightInd w:val="0"/>
        <w:snapToGrid w:val="0"/>
        <w:spacing w:line="360" w:lineRule="auto"/>
        <w:rPr>
          <w:rFonts w:hint="eastAsia" w:ascii="仿宋_GB2312" w:hAnsi="仿宋_GB2312" w:eastAsia="仿宋_GB2312" w:cs="仿宋_GB2312"/>
          <w:b/>
          <w:bCs/>
          <w:szCs w:val="21"/>
          <w:highlight w:val="none"/>
        </w:rPr>
      </w:pPr>
      <w:bookmarkStart w:id="3" w:name="_Toc35393621"/>
      <w:bookmarkStart w:id="4" w:name="_Toc28359079"/>
      <w:bookmarkStart w:id="5" w:name="_Toc28359002"/>
      <w:bookmarkStart w:id="6" w:name="_Toc35393790"/>
      <w:bookmarkStart w:id="7" w:name="_Hlk24379207"/>
      <w:r>
        <w:rPr>
          <w:rFonts w:hint="eastAsia" w:ascii="仿宋_GB2312" w:hAnsi="仿宋_GB2312" w:eastAsia="仿宋_GB2312" w:cs="仿宋_GB2312"/>
          <w:b/>
          <w:bCs/>
          <w:szCs w:val="21"/>
          <w:highlight w:val="none"/>
        </w:rPr>
        <w:t>一、项目基本情况</w:t>
      </w:r>
      <w:bookmarkEnd w:id="3"/>
      <w:bookmarkEnd w:id="4"/>
      <w:bookmarkEnd w:id="5"/>
      <w:bookmarkEnd w:id="6"/>
    </w:p>
    <w:p w14:paraId="07D3092D">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项目编号：JH25-210104-00385</w:t>
      </w:r>
    </w:p>
    <w:p w14:paraId="06DE778B">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项目名称：</w:t>
      </w:r>
      <w:r>
        <w:rPr>
          <w:rFonts w:hint="eastAsia" w:ascii="仿宋_GB2312" w:hAnsi="仿宋_GB2312" w:eastAsia="仿宋_GB2312" w:cs="仿宋_GB2312"/>
          <w:szCs w:val="21"/>
          <w:highlight w:val="none"/>
          <w:lang w:eastAsia="zh-CN"/>
        </w:rPr>
        <w:t>沈阳市第一0七中学购买师生餐饮服务</w:t>
      </w:r>
    </w:p>
    <w:p w14:paraId="69D2E6D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包组编号：001</w:t>
      </w:r>
    </w:p>
    <w:bookmarkEnd w:id="7"/>
    <w:p w14:paraId="76D7330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预算金额：人民币</w:t>
      </w:r>
      <w:r>
        <w:rPr>
          <w:rFonts w:hint="eastAsia" w:ascii="仿宋_GB2312" w:hAnsi="仿宋_GB2312" w:eastAsia="仿宋_GB2312" w:cs="仿宋_GB2312"/>
          <w:szCs w:val="21"/>
          <w:highlight w:val="none"/>
          <w:lang w:eastAsia="zh-CN"/>
        </w:rPr>
        <w:t>6,322,500.00</w:t>
      </w:r>
      <w:r>
        <w:rPr>
          <w:rFonts w:hint="eastAsia" w:ascii="仿宋_GB2312" w:hAnsi="仿宋_GB2312" w:eastAsia="仿宋_GB2312" w:cs="仿宋_GB2312"/>
          <w:szCs w:val="21"/>
          <w:highlight w:val="none"/>
        </w:rPr>
        <w:t>元</w:t>
      </w:r>
    </w:p>
    <w:p w14:paraId="368282B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最高限价：人民币</w:t>
      </w:r>
      <w:r>
        <w:rPr>
          <w:rFonts w:hint="eastAsia" w:ascii="仿宋_GB2312" w:hAnsi="仿宋_GB2312" w:eastAsia="仿宋_GB2312" w:cs="仿宋_GB2312"/>
          <w:szCs w:val="21"/>
          <w:highlight w:val="none"/>
          <w:lang w:eastAsia="zh-CN"/>
        </w:rPr>
        <w:t>6,322,500.00</w:t>
      </w:r>
      <w:r>
        <w:rPr>
          <w:rFonts w:hint="eastAsia" w:ascii="仿宋_GB2312" w:hAnsi="仿宋_GB2312" w:eastAsia="仿宋_GB2312" w:cs="仿宋_GB2312"/>
          <w:szCs w:val="21"/>
          <w:highlight w:val="none"/>
        </w:rPr>
        <w:t>元</w:t>
      </w:r>
    </w:p>
    <w:p w14:paraId="18D2DDC3">
      <w:pPr>
        <w:adjustRightInd w:val="0"/>
        <w:snapToGrid w:val="0"/>
        <w:spacing w:line="360" w:lineRule="auto"/>
        <w:ind w:firstLine="420" w:firstLineChars="200"/>
        <w:rPr>
          <w:rFonts w:hint="eastAsia" w:ascii="仿宋_GB2312" w:hAnsi="仿宋_GB2312" w:eastAsia="仿宋_GB2312" w:cs="仿宋_GB2312"/>
          <w:szCs w:val="21"/>
          <w:highlight w:val="none"/>
          <w:u w:val="single"/>
          <w:lang w:eastAsia="zh-CN"/>
        </w:rPr>
      </w:pPr>
      <w:r>
        <w:rPr>
          <w:rFonts w:hint="eastAsia" w:ascii="仿宋_GB2312" w:hAnsi="仿宋_GB2312" w:eastAsia="仿宋_GB2312" w:cs="仿宋_GB2312"/>
          <w:szCs w:val="21"/>
          <w:highlight w:val="none"/>
        </w:rPr>
        <w:t>采购需求：沈阳市第一0七中学采购教职员工、学生餐饮服务。服务期限为一年，包括教职员工早、午工作餐；学生包括午餐</w:t>
      </w:r>
      <w:r>
        <w:rPr>
          <w:rFonts w:hint="eastAsia" w:ascii="仿宋_GB2312" w:hAnsi="仿宋_GB2312" w:eastAsia="仿宋_GB2312" w:cs="仿宋_GB2312"/>
          <w:szCs w:val="21"/>
          <w:highlight w:val="none"/>
          <w:lang w:val="en-US" w:eastAsia="zh-CN"/>
        </w:rPr>
        <w:t>、晚餐</w:t>
      </w:r>
      <w:r>
        <w:rPr>
          <w:rFonts w:hint="eastAsia" w:ascii="仿宋_GB2312" w:hAnsi="仿宋_GB2312" w:eastAsia="仿宋_GB2312" w:cs="仿宋_GB2312"/>
          <w:szCs w:val="21"/>
          <w:highlight w:val="none"/>
        </w:rPr>
        <w:t>。要求餐饮公司应按照国家、省市等关于食堂管理的相关要求，严格执行《中华人民共和国食品安全法》和有关食品安全相关法规，保证平衡膳食，配餐科学，食材绿色环保，服务优质，严格执行用餐各项管理制度，切实保障师生用餐安全</w:t>
      </w:r>
      <w:r>
        <w:rPr>
          <w:rFonts w:hint="eastAsia" w:ascii="仿宋_GB2312" w:hAnsi="仿宋_GB2312" w:eastAsia="仿宋_GB2312" w:cs="仿宋_GB2312"/>
          <w:szCs w:val="21"/>
          <w:highlight w:val="none"/>
          <w:lang w:eastAsia="zh-CN"/>
        </w:rPr>
        <w:t>。</w:t>
      </w:r>
    </w:p>
    <w:p w14:paraId="04419F2A">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合同履行期限：</w:t>
      </w:r>
      <w:r>
        <w:rPr>
          <w:rFonts w:hint="eastAsia" w:eastAsia="仿宋_GB2312"/>
          <w:highlight w:val="none"/>
          <w:lang w:eastAsia="zh-CN"/>
        </w:rPr>
        <w:t>自合同签订之日</w:t>
      </w:r>
      <w:r>
        <w:rPr>
          <w:rFonts w:hint="eastAsia" w:ascii="仿宋_GB2312" w:hAnsi="仿宋_GB2312" w:eastAsia="仿宋_GB2312" w:cs="仿宋_GB2312"/>
          <w:highlight w:val="none"/>
          <w:lang w:eastAsia="zh-CN"/>
        </w:rPr>
        <w:t>起一年</w:t>
      </w:r>
      <w:r>
        <w:rPr>
          <w:rFonts w:hint="eastAsia" w:ascii="仿宋_GB2312" w:hAnsi="仿宋_GB2312" w:eastAsia="仿宋_GB2312" w:cs="仿宋_GB2312"/>
          <w:highlight w:val="none"/>
        </w:rPr>
        <w:t>（以实际签订合同为准）。</w:t>
      </w:r>
    </w:p>
    <w:p w14:paraId="636C1D68">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需落实的政府采购政策内容：1.对于中小微企业（含监狱企业）的相关规定；2.对于促进残疾人就业政府采购政策；3.节能产品、环境标志产品政策。</w:t>
      </w:r>
    </w:p>
    <w:p w14:paraId="1DE0BA0C">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w:t>
      </w:r>
      <w:r>
        <w:rPr>
          <w:rFonts w:hint="eastAsia" w:ascii="仿宋_GB2312" w:hAnsi="仿宋_GB2312" w:eastAsia="仿宋_GB2312" w:cs="仿宋_GB2312"/>
          <w:b/>
          <w:bCs/>
          <w:szCs w:val="21"/>
          <w:highlight w:val="none"/>
        </w:rPr>
        <w:t>不接受</w:t>
      </w:r>
      <w:r>
        <w:rPr>
          <w:rFonts w:hint="eastAsia" w:ascii="仿宋_GB2312" w:hAnsi="仿宋_GB2312" w:eastAsia="仿宋_GB2312" w:cs="仿宋_GB2312"/>
          <w:szCs w:val="21"/>
          <w:highlight w:val="none"/>
        </w:rPr>
        <w:t>联合体投标。</w:t>
      </w:r>
    </w:p>
    <w:p w14:paraId="226B7CE1">
      <w:pPr>
        <w:adjustRightInd w:val="0"/>
        <w:snapToGrid w:val="0"/>
        <w:spacing w:line="360" w:lineRule="auto"/>
        <w:rPr>
          <w:rFonts w:hint="eastAsia" w:ascii="仿宋_GB2312" w:hAnsi="仿宋_GB2312" w:eastAsia="仿宋_GB2312" w:cs="仿宋_GB2312"/>
          <w:b/>
          <w:bCs/>
          <w:szCs w:val="21"/>
          <w:highlight w:val="none"/>
        </w:rPr>
      </w:pPr>
      <w:bookmarkStart w:id="8" w:name="_Toc28359080"/>
      <w:bookmarkStart w:id="9" w:name="_Toc28359003"/>
      <w:bookmarkStart w:id="10" w:name="_Toc35393622"/>
      <w:bookmarkStart w:id="11" w:name="_Toc35393791"/>
      <w:r>
        <w:rPr>
          <w:rFonts w:hint="eastAsia" w:ascii="仿宋_GB2312" w:hAnsi="仿宋_GB2312" w:eastAsia="仿宋_GB2312" w:cs="仿宋_GB2312"/>
          <w:b/>
          <w:bCs/>
          <w:szCs w:val="21"/>
          <w:highlight w:val="none"/>
        </w:rPr>
        <w:t>二、供应商的资格要求：</w:t>
      </w:r>
      <w:bookmarkEnd w:id="8"/>
      <w:bookmarkEnd w:id="9"/>
      <w:bookmarkEnd w:id="10"/>
      <w:bookmarkEnd w:id="11"/>
    </w:p>
    <w:p w14:paraId="676A910D">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14:paraId="3501B58F">
      <w:pPr>
        <w:adjustRightInd w:val="0"/>
        <w:snapToGrid w:val="0"/>
        <w:spacing w:line="360" w:lineRule="auto"/>
        <w:ind w:firstLine="420" w:firstLineChars="200"/>
        <w:rPr>
          <w:rFonts w:hint="eastAsia" w:ascii="仿宋_GB2312" w:hAnsi="仿宋_GB2312" w:eastAsia="仿宋_GB2312" w:cs="仿宋_GB2312"/>
          <w:b/>
          <w:bCs/>
          <w:szCs w:val="21"/>
          <w:highlight w:val="none"/>
        </w:rPr>
      </w:pPr>
      <w:bookmarkStart w:id="12" w:name="_Toc28359081"/>
      <w:bookmarkStart w:id="13" w:name="_Toc28359004"/>
      <w:r>
        <w:rPr>
          <w:rFonts w:hint="eastAsia" w:ascii="仿宋_GB2312" w:hAnsi="仿宋_GB2312" w:eastAsia="仿宋_GB2312" w:cs="仿宋_GB2312"/>
          <w:szCs w:val="21"/>
          <w:highlight w:val="none"/>
        </w:rPr>
        <w:t>2.落实政府采购政策需满足的资格要求：</w:t>
      </w:r>
      <w:r>
        <w:rPr>
          <w:rFonts w:hint="eastAsia" w:ascii="仿宋_GB2312" w:hAnsi="仿宋_GB2312" w:eastAsia="仿宋_GB2312" w:cs="仿宋_GB2312"/>
          <w:b/>
          <w:bCs/>
          <w:szCs w:val="21"/>
          <w:highlight w:val="none"/>
        </w:rPr>
        <w:t>根据财政部工业和信息化部关于印发《政府采购促进中小企业发展管理办法》的通知财库〔2020〕46号文件及辽宁省财政厅辽财采〔2021〕153号文要求，本项目专门面向中小企业；</w:t>
      </w:r>
    </w:p>
    <w:p w14:paraId="62A96212">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3.本项目的特定资格要求：</w:t>
      </w:r>
    </w:p>
    <w:p w14:paraId="0A9FB638">
      <w:pPr>
        <w:adjustRightInd w:val="0"/>
        <w:snapToGrid w:val="0"/>
        <w:spacing w:line="360" w:lineRule="auto"/>
        <w:ind w:firstLine="420" w:firstLineChars="200"/>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lang w:val="en-US" w:eastAsia="zh-CN"/>
        </w:rPr>
        <w:t>1</w:t>
      </w: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rPr>
        <w:t>投标人须具有有效期内的食品经营许可证。</w:t>
      </w:r>
    </w:p>
    <w:p w14:paraId="6B415A37">
      <w:pPr>
        <w:adjustRightInd w:val="0"/>
        <w:snapToGrid w:val="0"/>
        <w:spacing w:line="360" w:lineRule="auto"/>
        <w:ind w:firstLine="420" w:firstLineChars="200"/>
        <w:rPr>
          <w:rFonts w:hint="eastAsia" w:ascii="仿宋_GB2312" w:hAnsi="仿宋_GB2312" w:eastAsia="仿宋_GB2312" w:cs="仿宋_GB2312"/>
          <w:b/>
          <w:bCs/>
          <w:szCs w:val="21"/>
          <w:highlight w:val="none"/>
          <w:lang w:val="en-US" w:eastAsia="zh-CN"/>
        </w:rPr>
      </w:pP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lang w:val="en-US" w:eastAsia="zh-CN"/>
        </w:rPr>
        <w:t>2</w:t>
      </w: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rPr>
        <w:t>具备“设有食品安全管理机构，配备食品安全管理人员、食品安全总监；至少配有1名具备资质的营养专业人员”承诺函</w:t>
      </w:r>
      <w:r>
        <w:rPr>
          <w:rFonts w:hint="eastAsia" w:ascii="仿宋_GB2312" w:hAnsi="仿宋_GB2312" w:eastAsia="仿宋_GB2312" w:cs="仿宋_GB2312"/>
          <w:b/>
          <w:bCs/>
          <w:szCs w:val="21"/>
          <w:highlight w:val="none"/>
          <w:lang w:eastAsia="zh-CN"/>
        </w:rPr>
        <w:t>。</w:t>
      </w:r>
    </w:p>
    <w:p w14:paraId="6EC603A7">
      <w:pPr>
        <w:adjustRightInd w:val="0"/>
        <w:snapToGrid w:val="0"/>
        <w:spacing w:line="360" w:lineRule="auto"/>
        <w:ind w:firstLine="420" w:firstLineChars="200"/>
        <w:rPr>
          <w:rFonts w:hint="eastAsia" w:ascii="仿宋_GB2312" w:hAnsi="仿宋_GB2312" w:eastAsia="仿宋_GB2312" w:cs="仿宋_GB2312"/>
          <w:b/>
          <w:bCs/>
          <w:szCs w:val="21"/>
          <w:highlight w:val="none"/>
          <w:lang w:eastAsia="zh-CN"/>
        </w:rPr>
      </w:pP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lang w:val="en-US" w:eastAsia="zh-CN"/>
        </w:rPr>
        <w:t>3</w:t>
      </w: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rPr>
        <w:t>具备“建立食品卫生、安全生产、安全管理等制度”承诺函</w:t>
      </w:r>
      <w:r>
        <w:rPr>
          <w:rFonts w:hint="eastAsia" w:ascii="仿宋_GB2312" w:hAnsi="仿宋_GB2312" w:eastAsia="仿宋_GB2312" w:cs="仿宋_GB2312"/>
          <w:b/>
          <w:bCs/>
          <w:szCs w:val="21"/>
          <w:highlight w:val="none"/>
          <w:lang w:eastAsia="zh-CN"/>
        </w:rPr>
        <w:t>。</w:t>
      </w:r>
    </w:p>
    <w:p w14:paraId="4EB69002">
      <w:pPr>
        <w:adjustRightInd w:val="0"/>
        <w:snapToGrid w:val="0"/>
        <w:spacing w:line="360" w:lineRule="auto"/>
        <w:ind w:firstLine="420" w:firstLineChars="200"/>
        <w:rPr>
          <w:rFonts w:hint="eastAsia" w:ascii="仿宋_GB2312" w:hAnsi="仿宋_GB2312" w:eastAsia="仿宋_GB2312" w:cs="仿宋_GB2312"/>
          <w:i/>
          <w:iCs/>
          <w:szCs w:val="21"/>
          <w:highlight w:val="none"/>
          <w:u w:val="single"/>
          <w:lang w:eastAsia="zh-CN"/>
        </w:rPr>
      </w:pP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lang w:val="en-US" w:eastAsia="zh-CN"/>
        </w:rPr>
        <w:t>4</w:t>
      </w: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rPr>
        <w:t>信用记录（投标人须提供在中国政府采购网、信用中国、中国裁判文书网、国家企业信用信息公示系统中未被列为严重违法失信的截图；采购人或采购代理机构将在招标文件规定的审查期间内进行查询）</w:t>
      </w:r>
      <w:r>
        <w:rPr>
          <w:rFonts w:hint="eastAsia" w:ascii="仿宋_GB2312" w:hAnsi="仿宋_GB2312" w:eastAsia="仿宋_GB2312" w:cs="仿宋_GB2312"/>
          <w:b/>
          <w:bCs/>
          <w:szCs w:val="21"/>
          <w:highlight w:val="none"/>
          <w:lang w:eastAsia="zh-CN"/>
        </w:rPr>
        <w:t>。</w:t>
      </w:r>
    </w:p>
    <w:p w14:paraId="6CA25B29">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三、政府采购供应商入库及办理CA数字认证证书须知</w:t>
      </w:r>
    </w:p>
    <w:p w14:paraId="06EA08B9">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4" w:name="_Toc35393623"/>
      <w:bookmarkStart w:id="15" w:name="_Toc35393792"/>
      <w:r>
        <w:rPr>
          <w:rFonts w:hint="eastAsia" w:ascii="仿宋_GB2312" w:hAnsi="仿宋_GB2312" w:eastAsia="仿宋_GB2312" w:cs="仿宋_GB2312"/>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27316C2D">
      <w:pPr>
        <w:adjustRightInd w:val="0"/>
        <w:snapToGrid w:val="0"/>
        <w:spacing w:line="360" w:lineRule="auto"/>
        <w:ind w:firstLine="420" w:firstLineChars="200"/>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参加本项目的供应商法定代表人或其委托代理人应根据本单位（个人）实际情况，进入CA平台自主选择CA认证机构办理CA数字认证证书（以下简称“CA证书”），已经办理过省内CA证书的单位或个人，如该发证机构已接入政府采购网，可联系发证机构升级CA证书，无需重新办理。</w:t>
      </w:r>
    </w:p>
    <w:p w14:paraId="658F2E8C">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四、获取招标文件</w:t>
      </w:r>
      <w:bookmarkEnd w:id="12"/>
      <w:bookmarkEnd w:id="13"/>
      <w:bookmarkEnd w:id="14"/>
      <w:bookmarkEnd w:id="15"/>
    </w:p>
    <w:p w14:paraId="649ECFF7">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val="en-US" w:eastAsia="zh-CN"/>
        </w:rPr>
        <w:t>2025</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04</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14</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u w:val="single"/>
          <w:lang w:val="en-US" w:eastAsia="zh-CN"/>
        </w:rPr>
        <w:t>20</w:t>
      </w:r>
      <w:r>
        <w:rPr>
          <w:rFonts w:hint="eastAsia" w:ascii="仿宋_GB2312" w:hAnsi="仿宋_GB2312" w:eastAsia="仿宋_GB2312" w:cs="仿宋_GB2312"/>
          <w:szCs w:val="21"/>
          <w:highlight w:val="none"/>
          <w:u w:val="single"/>
        </w:rPr>
        <w:t>:00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2025年</w:t>
      </w:r>
      <w:r>
        <w:rPr>
          <w:rFonts w:hint="eastAsia" w:ascii="仿宋_GB2312" w:hAnsi="仿宋_GB2312" w:eastAsia="仿宋_GB2312" w:cs="仿宋_GB2312"/>
          <w:szCs w:val="21"/>
          <w:highlight w:val="none"/>
          <w:u w:val="single"/>
          <w:lang w:val="en-US" w:eastAsia="zh-CN"/>
        </w:rPr>
        <w:t>04</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22</w:t>
      </w:r>
      <w:r>
        <w:rPr>
          <w:rFonts w:hint="eastAsia" w:ascii="仿宋_GB2312" w:hAnsi="仿宋_GB2312" w:eastAsia="仿宋_GB2312" w:cs="仿宋_GB2312"/>
          <w:szCs w:val="21"/>
          <w:highlight w:val="none"/>
          <w:u w:val="single"/>
        </w:rPr>
        <w:t>日17:00</w:t>
      </w:r>
      <w:r>
        <w:rPr>
          <w:rFonts w:hint="eastAsia" w:ascii="仿宋_GB2312" w:hAnsi="仿宋_GB2312" w:eastAsia="仿宋_GB2312" w:cs="仿宋_GB2312"/>
          <w:szCs w:val="21"/>
          <w:highlight w:val="none"/>
        </w:rPr>
        <w:t>（北京时间，法定节假日除外）</w:t>
      </w:r>
    </w:p>
    <w:p w14:paraId="2F787DC5">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地点：辽宁政府采购网</w:t>
      </w:r>
    </w:p>
    <w:p w14:paraId="64052A92">
      <w:pPr>
        <w:adjustRightInd w:val="0"/>
        <w:snapToGrid w:val="0"/>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方式：在线下载</w:t>
      </w:r>
      <w:bookmarkStart w:id="141" w:name="_GoBack"/>
      <w:bookmarkEnd w:id="141"/>
    </w:p>
    <w:p w14:paraId="54A80A64">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售价：免费</w:t>
      </w:r>
    </w:p>
    <w:p w14:paraId="302E24DC">
      <w:pPr>
        <w:widowControl/>
        <w:adjustRightInd w:val="0"/>
        <w:snapToGrid w:val="0"/>
        <w:spacing w:line="360" w:lineRule="auto"/>
        <w:jc w:val="left"/>
        <w:rPr>
          <w:rFonts w:hint="eastAsia" w:ascii="仿宋_GB2312" w:hAnsi="仿宋_GB2312" w:eastAsia="仿宋_GB2312" w:cs="仿宋_GB2312"/>
          <w:b/>
          <w:bCs/>
          <w:szCs w:val="21"/>
          <w:highlight w:val="none"/>
        </w:rPr>
      </w:pPr>
      <w:bookmarkStart w:id="16" w:name="_Toc28359005"/>
      <w:bookmarkStart w:id="17" w:name="_Toc28359082"/>
      <w:bookmarkStart w:id="18" w:name="_Toc35393624"/>
      <w:bookmarkStart w:id="19" w:name="_Toc35393793"/>
      <w:bookmarkStart w:id="20" w:name="_Toc35393794"/>
      <w:bookmarkStart w:id="21" w:name="_Toc35393625"/>
      <w:bookmarkStart w:id="22" w:name="_Toc28359007"/>
      <w:bookmarkStart w:id="23" w:name="_Toc28359084"/>
      <w:r>
        <w:rPr>
          <w:rFonts w:hint="eastAsia" w:ascii="仿宋_GB2312" w:hAnsi="仿宋_GB2312" w:eastAsia="仿宋_GB2312" w:cs="仿宋_GB2312"/>
          <w:b/>
          <w:bCs/>
          <w:szCs w:val="21"/>
          <w:highlight w:val="none"/>
        </w:rPr>
        <w:t>五、提交投标文件</w:t>
      </w:r>
      <w:bookmarkEnd w:id="16"/>
      <w:bookmarkEnd w:id="17"/>
      <w:r>
        <w:rPr>
          <w:rFonts w:hint="eastAsia" w:ascii="仿宋_GB2312" w:hAnsi="仿宋_GB2312" w:eastAsia="仿宋_GB2312" w:cs="仿宋_GB2312"/>
          <w:b/>
          <w:bCs/>
          <w:szCs w:val="21"/>
          <w:highlight w:val="none"/>
        </w:rPr>
        <w:t>截止时间、开标解密时间和地点</w:t>
      </w:r>
      <w:bookmarkEnd w:id="18"/>
      <w:bookmarkEnd w:id="19"/>
    </w:p>
    <w:p w14:paraId="53B547E0">
      <w:pPr>
        <w:widowControl/>
        <w:adjustRightInd w:val="0"/>
        <w:snapToGrid w:val="0"/>
        <w:spacing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提交投标文件截止时间及开标解密时间：</w:t>
      </w:r>
      <w:r>
        <w:rPr>
          <w:rFonts w:hint="eastAsia" w:ascii="仿宋_GB2312" w:hAnsi="仿宋_GB2312" w:eastAsia="仿宋_GB2312" w:cs="仿宋_GB2312"/>
          <w:kern w:val="0"/>
          <w:szCs w:val="21"/>
          <w:highlight w:val="none"/>
          <w:u w:val="single"/>
        </w:rPr>
        <w:t>2025</w:t>
      </w:r>
      <w:r>
        <w:rPr>
          <w:rFonts w:hint="eastAsia" w:ascii="仿宋_GB2312" w:hAnsi="仿宋_GB2312" w:eastAsia="仿宋_GB2312" w:cs="仿宋_GB2312"/>
          <w:kern w:val="0"/>
          <w:szCs w:val="21"/>
          <w:highlight w:val="none"/>
        </w:rPr>
        <w:t>年</w:t>
      </w:r>
      <w:r>
        <w:rPr>
          <w:rFonts w:hint="eastAsia" w:ascii="仿宋_GB2312" w:hAnsi="仿宋_GB2312" w:eastAsia="仿宋_GB2312" w:cs="仿宋_GB2312"/>
          <w:kern w:val="0"/>
          <w:szCs w:val="21"/>
          <w:highlight w:val="none"/>
          <w:u w:val="single"/>
          <w:lang w:val="en-US" w:eastAsia="zh-CN"/>
        </w:rPr>
        <w:t>05</w:t>
      </w:r>
      <w:r>
        <w:rPr>
          <w:rFonts w:hint="eastAsia" w:ascii="仿宋_GB2312" w:hAnsi="仿宋_GB2312" w:eastAsia="仿宋_GB2312" w:cs="仿宋_GB2312"/>
          <w:kern w:val="0"/>
          <w:szCs w:val="21"/>
          <w:highlight w:val="none"/>
        </w:rPr>
        <w:t>月</w:t>
      </w:r>
      <w:r>
        <w:rPr>
          <w:rFonts w:hint="eastAsia" w:ascii="仿宋_GB2312" w:hAnsi="仿宋_GB2312" w:eastAsia="仿宋_GB2312" w:cs="仿宋_GB2312"/>
          <w:kern w:val="0"/>
          <w:szCs w:val="21"/>
          <w:highlight w:val="none"/>
          <w:u w:val="single"/>
          <w:lang w:val="en-US" w:eastAsia="zh-CN"/>
        </w:rPr>
        <w:t>06</w:t>
      </w:r>
      <w:r>
        <w:rPr>
          <w:rFonts w:hint="eastAsia" w:ascii="仿宋_GB2312" w:hAnsi="仿宋_GB2312" w:eastAsia="仿宋_GB2312" w:cs="仿宋_GB2312"/>
          <w:kern w:val="0"/>
          <w:szCs w:val="21"/>
          <w:highlight w:val="none"/>
        </w:rPr>
        <w:t>日</w:t>
      </w:r>
      <w:r>
        <w:rPr>
          <w:rFonts w:hint="eastAsia" w:ascii="仿宋_GB2312" w:hAnsi="仿宋_GB2312" w:eastAsia="仿宋_GB2312" w:cs="仿宋_GB2312"/>
          <w:kern w:val="0"/>
          <w:szCs w:val="21"/>
          <w:highlight w:val="none"/>
          <w:u w:val="single"/>
        </w:rPr>
        <w:t>13:30</w:t>
      </w:r>
      <w:r>
        <w:rPr>
          <w:rFonts w:hint="eastAsia" w:ascii="仿宋_GB2312" w:hAnsi="仿宋_GB2312" w:eastAsia="仿宋_GB2312" w:cs="仿宋_GB2312"/>
          <w:kern w:val="0"/>
          <w:szCs w:val="21"/>
          <w:highlight w:val="none"/>
        </w:rPr>
        <w:t>时（北京时间）。</w:t>
      </w:r>
    </w:p>
    <w:p w14:paraId="778DFC41">
      <w:pPr>
        <w:adjustRightInd w:val="0"/>
        <w:snapToGrid w:val="0"/>
        <w:spacing w:line="360" w:lineRule="auto"/>
        <w:ind w:firstLine="420" w:firstLineChars="200"/>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地点：电子投标文件上传至辽宁政府采购网。电子备份文件递交至沈阳鸿诺招标代理有限公司（沈河区青年大街51-1号商会总部大厦A座1013）。</w:t>
      </w:r>
    </w:p>
    <w:p w14:paraId="3BD5DB2D">
      <w:pPr>
        <w:adjustRightInd w:val="0"/>
        <w:snapToGrid w:val="0"/>
        <w:spacing w:line="360" w:lineRule="auto"/>
        <w:ind w:firstLine="420" w:firstLineChars="200"/>
        <w:rPr>
          <w:rFonts w:hint="eastAsia" w:ascii="仿宋_GB2312" w:hAnsi="仿宋_GB2312" w:eastAsia="仿宋_GB2312" w:cs="仿宋_GB2312"/>
          <w:b/>
          <w:bCs/>
          <w:color w:val="FF0000"/>
          <w:kern w:val="0"/>
          <w:szCs w:val="21"/>
          <w:highlight w:val="none"/>
        </w:rPr>
      </w:pPr>
      <w:r>
        <w:rPr>
          <w:rFonts w:hint="eastAsia" w:ascii="仿宋_GB2312" w:hAnsi="仿宋_GB2312" w:eastAsia="仿宋_GB2312" w:cs="仿宋_GB2312"/>
          <w:b/>
          <w:bCs/>
          <w:color w:val="FF0000"/>
          <w:kern w:val="0"/>
          <w:szCs w:val="21"/>
          <w:highlight w:val="none"/>
        </w:rPr>
        <w:t>※重要提示：投标人在获取文件及上传文件的过程中，不同投标人若使用相同的IP地址获取文件或上传文件的可能会被认定为围标串标或投标无效。不同投标人的授权委托人在同一单位缴纳社会保险可能会被认定为围标串标或投标无效。</w:t>
      </w:r>
    </w:p>
    <w:p w14:paraId="00C2A5B2">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六、公告期限</w:t>
      </w:r>
      <w:bookmarkEnd w:id="20"/>
      <w:bookmarkEnd w:id="21"/>
      <w:bookmarkEnd w:id="22"/>
      <w:bookmarkEnd w:id="23"/>
    </w:p>
    <w:p w14:paraId="19E6323D">
      <w:pPr>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自本公告发布之日起5个工作日。</w:t>
      </w:r>
    </w:p>
    <w:p w14:paraId="4FDC86E2">
      <w:pPr>
        <w:keepNext/>
        <w:keepLines/>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七、质疑与投诉</w:t>
      </w:r>
    </w:p>
    <w:p w14:paraId="743EF3E8">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24" w:name="_Toc35393795"/>
      <w:bookmarkStart w:id="25" w:name="_Toc35393626"/>
      <w:r>
        <w:rPr>
          <w:rFonts w:hint="eastAsia" w:ascii="仿宋_GB2312" w:hAnsi="仿宋_GB2312" w:eastAsia="仿宋_GB2312" w:cs="仿宋_GB2312"/>
          <w:szCs w:val="21"/>
          <w:highlight w:val="none"/>
        </w:rPr>
        <w:t>供应商认为自己的权益受到损害的，可以在知道或者应知其权益受到损害之日起七个工作日内，向采购代理机构或采购人提出质疑。</w:t>
      </w:r>
    </w:p>
    <w:p w14:paraId="486E114C">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接收质疑函方式：根据《辽宁省政府采购电子化质疑投诉管理办法》，质疑统一在辽宁政府采购网电子化质疑投诉系统中提出。质疑供应商无法在系统中提出质疑的，可采取现场递交书面纸质质疑函方式进行，详见辽宁政府采购网。</w:t>
      </w:r>
    </w:p>
    <w:p w14:paraId="5584D27B">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2.质疑函内容、格式：应符合《政府采购质疑和投诉办法》相关规定和财政部制定的《政府采购质疑函范本》格式，详见辽宁政府采购网。</w:t>
      </w:r>
    </w:p>
    <w:p w14:paraId="34DC0B77">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质疑供应商对采购人、采购代理机构的答复不满意，或者采购人、采购代理机构未在规定时间内作出答复的，可以在答复期满后15个工作日内向本级财政部门提起投诉。</w:t>
      </w:r>
    </w:p>
    <w:p w14:paraId="0B1392FB">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八、其他补充事宜</w:t>
      </w:r>
      <w:bookmarkEnd w:id="24"/>
      <w:bookmarkEnd w:id="25"/>
    </w:p>
    <w:p w14:paraId="5C4CFE54">
      <w:pPr>
        <w:pStyle w:val="48"/>
        <w:adjustRightInd w:val="0"/>
        <w:snapToGrid w:val="0"/>
        <w:spacing w:line="360" w:lineRule="auto"/>
        <w:rPr>
          <w:rFonts w:hint="eastAsia" w:ascii="仿宋_GB2312" w:hAnsi="仿宋_GB2312" w:eastAsia="仿宋_GB2312" w:cs="仿宋_GB2312"/>
          <w:kern w:val="0"/>
          <w:szCs w:val="21"/>
          <w:highlight w:val="none"/>
        </w:rPr>
      </w:pPr>
      <w:bookmarkStart w:id="26" w:name="_Toc35393627"/>
      <w:bookmarkStart w:id="27" w:name="_Toc35393796"/>
      <w:bookmarkStart w:id="28" w:name="_Toc28359008"/>
      <w:bookmarkStart w:id="29" w:name="_Toc28359085"/>
      <w:r>
        <w:rPr>
          <w:rFonts w:hint="eastAsia" w:ascii="仿宋_GB2312" w:hAnsi="仿宋_GB2312" w:eastAsia="仿宋_GB2312" w:cs="仿宋_GB2312"/>
          <w:kern w:val="0"/>
          <w:szCs w:val="21"/>
          <w:highlight w:val="none"/>
        </w:rPr>
        <w:t>1.因在全省推广政府采购电子招投标业务，投标人需自行办理政府采购CA数字证书  并学习电子投标文件制作教程，系统操作问题请咨询技术支持电话（400-128-8588），CA 办理问题请咨询CA认证机构。</w:t>
      </w:r>
    </w:p>
    <w:p w14:paraId="7DB945A3">
      <w:pPr>
        <w:pStyle w:val="48"/>
        <w:adjustRightInd w:val="0"/>
        <w:snapToGrid w:val="0"/>
        <w:spacing w:line="360" w:lineRule="auto"/>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投标人须在电子评审系统上传投标文件外，还应在递交投标文件截止时间前提交以介质形式存储的可加密备份文件，并承诺备份文件与电子评审系统中上传的投标文件内容、格式一致，以备系统突发故障使用。投标人仅提交电子投标文件或备份投标文件的，投标无效。</w:t>
      </w:r>
    </w:p>
    <w:p w14:paraId="44811ADE">
      <w:pPr>
        <w:pStyle w:val="48"/>
        <w:adjustRightInd w:val="0"/>
        <w:snapToGrid w:val="0"/>
        <w:spacing w:line="360" w:lineRule="auto"/>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请投标人登录账号后自行下载招标文件，下载时请填写好联系人，联系方式，以便后续发布更正公告后及时书面通知到投标人；也可在获取文件后将项目联系人及联系方式发送至代理机构邮箱。如未留相关信息，导致更正公告无法书面通知到，将视同投标人已知晓该更正公告内容。</w:t>
      </w:r>
    </w:p>
    <w:p w14:paraId="699C9E77">
      <w:pPr>
        <w:pStyle w:val="48"/>
        <w:adjustRightInd w:val="0"/>
        <w:snapToGrid w:val="0"/>
        <w:spacing w:line="360" w:lineRule="auto"/>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4.投标人应认真学习辽宁政府采购网电子文件制作指南，并按照采购文件和电子评审系统要求进行投标信息填报、电子文件编制、盖章或电子签章等工作。对于使用电子签章的，投标人应在辽宁政府采购网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0511D362">
      <w:pPr>
        <w:pStyle w:val="48"/>
        <w:adjustRightInd w:val="0"/>
        <w:snapToGrid w:val="0"/>
        <w:spacing w:line="360" w:lineRule="auto"/>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5.开标现场各投标人可远程解密或自行携带笔记本电脑及CA数字证书等电子设备，进行Ukey或手机移动证书（扫码）登录、报价解密等相关操作。</w:t>
      </w:r>
    </w:p>
    <w:p w14:paraId="1EA4E8B9">
      <w:pPr>
        <w:pStyle w:val="48"/>
        <w:adjustRightInd w:val="0"/>
        <w:snapToGrid w:val="0"/>
        <w:spacing w:line="360" w:lineRule="auto"/>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14:paraId="07071CA0">
      <w:pPr>
        <w:pStyle w:val="48"/>
        <w:adjustRightInd w:val="0"/>
        <w:snapToGrid w:val="0"/>
        <w:spacing w:line="360" w:lineRule="auto"/>
        <w:ind w:firstLine="422"/>
        <w:rPr>
          <w:rFonts w:hint="eastAsia" w:ascii="仿宋_GB2312" w:hAnsi="仿宋_GB2312" w:eastAsia="仿宋_GB2312" w:cs="仿宋_GB2312"/>
          <w:kern w:val="0"/>
          <w:szCs w:val="21"/>
          <w:highlight w:val="none"/>
        </w:rPr>
      </w:pPr>
      <w:r>
        <w:rPr>
          <w:rFonts w:hint="eastAsia" w:ascii="仿宋_GB2312" w:hAnsi="仿宋_GB2312" w:eastAsia="仿宋_GB2312" w:cs="仿宋_GB2312"/>
          <w:b/>
          <w:bCs/>
          <w:kern w:val="0"/>
          <w:szCs w:val="21"/>
          <w:highlight w:val="none"/>
        </w:rPr>
        <w:t>投标人在投标的全过程中要随时关注辽宁政府采购网，及时获取相关信息，否则由此造成的一切后果，由投标人自行承担。</w:t>
      </w:r>
    </w:p>
    <w:p w14:paraId="07746F94">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b/>
          <w:bCs/>
          <w:szCs w:val="21"/>
          <w:highlight w:val="none"/>
        </w:rPr>
        <w:t>九、对本次招标提出询问，请按以下方式联系</w:t>
      </w:r>
      <w:bookmarkEnd w:id="26"/>
      <w:bookmarkEnd w:id="27"/>
      <w:bookmarkEnd w:id="28"/>
      <w:bookmarkEnd w:id="29"/>
    </w:p>
    <w:p w14:paraId="0A07A233">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1.采购人信息</w:t>
      </w:r>
    </w:p>
    <w:p w14:paraId="203C70FE">
      <w:pPr>
        <w:widowControl/>
        <w:adjustRightInd w:val="0"/>
        <w:snapToGrid w:val="0"/>
        <w:spacing w:line="360" w:lineRule="auto"/>
        <w:ind w:firstLine="420" w:firstLineChars="200"/>
        <w:jc w:val="left"/>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kern w:val="0"/>
          <w:szCs w:val="21"/>
          <w:highlight w:val="none"/>
          <w:lang w:eastAsia="zh-CN"/>
        </w:rPr>
        <w:t>沈阳市第一0七中学</w:t>
      </w:r>
    </w:p>
    <w:p w14:paraId="62C66E86">
      <w:pPr>
        <w:widowControl/>
        <w:adjustRightInd w:val="0"/>
        <w:snapToGrid w:val="0"/>
        <w:spacing w:line="360" w:lineRule="auto"/>
        <w:ind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kern w:val="0"/>
          <w:szCs w:val="21"/>
          <w:highlight w:val="none"/>
          <w:lang w:eastAsia="zh-CN"/>
        </w:rPr>
        <w:t>沈阳市大东区滂江街121号</w:t>
      </w:r>
      <w:r>
        <w:rPr>
          <w:rFonts w:hint="eastAsia" w:ascii="仿宋_GB2312" w:hAnsi="仿宋_GB2312" w:eastAsia="仿宋_GB2312" w:cs="仿宋_GB2312"/>
          <w:kern w:val="0"/>
          <w:szCs w:val="21"/>
          <w:highlight w:val="none"/>
        </w:rPr>
        <w:t>　</w:t>
      </w:r>
    </w:p>
    <w:p w14:paraId="5C321619">
      <w:pPr>
        <w:widowControl/>
        <w:adjustRightInd w:val="0"/>
        <w:snapToGrid w:val="0"/>
        <w:spacing w:line="360" w:lineRule="auto"/>
        <w:ind w:firstLine="420" w:firstLineChars="200"/>
        <w:jc w:val="left"/>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rPr>
        <w:t>联 系 人：</w:t>
      </w:r>
      <w:r>
        <w:rPr>
          <w:rFonts w:hint="eastAsia" w:ascii="仿宋_GB2312" w:hAnsi="仿宋_GB2312" w:eastAsia="仿宋_GB2312" w:cs="仿宋_GB2312"/>
          <w:kern w:val="0"/>
          <w:szCs w:val="21"/>
          <w:highlight w:val="none"/>
          <w:lang w:val="en-US" w:eastAsia="zh-CN"/>
        </w:rPr>
        <w:t>邓老师</w:t>
      </w:r>
    </w:p>
    <w:p w14:paraId="685B916C">
      <w:pPr>
        <w:widowControl/>
        <w:adjustRightInd w:val="0"/>
        <w:snapToGrid w:val="0"/>
        <w:spacing w:line="360" w:lineRule="auto"/>
        <w:ind w:firstLine="420" w:firstLineChars="200"/>
        <w:jc w:val="left"/>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rPr>
        <w:t>联系方式：</w:t>
      </w:r>
      <w:r>
        <w:rPr>
          <w:rFonts w:hint="eastAsia" w:ascii="仿宋_GB2312" w:hAnsi="仿宋_GB2312" w:eastAsia="仿宋_GB2312" w:cs="仿宋_GB2312"/>
          <w:kern w:val="0"/>
          <w:szCs w:val="21"/>
          <w:highlight w:val="none"/>
          <w:lang w:eastAsia="zh-CN"/>
        </w:rPr>
        <w:t>024-24316102</w:t>
      </w:r>
    </w:p>
    <w:p w14:paraId="33313BDC">
      <w:pPr>
        <w:widowControl/>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2.采购代理机构信息</w:t>
      </w:r>
    </w:p>
    <w:p w14:paraId="2039B1B4">
      <w:pPr>
        <w:widowControl/>
        <w:snapToGrid w:val="0"/>
        <w:spacing w:line="360" w:lineRule="auto"/>
        <w:ind w:firstLine="420" w:firstLineChars="200"/>
        <w:jc w:val="left"/>
        <w:rPr>
          <w:rFonts w:hint="eastAsia" w:ascii="仿宋_GB2312" w:hAnsi="仿宋_GB2312" w:eastAsia="仿宋_GB2312"/>
          <w:bCs/>
          <w:szCs w:val="21"/>
          <w:highlight w:val="none"/>
        </w:rPr>
      </w:pPr>
      <w:r>
        <w:rPr>
          <w:rFonts w:hint="eastAsia" w:ascii="仿宋_GB2312" w:hAnsi="仿宋_GB2312" w:eastAsia="仿宋_GB2312"/>
          <w:bCs/>
          <w:szCs w:val="21"/>
          <w:highlight w:val="none"/>
        </w:rPr>
        <w:t>名  称：</w:t>
      </w:r>
      <w:r>
        <w:rPr>
          <w:rFonts w:hint="eastAsia" w:ascii="仿宋_GB2312" w:hAnsi="仿宋_GB2312" w:eastAsia="仿宋_GB2312"/>
          <w:kern w:val="0"/>
          <w:szCs w:val="21"/>
          <w:highlight w:val="none"/>
        </w:rPr>
        <w:t>沈阳鸿诺招标代理有限公司</w:t>
      </w:r>
    </w:p>
    <w:p w14:paraId="6A877896">
      <w:pPr>
        <w:widowControl/>
        <w:snapToGrid w:val="0"/>
        <w:spacing w:line="360" w:lineRule="auto"/>
        <w:ind w:firstLine="420" w:firstLineChars="200"/>
        <w:jc w:val="left"/>
        <w:rPr>
          <w:rFonts w:hint="eastAsia" w:ascii="仿宋_GB2312" w:hAnsi="仿宋_GB2312" w:eastAsia="仿宋_GB2312"/>
          <w:bCs/>
          <w:szCs w:val="21"/>
          <w:highlight w:val="none"/>
        </w:rPr>
      </w:pPr>
      <w:r>
        <w:rPr>
          <w:rFonts w:hint="eastAsia" w:ascii="仿宋_GB2312" w:hAnsi="仿宋_GB2312" w:eastAsia="仿宋_GB2312"/>
          <w:bCs/>
          <w:szCs w:val="21"/>
          <w:highlight w:val="none"/>
        </w:rPr>
        <w:t>地  址：沈阳市沈河区青年大街51-1号（1-10-13)</w:t>
      </w:r>
    </w:p>
    <w:p w14:paraId="059231F2">
      <w:pPr>
        <w:snapToGrid w:val="0"/>
        <w:spacing w:line="360" w:lineRule="auto"/>
        <w:ind w:firstLine="420" w:firstLineChars="200"/>
        <w:rPr>
          <w:rFonts w:hint="eastAsia" w:ascii="仿宋_GB2312" w:hAnsi="仿宋_GB2312" w:eastAsia="仿宋_GB2312"/>
          <w:bCs/>
          <w:szCs w:val="21"/>
          <w:highlight w:val="none"/>
        </w:rPr>
      </w:pPr>
      <w:r>
        <w:rPr>
          <w:rFonts w:hint="eastAsia" w:ascii="仿宋_GB2312" w:hAnsi="仿宋_GB2312" w:eastAsia="仿宋_GB2312"/>
          <w:bCs/>
          <w:szCs w:val="21"/>
          <w:highlight w:val="none"/>
        </w:rPr>
        <w:t>联系方式：024-31295429</w:t>
      </w:r>
    </w:p>
    <w:p w14:paraId="305B672E">
      <w:pPr>
        <w:snapToGrid w:val="0"/>
        <w:spacing w:line="360" w:lineRule="auto"/>
        <w:ind w:firstLine="420" w:firstLineChars="200"/>
        <w:rPr>
          <w:rFonts w:hint="eastAsia" w:ascii="仿宋_GB2312" w:hAnsi="仿宋_GB2312" w:eastAsia="仿宋_GB2312"/>
          <w:bCs/>
          <w:szCs w:val="21"/>
          <w:highlight w:val="none"/>
        </w:rPr>
      </w:pPr>
      <w:r>
        <w:rPr>
          <w:rFonts w:hint="eastAsia" w:ascii="仿宋_GB2312" w:hAnsi="仿宋_GB2312" w:eastAsia="仿宋_GB2312"/>
          <w:bCs/>
          <w:szCs w:val="21"/>
          <w:highlight w:val="none"/>
        </w:rPr>
        <w:t>邮箱地址：syhnzbdl@163.com</w:t>
      </w:r>
    </w:p>
    <w:p w14:paraId="63043B81">
      <w:pPr>
        <w:snapToGrid w:val="0"/>
        <w:spacing w:line="360" w:lineRule="auto"/>
        <w:ind w:firstLine="420" w:firstLineChars="200"/>
        <w:rPr>
          <w:rFonts w:hint="eastAsia" w:ascii="仿宋_GB2312" w:hAnsi="仿宋_GB2312" w:eastAsia="仿宋_GB2312"/>
          <w:bCs/>
          <w:szCs w:val="21"/>
          <w:highlight w:val="none"/>
        </w:rPr>
      </w:pPr>
      <w:r>
        <w:rPr>
          <w:rFonts w:hint="eastAsia" w:ascii="仿宋_GB2312" w:hAnsi="仿宋_GB2312" w:eastAsia="仿宋_GB2312"/>
          <w:bCs/>
          <w:szCs w:val="21"/>
          <w:highlight w:val="none"/>
        </w:rPr>
        <w:t>开户行： 盛京银行沈阳市中山支行</w:t>
      </w:r>
    </w:p>
    <w:p w14:paraId="1C9A306D">
      <w:pPr>
        <w:snapToGrid w:val="0"/>
        <w:spacing w:line="360" w:lineRule="auto"/>
        <w:ind w:firstLine="420" w:firstLineChars="200"/>
        <w:rPr>
          <w:rFonts w:hint="eastAsia" w:ascii="仿宋_GB2312" w:hAnsi="仿宋_GB2312" w:eastAsia="仿宋_GB2312"/>
          <w:bCs/>
          <w:szCs w:val="21"/>
          <w:highlight w:val="none"/>
        </w:rPr>
      </w:pPr>
      <w:r>
        <w:rPr>
          <w:rFonts w:hint="eastAsia" w:ascii="仿宋_GB2312" w:hAnsi="仿宋_GB2312" w:eastAsia="仿宋_GB2312"/>
          <w:bCs/>
          <w:szCs w:val="21"/>
          <w:highlight w:val="none"/>
        </w:rPr>
        <w:t>账户名称：沈阳鸿诺招标代理有限公司</w:t>
      </w:r>
    </w:p>
    <w:p w14:paraId="1C5BC3B0">
      <w:pPr>
        <w:snapToGrid w:val="0"/>
        <w:spacing w:line="360" w:lineRule="auto"/>
        <w:ind w:firstLine="420" w:firstLineChars="200"/>
        <w:rPr>
          <w:rFonts w:hint="eastAsia" w:ascii="仿宋_GB2312" w:hAnsi="仿宋_GB2312" w:eastAsia="仿宋_GB2312"/>
          <w:bCs/>
          <w:szCs w:val="21"/>
          <w:highlight w:val="none"/>
        </w:rPr>
      </w:pPr>
      <w:r>
        <w:rPr>
          <w:rFonts w:hint="eastAsia" w:ascii="仿宋_GB2312" w:hAnsi="仿宋_GB2312" w:eastAsia="仿宋_GB2312"/>
          <w:bCs/>
          <w:szCs w:val="21"/>
          <w:highlight w:val="none"/>
        </w:rPr>
        <w:t>账    号： 0334610102000023142</w:t>
      </w:r>
    </w:p>
    <w:p w14:paraId="3D2B4954">
      <w:pPr>
        <w:snapToGrid w:val="0"/>
        <w:spacing w:line="360" w:lineRule="auto"/>
        <w:ind w:firstLine="420" w:firstLineChars="200"/>
        <w:rPr>
          <w:rFonts w:hint="eastAsia" w:ascii="仿宋_GB2312" w:hAnsi="仿宋_GB2312" w:eastAsia="仿宋_GB2312"/>
          <w:szCs w:val="21"/>
          <w:highlight w:val="none"/>
        </w:rPr>
      </w:pPr>
      <w:r>
        <w:rPr>
          <w:rFonts w:hint="eastAsia" w:ascii="仿宋_GB2312" w:hAnsi="仿宋_GB2312" w:eastAsia="仿宋_GB2312"/>
          <w:szCs w:val="21"/>
          <w:highlight w:val="none"/>
        </w:rPr>
        <w:t>3.项目联系方式</w:t>
      </w:r>
    </w:p>
    <w:p w14:paraId="28D20167">
      <w:pPr>
        <w:snapToGrid w:val="0"/>
        <w:spacing w:line="360" w:lineRule="auto"/>
        <w:ind w:firstLine="420" w:firstLineChars="200"/>
        <w:rPr>
          <w:rFonts w:hint="eastAsia" w:ascii="仿宋_GB2312" w:hAnsi="仿宋_GB2312" w:eastAsia="仿宋_GB2312"/>
          <w:szCs w:val="21"/>
          <w:highlight w:val="none"/>
        </w:rPr>
      </w:pPr>
      <w:r>
        <w:rPr>
          <w:rFonts w:ascii="仿宋_GB2312" w:hAnsi="仿宋_GB2312" w:eastAsia="仿宋_GB2312"/>
          <w:szCs w:val="21"/>
          <w:highlight w:val="none"/>
        </w:rPr>
        <w:t>项目联系人：</w:t>
      </w:r>
      <w:r>
        <w:rPr>
          <w:rFonts w:hint="eastAsia" w:ascii="仿宋_GB2312" w:hAnsi="仿宋_GB2312" w:eastAsia="仿宋_GB2312"/>
          <w:szCs w:val="21"/>
          <w:highlight w:val="none"/>
        </w:rPr>
        <w:t>陈玉凤、丛珊</w:t>
      </w:r>
    </w:p>
    <w:p w14:paraId="10419E09">
      <w:pPr>
        <w:snapToGrid w:val="0"/>
        <w:spacing w:line="360" w:lineRule="auto"/>
        <w:ind w:firstLine="420" w:firstLineChars="200"/>
        <w:rPr>
          <w:rFonts w:ascii="仿宋_GB2312" w:hAnsi="仿宋_GB2312" w:eastAsia="仿宋_GB2312" w:cs="仿宋_GB2312"/>
          <w:szCs w:val="21"/>
          <w:highlight w:val="none"/>
          <w:u w:val="single"/>
        </w:rPr>
      </w:pPr>
      <w:r>
        <w:rPr>
          <w:rFonts w:ascii="仿宋_GB2312" w:hAnsi="仿宋_GB2312" w:eastAsia="仿宋_GB2312"/>
          <w:szCs w:val="21"/>
          <w:highlight w:val="none"/>
        </w:rPr>
        <w:t>电</w:t>
      </w:r>
      <w:r>
        <w:rPr>
          <w:rFonts w:hint="eastAsia" w:ascii="仿宋_GB2312" w:hAnsi="仿宋_GB2312" w:eastAsia="仿宋_GB2312"/>
          <w:szCs w:val="21"/>
          <w:highlight w:val="none"/>
        </w:rPr>
        <w:t xml:space="preserve">   </w:t>
      </w:r>
      <w:r>
        <w:rPr>
          <w:rFonts w:ascii="仿宋_GB2312" w:hAnsi="仿宋_GB2312" w:eastAsia="仿宋_GB2312"/>
          <w:szCs w:val="21"/>
          <w:highlight w:val="none"/>
        </w:rPr>
        <w:t>话：</w:t>
      </w:r>
      <w:r>
        <w:rPr>
          <w:rFonts w:hint="eastAsia" w:ascii="仿宋_GB2312" w:hAnsi="仿宋_GB2312" w:eastAsia="仿宋_GB2312"/>
          <w:szCs w:val="21"/>
          <w:highlight w:val="none"/>
        </w:rPr>
        <w:t>024-31295429</w:t>
      </w:r>
    </w:p>
    <w:p w14:paraId="46F7CC95">
      <w:pPr>
        <w:pStyle w:val="2"/>
        <w:snapToGrid w:val="0"/>
        <w:spacing w:before="312" w:beforeLines="100" w:after="312" w:afterLines="100" w:line="360" w:lineRule="auto"/>
        <w:rPr>
          <w:rFonts w:ascii="仿宋_GB2312" w:hAnsi="仿宋_GB2312" w:eastAsia="仿宋_GB2312" w:cs="仿宋_GB2312"/>
          <w:highlight w:val="none"/>
        </w:rPr>
      </w:pPr>
      <w:bookmarkStart w:id="30" w:name="_Toc26518_WPSOffice_Level1"/>
      <w:bookmarkStart w:id="31" w:name="_Toc17894"/>
      <w:bookmarkStart w:id="32" w:name="_Toc27235"/>
      <w:r>
        <w:rPr>
          <w:rFonts w:hint="eastAsia" w:ascii="仿宋_GB2312" w:hAnsi="仿宋_GB2312" w:eastAsia="仿宋_GB2312" w:cs="仿宋_GB2312"/>
          <w:highlight w:val="none"/>
        </w:rPr>
        <w:br w:type="page"/>
      </w:r>
      <w:r>
        <w:rPr>
          <w:rFonts w:hint="eastAsia" w:ascii="仿宋_GB2312" w:hAnsi="仿宋_GB2312" w:eastAsia="仿宋_GB2312" w:cs="仿宋_GB2312"/>
          <w:highlight w:val="none"/>
        </w:rPr>
        <w:t>第一章 投标人须知</w:t>
      </w:r>
      <w:bookmarkEnd w:id="30"/>
      <w:bookmarkEnd w:id="31"/>
      <w:bookmarkEnd w:id="32"/>
    </w:p>
    <w:p w14:paraId="3F9AD647">
      <w:pPr>
        <w:pStyle w:val="3"/>
        <w:adjustRightInd w:val="0"/>
        <w:snapToGrid w:val="0"/>
        <w:spacing w:before="0" w:after="0" w:line="360" w:lineRule="auto"/>
        <w:rPr>
          <w:rFonts w:ascii="仿宋_GB2312" w:hAnsi="仿宋_GB2312" w:eastAsia="仿宋_GB2312" w:cs="仿宋_GB2312"/>
          <w:sz w:val="32"/>
          <w:szCs w:val="36"/>
          <w:highlight w:val="none"/>
        </w:rPr>
      </w:pPr>
      <w:bookmarkStart w:id="33" w:name="_Toc18613_WPSOffice_Level2"/>
      <w:r>
        <w:rPr>
          <w:rFonts w:hint="eastAsia" w:ascii="仿宋_GB2312" w:hAnsi="仿宋_GB2312" w:eastAsia="仿宋_GB2312" w:cs="仿宋_GB2312"/>
          <w:sz w:val="32"/>
          <w:szCs w:val="36"/>
          <w:highlight w:val="none"/>
        </w:rPr>
        <w:t>一 投标人须知表</w:t>
      </w:r>
      <w:bookmarkEnd w:id="33"/>
    </w:p>
    <w:tbl>
      <w:tblPr>
        <w:tblStyle w:val="20"/>
        <w:tblW w:w="8760" w:type="dxa"/>
        <w:tblInd w:w="0" w:type="dxa"/>
        <w:tblLayout w:type="fixed"/>
        <w:tblCellMar>
          <w:top w:w="0" w:type="dxa"/>
          <w:left w:w="108" w:type="dxa"/>
          <w:bottom w:w="0" w:type="dxa"/>
          <w:right w:w="108" w:type="dxa"/>
        </w:tblCellMar>
      </w:tblPr>
      <w:tblGrid>
        <w:gridCol w:w="976"/>
        <w:gridCol w:w="1499"/>
        <w:gridCol w:w="6285"/>
      </w:tblGrid>
      <w:tr w14:paraId="68FB7C68">
        <w:tblPrEx>
          <w:tblCellMar>
            <w:top w:w="0" w:type="dxa"/>
            <w:left w:w="108" w:type="dxa"/>
            <w:bottom w:w="0" w:type="dxa"/>
            <w:right w:w="108" w:type="dxa"/>
          </w:tblCellMar>
        </w:tblPrEx>
        <w:trPr>
          <w:trHeight w:val="556" w:hRule="atLeast"/>
          <w:tblHeader/>
        </w:trPr>
        <w:tc>
          <w:tcPr>
            <w:tcW w:w="976" w:type="dxa"/>
            <w:tcBorders>
              <w:top w:val="single" w:color="auto" w:sz="4" w:space="0"/>
              <w:left w:val="single" w:color="auto" w:sz="4" w:space="0"/>
              <w:bottom w:val="single" w:color="auto" w:sz="4" w:space="0"/>
              <w:right w:val="single" w:color="auto" w:sz="4" w:space="0"/>
            </w:tcBorders>
            <w:noWrap w:val="0"/>
            <w:vAlign w:val="center"/>
          </w:tcPr>
          <w:p w14:paraId="5094710F">
            <w:pPr>
              <w:widowControl/>
              <w:ind w:left="-69" w:leftChars="-33" w:right="-69" w:rightChars="-33"/>
              <w:jc w:val="center"/>
              <w:rPr>
                <w:rFonts w:ascii="仿宋_GB2312" w:hAnsi="仿宋_GB2312" w:eastAsia="仿宋_GB2312" w:cs="仿宋_GB2312"/>
                <w:kern w:val="0"/>
                <w:szCs w:val="21"/>
                <w:highlight w:val="none"/>
              </w:rPr>
            </w:pPr>
            <w:bookmarkStart w:id="34" w:name="sys_招标项目基本内容及要求其他：Block"/>
            <w:bookmarkEnd w:id="34"/>
            <w:bookmarkStart w:id="35" w:name="招标项目基本内容及要求其他：Block"/>
            <w:bookmarkEnd w:id="35"/>
            <w:bookmarkStart w:id="36" w:name="sys_招标项目基本内容及要求：Block"/>
            <w:bookmarkEnd w:id="36"/>
            <w:bookmarkStart w:id="37" w:name="招标项目基本内容及要求：Block"/>
            <w:bookmarkEnd w:id="37"/>
            <w:r>
              <w:rPr>
                <w:rFonts w:hint="eastAsia" w:ascii="仿宋_GB2312" w:hAnsi="仿宋_GB2312" w:eastAsia="仿宋_GB2312" w:cs="仿宋_GB2312"/>
                <w:kern w:val="0"/>
                <w:szCs w:val="21"/>
                <w:highlight w:val="none"/>
              </w:rPr>
              <w:t>条款号</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623CBF77">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项   目</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68F3FE0D">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     容</w:t>
            </w:r>
          </w:p>
        </w:tc>
      </w:tr>
      <w:tr w14:paraId="17EEA32E">
        <w:tblPrEx>
          <w:tblCellMar>
            <w:top w:w="0" w:type="dxa"/>
            <w:left w:w="108" w:type="dxa"/>
            <w:bottom w:w="0" w:type="dxa"/>
            <w:right w:w="108" w:type="dxa"/>
          </w:tblCellMar>
        </w:tblPrEx>
        <w:trPr>
          <w:trHeight w:val="1254"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16B2FA8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52365482">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采购人</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16A5F53D">
            <w:pPr>
              <w:widowControl/>
              <w:jc w:val="left"/>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kern w:val="0"/>
                <w:szCs w:val="21"/>
                <w:highlight w:val="none"/>
                <w:lang w:eastAsia="zh-CN"/>
              </w:rPr>
              <w:t>沈阳市第一0七中学</w:t>
            </w:r>
          </w:p>
          <w:p w14:paraId="0552409F">
            <w:pPr>
              <w:widowControl/>
              <w:jc w:val="left"/>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kern w:val="0"/>
                <w:szCs w:val="21"/>
                <w:highlight w:val="none"/>
                <w:lang w:eastAsia="zh-CN"/>
              </w:rPr>
              <w:t>沈阳市大东区滂江街121号</w:t>
            </w:r>
          </w:p>
          <w:p w14:paraId="2908C708">
            <w:pPr>
              <w:widowControl/>
              <w:jc w:val="left"/>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kern w:val="0"/>
                <w:szCs w:val="21"/>
                <w:highlight w:val="none"/>
                <w:lang w:val="en-US" w:eastAsia="zh-CN"/>
              </w:rPr>
              <w:t>邓老师</w:t>
            </w:r>
          </w:p>
          <w:p w14:paraId="5CF9230F">
            <w:pPr>
              <w:widowControl/>
              <w:jc w:val="left"/>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kern w:val="0"/>
                <w:szCs w:val="21"/>
                <w:highlight w:val="none"/>
                <w:lang w:eastAsia="zh-CN"/>
              </w:rPr>
              <w:t>024-24316102</w:t>
            </w:r>
          </w:p>
        </w:tc>
      </w:tr>
      <w:tr w14:paraId="059437B4">
        <w:tblPrEx>
          <w:tblCellMar>
            <w:top w:w="0" w:type="dxa"/>
            <w:left w:w="108" w:type="dxa"/>
            <w:bottom w:w="0" w:type="dxa"/>
            <w:right w:w="108" w:type="dxa"/>
          </w:tblCellMar>
        </w:tblPrEx>
        <w:trPr>
          <w:trHeight w:val="1254"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361D7E3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34977897">
            <w:pPr>
              <w:jc w:val="center"/>
              <w:rPr>
                <w:rFonts w:hint="eastAsia" w:ascii="仿宋_GB2312" w:hAnsi="仿宋_GB2312" w:eastAsia="仿宋_GB2312" w:cs="仿宋_GB2312"/>
                <w:kern w:val="0"/>
                <w:szCs w:val="21"/>
                <w:highlight w:val="none"/>
              </w:rPr>
            </w:pPr>
            <w:r>
              <w:rPr>
                <w:rFonts w:hint="eastAsia" w:ascii="仿宋_GB2312" w:hAnsi="仿宋_GB2312" w:eastAsia="仿宋_GB2312"/>
                <w:kern w:val="0"/>
                <w:szCs w:val="21"/>
                <w:highlight w:val="none"/>
              </w:rPr>
              <w:t>采购代理机构</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0B67542F">
            <w:pPr>
              <w:widowControl/>
              <w:jc w:val="left"/>
              <w:rPr>
                <w:rFonts w:hint="eastAsia" w:ascii="仿宋_GB2312" w:hAnsi="仿宋_GB2312" w:eastAsia="仿宋_GB2312"/>
                <w:kern w:val="0"/>
                <w:szCs w:val="21"/>
                <w:highlight w:val="none"/>
              </w:rPr>
            </w:pPr>
            <w:r>
              <w:rPr>
                <w:rFonts w:hint="eastAsia" w:ascii="仿宋_GB2312" w:hAnsi="仿宋_GB2312" w:eastAsia="仿宋_GB2312"/>
                <w:kern w:val="0"/>
                <w:szCs w:val="21"/>
                <w:highlight w:val="none"/>
              </w:rPr>
              <w:t>名  称：沈阳鸿诺招标代理有限公司</w:t>
            </w:r>
          </w:p>
          <w:p w14:paraId="105BABC7">
            <w:pPr>
              <w:widowControl/>
              <w:jc w:val="left"/>
              <w:rPr>
                <w:rFonts w:hint="eastAsia" w:ascii="仿宋_GB2312" w:hAnsi="仿宋_GB2312" w:eastAsia="仿宋_GB2312"/>
                <w:kern w:val="0"/>
                <w:szCs w:val="21"/>
                <w:highlight w:val="none"/>
              </w:rPr>
            </w:pPr>
            <w:r>
              <w:rPr>
                <w:rFonts w:hint="eastAsia" w:ascii="仿宋_GB2312" w:hAnsi="仿宋_GB2312" w:eastAsia="仿宋_GB2312"/>
                <w:kern w:val="0"/>
                <w:szCs w:val="21"/>
                <w:highlight w:val="none"/>
              </w:rPr>
              <w:t>地  址：沈阳市沈河区青年大街51-1号商会总部大厦A座1013</w:t>
            </w:r>
          </w:p>
          <w:p w14:paraId="1937C247">
            <w:pPr>
              <w:widowControl/>
              <w:jc w:val="left"/>
              <w:rPr>
                <w:rFonts w:hint="eastAsia" w:ascii="仿宋_GB2312" w:hAnsi="仿宋_GB2312" w:eastAsia="仿宋_GB2312"/>
                <w:kern w:val="0"/>
                <w:szCs w:val="21"/>
                <w:highlight w:val="none"/>
              </w:rPr>
            </w:pPr>
            <w:r>
              <w:rPr>
                <w:rFonts w:hint="eastAsia" w:ascii="仿宋_GB2312" w:hAnsi="仿宋_GB2312" w:eastAsia="仿宋_GB2312"/>
                <w:kern w:val="0"/>
                <w:szCs w:val="21"/>
                <w:highlight w:val="none"/>
              </w:rPr>
              <w:t>联系人：</w:t>
            </w:r>
            <w:r>
              <w:rPr>
                <w:rFonts w:hint="eastAsia" w:ascii="仿宋_GB2312" w:hAnsi="仿宋_GB2312" w:eastAsia="仿宋_GB2312"/>
                <w:szCs w:val="21"/>
                <w:highlight w:val="none"/>
              </w:rPr>
              <w:t>陈玉凤、丛珊</w:t>
            </w:r>
          </w:p>
          <w:p w14:paraId="04CFFD2A">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kern w:val="0"/>
                <w:szCs w:val="21"/>
                <w:highlight w:val="none"/>
              </w:rPr>
              <w:t>电  话：024-31295429</w:t>
            </w:r>
          </w:p>
        </w:tc>
      </w:tr>
      <w:tr w14:paraId="624AA43A">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55C5E75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1.3.4</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17EBF9F6">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合格供应商还要满足的其它资格条件</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1825D7C">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详见招标公告；</w:t>
            </w:r>
          </w:p>
        </w:tc>
      </w:tr>
      <w:tr w14:paraId="58ACFF83">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661048C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1.3.5</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0936FCCC">
            <w:pPr>
              <w:tabs>
                <w:tab w:val="left" w:pos="1425"/>
              </w:tabs>
              <w:jc w:val="cente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szCs w:val="21"/>
                <w:highlight w:val="none"/>
              </w:rPr>
              <w:t>中小企业</w:t>
            </w:r>
            <w:r>
              <w:rPr>
                <w:rFonts w:hint="eastAsia" w:ascii="仿宋_GB2312" w:hAnsi="仿宋_GB2312" w:eastAsia="仿宋_GB2312" w:cs="仿宋_GB2312"/>
                <w:kern w:val="0"/>
                <w:szCs w:val="21"/>
                <w:highlight w:val="none"/>
              </w:rPr>
              <w:t>采购政策</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0BF2DCBA">
            <w:pPr>
              <w:widowControl/>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一、是否为专门面向中小企业采购</w:t>
            </w:r>
          </w:p>
          <w:p w14:paraId="6E1FFA84">
            <w:pPr>
              <w:widowControl/>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sym w:font="Wingdings 2" w:char="0052"/>
            </w:r>
            <w:r>
              <w:rPr>
                <w:rFonts w:hint="eastAsia" w:ascii="仿宋_GB2312" w:hAnsi="仿宋_GB2312" w:eastAsia="仿宋_GB2312" w:cs="仿宋_GB2312"/>
                <w:b/>
                <w:bCs/>
                <w:kern w:val="0"/>
                <w:szCs w:val="21"/>
                <w:highlight w:val="none"/>
              </w:rPr>
              <w:t>是</w:t>
            </w:r>
          </w:p>
          <w:p w14:paraId="7550DD38">
            <w:pPr>
              <w:widowControl/>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sym w:font="Wingdings 2" w:char="00A3"/>
            </w:r>
            <w:r>
              <w:rPr>
                <w:rFonts w:hint="eastAsia" w:ascii="仿宋_GB2312" w:hAnsi="仿宋_GB2312" w:eastAsia="仿宋_GB2312" w:cs="仿宋_GB2312"/>
                <w:b/>
                <w:bCs/>
                <w:kern w:val="0"/>
                <w:szCs w:val="21"/>
                <w:highlight w:val="none"/>
              </w:rPr>
              <w:t>否</w:t>
            </w:r>
          </w:p>
          <w:p w14:paraId="27979DFF">
            <w:pPr>
              <w:widowControl/>
              <w:ind w:firstLine="630" w:firstLineChars="300"/>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sym w:font="Wingdings 2" w:char="00A3"/>
            </w:r>
            <w:r>
              <w:rPr>
                <w:rFonts w:hint="eastAsia" w:ascii="仿宋_GB2312" w:hAnsi="仿宋_GB2312" w:eastAsia="仿宋_GB2312" w:cs="仿宋_GB2312"/>
                <w:b/>
                <w:bCs/>
                <w:kern w:val="0"/>
                <w:szCs w:val="21"/>
                <w:highlight w:val="none"/>
              </w:rPr>
              <w:t>否</w:t>
            </w:r>
          </w:p>
          <w:p w14:paraId="5D46388F">
            <w:pPr>
              <w:widowControl/>
              <w:ind w:left="1470" w:leftChars="500" w:hanging="420" w:hanging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1.法律法规和国家有关政策明确规定优先或者应当面向事业单位、社会组织等非企业主体采购的；</w:t>
            </w:r>
          </w:p>
          <w:p w14:paraId="3AB57CFE">
            <w:pPr>
              <w:widowControl/>
              <w:ind w:left="1470" w:leftChars="500" w:hanging="420" w:hanging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2.因确需使用不可替代的专利、专有技术，基础设施限制，或者提供特定公共服务等原因，只能从中小企业之外的供应商处采购的；</w:t>
            </w:r>
          </w:p>
          <w:p w14:paraId="4ABA30C4">
            <w:pPr>
              <w:widowControl/>
              <w:ind w:firstLine="1050" w:firstLineChars="5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3.按照本办法规定预留采购份额无法确保充分供</w:t>
            </w:r>
          </w:p>
          <w:p w14:paraId="6C47DA15">
            <w:pPr>
              <w:widowControl/>
              <w:ind w:left="1470" w:leftChars="7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应、充分竞争，或者存在可能影响政府采购目标实现的情形；</w:t>
            </w:r>
          </w:p>
          <w:p w14:paraId="5D2E304B">
            <w:pPr>
              <w:widowControl/>
              <w:ind w:firstLine="1050" w:firstLineChars="5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4.框架协议采购项目；</w:t>
            </w:r>
          </w:p>
          <w:p w14:paraId="4948BD2B">
            <w:pPr>
              <w:widowControl/>
              <w:ind w:firstLine="1050" w:firstLineChars="5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5.省级以上人民政府财政部门规定的其他情形。</w:t>
            </w:r>
          </w:p>
          <w:p w14:paraId="5E2F5174">
            <w:pPr>
              <w:widowControl/>
              <w:ind w:left="1470" w:leftChars="500" w:hanging="420" w:hangingChars="200"/>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注：除上述情形外，其他均为适宜由中小企业提供的情形。</w:t>
            </w:r>
          </w:p>
          <w:p w14:paraId="317EA0C9">
            <w:pPr>
              <w:widowControl/>
              <w:jc w:val="left"/>
              <w:rPr>
                <w:rFonts w:ascii="仿宋_GB2312" w:hAnsi="仿宋_GB2312" w:eastAsia="仿宋_GB2312" w:cs="仿宋_GB2312"/>
                <w:b/>
                <w:bCs/>
                <w:kern w:val="0"/>
                <w:szCs w:val="21"/>
                <w:highlight w:val="none"/>
                <w:u w:val="single"/>
              </w:rPr>
            </w:pPr>
            <w:r>
              <w:rPr>
                <w:rFonts w:hint="eastAsia" w:ascii="仿宋_GB2312" w:hAnsi="仿宋_GB2312" w:eastAsia="仿宋_GB2312" w:cs="仿宋_GB2312"/>
                <w:b/>
                <w:bCs/>
                <w:kern w:val="0"/>
                <w:szCs w:val="21"/>
                <w:highlight w:val="none"/>
              </w:rPr>
              <w:t>二、采购标的对应的中小企业划分标准所属行业：</w:t>
            </w:r>
            <w:r>
              <w:rPr>
                <w:rFonts w:hint="eastAsia" w:ascii="仿宋_GB2312" w:hAnsi="仿宋_GB2312" w:eastAsia="仿宋_GB2312" w:cs="仿宋_GB2312"/>
                <w:b/>
                <w:bCs/>
                <w:kern w:val="0"/>
                <w:szCs w:val="21"/>
                <w:highlight w:val="none"/>
                <w:u w:val="single"/>
              </w:rPr>
              <w:t xml:space="preserve">  餐饮业  </w:t>
            </w:r>
          </w:p>
          <w:p w14:paraId="42F56183">
            <w:pPr>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三、中小企业优惠措施：</w:t>
            </w:r>
          </w:p>
          <w:p w14:paraId="79F4C2C5">
            <w:pPr>
              <w:ind w:firstLine="420" w:firstLineChars="20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szCs w:val="21"/>
                <w:highlight w:val="none"/>
              </w:rPr>
              <w:t xml:space="preserve">资金支付期限 </w:t>
            </w: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有</w:t>
            </w:r>
            <w:r>
              <w:rPr>
                <w:rFonts w:hint="eastAsia" w:ascii="仿宋_GB2312" w:hAnsi="仿宋_GB2312" w:eastAsia="仿宋_GB2312" w:cs="仿宋_GB2312"/>
                <w:kern w:val="0"/>
                <w:szCs w:val="21"/>
                <w:highlight w:val="none"/>
                <w:u w:val="single"/>
              </w:rPr>
              <w:t xml:space="preserve">          </w:t>
            </w:r>
          </w:p>
          <w:p w14:paraId="5446A854">
            <w:pPr>
              <w:ind w:firstLine="1680" w:firstLineChars="8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w:t>
            </w: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无</w:t>
            </w:r>
            <w:r>
              <w:rPr>
                <w:rFonts w:hint="eastAsia" w:ascii="仿宋_GB2312" w:hAnsi="仿宋_GB2312" w:eastAsia="仿宋_GB2312" w:cs="仿宋_GB2312"/>
                <w:kern w:val="0"/>
                <w:szCs w:val="21"/>
                <w:highlight w:val="none"/>
                <w:u w:val="single"/>
              </w:rPr>
              <w:t xml:space="preserve">          </w:t>
            </w:r>
          </w:p>
          <w:p w14:paraId="056D33B3">
            <w:pPr>
              <w:rPr>
                <w:rFonts w:hint="eastAsia" w:ascii="仿宋_GB2312" w:hAnsi="仿宋_GB2312" w:eastAsia="仿宋_GB2312" w:cs="仿宋_GB2312"/>
                <w:szCs w:val="21"/>
                <w:highlight w:val="none"/>
              </w:rPr>
            </w:pPr>
          </w:p>
          <w:p w14:paraId="449C171B">
            <w:pPr>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 xml:space="preserve">    </w:t>
            </w:r>
            <w:r>
              <w:rPr>
                <w:rFonts w:hint="eastAsia" w:ascii="仿宋_GB2312" w:hAnsi="仿宋_GB2312" w:eastAsia="仿宋_GB2312" w:cs="仿宋_GB2312"/>
                <w:szCs w:val="21"/>
                <w:highlight w:val="none"/>
              </w:rPr>
              <w:t xml:space="preserve">预付款比例  </w:t>
            </w: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有</w:t>
            </w:r>
            <w:r>
              <w:rPr>
                <w:rFonts w:hint="eastAsia" w:ascii="仿宋_GB2312" w:hAnsi="仿宋_GB2312" w:eastAsia="仿宋_GB2312" w:cs="仿宋_GB2312"/>
                <w:kern w:val="0"/>
                <w:szCs w:val="21"/>
                <w:highlight w:val="none"/>
                <w:u w:val="single"/>
              </w:rPr>
              <w:t xml:space="preserve">          </w:t>
            </w:r>
          </w:p>
          <w:p w14:paraId="110301B9">
            <w:pPr>
              <w:ind w:firstLine="1680" w:firstLineChars="800"/>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无</w:t>
            </w:r>
            <w:r>
              <w:rPr>
                <w:rFonts w:hint="eastAsia" w:ascii="仿宋_GB2312" w:hAnsi="仿宋_GB2312" w:eastAsia="仿宋_GB2312" w:cs="仿宋_GB2312"/>
                <w:kern w:val="0"/>
                <w:szCs w:val="21"/>
                <w:highlight w:val="none"/>
                <w:u w:val="single"/>
              </w:rPr>
              <w:t xml:space="preserve">          </w:t>
            </w:r>
          </w:p>
        </w:tc>
      </w:tr>
      <w:tr w14:paraId="142C4301">
        <w:tblPrEx>
          <w:tblCellMar>
            <w:top w:w="0" w:type="dxa"/>
            <w:left w:w="108" w:type="dxa"/>
            <w:bottom w:w="0" w:type="dxa"/>
            <w:right w:w="108" w:type="dxa"/>
          </w:tblCellMar>
        </w:tblPrEx>
        <w:trPr>
          <w:trHeight w:val="410"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7AE2EC10">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1.3.6</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3458CF2D">
            <w:pPr>
              <w:tabs>
                <w:tab w:val="left" w:pos="1425"/>
              </w:tabs>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是否有政府强制采购的节能产品</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7F20B6B4">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有，具体产品为</w:t>
            </w:r>
            <w:r>
              <w:rPr>
                <w:rFonts w:hint="eastAsia" w:ascii="仿宋_GB2312" w:hAnsi="仿宋_GB2312" w:eastAsia="仿宋_GB2312" w:cs="仿宋_GB2312"/>
                <w:bCs/>
                <w:kern w:val="0"/>
                <w:szCs w:val="21"/>
                <w:highlight w:val="none"/>
                <w:u w:val="single"/>
              </w:rPr>
              <w:t xml:space="preserve">        </w:t>
            </w:r>
          </w:p>
          <w:p w14:paraId="080CDC69">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kern w:val="0"/>
                <w:szCs w:val="21"/>
                <w:highlight w:val="none"/>
              </w:rPr>
              <w:t>没有</w:t>
            </w:r>
          </w:p>
        </w:tc>
      </w:tr>
      <w:tr w14:paraId="4921753D">
        <w:tblPrEx>
          <w:tblCellMar>
            <w:top w:w="0" w:type="dxa"/>
            <w:left w:w="108" w:type="dxa"/>
            <w:bottom w:w="0" w:type="dxa"/>
            <w:right w:w="108" w:type="dxa"/>
          </w:tblCellMar>
        </w:tblPrEx>
        <w:trPr>
          <w:trHeight w:val="533"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1363A920">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43560B06">
            <w:pPr>
              <w:tabs>
                <w:tab w:val="left" w:pos="1425"/>
              </w:tabs>
              <w:jc w:val="center"/>
              <w:rPr>
                <w:rFonts w:ascii="仿宋_GB2312" w:hAnsi="仿宋_GB2312" w:eastAsia="仿宋_GB2312" w:cs="仿宋_GB2312"/>
                <w:b/>
                <w:kern w:val="0"/>
                <w:szCs w:val="21"/>
                <w:highlight w:val="none"/>
              </w:rPr>
            </w:pPr>
            <w:r>
              <w:rPr>
                <w:rFonts w:hint="eastAsia" w:ascii="仿宋_GB2312" w:hAnsi="仿宋_GB2312" w:eastAsia="仿宋_GB2312" w:cs="仿宋_GB2312"/>
                <w:bCs/>
                <w:kern w:val="0"/>
                <w:szCs w:val="21"/>
                <w:highlight w:val="none"/>
              </w:rPr>
              <w:t>是否允许联合体投标</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E476F50">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是</w:t>
            </w:r>
          </w:p>
          <w:p w14:paraId="4F870724">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kern w:val="0"/>
                <w:szCs w:val="21"/>
                <w:highlight w:val="none"/>
              </w:rPr>
              <w:t>否</w:t>
            </w:r>
          </w:p>
        </w:tc>
      </w:tr>
      <w:tr w14:paraId="7C4ADACC">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1C4F6BF9">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1.4.8</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22C25305">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联合体投标的其他资格要求</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7CA4A599">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本项目不适用；</w:t>
            </w:r>
          </w:p>
        </w:tc>
      </w:tr>
      <w:tr w14:paraId="09C44B55">
        <w:tblPrEx>
          <w:tblCellMar>
            <w:top w:w="0" w:type="dxa"/>
            <w:left w:w="108" w:type="dxa"/>
            <w:bottom w:w="0" w:type="dxa"/>
            <w:right w:w="108" w:type="dxa"/>
          </w:tblCellMar>
        </w:tblPrEx>
        <w:trPr>
          <w:trHeight w:val="2164"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3D45DB7B">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2.2</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1654A689">
            <w:pPr>
              <w:tabs>
                <w:tab w:val="left" w:pos="1425"/>
              </w:tabs>
              <w:jc w:val="cente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项目预算金额、最高限价</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0599666">
            <w:pPr>
              <w:tabs>
                <w:tab w:val="left" w:pos="1425"/>
              </w:tabs>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预算金额：人民币</w:t>
            </w:r>
            <w:r>
              <w:rPr>
                <w:rFonts w:hint="eastAsia" w:ascii="仿宋_GB2312" w:hAnsi="仿宋_GB2312" w:eastAsia="仿宋_GB2312" w:cs="仿宋_GB2312"/>
                <w:szCs w:val="21"/>
                <w:highlight w:val="none"/>
                <w:u w:val="single"/>
                <w:lang w:eastAsia="zh-CN"/>
              </w:rPr>
              <w:t>6,322,500.00</w:t>
            </w:r>
            <w:r>
              <w:rPr>
                <w:rFonts w:hint="eastAsia" w:ascii="仿宋_GB2312" w:hAnsi="仿宋_GB2312" w:eastAsia="仿宋_GB2312" w:cs="仿宋_GB2312"/>
                <w:bCs/>
                <w:kern w:val="0"/>
                <w:szCs w:val="21"/>
                <w:highlight w:val="none"/>
                <w:u w:val="single"/>
              </w:rPr>
              <w:t>元</w:t>
            </w:r>
          </w:p>
          <w:p w14:paraId="05AC61EF">
            <w:pPr>
              <w:tabs>
                <w:tab w:val="left" w:pos="1425"/>
              </w:tabs>
              <w:rPr>
                <w:rFonts w:hint="eastAsia" w:ascii="仿宋_GB2312" w:hAnsi="仿宋_GB2312" w:eastAsia="仿宋_GB2312" w:cs="仿宋_GB2312"/>
                <w:bCs/>
                <w:kern w:val="0"/>
                <w:szCs w:val="21"/>
                <w:highlight w:val="none"/>
                <w:u w:val="single"/>
              </w:rPr>
            </w:pPr>
            <w:r>
              <w:rPr>
                <w:rFonts w:hint="eastAsia" w:ascii="仿宋_GB2312" w:hAnsi="仿宋_GB2312" w:eastAsia="仿宋_GB2312" w:cs="仿宋_GB2312"/>
                <w:bCs/>
                <w:kern w:val="0"/>
                <w:szCs w:val="21"/>
                <w:highlight w:val="none"/>
              </w:rPr>
              <w:t>最高限价：人民币</w:t>
            </w:r>
            <w:r>
              <w:rPr>
                <w:rFonts w:hint="eastAsia" w:ascii="仿宋_GB2312" w:hAnsi="仿宋_GB2312" w:eastAsia="仿宋_GB2312" w:cs="仿宋_GB2312"/>
                <w:szCs w:val="21"/>
                <w:highlight w:val="none"/>
                <w:u w:val="single"/>
                <w:lang w:eastAsia="zh-CN"/>
              </w:rPr>
              <w:t>6,322,500.00</w:t>
            </w:r>
            <w:r>
              <w:rPr>
                <w:rFonts w:hint="eastAsia" w:ascii="仿宋_GB2312" w:hAnsi="仿宋_GB2312" w:eastAsia="仿宋_GB2312" w:cs="仿宋_GB2312"/>
                <w:bCs/>
                <w:kern w:val="0"/>
                <w:szCs w:val="21"/>
                <w:highlight w:val="none"/>
                <w:u w:val="single"/>
              </w:rPr>
              <w:t>元</w:t>
            </w:r>
          </w:p>
          <w:p w14:paraId="199EF6BC">
            <w:pPr>
              <w:pStyle w:val="35"/>
              <w:rPr>
                <w:rFonts w:hint="eastAsia" w:ascii="仿宋" w:hAnsi="仿宋" w:eastAsia="仿宋" w:cs="仿宋"/>
                <w:b/>
                <w:bCs/>
                <w:highlight w:val="none"/>
              </w:rPr>
            </w:pPr>
            <w:r>
              <w:rPr>
                <w:rFonts w:hint="eastAsia" w:ascii="仿宋" w:hAnsi="仿宋" w:eastAsia="仿宋" w:cs="仿宋"/>
                <w:b/>
                <w:bCs/>
                <w:highlight w:val="none"/>
              </w:rPr>
              <w:t>报价说明：</w:t>
            </w:r>
          </w:p>
          <w:p w14:paraId="4FF3634C">
            <w:pPr>
              <w:pStyle w:val="35"/>
              <w:rPr>
                <w:rFonts w:hint="eastAsia" w:ascii="仿宋" w:hAnsi="仿宋" w:eastAsia="仿宋" w:cs="仿宋"/>
                <w:b/>
                <w:bCs/>
                <w:highlight w:val="none"/>
              </w:rPr>
            </w:pPr>
            <w:r>
              <w:rPr>
                <w:rFonts w:hint="eastAsia" w:ascii="仿宋" w:hAnsi="仿宋" w:eastAsia="仿宋" w:cs="仿宋"/>
                <w:b/>
                <w:bCs/>
                <w:highlight w:val="none"/>
              </w:rPr>
              <w:t>1.本项目为固定报价，辽宁政府采购网电子平台投标报价栏，统一按照预算金额（最高限价）</w:t>
            </w:r>
            <w:r>
              <w:rPr>
                <w:rFonts w:hint="eastAsia" w:ascii="仿宋" w:hAnsi="仿宋" w:eastAsia="仿宋" w:cs="仿宋"/>
                <w:b/>
                <w:bCs/>
                <w:highlight w:val="none"/>
                <w:lang w:eastAsia="zh-CN"/>
              </w:rPr>
              <w:t>6,322,500.00</w:t>
            </w:r>
            <w:r>
              <w:rPr>
                <w:rFonts w:hint="eastAsia" w:ascii="仿宋" w:hAnsi="仿宋" w:eastAsia="仿宋" w:cs="仿宋"/>
                <w:b/>
                <w:bCs/>
                <w:highlight w:val="none"/>
              </w:rPr>
              <w:t>元进行填报</w:t>
            </w: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不得更改报价，</w:t>
            </w:r>
            <w:r>
              <w:rPr>
                <w:rFonts w:hint="eastAsia" w:ascii="仿宋" w:hAnsi="仿宋" w:eastAsia="仿宋" w:cs="仿宋"/>
                <w:b/>
                <w:bCs/>
                <w:highlight w:val="none"/>
              </w:rPr>
              <w:t>若投标人未按要求填报，则视为投标无效。</w:t>
            </w:r>
          </w:p>
          <w:p w14:paraId="76D8AB7A">
            <w:pPr>
              <w:pStyle w:val="35"/>
              <w:rPr>
                <w:rFonts w:eastAsia="仿宋_GB2312"/>
                <w:highlight w:val="none"/>
              </w:rPr>
            </w:pPr>
            <w:r>
              <w:rPr>
                <w:rFonts w:hint="eastAsia" w:ascii="仿宋" w:hAnsi="仿宋" w:eastAsia="仿宋" w:cs="仿宋"/>
                <w:b/>
                <w:bCs/>
                <w:highlight w:val="none"/>
              </w:rPr>
              <w:t>2.</w:t>
            </w:r>
            <w:r>
              <w:rPr>
                <w:rFonts w:hint="eastAsia" w:ascii="仿宋" w:hAnsi="仿宋" w:eastAsia="仿宋" w:cs="仿宋"/>
                <w:b/>
                <w:bCs/>
                <w:highlight w:val="none"/>
                <w:lang w:val="en-US" w:eastAsia="zh-CN"/>
              </w:rPr>
              <w:t>最终</w:t>
            </w:r>
            <w:r>
              <w:rPr>
                <w:rFonts w:hint="eastAsia" w:ascii="仿宋" w:hAnsi="仿宋" w:eastAsia="仿宋" w:cs="仿宋"/>
                <w:b/>
                <w:bCs/>
                <w:highlight w:val="none"/>
              </w:rPr>
              <w:t>结算金额以实际发生量进行结算</w:t>
            </w: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但不超过最高限价</w:t>
            </w:r>
            <w:r>
              <w:rPr>
                <w:rFonts w:hint="eastAsia" w:ascii="仿宋" w:hAnsi="仿宋" w:eastAsia="仿宋" w:cs="仿宋"/>
                <w:b/>
                <w:bCs/>
                <w:highlight w:val="none"/>
              </w:rPr>
              <w:t>。</w:t>
            </w:r>
          </w:p>
        </w:tc>
      </w:tr>
      <w:tr w14:paraId="6755F555">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1E426F97">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31F690A5">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计量单位</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EB7A7B2">
            <w:pP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bCs/>
                <w:kern w:val="0"/>
                <w:szCs w:val="21"/>
                <w:highlight w:val="none"/>
              </w:rPr>
              <w:t>中华人民共和国法定计量单位</w:t>
            </w:r>
          </w:p>
          <w:p w14:paraId="101379A5">
            <w:pP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sym w:font="Wingdings 2" w:char="00A3"/>
            </w:r>
            <w:r>
              <w:rPr>
                <w:rFonts w:hint="eastAsia" w:ascii="仿宋_GB2312" w:hAnsi="仿宋_GB2312" w:eastAsia="仿宋_GB2312" w:cs="仿宋_GB2312"/>
                <w:bCs/>
                <w:kern w:val="0"/>
                <w:szCs w:val="21"/>
                <w:highlight w:val="none"/>
              </w:rPr>
              <w:t>其他：</w:t>
            </w:r>
            <w:r>
              <w:rPr>
                <w:rFonts w:hint="eastAsia" w:ascii="仿宋_GB2312" w:hAnsi="仿宋_GB2312" w:eastAsia="仿宋_GB2312" w:cs="仿宋_GB2312"/>
                <w:bCs/>
                <w:kern w:val="0"/>
                <w:szCs w:val="21"/>
                <w:highlight w:val="none"/>
                <w:u w:val="single"/>
              </w:rPr>
              <w:t xml:space="preserve">             </w:t>
            </w:r>
          </w:p>
        </w:tc>
      </w:tr>
      <w:tr w14:paraId="5129FA55">
        <w:tblPrEx>
          <w:tblCellMar>
            <w:top w:w="0" w:type="dxa"/>
            <w:left w:w="108" w:type="dxa"/>
            <w:bottom w:w="0" w:type="dxa"/>
            <w:right w:w="108" w:type="dxa"/>
          </w:tblCellMar>
        </w:tblPrEx>
        <w:trPr>
          <w:trHeight w:val="1875"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3FB2930E">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00396659">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现场考察、开标前答疑会</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9CCE316">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sym w:font="Wingdings 2" w:char="0052"/>
            </w:r>
            <w:r>
              <w:rPr>
                <w:rFonts w:hint="eastAsia" w:ascii="仿宋_GB2312" w:hAnsi="仿宋_GB2312" w:eastAsia="仿宋_GB2312" w:cs="仿宋_GB2312"/>
                <w:bCs/>
                <w:kern w:val="0"/>
                <w:szCs w:val="21"/>
                <w:highlight w:val="none"/>
              </w:rPr>
              <w:t>不组织</w:t>
            </w:r>
          </w:p>
          <w:p w14:paraId="5D2C04E1">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组织，时  间：</w:t>
            </w:r>
            <w:r>
              <w:rPr>
                <w:rFonts w:hint="eastAsia" w:ascii="仿宋_GB2312" w:hAnsi="仿宋_GB2312" w:eastAsia="仿宋_GB2312" w:cs="仿宋_GB2312"/>
                <w:bCs/>
                <w:kern w:val="0"/>
                <w:szCs w:val="21"/>
                <w:highlight w:val="none"/>
                <w:u w:val="single"/>
              </w:rPr>
              <w:t xml:space="preserve">         </w:t>
            </w:r>
          </w:p>
          <w:p w14:paraId="33C64D0D">
            <w:pPr>
              <w:widowControl/>
              <w:ind w:left="-105"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  点：</w:t>
            </w:r>
            <w:r>
              <w:rPr>
                <w:rFonts w:hint="eastAsia" w:ascii="仿宋_GB2312" w:hAnsi="仿宋_GB2312" w:eastAsia="仿宋_GB2312" w:cs="仿宋_GB2312"/>
                <w:bCs/>
                <w:kern w:val="0"/>
                <w:szCs w:val="21"/>
                <w:highlight w:val="none"/>
                <w:u w:val="single"/>
              </w:rPr>
              <w:t xml:space="preserve">         </w:t>
            </w:r>
          </w:p>
          <w:p w14:paraId="7A2BBBCE">
            <w:pPr>
              <w:ind w:left="-105"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bCs/>
                <w:kern w:val="0"/>
                <w:szCs w:val="21"/>
                <w:highlight w:val="none"/>
                <w:u w:val="single"/>
              </w:rPr>
              <w:t xml:space="preserve">         </w:t>
            </w:r>
          </w:p>
          <w:p w14:paraId="02A03FDC">
            <w:pPr>
              <w:ind w:left="-105"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bCs/>
                <w:kern w:val="0"/>
                <w:szCs w:val="21"/>
                <w:highlight w:val="none"/>
                <w:u w:val="single"/>
              </w:rPr>
              <w:t xml:space="preserve">         </w:t>
            </w:r>
          </w:p>
        </w:tc>
      </w:tr>
      <w:tr w14:paraId="41565685">
        <w:tblPrEx>
          <w:tblCellMar>
            <w:top w:w="0" w:type="dxa"/>
            <w:left w:w="108" w:type="dxa"/>
            <w:bottom w:w="0" w:type="dxa"/>
            <w:right w:w="108" w:type="dxa"/>
          </w:tblCellMar>
        </w:tblPrEx>
        <w:trPr>
          <w:trHeight w:val="6227"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5D218E9A">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11.3</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1AFE78E5">
            <w:pPr>
              <w:shd w:val="clear" w:color="auto" w:fill="FFFFFF"/>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样品或演示</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037C3BB9">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kern w:val="0"/>
                <w:szCs w:val="21"/>
                <w:highlight w:val="none"/>
              </w:rPr>
              <w:t>不需要</w:t>
            </w:r>
            <w:r>
              <w:rPr>
                <w:rFonts w:hint="eastAsia" w:ascii="仿宋_GB2312" w:hAnsi="仿宋_GB2312" w:eastAsia="仿宋_GB2312" w:cs="仿宋_GB2312"/>
                <w:bCs/>
                <w:kern w:val="0"/>
                <w:szCs w:val="21"/>
                <w:highlight w:val="none"/>
              </w:rPr>
              <w:t>提供样品</w:t>
            </w:r>
          </w:p>
          <w:p w14:paraId="4BFAE2A9">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提供样品</w:t>
            </w:r>
          </w:p>
          <w:p w14:paraId="4655A86C">
            <w:pPr>
              <w:rPr>
                <w:rFonts w:hint="eastAsia" w:ascii="仿宋_GB2312" w:hAnsi="仿宋_GB2312" w:eastAsia="仿宋_GB2312" w:cs="仿宋_GB2312"/>
                <w:kern w:val="0"/>
                <w:szCs w:val="21"/>
                <w:highlight w:val="none"/>
              </w:rPr>
            </w:pPr>
            <w:r>
              <w:rPr>
                <w:rFonts w:hint="eastAsia" w:ascii="仿宋_GB2312" w:hAnsi="仿宋_GB2312" w:eastAsia="仿宋_GB2312" w:cs="仿宋_GB2312"/>
                <w:bCs/>
                <w:kern w:val="0"/>
                <w:szCs w:val="21"/>
                <w:highlight w:val="none"/>
              </w:rPr>
              <w:t xml:space="preserve">  </w:t>
            </w:r>
            <w:r>
              <w:rPr>
                <w:rFonts w:hint="eastAsia" w:ascii="仿宋_GB2312" w:hAnsi="仿宋_GB2312" w:eastAsia="仿宋_GB2312" w:cs="仿宋_GB2312"/>
                <w:kern w:val="0"/>
                <w:szCs w:val="21"/>
                <w:highlight w:val="none"/>
              </w:rPr>
              <w:t>1.提交样品的截止时间：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月</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日</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时（北京时间）</w:t>
            </w:r>
          </w:p>
          <w:p w14:paraId="308F4E48">
            <w:pPr>
              <w:ind w:firstLine="420" w:firstLineChars="20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提交样品地点：</w:t>
            </w:r>
            <w:r>
              <w:rPr>
                <w:rFonts w:hint="eastAsia" w:ascii="仿宋_GB2312" w:hAnsi="仿宋_GB2312" w:eastAsia="仿宋_GB2312" w:cs="仿宋_GB2312"/>
                <w:kern w:val="0"/>
                <w:szCs w:val="21"/>
                <w:highlight w:val="none"/>
                <w:u w:val="single"/>
              </w:rPr>
              <w:t xml:space="preserve">                     </w:t>
            </w:r>
          </w:p>
          <w:p w14:paraId="10890FDD">
            <w:pPr>
              <w:ind w:firstLine="420" w:firstLineChars="20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提交样品联系人：</w:t>
            </w:r>
            <w:r>
              <w:rPr>
                <w:rFonts w:hint="eastAsia" w:ascii="仿宋_GB2312" w:hAnsi="仿宋_GB2312" w:eastAsia="仿宋_GB2312" w:cs="仿宋_GB2312"/>
                <w:kern w:val="0"/>
                <w:szCs w:val="21"/>
                <w:highlight w:val="none"/>
                <w:u w:val="single"/>
              </w:rPr>
              <w:t xml:space="preserve">                   </w:t>
            </w:r>
          </w:p>
          <w:p w14:paraId="6DFAB637">
            <w:pPr>
              <w:ind w:firstLine="420" w:firstLineChars="20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提交样品联系电话：</w:t>
            </w:r>
            <w:r>
              <w:rPr>
                <w:rFonts w:hint="eastAsia" w:ascii="仿宋_GB2312" w:hAnsi="仿宋_GB2312" w:eastAsia="仿宋_GB2312" w:cs="仿宋_GB2312"/>
                <w:kern w:val="0"/>
                <w:szCs w:val="21"/>
                <w:highlight w:val="none"/>
                <w:u w:val="single"/>
              </w:rPr>
              <w:t xml:space="preserve">                 </w:t>
            </w:r>
          </w:p>
          <w:p w14:paraId="689BF819">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2.样品制作的标准和要求：</w:t>
            </w:r>
            <w:r>
              <w:rPr>
                <w:rFonts w:hint="eastAsia" w:ascii="仿宋_GB2312" w:hAnsi="仿宋_GB2312" w:eastAsia="仿宋_GB2312" w:cs="仿宋_GB2312"/>
                <w:kern w:val="0"/>
                <w:szCs w:val="21"/>
                <w:highlight w:val="none"/>
                <w:u w:val="single"/>
              </w:rPr>
              <w:t xml:space="preserve">             </w:t>
            </w:r>
          </w:p>
          <w:p w14:paraId="79B90596">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3.随样品提交相关检测报告要求：</w:t>
            </w:r>
            <w:r>
              <w:rPr>
                <w:rFonts w:hint="eastAsia" w:ascii="仿宋_GB2312" w:hAnsi="仿宋_GB2312" w:eastAsia="仿宋_GB2312" w:cs="仿宋_GB2312"/>
                <w:kern w:val="0"/>
                <w:szCs w:val="21"/>
                <w:highlight w:val="none"/>
                <w:u w:val="single"/>
              </w:rPr>
              <w:t xml:space="preserve">       </w:t>
            </w:r>
          </w:p>
          <w:p w14:paraId="406F8F91">
            <w:pPr>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（包含是否要求提供、检测机构要求、检测内容等）</w:t>
            </w:r>
          </w:p>
          <w:p w14:paraId="55492157">
            <w:pPr>
              <w:ind w:left="21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4508AF02">
            <w:pPr>
              <w:ind w:left="21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w:t>
            </w:r>
          </w:p>
          <w:p w14:paraId="2167BD64">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kern w:val="0"/>
                <w:szCs w:val="21"/>
                <w:highlight w:val="none"/>
              </w:rPr>
              <w:t>不</w:t>
            </w:r>
            <w:r>
              <w:rPr>
                <w:rFonts w:hint="eastAsia" w:ascii="仿宋_GB2312" w:hAnsi="仿宋_GB2312" w:eastAsia="仿宋_GB2312" w:cs="仿宋_GB2312"/>
                <w:bCs/>
                <w:kern w:val="0"/>
                <w:szCs w:val="21"/>
                <w:highlight w:val="none"/>
              </w:rPr>
              <w:t>需要提供演示</w:t>
            </w:r>
          </w:p>
          <w:p w14:paraId="4C1C5172">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提供演示</w:t>
            </w:r>
          </w:p>
          <w:p w14:paraId="37572481">
            <w:pPr>
              <w:rPr>
                <w:rFonts w:hint="eastAsia" w:ascii="仿宋_GB2312" w:hAnsi="仿宋_GB2312" w:eastAsia="仿宋_GB2312" w:cs="仿宋_GB2312"/>
                <w:kern w:val="0"/>
                <w:szCs w:val="21"/>
                <w:highlight w:val="none"/>
              </w:rPr>
            </w:pPr>
            <w:r>
              <w:rPr>
                <w:rFonts w:hint="eastAsia" w:ascii="仿宋_GB2312" w:hAnsi="仿宋_GB2312" w:eastAsia="仿宋_GB2312" w:cs="仿宋_GB2312"/>
                <w:bCs/>
                <w:kern w:val="0"/>
                <w:szCs w:val="21"/>
                <w:highlight w:val="none"/>
              </w:rPr>
              <w:t xml:space="preserve">  </w:t>
            </w:r>
            <w:r>
              <w:rPr>
                <w:rFonts w:hint="eastAsia" w:ascii="仿宋_GB2312" w:hAnsi="仿宋_GB2312" w:eastAsia="仿宋_GB2312" w:cs="仿宋_GB2312"/>
                <w:kern w:val="0"/>
                <w:szCs w:val="21"/>
                <w:highlight w:val="none"/>
              </w:rPr>
              <w:t>1.演示时间：</w:t>
            </w:r>
            <w:r>
              <w:rPr>
                <w:rFonts w:hint="eastAsia" w:ascii="仿宋_GB2312" w:hAnsi="仿宋_GB2312" w:eastAsia="仿宋_GB2312" w:cs="仿宋_GB2312"/>
                <w:kern w:val="0"/>
                <w:szCs w:val="21"/>
                <w:highlight w:val="none"/>
                <w:u w:val="single"/>
              </w:rPr>
              <w:t xml:space="preserve">             </w:t>
            </w:r>
          </w:p>
          <w:p w14:paraId="14FC4519">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演示地点：</w:t>
            </w:r>
            <w:r>
              <w:rPr>
                <w:rFonts w:hint="eastAsia" w:ascii="仿宋_GB2312" w:hAnsi="仿宋_GB2312" w:eastAsia="仿宋_GB2312" w:cs="仿宋_GB2312"/>
                <w:kern w:val="0"/>
                <w:szCs w:val="21"/>
                <w:highlight w:val="none"/>
                <w:u w:val="single"/>
              </w:rPr>
              <w:t xml:space="preserve">             </w:t>
            </w:r>
          </w:p>
          <w:p w14:paraId="38C3E368">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演示顺序：</w:t>
            </w:r>
            <w:r>
              <w:rPr>
                <w:rFonts w:hint="eastAsia" w:ascii="仿宋_GB2312" w:hAnsi="仿宋_GB2312" w:eastAsia="仿宋_GB2312" w:cs="仿宋_GB2312"/>
                <w:kern w:val="0"/>
                <w:szCs w:val="21"/>
                <w:highlight w:val="none"/>
                <w:u w:val="single"/>
              </w:rPr>
              <w:t xml:space="preserve">             </w:t>
            </w:r>
          </w:p>
          <w:p w14:paraId="2B80161F">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2.演示要求：</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（内容、设备等要求）</w:t>
            </w:r>
          </w:p>
        </w:tc>
      </w:tr>
      <w:tr w14:paraId="484B513F">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335CA96A">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7F407D05">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投标报价货币及方式要求</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48FF56A">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kern w:val="0"/>
                <w:szCs w:val="21"/>
                <w:highlight w:val="none"/>
              </w:rPr>
              <w:t>所有投标均按</w:t>
            </w:r>
            <w:r>
              <w:rPr>
                <w:rFonts w:hint="eastAsia" w:ascii="仿宋_GB2312" w:hAnsi="仿宋_GB2312" w:eastAsia="仿宋_GB2312" w:cs="仿宋_GB2312"/>
                <w:kern w:val="0"/>
                <w:szCs w:val="21"/>
                <w:highlight w:val="none"/>
                <w:u w:val="single"/>
              </w:rPr>
              <w:t xml:space="preserve"> 人民币  </w:t>
            </w:r>
            <w:r>
              <w:rPr>
                <w:rFonts w:hint="eastAsia" w:ascii="仿宋_GB2312" w:hAnsi="仿宋_GB2312" w:eastAsia="仿宋_GB2312" w:cs="仿宋_GB2312"/>
                <w:kern w:val="0"/>
                <w:szCs w:val="21"/>
                <w:highlight w:val="none"/>
              </w:rPr>
              <w:t>进行报价。</w:t>
            </w:r>
          </w:p>
          <w:p w14:paraId="68F7043E">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方式：</w:t>
            </w:r>
            <w:r>
              <w:rPr>
                <w:rFonts w:hint="eastAsia" w:ascii="仿宋_GB2312" w:hAnsi="仿宋_GB2312" w:eastAsia="仿宋_GB2312" w:cs="仿宋_GB2312"/>
                <w:kern w:val="0"/>
                <w:szCs w:val="21"/>
                <w:highlight w:val="none"/>
                <w:u w:val="single"/>
              </w:rPr>
              <w:t xml:space="preserve">  金额或折扣率  </w:t>
            </w:r>
          </w:p>
        </w:tc>
      </w:tr>
      <w:tr w14:paraId="5374C163">
        <w:tblPrEx>
          <w:tblCellMar>
            <w:top w:w="0" w:type="dxa"/>
            <w:left w:w="108" w:type="dxa"/>
            <w:bottom w:w="0" w:type="dxa"/>
            <w:right w:w="108" w:type="dxa"/>
          </w:tblCellMar>
        </w:tblPrEx>
        <w:trPr>
          <w:trHeight w:val="624"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3FFECB4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513AF971">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投标保证金</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E7B70FF">
            <w:pPr>
              <w:shd w:val="clear" w:color="auto" w:fill="FFFFFF"/>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本项目不收取投标保证金；</w:t>
            </w:r>
          </w:p>
        </w:tc>
      </w:tr>
      <w:tr w14:paraId="73B35A40">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64D56D52">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15.1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2827FE8E">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投标有效期</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1414A9C4">
            <w:pPr>
              <w:pStyle w:val="8"/>
              <w:rPr>
                <w:rFonts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u w:val="single"/>
                <w:lang w:val="en-US" w:eastAsia="zh-CN"/>
              </w:rPr>
              <w:t xml:space="preserve"> 90 </w:t>
            </w:r>
            <w:r>
              <w:rPr>
                <w:rFonts w:hint="eastAsia" w:ascii="仿宋_GB2312" w:hAnsi="仿宋_GB2312" w:eastAsia="仿宋_GB2312" w:cs="仿宋_GB2312"/>
                <w:kern w:val="0"/>
                <w:szCs w:val="21"/>
                <w:highlight w:val="none"/>
                <w:lang w:val="en-US" w:eastAsia="zh-CN"/>
              </w:rPr>
              <w:t>日历日</w:t>
            </w:r>
          </w:p>
        </w:tc>
      </w:tr>
      <w:tr w14:paraId="69E5DAE5">
        <w:tblPrEx>
          <w:tblCellMar>
            <w:top w:w="0" w:type="dxa"/>
            <w:left w:w="108" w:type="dxa"/>
            <w:bottom w:w="0" w:type="dxa"/>
            <w:right w:w="108" w:type="dxa"/>
          </w:tblCellMar>
        </w:tblPrEx>
        <w:trPr>
          <w:trHeight w:val="1324"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28CA2846">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16.1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724C5539">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b/>
                <w:bCs/>
                <w:szCs w:val="21"/>
                <w:highlight w:val="none"/>
              </w:rPr>
              <w:t>投标文件份数</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C209805">
            <w:pPr>
              <w:widowControl/>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电子投标文件</w:t>
            </w:r>
            <w:r>
              <w:rPr>
                <w:rFonts w:hint="eastAsia" w:ascii="仿宋_GB2312" w:hAnsi="仿宋_GB2312" w:eastAsia="仿宋_GB2312" w:cs="仿宋_GB2312"/>
                <w:b/>
                <w:bCs/>
                <w:kern w:val="0"/>
                <w:szCs w:val="21"/>
                <w:highlight w:val="none"/>
                <w:u w:val="single"/>
              </w:rPr>
              <w:t xml:space="preserve"> 1 </w:t>
            </w:r>
            <w:r>
              <w:rPr>
                <w:rFonts w:hint="eastAsia" w:ascii="仿宋_GB2312" w:hAnsi="仿宋_GB2312" w:eastAsia="仿宋_GB2312" w:cs="仿宋_GB2312"/>
                <w:b/>
                <w:bCs/>
                <w:kern w:val="0"/>
                <w:szCs w:val="21"/>
                <w:highlight w:val="none"/>
              </w:rPr>
              <w:t>份上传至辽宁政府采购网；</w:t>
            </w:r>
          </w:p>
          <w:p w14:paraId="4E1EAD5A">
            <w:pPr>
              <w:widowControl/>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电子备份投标文件</w:t>
            </w:r>
            <w:r>
              <w:rPr>
                <w:rFonts w:hint="eastAsia" w:ascii="仿宋_GB2312" w:hAnsi="仿宋_GB2312" w:eastAsia="仿宋_GB2312" w:cs="仿宋_GB2312"/>
                <w:b/>
                <w:bCs/>
                <w:kern w:val="0"/>
                <w:szCs w:val="21"/>
                <w:highlight w:val="none"/>
                <w:u w:val="single"/>
              </w:rPr>
              <w:t xml:space="preserve"> 1 </w:t>
            </w:r>
            <w:r>
              <w:rPr>
                <w:rFonts w:hint="eastAsia" w:ascii="仿宋_GB2312" w:hAnsi="仿宋_GB2312" w:eastAsia="仿宋_GB2312" w:cs="仿宋_GB2312"/>
                <w:b/>
                <w:bCs/>
                <w:kern w:val="0"/>
                <w:szCs w:val="21"/>
                <w:highlight w:val="none"/>
              </w:rPr>
              <w:t>份（光盘、U盘、移动硬盘等加密方式密封），递交至沈阳鸿诺招标代理有限公司开标室。</w:t>
            </w:r>
          </w:p>
          <w:p w14:paraId="7BDFA104">
            <w:pPr>
              <w:adjustRightInd w:val="0"/>
              <w:snapToGrid w:val="0"/>
              <w:spacing w:line="360" w:lineRule="auto"/>
              <w:rPr>
                <w:rFonts w:hint="eastAsia" w:eastAsia="仿宋_GB2312"/>
                <w:highlight w:val="none"/>
              </w:rPr>
            </w:pPr>
            <w:r>
              <w:rPr>
                <w:rFonts w:hint="eastAsia" w:ascii="仿宋_GB2312" w:hAnsi="仿宋_GB2312" w:cs="仿宋_GB2312"/>
                <w:b/>
                <w:bCs/>
                <w:kern w:val="0"/>
                <w:szCs w:val="21"/>
                <w:highlight w:val="none"/>
              </w:rPr>
              <w:t>注：</w:t>
            </w:r>
            <w:r>
              <w:rPr>
                <w:rFonts w:hint="eastAsia" w:ascii="仿宋_GB2312" w:hAnsi="仿宋_GB2312" w:eastAsia="仿宋_GB2312" w:cs="仿宋_GB2312"/>
                <w:b/>
                <w:bCs/>
                <w:szCs w:val="21"/>
                <w:highlight w:val="none"/>
              </w:rPr>
              <w:t>投标人仅</w:t>
            </w:r>
            <w:r>
              <w:rPr>
                <w:rFonts w:hint="eastAsia" w:ascii="仿宋_GB2312" w:hAnsi="仿宋_GB2312" w:eastAsia="仿宋_GB2312" w:cs="仿宋_GB2312"/>
                <w:b/>
                <w:bCs/>
                <w:szCs w:val="21"/>
                <w:highlight w:val="none"/>
                <w:lang w:val="en-US" w:eastAsia="zh-CN"/>
              </w:rPr>
              <w:t>上传</w:t>
            </w:r>
            <w:r>
              <w:rPr>
                <w:rFonts w:hint="eastAsia" w:ascii="仿宋_GB2312" w:hAnsi="仿宋_GB2312" w:eastAsia="仿宋_GB2312" w:cs="仿宋_GB2312"/>
                <w:b/>
                <w:bCs/>
                <w:szCs w:val="21"/>
                <w:highlight w:val="none"/>
              </w:rPr>
              <w:t>电子投标文件或</w:t>
            </w:r>
            <w:r>
              <w:rPr>
                <w:rFonts w:hint="eastAsia" w:ascii="仿宋_GB2312" w:hAnsi="仿宋_GB2312" w:eastAsia="仿宋_GB2312" w:cs="仿宋_GB2312"/>
                <w:b/>
                <w:bCs/>
                <w:szCs w:val="21"/>
                <w:highlight w:val="none"/>
                <w:lang w:val="en-US" w:eastAsia="zh-CN"/>
              </w:rPr>
              <w:t>递交</w:t>
            </w:r>
            <w:r>
              <w:rPr>
                <w:rFonts w:hint="eastAsia" w:ascii="仿宋_GB2312" w:hAnsi="仿宋_GB2312" w:eastAsia="仿宋_GB2312" w:cs="仿宋_GB2312"/>
                <w:b/>
                <w:bCs/>
                <w:szCs w:val="21"/>
                <w:highlight w:val="none"/>
              </w:rPr>
              <w:t>备份投标文件的，投标无效。</w:t>
            </w:r>
          </w:p>
        </w:tc>
      </w:tr>
      <w:tr w14:paraId="7412EBDC">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21A166EE">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18.1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2A0D9E1C">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提交投标文件截止时间、地点</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123166CD">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详见招标公告，以招标公告规定时间、地点为准。</w:t>
            </w:r>
          </w:p>
        </w:tc>
      </w:tr>
      <w:tr w14:paraId="4212C477">
        <w:tblPrEx>
          <w:tblCellMar>
            <w:top w:w="0" w:type="dxa"/>
            <w:left w:w="108" w:type="dxa"/>
            <w:bottom w:w="0" w:type="dxa"/>
            <w:right w:w="108" w:type="dxa"/>
          </w:tblCellMar>
        </w:tblPrEx>
        <w:trPr>
          <w:trHeight w:val="446"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6A81D09E">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20.1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22ECAE31">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开标时间、地点</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F38F37B">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详见招标公告，以招标公告规定时间、地点为准。</w:t>
            </w:r>
          </w:p>
        </w:tc>
      </w:tr>
      <w:tr w14:paraId="37E2502A">
        <w:tblPrEx>
          <w:tblCellMar>
            <w:top w:w="0" w:type="dxa"/>
            <w:left w:w="108" w:type="dxa"/>
            <w:bottom w:w="0" w:type="dxa"/>
            <w:right w:w="108" w:type="dxa"/>
          </w:tblCellMar>
        </w:tblPrEx>
        <w:trPr>
          <w:trHeight w:val="433"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1785F4BF">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4243C2CD">
            <w:pPr>
              <w:widowControl/>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w:t>
            </w:r>
          </w:p>
          <w:p w14:paraId="715DE6F9">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组成</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E12A932">
            <w:pPr>
              <w:widowControl/>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评标委员会由采购人代表</w:t>
            </w:r>
            <w:r>
              <w:rPr>
                <w:rFonts w:hint="eastAsia" w:ascii="仿宋_GB2312" w:hAnsi="仿宋_GB2312" w:eastAsia="仿宋_GB2312" w:cs="仿宋_GB2312"/>
                <w:szCs w:val="21"/>
                <w:highlight w:val="none"/>
                <w:u w:val="single"/>
              </w:rPr>
              <w:t xml:space="preserve"> 1 </w:t>
            </w:r>
            <w:r>
              <w:rPr>
                <w:rFonts w:hint="eastAsia" w:ascii="仿宋_GB2312" w:hAnsi="仿宋_GB2312" w:eastAsia="仿宋_GB2312" w:cs="仿宋_GB2312"/>
                <w:szCs w:val="21"/>
                <w:highlight w:val="none"/>
              </w:rPr>
              <w:t>人，评审专家</w:t>
            </w:r>
            <w:r>
              <w:rPr>
                <w:rFonts w:hint="eastAsia" w:ascii="仿宋_GB2312" w:hAnsi="仿宋_GB2312" w:eastAsia="仿宋_GB2312" w:cs="仿宋_GB2312"/>
                <w:szCs w:val="21"/>
                <w:highlight w:val="none"/>
                <w:u w:val="single"/>
              </w:rPr>
              <w:t xml:space="preserve"> 4 </w:t>
            </w:r>
            <w:r>
              <w:rPr>
                <w:rFonts w:hint="eastAsia" w:ascii="仿宋_GB2312" w:hAnsi="仿宋_GB2312" w:eastAsia="仿宋_GB2312" w:cs="仿宋_GB2312"/>
                <w:szCs w:val="21"/>
                <w:highlight w:val="none"/>
              </w:rPr>
              <w:t>人组成，共</w:t>
            </w:r>
            <w:r>
              <w:rPr>
                <w:rFonts w:hint="eastAsia" w:ascii="仿宋_GB2312" w:hAnsi="仿宋_GB2312" w:eastAsia="仿宋_GB2312" w:cs="仿宋_GB2312"/>
                <w:szCs w:val="21"/>
                <w:highlight w:val="none"/>
                <w:u w:val="single"/>
              </w:rPr>
              <w:t xml:space="preserve"> 5 </w:t>
            </w:r>
            <w:r>
              <w:rPr>
                <w:rFonts w:hint="eastAsia" w:ascii="仿宋_GB2312" w:hAnsi="仿宋_GB2312" w:eastAsia="仿宋_GB2312" w:cs="仿宋_GB2312"/>
                <w:szCs w:val="21"/>
                <w:highlight w:val="none"/>
              </w:rPr>
              <w:t xml:space="preserve">人。 </w:t>
            </w:r>
          </w:p>
        </w:tc>
      </w:tr>
      <w:tr w14:paraId="56A94471">
        <w:tblPrEx>
          <w:tblCellMar>
            <w:top w:w="0" w:type="dxa"/>
            <w:left w:w="108" w:type="dxa"/>
            <w:bottom w:w="0" w:type="dxa"/>
            <w:right w:w="108" w:type="dxa"/>
          </w:tblCellMar>
        </w:tblPrEx>
        <w:trPr>
          <w:trHeight w:val="2186"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651214DC">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25.1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1C24E0E6">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样品的评审方法以及评审标准</w:t>
            </w:r>
          </w:p>
          <w:p w14:paraId="39CC9B5D">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演示的评审方法及评审标准</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0649F80">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bCs/>
                <w:kern w:val="0"/>
                <w:szCs w:val="21"/>
                <w:highlight w:val="none"/>
              </w:rPr>
              <w:t>样品：</w:t>
            </w:r>
          </w:p>
          <w:p w14:paraId="3FAF4D3D">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1.样品评审方法：</w:t>
            </w:r>
            <w:r>
              <w:rPr>
                <w:rFonts w:hint="eastAsia" w:ascii="仿宋_GB2312" w:hAnsi="仿宋_GB2312" w:eastAsia="仿宋_GB2312" w:cs="仿宋_GB2312"/>
                <w:kern w:val="0"/>
                <w:szCs w:val="21"/>
                <w:highlight w:val="none"/>
                <w:u w:val="single"/>
              </w:rPr>
              <w:t xml:space="preserve">              </w:t>
            </w:r>
          </w:p>
          <w:p w14:paraId="3C2390B3">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2.样品评审标准：</w:t>
            </w:r>
            <w:r>
              <w:rPr>
                <w:rFonts w:hint="eastAsia" w:ascii="仿宋_GB2312" w:hAnsi="仿宋_GB2312" w:eastAsia="仿宋_GB2312" w:cs="仿宋_GB2312"/>
                <w:kern w:val="0"/>
                <w:szCs w:val="21"/>
                <w:highlight w:val="none"/>
                <w:u w:val="single"/>
              </w:rPr>
              <w:t xml:space="preserve">              </w:t>
            </w:r>
          </w:p>
          <w:p w14:paraId="613B8838">
            <w:pPr>
              <w:rPr>
                <w:rFonts w:ascii="仿宋_GB2312" w:hAnsi="仿宋_GB2312" w:eastAsia="仿宋_GB2312" w:cs="仿宋_GB2312"/>
                <w:kern w:val="0"/>
                <w:szCs w:val="21"/>
                <w:highlight w:val="none"/>
                <w:u w:val="single"/>
              </w:rPr>
            </w:pPr>
          </w:p>
          <w:p w14:paraId="1758ED2B">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演示：</w:t>
            </w:r>
          </w:p>
          <w:p w14:paraId="3FC84199">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1.演示评审方法：</w:t>
            </w:r>
            <w:r>
              <w:rPr>
                <w:rFonts w:hint="eastAsia" w:ascii="仿宋_GB2312" w:hAnsi="仿宋_GB2312" w:eastAsia="仿宋_GB2312" w:cs="仿宋_GB2312"/>
                <w:kern w:val="0"/>
                <w:szCs w:val="21"/>
                <w:highlight w:val="none"/>
                <w:u w:val="single"/>
              </w:rPr>
              <w:t xml:space="preserve">              </w:t>
            </w:r>
          </w:p>
          <w:p w14:paraId="2F15DD67">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2.演示评审标准：</w:t>
            </w:r>
            <w:r>
              <w:rPr>
                <w:rFonts w:hint="eastAsia" w:ascii="仿宋_GB2312" w:hAnsi="仿宋_GB2312" w:eastAsia="仿宋_GB2312" w:cs="仿宋_GB2312"/>
                <w:kern w:val="0"/>
                <w:szCs w:val="21"/>
                <w:highlight w:val="none"/>
                <w:u w:val="single"/>
              </w:rPr>
              <w:t xml:space="preserve">              </w:t>
            </w:r>
          </w:p>
        </w:tc>
      </w:tr>
      <w:tr w14:paraId="2EBBFB66">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7EBE50C6">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27.2</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51BB2C75">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评标办法</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5532F146">
            <w:pPr>
              <w:widowControl/>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szCs w:val="21"/>
                <w:highlight w:val="none"/>
              </w:rPr>
              <w:t>综合评分法</w:t>
            </w:r>
          </w:p>
          <w:p w14:paraId="6DC51660">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 xml:space="preserve">最低评标价法 </w:t>
            </w:r>
          </w:p>
        </w:tc>
      </w:tr>
      <w:tr w14:paraId="3E9B5AD8">
        <w:tblPrEx>
          <w:tblCellMar>
            <w:top w:w="0" w:type="dxa"/>
            <w:left w:w="108" w:type="dxa"/>
            <w:bottom w:w="0" w:type="dxa"/>
            <w:right w:w="108" w:type="dxa"/>
          </w:tblCellMar>
        </w:tblPrEx>
        <w:trPr>
          <w:trHeight w:val="63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70171CDD">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29.2</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330F0672">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推荐中标候选人的数量</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CF68DF8">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u w:val="single"/>
              </w:rPr>
              <w:t xml:space="preserve">       3       </w:t>
            </w:r>
          </w:p>
        </w:tc>
      </w:tr>
      <w:tr w14:paraId="3E433AED">
        <w:tblPrEx>
          <w:tblCellMar>
            <w:top w:w="0" w:type="dxa"/>
            <w:left w:w="108" w:type="dxa"/>
            <w:bottom w:w="0" w:type="dxa"/>
            <w:right w:w="108" w:type="dxa"/>
          </w:tblCellMar>
        </w:tblPrEx>
        <w:trPr>
          <w:trHeight w:val="943"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38138A58">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5818BD21">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确定中标人的方式</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4E5D778">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中标人数量：</w:t>
            </w:r>
            <w:r>
              <w:rPr>
                <w:rFonts w:hint="eastAsia" w:ascii="仿宋_GB2312" w:hAnsi="仿宋_GB2312" w:eastAsia="仿宋_GB2312" w:cs="仿宋_GB2312"/>
                <w:kern w:val="0"/>
                <w:szCs w:val="21"/>
                <w:highlight w:val="none"/>
                <w:u w:val="single"/>
              </w:rPr>
              <w:t xml:space="preserve">    1    </w:t>
            </w:r>
          </w:p>
          <w:p w14:paraId="6E9E207A">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kern w:val="0"/>
                <w:szCs w:val="21"/>
                <w:highlight w:val="none"/>
              </w:rPr>
              <w:t>采购人委托评标委员会直接确定中标人</w:t>
            </w:r>
          </w:p>
          <w:p w14:paraId="29CBCF56">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采购人确定中标人</w:t>
            </w:r>
          </w:p>
        </w:tc>
      </w:tr>
      <w:tr w14:paraId="44589D8D">
        <w:tblPrEx>
          <w:tblCellMar>
            <w:top w:w="0" w:type="dxa"/>
            <w:left w:w="108" w:type="dxa"/>
            <w:bottom w:w="0" w:type="dxa"/>
            <w:right w:w="108" w:type="dxa"/>
          </w:tblCellMar>
        </w:tblPrEx>
        <w:trPr>
          <w:trHeight w:val="212" w:hRule="atLeast"/>
        </w:trPr>
        <w:tc>
          <w:tcPr>
            <w:tcW w:w="976" w:type="dxa"/>
            <w:tcBorders>
              <w:top w:val="single" w:color="auto" w:sz="4" w:space="0"/>
              <w:left w:val="single" w:color="auto" w:sz="4" w:space="0"/>
              <w:bottom w:val="single" w:color="auto" w:sz="4" w:space="0"/>
              <w:right w:val="single" w:color="auto" w:sz="4" w:space="0"/>
            </w:tcBorders>
            <w:noWrap w:val="0"/>
            <w:vAlign w:val="center"/>
          </w:tcPr>
          <w:p w14:paraId="75C8287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35.1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30A57AE2">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履约保证金</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FE83F23">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szCs w:val="21"/>
                <w:highlight w:val="none"/>
              </w:rPr>
              <w:t>本项目不收取履约保证金</w:t>
            </w:r>
          </w:p>
          <w:p w14:paraId="1F5F56C2">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本项目收取履约保证金</w:t>
            </w:r>
          </w:p>
          <w:p w14:paraId="3221C4C3">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履约保证金金额：</w:t>
            </w:r>
            <w:r>
              <w:rPr>
                <w:rFonts w:hint="eastAsia" w:ascii="仿宋_GB2312" w:hAnsi="仿宋_GB2312" w:eastAsia="仿宋_GB2312" w:cs="仿宋_GB2312"/>
                <w:kern w:val="0"/>
                <w:szCs w:val="21"/>
                <w:highlight w:val="none"/>
                <w:u w:val="single"/>
              </w:rPr>
              <w:t xml:space="preserve">                 </w:t>
            </w:r>
          </w:p>
          <w:p w14:paraId="10A9AC38">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履约保证金提交时间：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szCs w:val="21"/>
                <w:highlight w:val="none"/>
              </w:rPr>
              <w:t xml:space="preserve"> </w:t>
            </w:r>
          </w:p>
          <w:p w14:paraId="7894E59D">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履约保证金提交方式：□保函   □支票  □电汇</w:t>
            </w:r>
          </w:p>
          <w:p w14:paraId="17887104">
            <w:pPr>
              <w:shd w:val="clear" w:color="auto" w:fill="FFFFFF"/>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账户信息：</w:t>
            </w:r>
          </w:p>
          <w:p w14:paraId="34A6F848">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开 户 名： </w:t>
            </w:r>
            <w:r>
              <w:rPr>
                <w:rFonts w:hint="eastAsia" w:ascii="仿宋_GB2312" w:hAnsi="仿宋_GB2312" w:eastAsia="仿宋_GB2312" w:cs="仿宋_GB2312"/>
                <w:kern w:val="0"/>
                <w:szCs w:val="21"/>
                <w:highlight w:val="none"/>
                <w:u w:val="single"/>
              </w:rPr>
              <w:t xml:space="preserve">                </w:t>
            </w:r>
          </w:p>
          <w:p w14:paraId="61AF4B52">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开 户 行： </w:t>
            </w:r>
            <w:r>
              <w:rPr>
                <w:rFonts w:hint="eastAsia" w:ascii="仿宋_GB2312" w:hAnsi="仿宋_GB2312" w:eastAsia="仿宋_GB2312" w:cs="仿宋_GB2312"/>
                <w:kern w:val="0"/>
                <w:szCs w:val="21"/>
                <w:highlight w:val="none"/>
                <w:u w:val="single"/>
              </w:rPr>
              <w:t xml:space="preserve">                </w:t>
            </w:r>
          </w:p>
          <w:p w14:paraId="4628343B">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账    号： </w:t>
            </w:r>
            <w:r>
              <w:rPr>
                <w:rFonts w:hint="eastAsia" w:ascii="仿宋_GB2312" w:hAnsi="仿宋_GB2312" w:eastAsia="仿宋_GB2312" w:cs="仿宋_GB2312"/>
                <w:kern w:val="0"/>
                <w:szCs w:val="21"/>
                <w:highlight w:val="none"/>
                <w:u w:val="single"/>
              </w:rPr>
              <w:t xml:space="preserve">                </w:t>
            </w:r>
          </w:p>
          <w:p w14:paraId="62DA5F56">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履约保证金退还时间及规定：</w:t>
            </w:r>
            <w:r>
              <w:rPr>
                <w:rFonts w:hint="eastAsia" w:ascii="仿宋_GB2312" w:hAnsi="仿宋_GB2312" w:eastAsia="仿宋_GB2312" w:cs="仿宋_GB2312"/>
                <w:kern w:val="0"/>
                <w:szCs w:val="21"/>
                <w:highlight w:val="none"/>
                <w:u w:val="single"/>
              </w:rPr>
              <w:t xml:space="preserve">   </w:t>
            </w:r>
          </w:p>
          <w:p w14:paraId="7E2F0264">
            <w:pPr>
              <w:shd w:val="clear" w:color="auto" w:fill="FFFFFF"/>
              <w:jc w:val="left"/>
              <w:rPr>
                <w:rFonts w:ascii="仿宋_GB2312" w:hAnsi="仿宋_GB2312" w:eastAsia="仿宋_GB2312" w:cs="仿宋_GB2312"/>
                <w:kern w:val="0"/>
                <w:szCs w:val="21"/>
                <w:highlight w:val="none"/>
              </w:rPr>
            </w:pPr>
            <w:r>
              <w:rPr>
                <w:rFonts w:hint="eastAsia" w:ascii="仿宋_GB2312" w:hAnsi="仿宋_GB2312" w:eastAsia="仿宋_GB2312" w:cs="仿宋_GB2312"/>
                <w:b/>
                <w:bCs/>
                <w:szCs w:val="21"/>
                <w:highlight w:val="none"/>
              </w:rPr>
              <w:t>（注：财政部门鼓励采用保函的方式提交履约保证金，具体办理流程参阅辽宁政府采购网）</w:t>
            </w:r>
          </w:p>
        </w:tc>
      </w:tr>
      <w:tr w14:paraId="153844CA">
        <w:tblPrEx>
          <w:tblCellMar>
            <w:top w:w="0" w:type="dxa"/>
            <w:left w:w="108" w:type="dxa"/>
            <w:bottom w:w="0" w:type="dxa"/>
            <w:right w:w="108" w:type="dxa"/>
          </w:tblCellMar>
        </w:tblPrEx>
        <w:trPr>
          <w:trHeight w:val="427" w:hRule="atLeast"/>
        </w:trPr>
        <w:tc>
          <w:tcPr>
            <w:tcW w:w="976" w:type="dxa"/>
            <w:tcBorders>
              <w:top w:val="nil"/>
              <w:left w:val="single" w:color="auto" w:sz="8" w:space="0"/>
              <w:bottom w:val="single" w:color="auto" w:sz="8" w:space="0"/>
              <w:right w:val="single" w:color="auto" w:sz="4" w:space="0"/>
            </w:tcBorders>
            <w:noWrap w:val="0"/>
            <w:vAlign w:val="center"/>
          </w:tcPr>
          <w:p w14:paraId="689E9017">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36</w:t>
            </w:r>
          </w:p>
        </w:tc>
        <w:tc>
          <w:tcPr>
            <w:tcW w:w="1499" w:type="dxa"/>
            <w:tcBorders>
              <w:top w:val="nil"/>
              <w:left w:val="single" w:color="auto" w:sz="4" w:space="0"/>
              <w:bottom w:val="single" w:color="auto" w:sz="8" w:space="0"/>
              <w:right w:val="single" w:color="auto" w:sz="8" w:space="0"/>
            </w:tcBorders>
            <w:noWrap w:val="0"/>
            <w:vAlign w:val="center"/>
          </w:tcPr>
          <w:p w14:paraId="5ECB7C0C">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采购代理服务费</w:t>
            </w:r>
          </w:p>
        </w:tc>
        <w:tc>
          <w:tcPr>
            <w:tcW w:w="6285" w:type="dxa"/>
            <w:tcBorders>
              <w:top w:val="nil"/>
              <w:left w:val="nil"/>
              <w:bottom w:val="single" w:color="auto" w:sz="8" w:space="0"/>
              <w:right w:val="single" w:color="auto" w:sz="8" w:space="0"/>
            </w:tcBorders>
            <w:noWrap w:val="0"/>
            <w:vAlign w:val="center"/>
          </w:tcPr>
          <w:p w14:paraId="3FA41240">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本项目不收取</w:t>
            </w:r>
            <w:r>
              <w:rPr>
                <w:rFonts w:hint="eastAsia" w:ascii="仿宋_GB2312" w:hAnsi="仿宋_GB2312" w:eastAsia="仿宋_GB2312" w:cs="仿宋_GB2312"/>
                <w:kern w:val="0"/>
                <w:szCs w:val="21"/>
                <w:highlight w:val="none"/>
              </w:rPr>
              <w:t>采购代理服务费</w:t>
            </w:r>
          </w:p>
          <w:p w14:paraId="6BFD2F18">
            <w:pPr>
              <w:shd w:val="clear" w:color="auto" w:fill="FFFFFF"/>
              <w:jc w:val="left"/>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sym w:font="Wingdings 2" w:char="F052"/>
            </w:r>
            <w:r>
              <w:rPr>
                <w:rFonts w:hint="eastAsia" w:ascii="仿宋_GB2312" w:hAnsi="仿宋_GB2312" w:eastAsia="仿宋_GB2312" w:cs="仿宋_GB2312"/>
                <w:szCs w:val="21"/>
                <w:highlight w:val="none"/>
              </w:rPr>
              <w:t>本项目收取</w:t>
            </w:r>
            <w:r>
              <w:rPr>
                <w:rFonts w:hint="eastAsia" w:ascii="仿宋_GB2312" w:hAnsi="仿宋_GB2312" w:eastAsia="仿宋_GB2312" w:cs="仿宋_GB2312"/>
                <w:kern w:val="0"/>
                <w:szCs w:val="21"/>
                <w:highlight w:val="none"/>
              </w:rPr>
              <w:t>采购代理服务费</w:t>
            </w:r>
          </w:p>
          <w:p w14:paraId="3C1EA9EC">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本项目采购代理服务费由</w:t>
            </w:r>
            <w:r>
              <w:rPr>
                <w:rFonts w:hint="eastAsia" w:ascii="仿宋_GB2312" w:hAnsi="仿宋_GB2312" w:eastAsia="仿宋_GB2312" w:cs="仿宋_GB2312"/>
                <w:kern w:val="0"/>
                <w:szCs w:val="21"/>
                <w:highlight w:val="none"/>
                <w:u w:val="single"/>
              </w:rPr>
              <w:t>中标单位</w:t>
            </w:r>
            <w:r>
              <w:rPr>
                <w:rFonts w:hint="eastAsia" w:ascii="仿宋_GB2312" w:hAnsi="仿宋_GB2312" w:eastAsia="仿宋_GB2312" w:cs="仿宋_GB2312"/>
                <w:kern w:val="0"/>
                <w:szCs w:val="21"/>
                <w:highlight w:val="none"/>
              </w:rPr>
              <w:t>向采购代理机构予以支付。</w:t>
            </w:r>
          </w:p>
          <w:p w14:paraId="19D72184">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支付标准：</w:t>
            </w:r>
            <w:r>
              <w:rPr>
                <w:rFonts w:hint="eastAsia" w:ascii="仿宋_GB2312" w:hAnsi="仿宋_GB2312" w:eastAsia="仿宋_GB2312" w:cs="仿宋_GB2312"/>
                <w:kern w:val="0"/>
                <w:szCs w:val="21"/>
                <w:highlight w:val="none"/>
                <w:u w:val="single"/>
              </w:rPr>
              <w:t>参照《招标代理服务收费管理暂行办法》(计价格[2002]1980号)，按差额定率累进法计算代理服务费收取。</w:t>
            </w:r>
          </w:p>
          <w:p w14:paraId="2C6FD430">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支付形式：</w:t>
            </w:r>
            <w:r>
              <w:rPr>
                <w:rFonts w:hint="eastAsia" w:ascii="仿宋_GB2312" w:hAnsi="仿宋_GB2312" w:eastAsia="仿宋_GB2312" w:cs="仿宋_GB2312"/>
                <w:kern w:val="0"/>
                <w:szCs w:val="21"/>
                <w:highlight w:val="none"/>
                <w:u w:val="single"/>
              </w:rPr>
              <w:t xml:space="preserve">电汇 </w:t>
            </w:r>
          </w:p>
          <w:p w14:paraId="0448E71B">
            <w:pPr>
              <w:shd w:val="clear" w:color="auto" w:fill="FFFFFF"/>
              <w:ind w:firstLine="210" w:firstLineChars="10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支付时间：</w:t>
            </w:r>
            <w:r>
              <w:rPr>
                <w:rFonts w:hint="eastAsia" w:ascii="仿宋_GB2312" w:hAnsi="仿宋_GB2312" w:eastAsia="仿宋_GB2312" w:cs="仿宋_GB2312"/>
                <w:kern w:val="0"/>
                <w:szCs w:val="21"/>
                <w:highlight w:val="none"/>
                <w:u w:val="single"/>
              </w:rPr>
              <w:t>中标人在领取中标通知书之前，一次性向采购代理机构支付</w:t>
            </w:r>
          </w:p>
        </w:tc>
      </w:tr>
      <w:tr w14:paraId="3C3C9DB9">
        <w:tblPrEx>
          <w:tblCellMar>
            <w:top w:w="0" w:type="dxa"/>
            <w:left w:w="108" w:type="dxa"/>
            <w:bottom w:w="0" w:type="dxa"/>
            <w:right w:w="108" w:type="dxa"/>
          </w:tblCellMar>
        </w:tblPrEx>
        <w:trPr>
          <w:trHeight w:val="581" w:hRule="atLeast"/>
        </w:trPr>
        <w:tc>
          <w:tcPr>
            <w:tcW w:w="976" w:type="dxa"/>
            <w:tcBorders>
              <w:top w:val="single" w:color="auto" w:sz="4" w:space="0"/>
              <w:left w:val="single" w:color="auto" w:sz="8" w:space="0"/>
              <w:bottom w:val="single" w:color="auto" w:sz="4" w:space="0"/>
              <w:right w:val="single" w:color="auto" w:sz="4" w:space="0"/>
            </w:tcBorders>
            <w:noWrap w:val="0"/>
            <w:vAlign w:val="center"/>
          </w:tcPr>
          <w:p w14:paraId="78649C31">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39.3</w:t>
            </w:r>
          </w:p>
        </w:tc>
        <w:tc>
          <w:tcPr>
            <w:tcW w:w="1499" w:type="dxa"/>
            <w:tcBorders>
              <w:top w:val="single" w:color="auto" w:sz="4" w:space="0"/>
              <w:left w:val="single" w:color="auto" w:sz="4" w:space="0"/>
              <w:bottom w:val="single" w:color="auto" w:sz="4" w:space="0"/>
              <w:right w:val="single" w:color="auto" w:sz="8" w:space="0"/>
            </w:tcBorders>
            <w:noWrap w:val="0"/>
            <w:vAlign w:val="center"/>
          </w:tcPr>
          <w:p w14:paraId="0BE88EB9">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质疑</w:t>
            </w:r>
          </w:p>
        </w:tc>
        <w:tc>
          <w:tcPr>
            <w:tcW w:w="6285" w:type="dxa"/>
            <w:tcBorders>
              <w:top w:val="single" w:color="auto" w:sz="4" w:space="0"/>
              <w:left w:val="nil"/>
              <w:bottom w:val="single" w:color="auto" w:sz="4" w:space="0"/>
              <w:right w:val="single" w:color="auto" w:sz="8" w:space="0"/>
            </w:tcBorders>
            <w:noWrap w:val="0"/>
            <w:vAlign w:val="center"/>
          </w:tcPr>
          <w:p w14:paraId="19ECF234">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一、供应商认为自己的权益受到损害的，可以在知道或者应知其权益受到损害之日起七个工作日内，向采购代理机构或采购人提出质疑。</w:t>
            </w:r>
          </w:p>
          <w:p w14:paraId="40D4485A">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接收质疑函方式：根据《辽宁省政府采购电子化质疑投诉管理办法》，质疑统一在辽宁政府采购网电子化质疑投诉系统中提出。质疑供应商无法在系统中提出质疑的，可采取现场递交书面纸质质疑函方式进行。</w:t>
            </w:r>
          </w:p>
          <w:p w14:paraId="07D87C06">
            <w:pPr>
              <w:widowControl/>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采购代理机构：沈阳鸿诺招标代理有限公司</w:t>
            </w:r>
          </w:p>
          <w:p w14:paraId="3C990ACE">
            <w:pPr>
              <w:widowControl/>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电  话：024-31295429</w:t>
            </w:r>
          </w:p>
          <w:p w14:paraId="3192B306">
            <w:pPr>
              <w:widowControl/>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  址：沈阳市沈河区青年大街51-1号（1-10-13)</w:t>
            </w:r>
          </w:p>
          <w:p w14:paraId="1DE84420">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2、质疑函的内容、格式：应符合《政府采购质疑和投诉办法》相关规定和财政部门制定的《政府采购质疑函范本》格式。</w:t>
            </w:r>
          </w:p>
          <w:p w14:paraId="0461FFF9">
            <w:pPr>
              <w:pStyle w:val="8"/>
              <w:rPr>
                <w:rFonts w:ascii="仿宋_GB2312" w:hAnsi="仿宋_GB2312" w:eastAsia="仿宋_GB2312" w:cs="仿宋_GB2312"/>
                <w:kern w:val="0"/>
                <w:szCs w:val="21"/>
                <w:highlight w:val="none"/>
                <w:lang w:val="en-US" w:eastAsia="zh-CN"/>
              </w:rPr>
            </w:pPr>
            <w:r>
              <w:rPr>
                <w:rFonts w:hint="eastAsia" w:ascii="仿宋_GB2312" w:hAnsi="仿宋_GB2312" w:eastAsia="仿宋_GB2312" w:cs="仿宋_GB2312"/>
                <w:szCs w:val="21"/>
                <w:highlight w:val="none"/>
                <w:lang w:val="en-US" w:eastAsia="zh-CN"/>
              </w:rPr>
              <w:t>二、供应商应在法定质疑期内一次性针对同一采购程序环节提出质疑，否则针对再次提出质疑将不予接收。（采购程序环节分为：采购文件、采购过程、采购结果）</w:t>
            </w:r>
          </w:p>
        </w:tc>
      </w:tr>
      <w:tr w14:paraId="5DD1F085">
        <w:tblPrEx>
          <w:tblCellMar>
            <w:top w:w="0" w:type="dxa"/>
            <w:left w:w="108" w:type="dxa"/>
            <w:bottom w:w="0" w:type="dxa"/>
            <w:right w:w="108" w:type="dxa"/>
          </w:tblCellMar>
        </w:tblPrEx>
        <w:trPr>
          <w:trHeight w:val="581" w:hRule="atLeast"/>
        </w:trPr>
        <w:tc>
          <w:tcPr>
            <w:tcW w:w="976" w:type="dxa"/>
            <w:tcBorders>
              <w:top w:val="single" w:color="auto" w:sz="4" w:space="0"/>
              <w:left w:val="single" w:color="auto" w:sz="8" w:space="0"/>
              <w:bottom w:val="single" w:color="auto" w:sz="4" w:space="0"/>
              <w:right w:val="single" w:color="auto" w:sz="4" w:space="0"/>
            </w:tcBorders>
            <w:noWrap w:val="0"/>
            <w:vAlign w:val="center"/>
          </w:tcPr>
          <w:p w14:paraId="23651707">
            <w:pPr>
              <w:widowControl/>
              <w:jc w:val="center"/>
              <w:rPr>
                <w:rFonts w:hint="eastAsia" w:ascii="仿宋_GB2312" w:hAnsi="仿宋_GB2312" w:eastAsia="仿宋_GB2312" w:cs="仿宋_GB2312"/>
                <w:kern w:val="0"/>
                <w:szCs w:val="21"/>
                <w:highlight w:val="none"/>
              </w:rPr>
            </w:pPr>
          </w:p>
        </w:tc>
        <w:tc>
          <w:tcPr>
            <w:tcW w:w="1499" w:type="dxa"/>
            <w:tcBorders>
              <w:top w:val="single" w:color="auto" w:sz="4" w:space="0"/>
              <w:left w:val="single" w:color="auto" w:sz="4" w:space="0"/>
              <w:bottom w:val="single" w:color="auto" w:sz="4" w:space="0"/>
              <w:right w:val="single" w:color="auto" w:sz="8" w:space="0"/>
            </w:tcBorders>
            <w:noWrap w:val="0"/>
            <w:vAlign w:val="center"/>
          </w:tcPr>
          <w:p w14:paraId="0B579D3C">
            <w:pPr>
              <w:widowControl/>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b/>
                <w:bCs/>
                <w:kern w:val="0"/>
                <w:szCs w:val="21"/>
                <w:highlight w:val="none"/>
              </w:rPr>
              <w:t>其他事项</w:t>
            </w:r>
          </w:p>
        </w:tc>
        <w:tc>
          <w:tcPr>
            <w:tcW w:w="6285" w:type="dxa"/>
            <w:tcBorders>
              <w:top w:val="single" w:color="auto" w:sz="4" w:space="0"/>
              <w:left w:val="nil"/>
              <w:bottom w:val="single" w:color="auto" w:sz="4" w:space="0"/>
              <w:right w:val="single" w:color="auto" w:sz="8" w:space="0"/>
            </w:tcBorders>
            <w:noWrap w:val="0"/>
            <w:vAlign w:val="center"/>
          </w:tcPr>
          <w:p w14:paraId="79A5A282">
            <w:pPr>
              <w:widowControl/>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1.供应商在电子评审活动中出现以下情形的，应按如下规定进行处理：</w:t>
            </w:r>
          </w:p>
          <w:p w14:paraId="7FFEB25E">
            <w:pPr>
              <w:widowControl/>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 xml:space="preserve">   （1）因供应商原因造成投标文件未解密的；</w:t>
            </w:r>
          </w:p>
          <w:p w14:paraId="7C9425D2">
            <w:pPr>
              <w:widowControl/>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 xml:space="preserve">   （2）因供应商自用设备原因造成的未在规定时间内解密、上传文件或投标（响应）报价等问题影响电子评审的；</w:t>
            </w:r>
          </w:p>
          <w:p w14:paraId="69C46577">
            <w:pPr>
              <w:widowControl/>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 xml:space="preserve">   （3）因供应商原因未对文件校验造成信息缺失、文件内容或格式不正确以及备份文件不符合要求等问题影响评审的。</w:t>
            </w:r>
          </w:p>
          <w:p w14:paraId="2DF62536">
            <w:pPr>
              <w:widowControl/>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 xml:space="preserve">    出现前款（1）（2）情形的，视为放弃投标（响应）；出现前款（3）情形的，由供应商自行承担相应责任。</w:t>
            </w:r>
          </w:p>
          <w:p w14:paraId="6090735A">
            <w:pPr>
              <w:widowControl/>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2.启用备份文件应由采购人、采购代理机构和相关供应商共同签字确认，供应商未到场的，通过视频方式进行确认。</w:t>
            </w:r>
          </w:p>
          <w:p w14:paraId="5C8CF587">
            <w:pPr>
              <w:widowControl/>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3.辽宁政府采购平台运维机构服务时间为7*24小时。平台运维服务电话：400-128-8588</w:t>
            </w:r>
          </w:p>
          <w:p w14:paraId="20A3F2DA">
            <w:pPr>
              <w:widowControl/>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4.上传电子文件需要一定的时间，请投标人把握好时间。上传后可联系网站运维机构查询是否成功。</w:t>
            </w:r>
          </w:p>
          <w:p w14:paraId="57DE077D">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b/>
                <w:bCs/>
                <w:szCs w:val="21"/>
                <w:highlight w:val="none"/>
              </w:rPr>
              <w:t>5.原则上报价解密时间时长为30分钟，报价解密超过限制时间未完成且无正当理由，视为投标无效。如遇特殊情况导致在限制时间内未完成，可视情况延长时长。</w:t>
            </w:r>
          </w:p>
        </w:tc>
      </w:tr>
      <w:tr w14:paraId="438E6950">
        <w:tblPrEx>
          <w:tblCellMar>
            <w:top w:w="0" w:type="dxa"/>
            <w:left w:w="108" w:type="dxa"/>
            <w:bottom w:w="0" w:type="dxa"/>
            <w:right w:w="108" w:type="dxa"/>
          </w:tblCellMar>
        </w:tblPrEx>
        <w:trPr>
          <w:trHeight w:val="581" w:hRule="atLeast"/>
        </w:trPr>
        <w:tc>
          <w:tcPr>
            <w:tcW w:w="976" w:type="dxa"/>
            <w:tcBorders>
              <w:top w:val="single" w:color="auto" w:sz="4" w:space="0"/>
              <w:left w:val="single" w:color="auto" w:sz="8" w:space="0"/>
              <w:bottom w:val="single" w:color="auto" w:sz="4" w:space="0"/>
              <w:right w:val="single" w:color="auto" w:sz="4" w:space="0"/>
            </w:tcBorders>
            <w:noWrap w:val="0"/>
            <w:vAlign w:val="center"/>
          </w:tcPr>
          <w:p w14:paraId="41F25CFB">
            <w:pPr>
              <w:widowControl/>
              <w:jc w:val="center"/>
              <w:rPr>
                <w:rFonts w:hint="eastAsia" w:ascii="仿宋_GB2312" w:hAnsi="仿宋_GB2312" w:eastAsia="仿宋_GB2312" w:cs="仿宋_GB2312"/>
                <w:kern w:val="0"/>
                <w:szCs w:val="21"/>
                <w:highlight w:val="none"/>
              </w:rPr>
            </w:pPr>
          </w:p>
        </w:tc>
        <w:tc>
          <w:tcPr>
            <w:tcW w:w="1499" w:type="dxa"/>
            <w:tcBorders>
              <w:top w:val="single" w:color="auto" w:sz="4" w:space="0"/>
              <w:left w:val="single" w:color="auto" w:sz="4" w:space="0"/>
              <w:bottom w:val="single" w:color="auto" w:sz="4" w:space="0"/>
              <w:right w:val="single" w:color="auto" w:sz="8" w:space="0"/>
            </w:tcBorders>
            <w:noWrap w:val="0"/>
            <w:vAlign w:val="center"/>
          </w:tcPr>
          <w:p w14:paraId="35EFB8FC">
            <w:pPr>
              <w:widowControl/>
              <w:jc w:val="center"/>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其它须知</w:t>
            </w:r>
          </w:p>
        </w:tc>
        <w:tc>
          <w:tcPr>
            <w:tcW w:w="6285" w:type="dxa"/>
            <w:tcBorders>
              <w:top w:val="single" w:color="auto" w:sz="4" w:space="0"/>
              <w:left w:val="nil"/>
              <w:bottom w:val="single" w:color="auto" w:sz="4" w:space="0"/>
              <w:right w:val="single" w:color="auto" w:sz="8" w:space="0"/>
            </w:tcBorders>
            <w:noWrap w:val="0"/>
            <w:vAlign w:val="center"/>
          </w:tcPr>
          <w:p w14:paraId="125B757E">
            <w:pPr>
              <w:pStyle w:val="8"/>
              <w:ind w:firstLine="420" w:firstLineChars="200"/>
              <w:rPr>
                <w:rFonts w:hint="eastAsia" w:ascii="仿宋_GB2312" w:hAnsi="仿宋_GB2312" w:eastAsia="仿宋_GB2312" w:cs="仿宋_GB2312"/>
                <w:b/>
                <w:bCs/>
                <w:szCs w:val="21"/>
                <w:highlight w:val="none"/>
                <w:lang w:val="en-US" w:eastAsia="zh-CN"/>
              </w:rPr>
            </w:pPr>
            <w:r>
              <w:rPr>
                <w:rFonts w:hint="eastAsia" w:ascii="仿宋_GB2312" w:hAnsi="仿宋_GB2312" w:eastAsia="仿宋_GB2312" w:cs="仿宋_GB2312"/>
                <w:b/>
                <w:bCs/>
                <w:szCs w:val="21"/>
                <w:highlight w:val="none"/>
                <w:lang w:val="en-US" w:eastAsia="zh-CN"/>
              </w:rPr>
              <w:t>1、电子备份投标文件如需以邮寄的方式递交的，请投标人确保在开标截止时间前送达，可提前告知代理机构邮寄事项；</w:t>
            </w:r>
          </w:p>
          <w:p w14:paraId="1890C9B3">
            <w:pPr>
              <w:pStyle w:val="8"/>
              <w:rPr>
                <w:rFonts w:hint="eastAsia" w:ascii="仿宋_GB2312" w:hAnsi="仿宋_GB2312" w:eastAsia="仿宋_GB2312" w:cs="仿宋_GB2312"/>
                <w:b/>
                <w:bCs/>
                <w:szCs w:val="21"/>
                <w:highlight w:val="none"/>
                <w:lang w:val="en-US" w:eastAsia="zh-CN"/>
              </w:rPr>
            </w:pPr>
            <w:r>
              <w:rPr>
                <w:rFonts w:hint="eastAsia" w:ascii="仿宋_GB2312" w:hAnsi="仿宋_GB2312" w:eastAsia="仿宋_GB2312" w:cs="仿宋_GB2312"/>
                <w:b/>
                <w:bCs/>
                <w:szCs w:val="21"/>
                <w:highlight w:val="none"/>
                <w:lang w:val="en-US" w:eastAsia="zh-CN"/>
              </w:rPr>
              <w:t>电子备份投标文件邮寄地址：沈阳市沈河区青年大街51-1号商会总部大厦A座1013，收件人：陈玉凤 电话：024-31295429 ；</w:t>
            </w:r>
          </w:p>
          <w:p w14:paraId="03ACF894">
            <w:pPr>
              <w:adjustRightInd w:val="0"/>
              <w:snapToGrid w:val="0"/>
              <w:ind w:firstLine="420" w:firstLineChars="200"/>
              <w:rPr>
                <w:rFonts w:ascii="仿宋_GB2312" w:hAnsi="仿宋_GB2312" w:eastAsia="仿宋_GB2312" w:cs="仿宋_GB2312"/>
                <w:b/>
                <w:bCs/>
                <w:szCs w:val="21"/>
                <w:highlight w:val="none"/>
              </w:rPr>
            </w:pPr>
            <w:r>
              <w:rPr>
                <w:rFonts w:hint="eastAsia" w:ascii="仿宋_GB2312" w:hAnsi="仿宋_GB2312" w:eastAsia="仿宋_GB2312" w:cs="仿宋_GB2312"/>
                <w:b/>
                <w:bCs/>
                <w:kern w:val="0"/>
                <w:szCs w:val="21"/>
                <w:highlight w:val="none"/>
              </w:rPr>
              <w:t>※以邮寄方式送达的电子备份投标文件，视为投标人已默认文件密封完整，因邮寄文件产生一切后果由投标人自行承担。</w:t>
            </w:r>
          </w:p>
          <w:p w14:paraId="029834CD">
            <w:pPr>
              <w:pStyle w:val="8"/>
              <w:ind w:firstLine="420" w:firstLineChars="200"/>
              <w:rPr>
                <w:rFonts w:hint="eastAsia" w:ascii="仿宋_GB2312" w:hAnsi="仿宋_GB2312" w:eastAsia="仿宋_GB2312" w:cs="仿宋_GB2312"/>
                <w:b/>
                <w:bCs/>
                <w:szCs w:val="21"/>
                <w:highlight w:val="none"/>
                <w:lang w:val="en-US" w:eastAsia="zh-CN"/>
              </w:rPr>
            </w:pPr>
          </w:p>
          <w:p w14:paraId="7A3DB3B5">
            <w:pPr>
              <w:pStyle w:val="8"/>
              <w:ind w:firstLine="420" w:firstLineChars="200"/>
              <w:rPr>
                <w:rFonts w:hint="eastAsia" w:ascii="仿宋_GB2312" w:hAnsi="仿宋_GB2312" w:eastAsia="仿宋_GB2312" w:cs="仿宋_GB2312"/>
                <w:b/>
                <w:bCs/>
                <w:szCs w:val="21"/>
                <w:highlight w:val="none"/>
                <w:lang w:val="en-US" w:eastAsia="zh-CN"/>
              </w:rPr>
            </w:pPr>
            <w:r>
              <w:rPr>
                <w:rFonts w:hint="eastAsia" w:ascii="仿宋_GB2312" w:hAnsi="仿宋_GB2312" w:eastAsia="仿宋_GB2312" w:cs="仿宋_GB2312"/>
                <w:b/>
                <w:bCs/>
                <w:szCs w:val="21"/>
                <w:highlight w:val="none"/>
                <w:lang w:val="en-US" w:eastAsia="zh-CN"/>
              </w:rPr>
              <w:t>2、采购人和采购代理机构对于启用的备份投标文件，由采购人、采购代理机构和投标人共同签字确认，投标人未到场的，通过视频方式进行确认，并将备份投标文件与采购档案一并存档；对于未启用的电子备份投标文件，自动失效，投标人可在中标（成交）通知书发出前到采购代理机构领取备份文件或联系代理机构邮寄（邮寄方式为顺丰到付），逾期5个工作日未领取的，视为不予领取，代理机构将自行处理。</w:t>
            </w:r>
          </w:p>
        </w:tc>
      </w:tr>
      <w:tr w14:paraId="12018CC5">
        <w:tblPrEx>
          <w:tblCellMar>
            <w:top w:w="0" w:type="dxa"/>
            <w:left w:w="108" w:type="dxa"/>
            <w:bottom w:w="0" w:type="dxa"/>
            <w:right w:w="108" w:type="dxa"/>
          </w:tblCellMar>
        </w:tblPrEx>
        <w:trPr>
          <w:trHeight w:val="581" w:hRule="atLeast"/>
        </w:trPr>
        <w:tc>
          <w:tcPr>
            <w:tcW w:w="976" w:type="dxa"/>
            <w:tcBorders>
              <w:top w:val="single" w:color="auto" w:sz="4" w:space="0"/>
              <w:left w:val="single" w:color="auto" w:sz="8" w:space="0"/>
              <w:bottom w:val="single" w:color="auto" w:sz="8" w:space="0"/>
              <w:right w:val="single" w:color="auto" w:sz="4" w:space="0"/>
            </w:tcBorders>
            <w:noWrap w:val="0"/>
            <w:vAlign w:val="center"/>
          </w:tcPr>
          <w:p w14:paraId="66E7263C">
            <w:pPr>
              <w:widowControl/>
              <w:jc w:val="center"/>
              <w:rPr>
                <w:rFonts w:hint="eastAsia" w:ascii="仿宋_GB2312" w:hAnsi="仿宋_GB2312" w:eastAsia="仿宋_GB2312" w:cs="仿宋_GB2312"/>
                <w:kern w:val="0"/>
                <w:szCs w:val="21"/>
                <w:highlight w:val="none"/>
              </w:rPr>
            </w:pPr>
          </w:p>
        </w:tc>
        <w:tc>
          <w:tcPr>
            <w:tcW w:w="1499" w:type="dxa"/>
            <w:tcBorders>
              <w:top w:val="single" w:color="auto" w:sz="4" w:space="0"/>
              <w:left w:val="single" w:color="auto" w:sz="4" w:space="0"/>
              <w:bottom w:val="single" w:color="auto" w:sz="8" w:space="0"/>
              <w:right w:val="single" w:color="auto" w:sz="8" w:space="0"/>
            </w:tcBorders>
            <w:noWrap w:val="0"/>
            <w:vAlign w:val="center"/>
          </w:tcPr>
          <w:p w14:paraId="43C7CAE4">
            <w:pPr>
              <w:widowControl/>
              <w:jc w:val="center"/>
              <w:rPr>
                <w:rFonts w:ascii="仿宋" w:hAnsi="仿宋" w:cs="仿宋"/>
                <w:b/>
                <w:bCs/>
                <w:kern w:val="0"/>
                <w:szCs w:val="21"/>
                <w:highlight w:val="none"/>
              </w:rPr>
            </w:pPr>
            <w:r>
              <w:rPr>
                <w:rFonts w:hint="eastAsia" w:ascii="仿宋" w:hAnsi="仿宋" w:cs="仿宋"/>
                <w:b/>
                <w:bCs/>
                <w:kern w:val="0"/>
                <w:szCs w:val="21"/>
                <w:highlight w:val="none"/>
              </w:rPr>
              <w:t>中标人</w:t>
            </w:r>
          </w:p>
          <w:p w14:paraId="71F2749B">
            <w:pPr>
              <w:widowControl/>
              <w:jc w:val="center"/>
              <w:rPr>
                <w:rFonts w:hint="eastAsia" w:ascii="仿宋_GB2312" w:hAnsi="仿宋_GB2312" w:eastAsia="仿宋_GB2312" w:cs="仿宋_GB2312"/>
                <w:b/>
                <w:bCs/>
                <w:kern w:val="0"/>
                <w:szCs w:val="21"/>
                <w:highlight w:val="none"/>
              </w:rPr>
            </w:pPr>
            <w:r>
              <w:rPr>
                <w:rFonts w:hint="eastAsia" w:ascii="仿宋" w:hAnsi="仿宋" w:cs="仿宋"/>
                <w:b/>
                <w:bCs/>
                <w:kern w:val="0"/>
                <w:szCs w:val="21"/>
                <w:highlight w:val="none"/>
              </w:rPr>
              <w:t>须知事项</w:t>
            </w:r>
          </w:p>
        </w:tc>
        <w:tc>
          <w:tcPr>
            <w:tcW w:w="6285" w:type="dxa"/>
            <w:tcBorders>
              <w:top w:val="single" w:color="auto" w:sz="4" w:space="0"/>
              <w:left w:val="nil"/>
              <w:bottom w:val="single" w:color="auto" w:sz="8" w:space="0"/>
              <w:right w:val="single" w:color="auto" w:sz="8" w:space="0"/>
            </w:tcBorders>
            <w:noWrap w:val="0"/>
            <w:vAlign w:val="center"/>
          </w:tcPr>
          <w:p w14:paraId="62AD42B0">
            <w:pPr>
              <w:pStyle w:val="33"/>
              <w:ind w:firstLine="420" w:firstLineChars="200"/>
              <w:rPr>
                <w:rFonts w:hint="eastAsia" w:ascii="仿宋_GB2312" w:hAnsi="仿宋_GB2312" w:cs="仿宋_GB2312"/>
                <w:b/>
                <w:bCs/>
                <w:szCs w:val="21"/>
                <w:highlight w:val="none"/>
              </w:rPr>
            </w:pPr>
            <w:r>
              <w:rPr>
                <w:rFonts w:hint="eastAsia" w:ascii="仿宋" w:hAnsi="仿宋" w:eastAsia="仿宋" w:cs="仿宋"/>
                <w:b/>
                <w:bCs/>
                <w:kern w:val="0"/>
                <w:szCs w:val="21"/>
                <w:highlight w:val="none"/>
              </w:rPr>
              <w:t>中标人在与采购人签订完合同后，须在合同签订日期的2个工作日内向采购代理机构提供采购合同原件一份（递交至采购代理机构）及合同原件扫描件（PDF格式，发送至采购代理机构电子邮箱），邮箱地址：syhnzbdl@163.com</w:t>
            </w:r>
          </w:p>
        </w:tc>
      </w:tr>
    </w:tbl>
    <w:p w14:paraId="587B3485">
      <w:pPr>
        <w:rPr>
          <w:rFonts w:ascii="仿宋_GB2312" w:hAnsi="仿宋_GB2312" w:eastAsia="仿宋_GB2312" w:cs="仿宋_GB2312"/>
          <w:highlight w:val="none"/>
        </w:rPr>
      </w:pPr>
      <w:r>
        <w:rPr>
          <w:rFonts w:hint="eastAsia" w:ascii="仿宋_GB2312" w:hAnsi="仿宋_GB2312" w:eastAsia="仿宋_GB2312" w:cs="仿宋_GB2312"/>
          <w:highlight w:val="none"/>
        </w:rPr>
        <w:t>注：表格中“</w:t>
      </w:r>
      <w:r>
        <w:rPr>
          <w:rFonts w:hint="eastAsia" w:ascii="仿宋_GB2312" w:hAnsi="仿宋_GB2312" w:eastAsia="仿宋_GB2312" w:cs="仿宋_GB2312"/>
          <w:highlight w:val="none"/>
        </w:rPr>
        <w:sym w:font="Wingdings 2" w:char="0052"/>
      </w:r>
      <w:r>
        <w:rPr>
          <w:rFonts w:hint="eastAsia" w:ascii="仿宋_GB2312" w:hAnsi="仿宋_GB2312" w:eastAsia="仿宋_GB2312" w:cs="仿宋_GB2312"/>
          <w:highlight w:val="none"/>
        </w:rPr>
        <w:t>”项或“■”项为被选中项。</w:t>
      </w:r>
    </w:p>
    <w:p w14:paraId="5651B5A0">
      <w:pPr>
        <w:pStyle w:val="3"/>
        <w:adjustRightInd w:val="0"/>
        <w:snapToGrid w:val="0"/>
        <w:spacing w:before="0" w:after="0" w:line="360" w:lineRule="auto"/>
        <w:rPr>
          <w:rFonts w:ascii="仿宋_GB2312" w:hAnsi="仿宋_GB2312" w:eastAsia="仿宋_GB2312" w:cs="仿宋_GB2312"/>
          <w:sz w:val="32"/>
          <w:szCs w:val="36"/>
          <w:highlight w:val="none"/>
        </w:rPr>
      </w:pPr>
      <w:r>
        <w:rPr>
          <w:rFonts w:hint="eastAsia" w:ascii="仿宋_GB2312" w:hAnsi="仿宋_GB2312" w:eastAsia="仿宋_GB2312" w:cs="仿宋_GB2312"/>
          <w:sz w:val="21"/>
          <w:szCs w:val="21"/>
          <w:highlight w:val="none"/>
        </w:rPr>
        <w:br w:type="page"/>
      </w:r>
      <w:bookmarkStart w:id="38" w:name="_Toc30384_WPSOffice_Level2"/>
      <w:r>
        <w:rPr>
          <w:rFonts w:hint="eastAsia" w:ascii="仿宋_GB2312" w:hAnsi="仿宋_GB2312" w:eastAsia="仿宋_GB2312" w:cs="仿宋_GB2312"/>
          <w:sz w:val="32"/>
          <w:szCs w:val="36"/>
          <w:highlight w:val="none"/>
        </w:rPr>
        <w:t>二 总则</w:t>
      </w:r>
      <w:bookmarkEnd w:id="38"/>
    </w:p>
    <w:p w14:paraId="2ED4ACAF">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1.采购人、采购代理机构及投标人</w:t>
      </w:r>
    </w:p>
    <w:p w14:paraId="2E39219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1.1采购人：是指依法进行政府采购的国家机关、事业单位、团体组织。本项目采购人见投标人须知表1.1条。</w:t>
      </w:r>
    </w:p>
    <w:p w14:paraId="76A5FCD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1.2采购代理机构：是指集中采购机构或从事采购代理业务的社会中介机构，本项目的采购代理机构见投标人须知表1.2条。</w:t>
      </w:r>
    </w:p>
    <w:p w14:paraId="2EFE674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★1.3投标人：是指向采购人提供货物、工程或者服务的法人、非法人组织或者自然人。本项目的投标人及其投标服务须满足以下条件：</w:t>
      </w:r>
    </w:p>
    <w:p w14:paraId="490CB9A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1.3.1在中华人民共和国境内注册，能够独立承担民事责任，有生产或供应能力的本国供应商。</w:t>
      </w:r>
    </w:p>
    <w:p w14:paraId="12A2A15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1.3.2符合《中华人民共和国政府采购法》第二十二条关于供应商条件的规定，遵守本项目采购人本级和上级财政部门关于政府采购的有关规定。</w:t>
      </w:r>
    </w:p>
    <w:p w14:paraId="500EE06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1.3.3以采购代理机构认可的方式获得了本项目的招标文件。</w:t>
      </w:r>
    </w:p>
    <w:p w14:paraId="7CAB350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1.3.4符合投标人须知表1.3.4条中规定的资格条件。</w:t>
      </w:r>
    </w:p>
    <w:p w14:paraId="336C551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1.3.5若投标人须知表1.3.5条中写明专门面向中小企业采购的，如投标人为非中小企业，其投标将被认定为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751D2B8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6617060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★1.4如投标人须知表1.4条中允许联合体投标，对联合体规定如下：</w:t>
      </w:r>
    </w:p>
    <w:p w14:paraId="3B4C430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1.4.1两个以上供应商可以组成一个投标联合体，以一个投标人的身份投标。</w:t>
      </w:r>
    </w:p>
    <w:p w14:paraId="0E1C434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1.4.2联合体各方均应符合《中华人民共和国政府采购法》第二十二条规定的条件。</w:t>
      </w:r>
    </w:p>
    <w:p w14:paraId="2009C6A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1.4.3采购人根据采购项目对投标人的特殊要求，联合体中至少应当有一方符合相关规定。</w:t>
      </w:r>
    </w:p>
    <w:p w14:paraId="60A3A3B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1.4.4联合体各方应签订共同投标协议，明确约定联合体各方承担的工作和相应的责任，并明确约定合同金额比例。</w:t>
      </w:r>
    </w:p>
    <w:p w14:paraId="74A78BA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1.4.5大中型企业与小微企业组成联合体共同参加投标，联合协议中应约定小微企业的合同份额占到合同总金额的比例。</w:t>
      </w:r>
    </w:p>
    <w:p w14:paraId="0D3E29B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1.4.6联合体中有同类资质的供应商按照联合体分工承担相同工作的，按照较低的资质等级确定联合体的资质等级。</w:t>
      </w:r>
    </w:p>
    <w:p w14:paraId="289A630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C40B46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（1）两个以上的自然人、法人或者其他组织可以组成一个联合体，以一个投标人的身份共同参加政府采购活动。</w:t>
      </w:r>
    </w:p>
    <w:p w14:paraId="4B71206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（2）联合体中标的，联合体各方应共同与采购人签订采购合同，就采购合同约定的事项对采购人承担连带责任。</w:t>
      </w:r>
    </w:p>
    <w:p w14:paraId="4105162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1.4.8对联合体投标的其他资格要求见投标人须知表1.4.8条。</w:t>
      </w:r>
    </w:p>
    <w:p w14:paraId="22AC2FF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★1.5单位负责人为同一人或者存在直接控股、管理关系的不同供应商，其相关投标将被认定为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7CB1D6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61296B3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66D8817D">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2.资金来源</w:t>
      </w:r>
    </w:p>
    <w:p w14:paraId="2AE6DC2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2.1本项目的采购人已获得足以支付本次招标后所签订的合同项下的资金（包括财政性资金和本项目采购中无法与财政性资金分割的非财政性资金）。</w:t>
      </w:r>
    </w:p>
    <w:p w14:paraId="0F68CFE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★2.2项目预算金额和分项或分包最高限价见投标人须知表2.2条。</w:t>
      </w:r>
    </w:p>
    <w:p w14:paraId="54BAEEC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★2.3投标人报价超过招标文件规定的预算金额或者分项、分包最高限价的，其投标将被认定为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6FFB6FC7">
      <w:pPr>
        <w:adjustRightInd w:val="0"/>
        <w:snapToGrid w:val="0"/>
        <w:spacing w:line="360" w:lineRule="auto"/>
        <w:rPr>
          <w:rFonts w:ascii="仿宋_GB2312" w:hAnsi="仿宋_GB2312" w:eastAsia="仿宋_GB2312" w:cs="仿宋_GB2312"/>
          <w:b/>
          <w:bCs/>
          <w:szCs w:val="21"/>
          <w:highlight w:val="none"/>
        </w:rPr>
      </w:pPr>
      <w:bookmarkStart w:id="39" w:name="_Toc266951048"/>
      <w:r>
        <w:rPr>
          <w:rFonts w:hint="eastAsia" w:ascii="仿宋_GB2312" w:hAnsi="仿宋_GB2312" w:eastAsia="仿宋_GB2312" w:cs="仿宋_GB2312"/>
          <w:b/>
          <w:bCs/>
          <w:szCs w:val="21"/>
          <w:highlight w:val="none"/>
        </w:rPr>
        <w:t>3.语言文字</w:t>
      </w:r>
      <w:bookmarkEnd w:id="39"/>
    </w:p>
    <w:p w14:paraId="52A4555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除专用术语外，与投标有关的语言均使用中文。必要时专用术语应附有中文注释。对不同文字文本投标文件的解释发生异议的，以中文文本为准。</w:t>
      </w:r>
    </w:p>
    <w:p w14:paraId="33E00861">
      <w:pPr>
        <w:adjustRightInd w:val="0"/>
        <w:snapToGrid w:val="0"/>
        <w:spacing w:line="360" w:lineRule="auto"/>
        <w:rPr>
          <w:rFonts w:ascii="仿宋_GB2312" w:hAnsi="仿宋_GB2312" w:eastAsia="仿宋_GB2312" w:cs="仿宋_GB2312"/>
          <w:b/>
          <w:bCs/>
          <w:szCs w:val="21"/>
          <w:highlight w:val="none"/>
        </w:rPr>
      </w:pPr>
      <w:bookmarkStart w:id="40" w:name="_1.8_计量单位"/>
      <w:bookmarkEnd w:id="40"/>
      <w:bookmarkStart w:id="41" w:name="_Toc266951049"/>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4.计量单位</w:t>
      </w:r>
      <w:bookmarkEnd w:id="41"/>
    </w:p>
    <w:p w14:paraId="714B175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除投标人须知表4条中有特殊要求外，投标文件中所使用的计量单位，应采用中华人民共和国法定计量单位。</w:t>
      </w:r>
    </w:p>
    <w:p w14:paraId="414BBCCD">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5.投标费用</w:t>
      </w:r>
    </w:p>
    <w:p w14:paraId="3BD5DC0D">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不论投标的结果如何，投标人应承担所有与投标有关的费用。</w:t>
      </w:r>
    </w:p>
    <w:p w14:paraId="03C6ACE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6.现场考察、开标前答疑会</w:t>
      </w:r>
    </w:p>
    <w:p w14:paraId="7128484C">
      <w:pPr>
        <w:adjustRightInd w:val="0"/>
        <w:snapToGrid w:val="0"/>
        <w:spacing w:line="360" w:lineRule="auto"/>
        <w:rPr>
          <w:rFonts w:ascii="仿宋_GB2312" w:hAnsi="仿宋_GB2312" w:eastAsia="仿宋_GB2312" w:cs="仿宋_GB2312"/>
          <w:kern w:val="0"/>
          <w:szCs w:val="21"/>
          <w:highlight w:val="none"/>
        </w:rPr>
      </w:pPr>
      <w:bookmarkStart w:id="42" w:name="_1.10_投标预备会"/>
      <w:bookmarkEnd w:id="42"/>
      <w:r>
        <w:rPr>
          <w:rFonts w:hint="eastAsia" w:ascii="仿宋_GB2312" w:hAnsi="仿宋_GB2312" w:eastAsia="仿宋_GB2312" w:cs="仿宋_GB2312"/>
          <w:kern w:val="0"/>
          <w:szCs w:val="21"/>
          <w:highlight w:val="none"/>
        </w:rPr>
        <w:t>6.1</w:t>
      </w:r>
      <w:r>
        <w:rPr>
          <w:highlight w:val="none"/>
        </w:rPr>
        <w:fldChar w:fldCharType="begin"/>
      </w:r>
      <w:r>
        <w:rPr>
          <w:highlight w:val="none"/>
        </w:rPr>
        <w:instrText xml:space="preserve"> HYPERLINK \l "_踏勘现场" </w:instrText>
      </w:r>
      <w:r>
        <w:rPr>
          <w:highlight w:val="none"/>
        </w:rPr>
        <w:fldChar w:fldCharType="separate"/>
      </w:r>
      <w:r>
        <w:rPr>
          <w:rFonts w:hint="eastAsia" w:ascii="仿宋_GB2312" w:hAnsi="仿宋_GB2312" w:eastAsia="仿宋_GB2312" w:cs="仿宋_GB2312"/>
          <w:kern w:val="0"/>
          <w:szCs w:val="21"/>
          <w:highlight w:val="none"/>
        </w:rPr>
        <w:t>投标人须知表</w:t>
      </w:r>
      <w:r>
        <w:rPr>
          <w:rFonts w:ascii="仿宋_GB2312" w:hAnsi="仿宋_GB2312" w:eastAsia="仿宋_GB2312" w:cs="仿宋_GB2312"/>
          <w:kern w:val="0"/>
          <w:szCs w:val="21"/>
          <w:highlight w:val="none"/>
        </w:rPr>
        <w:fldChar w:fldCharType="end"/>
      </w:r>
      <w:r>
        <w:rPr>
          <w:rFonts w:hint="eastAsia" w:ascii="仿宋_GB2312" w:hAnsi="仿宋_GB2312" w:eastAsia="仿宋_GB2312" w:cs="仿宋_GB2312"/>
          <w:kern w:val="0"/>
          <w:szCs w:val="21"/>
          <w:highlight w:val="none"/>
        </w:rPr>
        <w:t>6.1条规定组织现场考察或开标前答疑会的，采购人按规定的时间、地点组织投标人现场考察或开标前答疑会。</w:t>
      </w:r>
    </w:p>
    <w:p w14:paraId="3522895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6.2</w:t>
      </w:r>
      <w:r>
        <w:rPr>
          <w:rFonts w:hint="eastAsia" w:ascii="仿宋_GB2312" w:hAnsi="仿宋_GB2312" w:eastAsia="仿宋_GB2312" w:cs="仿宋_GB2312"/>
          <w:kern w:val="0"/>
          <w:szCs w:val="21"/>
          <w:highlight w:val="none"/>
        </w:rPr>
        <w:t>由于未参加现场考察或标前答疑而导致对项目实际情况不了解，影响技术文件编制、</w:t>
      </w:r>
      <w:r>
        <w:rPr>
          <w:highlight w:val="none"/>
        </w:rPr>
        <w:fldChar w:fldCharType="begin"/>
      </w:r>
      <w:r>
        <w:rPr>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highlight w:val="none"/>
        </w:rPr>
        <w:fldChar w:fldCharType="separate"/>
      </w:r>
      <w:r>
        <w:rPr>
          <w:rFonts w:hint="eastAsia" w:ascii="仿宋_GB2312" w:hAnsi="仿宋_GB2312" w:eastAsia="仿宋_GB2312" w:cs="仿宋_GB2312"/>
          <w:kern w:val="0"/>
          <w:szCs w:val="21"/>
          <w:highlight w:val="none"/>
        </w:rPr>
        <w:t>投标报价</w:t>
      </w:r>
      <w:r>
        <w:rPr>
          <w:rFonts w:ascii="仿宋_GB2312" w:hAnsi="仿宋_GB2312" w:eastAsia="仿宋_GB2312" w:cs="仿宋_GB2312"/>
          <w:kern w:val="0"/>
          <w:szCs w:val="21"/>
          <w:highlight w:val="none"/>
        </w:rPr>
        <w:fldChar w:fldCharType="end"/>
      </w:r>
      <w:r>
        <w:rPr>
          <w:rFonts w:hint="eastAsia" w:ascii="仿宋_GB2312" w:hAnsi="仿宋_GB2312" w:eastAsia="仿宋_GB2312" w:cs="仿宋_GB2312"/>
          <w:kern w:val="0"/>
          <w:szCs w:val="21"/>
          <w:highlight w:val="none"/>
        </w:rPr>
        <w:t>准确性、综合因素响应不全面等问题的，由投标人自行承担相应后果。</w:t>
      </w:r>
    </w:p>
    <w:p w14:paraId="6F107D4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6.3现场考察及参加标前答疑会所发生的费用及一切责任由投标人自行承担。</w:t>
      </w:r>
    </w:p>
    <w:p w14:paraId="6E7125E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7.适用法律</w:t>
      </w:r>
    </w:p>
    <w:p w14:paraId="1B02890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D296275">
      <w:pPr>
        <w:pStyle w:val="3"/>
        <w:rPr>
          <w:rFonts w:ascii="仿宋_GB2312" w:hAnsi="仿宋_GB2312" w:eastAsia="仿宋_GB2312" w:cs="仿宋_GB2312"/>
          <w:sz w:val="32"/>
          <w:szCs w:val="28"/>
          <w:highlight w:val="none"/>
        </w:rPr>
      </w:pPr>
      <w:bookmarkStart w:id="43" w:name="_Toc10106_WPSOffice_Level2"/>
      <w:r>
        <w:rPr>
          <w:rFonts w:hint="eastAsia" w:ascii="仿宋_GB2312" w:hAnsi="仿宋_GB2312" w:eastAsia="仿宋_GB2312" w:cs="仿宋_GB2312"/>
          <w:sz w:val="32"/>
          <w:szCs w:val="28"/>
          <w:highlight w:val="none"/>
        </w:rPr>
        <w:t>三 招标文件</w:t>
      </w:r>
      <w:bookmarkEnd w:id="43"/>
    </w:p>
    <w:p w14:paraId="308D0D22">
      <w:pPr>
        <w:tabs>
          <w:tab w:val="left" w:pos="312"/>
        </w:tabs>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8.招标文件构成</w:t>
      </w:r>
    </w:p>
    <w:p w14:paraId="144084F6">
      <w:pPr>
        <w:tabs>
          <w:tab w:val="left" w:pos="312"/>
        </w:tabs>
        <w:adjustRightInd w:val="0"/>
        <w:snapToGrid w:val="0"/>
        <w:spacing w:line="360" w:lineRule="auto"/>
        <w:rPr>
          <w:rFonts w:ascii="仿宋_GB2312" w:hAnsi="仿宋_GB2312" w:eastAsia="仿宋_GB2312" w:cs="仿宋_GB2312"/>
          <w:highlight w:val="none"/>
        </w:rPr>
      </w:pPr>
      <w:r>
        <w:rPr>
          <w:rFonts w:hint="eastAsia" w:ascii="仿宋_GB2312" w:hAnsi="仿宋_GB2312" w:eastAsia="仿宋_GB2312" w:cs="仿宋_GB2312"/>
          <w:szCs w:val="21"/>
          <w:highlight w:val="none"/>
        </w:rPr>
        <w:t>8.1招标</w:t>
      </w:r>
      <w:r>
        <w:rPr>
          <w:rFonts w:hint="eastAsia" w:ascii="仿宋_GB2312" w:hAnsi="仿宋_GB2312" w:eastAsia="仿宋_GB2312" w:cs="仿宋_GB2312"/>
          <w:highlight w:val="none"/>
        </w:rPr>
        <w:t>文件内容如下:</w:t>
      </w:r>
    </w:p>
    <w:p w14:paraId="13C8649F">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kern w:val="0"/>
          <w:szCs w:val="21"/>
          <w:highlight w:val="none"/>
        </w:rPr>
        <w:t>招标</w:t>
      </w:r>
      <w:r>
        <w:rPr>
          <w:rFonts w:hint="eastAsia" w:ascii="仿宋_GB2312" w:hAnsi="仿宋_GB2312" w:eastAsia="仿宋_GB2312" w:cs="仿宋_GB2312"/>
          <w:highlight w:val="none"/>
        </w:rPr>
        <w:t>公告</w:t>
      </w:r>
    </w:p>
    <w:p w14:paraId="7F9BE46C">
      <w:pPr>
        <w:numPr>
          <w:ilvl w:val="0"/>
          <w:numId w:val="2"/>
        </w:numPr>
        <w:adjustRightInd w:val="0"/>
        <w:snapToGrid w:val="0"/>
        <w:spacing w:line="360" w:lineRule="auto"/>
        <w:ind w:firstLine="420" w:firstLineChars="200"/>
        <w:rPr>
          <w:rFonts w:ascii="仿宋_GB2312" w:hAnsi="仿宋_GB2312" w:eastAsia="仿宋_GB2312" w:cs="仿宋_GB2312"/>
          <w:highlight w:val="none"/>
        </w:rPr>
      </w:pPr>
      <w:bookmarkStart w:id="44" w:name="_Toc188_WPSOffice_Level2"/>
      <w:bookmarkStart w:id="45" w:name="_Toc25935_WPSOffice_Level2"/>
      <w:bookmarkStart w:id="46" w:name="_Toc4961_WPSOffice_Level2"/>
      <w:bookmarkStart w:id="47" w:name="_Toc24604_WPSOffice_Level2"/>
      <w:r>
        <w:rPr>
          <w:rFonts w:hint="eastAsia" w:ascii="仿宋_GB2312" w:hAnsi="仿宋_GB2312" w:eastAsia="仿宋_GB2312" w:cs="仿宋_GB2312"/>
          <w:highlight w:val="none"/>
        </w:rPr>
        <w:t>投标人须知</w:t>
      </w:r>
      <w:bookmarkEnd w:id="44"/>
      <w:bookmarkEnd w:id="45"/>
      <w:bookmarkEnd w:id="46"/>
      <w:bookmarkEnd w:id="47"/>
    </w:p>
    <w:p w14:paraId="7762E7AD">
      <w:pPr>
        <w:adjustRightInd w:val="0"/>
        <w:snapToGrid w:val="0"/>
        <w:spacing w:line="360" w:lineRule="auto"/>
        <w:ind w:firstLine="420" w:firstLineChars="200"/>
        <w:rPr>
          <w:rFonts w:ascii="仿宋_GB2312" w:hAnsi="仿宋_GB2312" w:eastAsia="仿宋_GB2312" w:cs="仿宋_GB2312"/>
          <w:highlight w:val="none"/>
        </w:rPr>
      </w:pPr>
      <w:bookmarkStart w:id="48" w:name="_Toc32235_WPSOffice_Level2"/>
      <w:bookmarkStart w:id="49" w:name="_Toc13276_WPSOffice_Level2"/>
      <w:bookmarkStart w:id="50" w:name="_Toc2443_WPSOffice_Level2"/>
      <w:bookmarkStart w:id="51" w:name="_Toc31424_WPSOffice_Level2"/>
      <w:r>
        <w:rPr>
          <w:rFonts w:hint="eastAsia" w:ascii="仿宋_GB2312" w:hAnsi="仿宋_GB2312" w:eastAsia="仿宋_GB2312" w:cs="仿宋_GB2312"/>
          <w:highlight w:val="none"/>
        </w:rPr>
        <w:t>第二章 投标文件内容及格式</w:t>
      </w:r>
      <w:bookmarkEnd w:id="48"/>
      <w:bookmarkEnd w:id="49"/>
      <w:bookmarkEnd w:id="50"/>
      <w:bookmarkEnd w:id="51"/>
    </w:p>
    <w:p w14:paraId="4B034636">
      <w:pPr>
        <w:adjustRightInd w:val="0"/>
        <w:snapToGrid w:val="0"/>
        <w:spacing w:line="360" w:lineRule="auto"/>
        <w:ind w:firstLine="420" w:firstLineChars="200"/>
        <w:rPr>
          <w:rFonts w:ascii="仿宋_GB2312" w:hAnsi="仿宋_GB2312" w:eastAsia="仿宋_GB2312" w:cs="仿宋_GB2312"/>
          <w:highlight w:val="none"/>
        </w:rPr>
      </w:pPr>
      <w:bookmarkStart w:id="52" w:name="_Toc7005_WPSOffice_Level2"/>
      <w:bookmarkStart w:id="53" w:name="_Toc24836_WPSOffice_Level2"/>
      <w:bookmarkStart w:id="54" w:name="_Toc16269_WPSOffice_Level2"/>
      <w:bookmarkStart w:id="55" w:name="_Toc4416_WPSOffice_Level2"/>
      <w:r>
        <w:rPr>
          <w:rFonts w:hint="eastAsia" w:ascii="仿宋_GB2312" w:hAnsi="仿宋_GB2312" w:eastAsia="仿宋_GB2312" w:cs="仿宋_GB2312"/>
          <w:highlight w:val="none"/>
        </w:rPr>
        <w:t>第三章 服务需求</w:t>
      </w:r>
      <w:bookmarkEnd w:id="52"/>
      <w:bookmarkEnd w:id="53"/>
      <w:bookmarkEnd w:id="54"/>
      <w:bookmarkEnd w:id="55"/>
    </w:p>
    <w:p w14:paraId="2EF45B2A">
      <w:pPr>
        <w:adjustRightInd w:val="0"/>
        <w:snapToGrid w:val="0"/>
        <w:spacing w:line="360" w:lineRule="auto"/>
        <w:ind w:firstLine="420" w:firstLineChars="200"/>
        <w:rPr>
          <w:rFonts w:ascii="仿宋_GB2312" w:hAnsi="仿宋_GB2312" w:eastAsia="仿宋_GB2312" w:cs="仿宋_GB2312"/>
          <w:highlight w:val="none"/>
        </w:rPr>
      </w:pPr>
      <w:bookmarkStart w:id="56" w:name="_Toc23459_WPSOffice_Level2"/>
      <w:bookmarkStart w:id="57" w:name="_Toc16119_WPSOffice_Level2"/>
      <w:bookmarkStart w:id="58" w:name="_Toc25382_WPSOffice_Level2"/>
      <w:bookmarkStart w:id="59" w:name="_Toc16294_WPSOffice_Level2"/>
      <w:r>
        <w:rPr>
          <w:rFonts w:hint="eastAsia" w:ascii="仿宋_GB2312" w:hAnsi="仿宋_GB2312" w:eastAsia="仿宋_GB2312" w:cs="仿宋_GB2312"/>
          <w:highlight w:val="none"/>
        </w:rPr>
        <w:t>第四章 评标方法</w:t>
      </w:r>
      <w:bookmarkEnd w:id="56"/>
      <w:bookmarkEnd w:id="57"/>
      <w:bookmarkEnd w:id="58"/>
      <w:bookmarkEnd w:id="59"/>
    </w:p>
    <w:p w14:paraId="3A34D353">
      <w:pPr>
        <w:adjustRightInd w:val="0"/>
        <w:snapToGrid w:val="0"/>
        <w:spacing w:line="360" w:lineRule="auto"/>
        <w:ind w:firstLine="420" w:firstLineChars="200"/>
        <w:rPr>
          <w:rFonts w:ascii="仿宋_GB2312" w:hAnsi="仿宋_GB2312" w:eastAsia="仿宋_GB2312" w:cs="仿宋_GB2312"/>
          <w:highlight w:val="none"/>
        </w:rPr>
      </w:pPr>
      <w:bookmarkStart w:id="60" w:name="_Toc9629_WPSOffice_Level2"/>
      <w:bookmarkStart w:id="61" w:name="_Toc17794_WPSOffice_Level2"/>
      <w:bookmarkStart w:id="62" w:name="_Toc16368_WPSOffice_Level2"/>
      <w:bookmarkStart w:id="63" w:name="_Toc28106_WPSOffice_Level2"/>
      <w:r>
        <w:rPr>
          <w:rFonts w:hint="eastAsia" w:ascii="仿宋_GB2312" w:hAnsi="仿宋_GB2312" w:eastAsia="仿宋_GB2312" w:cs="仿宋_GB2312"/>
          <w:highlight w:val="none"/>
        </w:rPr>
        <w:t>第五章 政府采购合同条款及格式</w:t>
      </w:r>
      <w:bookmarkEnd w:id="60"/>
      <w:bookmarkEnd w:id="61"/>
      <w:bookmarkEnd w:id="62"/>
      <w:bookmarkEnd w:id="63"/>
    </w:p>
    <w:p w14:paraId="5B09AFE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6ED2731">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9.招标文件的澄清与修改</w:t>
      </w:r>
    </w:p>
    <w:p w14:paraId="0B6005D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9.1采购人或者采购代理机构可以对已发出的招标文件进行澄清或者修改。澄清或者修改的内容可能影响投标文件编制的，应当在投标截止时间至少15日前，在原公告发布媒体上发布变更公告；不足15日的，采购人或者采购代理机构应当顺延提交投标文件的截止时间。</w:t>
      </w:r>
    </w:p>
    <w:p w14:paraId="1E6CC65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9.2澄清或者修改的内容为招标文件的组成部分，对所有招标文件的收受人具有约束力。</w:t>
      </w:r>
    </w:p>
    <w:p w14:paraId="449540ED">
      <w:pPr>
        <w:pStyle w:val="3"/>
        <w:rPr>
          <w:rFonts w:ascii="仿宋_GB2312" w:hAnsi="仿宋_GB2312" w:eastAsia="仿宋_GB2312" w:cs="仿宋_GB2312"/>
          <w:sz w:val="32"/>
          <w:szCs w:val="28"/>
          <w:highlight w:val="none"/>
        </w:rPr>
      </w:pPr>
      <w:bookmarkStart w:id="64" w:name="_Toc7415_WPSOffice_Level2"/>
      <w:r>
        <w:rPr>
          <w:rFonts w:hint="eastAsia" w:ascii="仿宋_GB2312" w:hAnsi="仿宋_GB2312" w:eastAsia="仿宋_GB2312" w:cs="仿宋_GB2312"/>
          <w:sz w:val="32"/>
          <w:szCs w:val="28"/>
          <w:highlight w:val="none"/>
        </w:rPr>
        <w:t>四 投标文件的编制</w:t>
      </w:r>
      <w:bookmarkEnd w:id="64"/>
    </w:p>
    <w:p w14:paraId="2A79352A">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10.投标范围</w:t>
      </w:r>
    </w:p>
    <w:p w14:paraId="376C7C5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10.1项目有分包的，投标人可对招标文件其中某一个分包或几个分包进行投标。</w:t>
      </w:r>
    </w:p>
    <w:p w14:paraId="72E5D30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05F1CB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10.3无论招标文件第三章 服务需求中是否要求，投标人所投的服务均应符合国家强制性标准。</w:t>
      </w:r>
    </w:p>
    <w:p w14:paraId="0FDF5F69">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11.投标文件构成</w:t>
      </w:r>
    </w:p>
    <w:p w14:paraId="1E1D0C1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★11.1投标人应完整地按招标文件提供的投标文件格式及要求编写投标文件。投标文件应包括资格证明文件、符合性证明文件、其它材料三部分。其中证书类、合同类材料须提供</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。具体见第二章 投标文件内容及格式。</w:t>
      </w:r>
    </w:p>
    <w:p w14:paraId="32DBF8E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★11.2投标人应按招标文件提供的格式编写投标文件。招标文件提供标准格式的按标准格式填列，未提供标准格式的可自行拟定。</w:t>
      </w:r>
    </w:p>
    <w:p w14:paraId="674B153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11.3样品或演示要求详见投标人须知表11.3条。</w:t>
      </w:r>
    </w:p>
    <w:p w14:paraId="1DA5FF4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12.投标报价</w:t>
      </w:r>
    </w:p>
    <w:p w14:paraId="6094622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0F51A03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12.2投标人应按招标文件要求在相关表格中标明投标服务及伴随货物的单价和总价，并由法定代表人（非法人组织的负责人）或其委托代理人签署。</w:t>
      </w:r>
    </w:p>
    <w:p w14:paraId="4DD71BA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highlight w:val="none"/>
        </w:rPr>
        <w:t>投标无效。</w:t>
      </w:r>
    </w:p>
    <w:p w14:paraId="61D86D9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12.4每种服务只能有一个投标报价。采购人不接受具有附加条件的报价。</w:t>
      </w:r>
    </w:p>
    <w:p w14:paraId="098E5B5A">
      <w:pPr>
        <w:adjustRightInd w:val="0"/>
        <w:snapToGrid w:val="0"/>
        <w:spacing w:line="360" w:lineRule="auto"/>
        <w:rPr>
          <w:rFonts w:ascii="仿宋_GB2312" w:hAnsi="仿宋_GB2312" w:eastAsia="仿宋_GB2312" w:cs="仿宋_GB2312"/>
          <w:szCs w:val="21"/>
          <w:highlight w:val="none"/>
        </w:rPr>
      </w:pPr>
      <w:bookmarkStart w:id="65" w:name="_Toc22507_WPSOffice_Level2"/>
      <w:bookmarkStart w:id="66" w:name="_Toc31973_WPSOffice_Level2"/>
      <w:r>
        <w:rPr>
          <w:rFonts w:hint="eastAsia" w:ascii="仿宋_GB2312" w:hAnsi="仿宋_GB2312" w:eastAsia="仿宋_GB2312" w:cs="仿宋_GB2312"/>
          <w:szCs w:val="21"/>
          <w:highlight w:val="none"/>
        </w:rPr>
        <w:t>12.5除非招标文件另有规定，报价原则上精确到小数点后两位。</w:t>
      </w:r>
      <w:bookmarkEnd w:id="65"/>
      <w:bookmarkEnd w:id="66"/>
    </w:p>
    <w:p w14:paraId="46D3A5D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★13.投标保证金</w:t>
      </w:r>
    </w:p>
    <w:p w14:paraId="333E28E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13.1投标人应提交投标人须知表13.1条中规定的投标保证金，并作为其投标的一部分。</w:t>
      </w:r>
    </w:p>
    <w:p w14:paraId="722D0787">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13.2投标保证金缴纳人、招标文件领取人、投标登记人和投标人必须为同一组织机构或联合体内不同成员单位，否则将视同未按招标文件规定交纳投标保证金。</w:t>
      </w:r>
    </w:p>
    <w:p w14:paraId="25034978">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13.3投标人存在下列情形的，投标保证金不予退还:</w:t>
      </w:r>
    </w:p>
    <w:p w14:paraId="3123E0DB">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（1）在投标有效期内，投标人撤销投标的;</w:t>
      </w:r>
    </w:p>
    <w:p w14:paraId="5A345E03">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（2）中标后不按本须知第34条的规定与采购人签订合同的;</w:t>
      </w:r>
    </w:p>
    <w:p w14:paraId="496BCFD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（3）中标后不按本须知第35条的规定提交履约保证金的;</w:t>
      </w:r>
    </w:p>
    <w:p w14:paraId="7D2427B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（4）存在其他违法违规行为的。</w:t>
      </w:r>
    </w:p>
    <w:p w14:paraId="78162DE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13.4联合体投标的，可以由联合体中的一方或者共同提交投标保证金。以一方名义提交投标保证金的，对联合体各方均具有约束力。</w:t>
      </w:r>
    </w:p>
    <w:p w14:paraId="4F19FE0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13.5投标保证金的退还</w:t>
      </w:r>
    </w:p>
    <w:p w14:paraId="55A416A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13.5.1中标人应在与采购人签订合同之日起5个工作日内，及时联系保证金收受机构办理投标保证金退还手续。</w:t>
      </w:r>
    </w:p>
    <w:p w14:paraId="06C8129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13.5.2未中标投标人的投标保证金将在中标通知书发出之日暨中标结果公告公布之日起5个工作日内退还。投标人应及时联系保证金收受机构办理退还投标保证金手续。</w:t>
      </w:r>
    </w:p>
    <w:p w14:paraId="1968E68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776F41B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13.5.4政府采购投标担保函不予退回。</w:t>
      </w:r>
    </w:p>
    <w:p w14:paraId="3F04B96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13.6因投标人自身原因导致无法及时退还的，采购人或采购代理机构将不承担相应责任。</w:t>
      </w:r>
    </w:p>
    <w:p w14:paraId="74A9756A">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14.证明投标标的的合格性和符合招标文件规定的技术文件</w:t>
      </w:r>
    </w:p>
    <w:p w14:paraId="00A4C57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14.1投标人应提交证明文件，证明其投标内容符合招标文件规定。该证明文件是投标文件的一部分。</w:t>
      </w:r>
    </w:p>
    <w:p w14:paraId="03479CB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14.2上条所述的证明文件，可以是文字资料、图纸和数据。</w:t>
      </w:r>
    </w:p>
    <w:p w14:paraId="68825721">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15.投标有效期</w:t>
      </w:r>
    </w:p>
    <w:p w14:paraId="50665D8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15.1投标应在投标人须知表15.1条中规定的投标有效期内保持有效。投标有效期不满足要求的投标，其投标将被认定为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1BE30FF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退还。上述要求和答复都应以书面形式提交。</w:t>
      </w:r>
    </w:p>
    <w:p w14:paraId="3FD580DC">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16.投标文件的签署及规定</w:t>
      </w:r>
    </w:p>
    <w:p w14:paraId="412E89DA">
      <w:pPr>
        <w:adjustRightInd w:val="0"/>
        <w:snapToGrid w:val="0"/>
        <w:spacing w:line="360" w:lineRule="auto"/>
        <w:ind w:firstLine="420" w:firstLineChars="200"/>
        <w:rPr>
          <w:rFonts w:ascii="仿宋_GB2312" w:hAnsi="仿宋_GB2312" w:eastAsia="仿宋_GB2312" w:cs="仿宋_GB2312"/>
          <w:strike/>
          <w:szCs w:val="21"/>
          <w:highlight w:val="none"/>
        </w:rPr>
      </w:pPr>
      <w:bookmarkStart w:id="67" w:name="_Toc27725_WPSOffice_Level2"/>
      <w:r>
        <w:rPr>
          <w:rFonts w:hint="eastAsia" w:ascii="仿宋_GB2312" w:hAnsi="仿宋_GB2312" w:eastAsia="仿宋_GB2312" w:cs="仿宋_GB2312"/>
          <w:szCs w:val="21"/>
          <w:highlight w:val="none"/>
        </w:rPr>
        <w:t>投标文件应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14:paraId="0A7E2D94">
      <w:pPr>
        <w:pStyle w:val="3"/>
        <w:rPr>
          <w:rFonts w:hint="eastAsia" w:ascii="仿宋_GB2312" w:hAnsi="仿宋_GB2312" w:eastAsia="仿宋_GB2312" w:cs="仿宋_GB2312"/>
          <w:sz w:val="32"/>
          <w:szCs w:val="28"/>
          <w:highlight w:val="none"/>
        </w:rPr>
      </w:pPr>
      <w:r>
        <w:rPr>
          <w:rFonts w:hint="eastAsia" w:ascii="仿宋_GB2312" w:hAnsi="仿宋_GB2312" w:eastAsia="仿宋_GB2312" w:cs="仿宋_GB2312"/>
          <w:sz w:val="32"/>
          <w:szCs w:val="28"/>
          <w:highlight w:val="none"/>
        </w:rPr>
        <w:t>五 投标文件的</w:t>
      </w:r>
      <w:bookmarkEnd w:id="67"/>
      <w:r>
        <w:rPr>
          <w:rFonts w:hint="eastAsia" w:ascii="仿宋_GB2312" w:hAnsi="仿宋_GB2312" w:eastAsia="仿宋_GB2312" w:cs="仿宋_GB2312"/>
          <w:sz w:val="32"/>
          <w:szCs w:val="28"/>
          <w:highlight w:val="none"/>
        </w:rPr>
        <w:t>递交</w:t>
      </w:r>
    </w:p>
    <w:p w14:paraId="087C624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★17.备份投标文件的密封和标记</w:t>
      </w:r>
    </w:p>
    <w:p w14:paraId="3876EE8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17.1投标人应将备份投标文件进行包封。</w:t>
      </w:r>
    </w:p>
    <w:p w14:paraId="7993927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17.2所有包装封皮上均应：</w:t>
      </w:r>
    </w:p>
    <w:p w14:paraId="21DA3A2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（1）注明项目名称、项目编号、包号、投标人名称。</w:t>
      </w:r>
    </w:p>
    <w:p w14:paraId="2276E7C6">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（2）加盖投标人单位公章。</w:t>
      </w:r>
    </w:p>
    <w:p w14:paraId="76DF6BC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17.3如果投标人未按上述要求密封，其备份投标文件将被</w:t>
      </w:r>
      <w:r>
        <w:rPr>
          <w:rFonts w:hint="eastAsia" w:ascii="仿宋_GB2312" w:hAnsi="仿宋_GB2312" w:eastAsia="仿宋_GB2312" w:cs="仿宋_GB2312"/>
          <w:b/>
          <w:bCs/>
          <w:szCs w:val="21"/>
          <w:highlight w:val="none"/>
        </w:rPr>
        <w:t>拒绝接收</w:t>
      </w:r>
      <w:r>
        <w:rPr>
          <w:rFonts w:hint="eastAsia" w:ascii="仿宋_GB2312" w:hAnsi="仿宋_GB2312" w:eastAsia="仿宋_GB2312" w:cs="仿宋_GB2312"/>
          <w:szCs w:val="21"/>
          <w:highlight w:val="none"/>
        </w:rPr>
        <w:t>。</w:t>
      </w:r>
    </w:p>
    <w:p w14:paraId="5B04C661">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18.投标截止</w:t>
      </w:r>
    </w:p>
    <w:p w14:paraId="1DAA3AEC">
      <w:pPr>
        <w:adjustRightInd w:val="0"/>
        <w:snapToGrid w:val="0"/>
        <w:spacing w:line="360" w:lineRule="auto"/>
        <w:rPr>
          <w:rFonts w:hint="eastAsia" w:ascii="仿宋_GB2312" w:hAnsi="仿宋_GB2312" w:eastAsia="仿宋_GB2312" w:cs="仿宋_GB2312"/>
          <w:b/>
          <w:bCs/>
          <w:szCs w:val="21"/>
          <w:highlight w:val="none"/>
        </w:rPr>
      </w:pPr>
      <w:bookmarkStart w:id="68" w:name="_Toc4544_WPSOffice_Level2"/>
      <w:r>
        <w:rPr>
          <w:rFonts w:hint="eastAsia" w:ascii="仿宋_GB2312" w:hAnsi="仿宋_GB2312" w:eastAsia="仿宋_GB2312" w:cs="仿宋_GB2312"/>
          <w:b/>
          <w:bCs/>
          <w:szCs w:val="21"/>
          <w:highlight w:val="none"/>
        </w:rPr>
        <w:t>18.1投标人应在投标人须知表18.1中规定的递交投标文件截止时间前，除在辽宁政府采购网上传电子投标文件外，还须提交备份投标文件到投标人须知表18.1款中规定的地点，并在电子投标文件和备份投标文件中均提供电子投标文件与备份投标文件内容、格式一致性承诺函。投标人未按招标文件要求提供一致性承诺函的，其投标将被认定为投标无效。投标人仅提交电子投标文件或备份投标文件的，投标无效。</w:t>
      </w:r>
    </w:p>
    <w:p w14:paraId="66C03AA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4B4E5925">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19.投标文件的接收、修改与撤回</w:t>
      </w:r>
    </w:p>
    <w:p w14:paraId="1BDB38A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19.1在投标截止时间后送达的备份投标文件，采购人和采购代理机构将</w:t>
      </w:r>
      <w:r>
        <w:rPr>
          <w:rFonts w:hint="eastAsia" w:ascii="仿宋_GB2312" w:hAnsi="仿宋_GB2312" w:eastAsia="仿宋_GB2312" w:cs="仿宋_GB2312"/>
          <w:b/>
          <w:bCs/>
          <w:szCs w:val="21"/>
          <w:highlight w:val="none"/>
        </w:rPr>
        <w:t>拒绝接收</w:t>
      </w:r>
      <w:r>
        <w:rPr>
          <w:rFonts w:hint="eastAsia" w:ascii="仿宋_GB2312" w:hAnsi="仿宋_GB2312" w:eastAsia="仿宋_GB2312" w:cs="仿宋_GB2312"/>
          <w:szCs w:val="21"/>
          <w:highlight w:val="none"/>
        </w:rPr>
        <w:t>。</w:t>
      </w:r>
    </w:p>
    <w:p w14:paraId="6E03EE4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19.2采购人或者采购代理机构收到备份投标文件后，应当如实记载备份投标文件的送达时间和密封情况。</w:t>
      </w:r>
    </w:p>
    <w:p w14:paraId="488B4368">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19.3递交投标文件以后，如果投标人要进行修改或撤回投标，须在投标截止时间前修改或撤回。</w:t>
      </w:r>
    </w:p>
    <w:p w14:paraId="6A958CD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19.4在投标截止时间之后，投标人不得对其投标文件做任何修改。</w:t>
      </w:r>
    </w:p>
    <w:p w14:paraId="6ED01E3B">
      <w:pPr>
        <w:pStyle w:val="3"/>
        <w:rPr>
          <w:rFonts w:ascii="仿宋_GB2312" w:hAnsi="仿宋_GB2312" w:eastAsia="仿宋_GB2312" w:cs="仿宋_GB2312"/>
          <w:sz w:val="32"/>
          <w:szCs w:val="28"/>
          <w:highlight w:val="none"/>
        </w:rPr>
      </w:pPr>
      <w:bookmarkStart w:id="69" w:name="_Toc988_WPSOffice_Level2"/>
      <w:r>
        <w:rPr>
          <w:rFonts w:hint="eastAsia" w:ascii="仿宋_GB2312" w:hAnsi="仿宋_GB2312" w:eastAsia="仿宋_GB2312" w:cs="仿宋_GB2312"/>
          <w:sz w:val="32"/>
          <w:szCs w:val="28"/>
          <w:highlight w:val="none"/>
        </w:rPr>
        <w:t>六 开标及评标</w:t>
      </w:r>
      <w:bookmarkEnd w:id="69"/>
    </w:p>
    <w:p w14:paraId="7DECA9B9">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20.开标</w:t>
      </w:r>
    </w:p>
    <w:p w14:paraId="3540FF2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20.1采购人和采购代理机构将按投标人须知表20.1款中规定的开标时间和地点组织公开开标并邀请所有投标人代表参加。</w:t>
      </w:r>
    </w:p>
    <w:p w14:paraId="10C8F4C9">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投标人不足3家的，不得开标。评标委员会成员不得参加开标活动。</w:t>
      </w:r>
    </w:p>
    <w:p w14:paraId="0AF3172C">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投标人在电子评审活动中出现以下情形的，应按如下规定进行处理：</w:t>
      </w:r>
    </w:p>
    <w:p w14:paraId="2103F59B">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（1）因投标人原因造成投标文件未解密的；</w:t>
      </w:r>
    </w:p>
    <w:p w14:paraId="47BEB5E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（2）因投标人自用设备原因造成的未在规定时间内解密、上传文件或投标报价等问题影响电子评审的；</w:t>
      </w:r>
    </w:p>
    <w:p w14:paraId="446DA5FD">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（3）因投标人原因未对文件校验造成信息缺失、文件内容或格式不正确以及备份文件不符合要求等问题影响评审的。</w:t>
      </w:r>
    </w:p>
    <w:p w14:paraId="44B7EA87">
      <w:pPr>
        <w:adjustRightInd w:val="0"/>
        <w:snapToGrid w:val="0"/>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出现前款（1）（2）情形的，视为放弃投标；出现前款（3）情形的，由投标人自行承担相应责任。</w:t>
      </w:r>
    </w:p>
    <w:p w14:paraId="3B1B14F8">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和采购代理机构对于启用的备份投标文件，由采购人、采购代理机构和投标人共同签字确认，投标人未到场的，通过视频方式进行确认，并将备份投标文件与采购档案一并存档；对于未启用的备份投标文件，自动失效，采购人或采购代理机构应在中标通知书发出前将未启用的密封备份投标文件退还投标人，并做好记录存档。</w:t>
      </w:r>
    </w:p>
    <w:p w14:paraId="43394AE9">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20.2开标时，由投标人或其推选的代表检查备份投标文件的密封情况并记录。</w:t>
      </w:r>
    </w:p>
    <w:p w14:paraId="6942B269">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采购人或采购代理机构当众宣读投标人名称、投标价格及招标文件规定的内容。对于投标人在投标截止时间前递交的投标声明，在开标时当众宣读，评标时有效。</w:t>
      </w:r>
    </w:p>
    <w:p w14:paraId="6B96ECEA">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未宣读的投标价格、价格折扣等实质内容，评标时不予承认。</w:t>
      </w:r>
    </w:p>
    <w:p w14:paraId="41C524BE">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20.3采购人或采购代理机构将对开标过程进行记录，由参加开标的各投标人代表和相关工作人员确认，并存档备查。投标人未参加开标或未确认的，视同认可开标结果。</w:t>
      </w:r>
    </w:p>
    <w:p w14:paraId="713ED13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20.4投标人代表对开标过程和开标记录有疑义，以及认为采购人、采购代理机构相关工作人员有需要回避的情形的，应当场提出询问或者回避申请。</w:t>
      </w:r>
    </w:p>
    <w:p w14:paraId="2304582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21.组建评标委员会</w:t>
      </w:r>
    </w:p>
    <w:p w14:paraId="1090516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按照《中华人民共和国政府采购法》、《中华人民共和国政府采购法实施条例》有关规定依法组建评标委员会，负责本项目评标工作。本项目评标委员会组成详见投标人须知表21条。</w:t>
      </w:r>
    </w:p>
    <w:p w14:paraId="61266E5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22.资格审查</w:t>
      </w:r>
    </w:p>
    <w:p w14:paraId="78237B0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22.1采购人或采购代理机构经办人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；通过资格审查的投标人不足3家的，不得评标。</w:t>
      </w:r>
    </w:p>
    <w:p w14:paraId="052A7F6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22.2采购人或采购代理机构经办人将在提交投标文件截止时间前一个工作日至资格性审查结束前的期间内查询投标人的信用记录。投标人存在不良信用记录的，其投标将被认定为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1E3A0A3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1927837F">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以联合体形式参加投标的，联合体任何成员存在以上不良信用记录的，联合体投标将被认定为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77A4039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22.2.2 查询及记录方式：采购人或采购代理机构经办人将查询网页打印并存档备查。投标人不良信用记录以采购人或采购代理机构查询结果为准。</w:t>
      </w:r>
    </w:p>
    <w:p w14:paraId="3F43711C">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在本招标文件规定的查询时间之后，网站信息发生的任何变更均不再作为评标依据。</w:t>
      </w:r>
    </w:p>
    <w:p w14:paraId="24B164A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投标人自行提供的与网站信息不一致的其他证明材料亦不作为资格审查依据。</w:t>
      </w:r>
    </w:p>
    <w:p w14:paraId="798FF4F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23.符合性审查</w:t>
      </w:r>
    </w:p>
    <w:p w14:paraId="68A9F2D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；通过符合性审查的投标人数量不足3家的，不得作进一步的比较和评价。</w:t>
      </w:r>
    </w:p>
    <w:p w14:paraId="6674809A">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24.投标文件的澄清</w:t>
      </w:r>
    </w:p>
    <w:p w14:paraId="3D3D4BC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6D8112F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24.2投标人的澄清、说明或补正将作为投标文件的一部分。</w:t>
      </w:r>
    </w:p>
    <w:p w14:paraId="5793A2F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24.3投标文件报价出现前后不一致的，按照下列规定修正：</w:t>
      </w:r>
    </w:p>
    <w:p w14:paraId="4CA9F03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（1）投标文件中开标一览表内容与投标文件中相应内容不一致的，以开标一览表为准；</w:t>
      </w:r>
    </w:p>
    <w:p w14:paraId="44FD456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（2）大写金额和小写金额不一致的，以大写金额为准；</w:t>
      </w:r>
    </w:p>
    <w:p w14:paraId="2CD5839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（3）单价金额小数点或者百分比有明显错位的，以开标一览表的总价为准，并修改单价；</w:t>
      </w:r>
    </w:p>
    <w:p w14:paraId="0BF0101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（4）总价金额与按单价汇总金额不一致的，以单价金额计算结果为准。</w:t>
      </w:r>
    </w:p>
    <w:p w14:paraId="69BA401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799DF35D">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24.4</w:t>
      </w:r>
      <w:r>
        <w:rPr>
          <w:rFonts w:hint="eastAsia" w:ascii="仿宋_GB2312" w:hAnsi="仿宋_GB2312" w:eastAsia="仿宋_GB2312" w:cs="仿宋_GB2312"/>
          <w:b/>
          <w:bCs/>
          <w:szCs w:val="21"/>
          <w:highlight w:val="none"/>
        </w:rPr>
        <w:t>评标委员会认为</w:t>
      </w:r>
      <w:r>
        <w:rPr>
          <w:rFonts w:hint="eastAsia" w:ascii="仿宋_GB2312" w:hAnsi="仿宋_GB2312" w:eastAsia="仿宋_GB2312" w:cs="仿宋_GB2312"/>
          <w:szCs w:val="21"/>
          <w:highlight w:val="none"/>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highlight w:val="none"/>
        </w:rPr>
        <w:t>无效投标</w:t>
      </w:r>
      <w:r>
        <w:rPr>
          <w:rFonts w:hint="eastAsia" w:ascii="仿宋_GB2312" w:hAnsi="仿宋_GB2312" w:eastAsia="仿宋_GB2312" w:cs="仿宋_GB2312"/>
          <w:szCs w:val="21"/>
          <w:highlight w:val="none"/>
        </w:rPr>
        <w:t>处理。</w:t>
      </w:r>
    </w:p>
    <w:p w14:paraId="1E828BC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25.样品及演示</w:t>
      </w:r>
    </w:p>
    <w:p w14:paraId="11E36A6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25.1投标人须知表11.3条中要求投标人提供样品的，按照投标人须知表25.1条中样品的评审方法以及评审标准进行评审。</w:t>
      </w:r>
    </w:p>
    <w:p w14:paraId="3409E04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4105CF3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25.3演示的评审方法以及评审标准具体内容见投标人须知表25.1条。</w:t>
      </w:r>
    </w:p>
    <w:p w14:paraId="442BFB6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26.投标无效</w:t>
      </w:r>
    </w:p>
    <w:p w14:paraId="41A259A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26.1在比较与评价之前，根据本须知的规定，评标委员会将审查每份投标文件是否实质上响应了招标文件的要求。</w:t>
      </w:r>
    </w:p>
    <w:p w14:paraId="1892584C">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实质性要求是指招标文件中带有★号标识内容（包括本级及其下级编号中所有内容）等文字说明的要求。</w:t>
      </w:r>
    </w:p>
    <w:p w14:paraId="3A08D410">
      <w:pPr>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对招标文件的实质性要求进行响应是指与招标文件中带有★号标识内容的文字说明、条条、条件和规格等要求相符。</w:t>
      </w:r>
    </w:p>
    <w:p w14:paraId="5B17EDA6">
      <w:pPr>
        <w:adjustRightInd w:val="0"/>
        <w:snapToGrid w:val="0"/>
        <w:spacing w:line="360" w:lineRule="auto"/>
        <w:ind w:firstLine="420" w:firstLineChars="200"/>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b/>
          <w:bCs/>
          <w:kern w:val="0"/>
          <w:szCs w:val="21"/>
          <w:highlight w:val="none"/>
        </w:rPr>
        <w:t>招标文件服务需求中未带有★号标识，视为所有服务需求内容均为实质性要求。</w:t>
      </w:r>
    </w:p>
    <w:p w14:paraId="25913C33">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如果投标文件没有对招标文件的实质性要求进行响应，将作为</w:t>
      </w:r>
      <w:r>
        <w:rPr>
          <w:rFonts w:hint="eastAsia" w:ascii="仿宋_GB2312" w:hAnsi="仿宋_GB2312" w:eastAsia="仿宋_GB2312" w:cs="仿宋_GB2312"/>
          <w:b/>
          <w:bCs/>
          <w:szCs w:val="21"/>
          <w:highlight w:val="none"/>
        </w:rPr>
        <w:t>无效投标</w:t>
      </w:r>
      <w:r>
        <w:rPr>
          <w:rFonts w:hint="eastAsia" w:ascii="仿宋_GB2312" w:hAnsi="仿宋_GB2312" w:eastAsia="仿宋_GB2312" w:cs="仿宋_GB2312"/>
          <w:szCs w:val="21"/>
          <w:highlight w:val="none"/>
        </w:rPr>
        <w:t>处理，投标人不得再对投标文件进行任何修正从而使其投标成为实质上响应的投标。</w:t>
      </w:r>
    </w:p>
    <w:p w14:paraId="532129D1">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评标委员会决定投标的响应性只根据招标文件要求、投标文件内容及财政主管部门指定媒体发布的相关信息。</w:t>
      </w:r>
    </w:p>
    <w:p w14:paraId="0C4E198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26.2如发现下列情况之一的，其投标将被认定为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1E65F81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（1）未按招标文件的规定提交投标保证金的；</w:t>
      </w:r>
    </w:p>
    <w:p w14:paraId="4DBC8BD3">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（2）未按照招标文件规定要求签署、盖章的；</w:t>
      </w:r>
    </w:p>
    <w:p w14:paraId="33CB196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（3）不具备招标文件中规定的资格要求的；</w:t>
      </w:r>
    </w:p>
    <w:p w14:paraId="7926811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（4）不符合法律、法规和招标文件中规定的其他实质性要求的。</w:t>
      </w:r>
    </w:p>
    <w:p w14:paraId="0B97CDC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（5）与其他投标人串通投标，或者与采购人串通投标；</w:t>
      </w:r>
    </w:p>
    <w:p w14:paraId="3CB1425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（6）评标委员会认为投标人的报价明显低于其他通过符合性审查投标人的报价，有可能影响履约的，且投标人未按照规定证明其报价合理性的；</w:t>
      </w:r>
    </w:p>
    <w:p w14:paraId="7CE6861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（7）投标文件含有采购人不能接受的附加条件的；</w:t>
      </w:r>
    </w:p>
    <w:p w14:paraId="3A6A0EE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（8）属于法律、法规和招标文件规定的其他投标无效情形；</w:t>
      </w:r>
    </w:p>
    <w:p w14:paraId="1652501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27.比较与评价</w:t>
      </w:r>
    </w:p>
    <w:p w14:paraId="44D876D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27.1经符合性审查合格的投标文件，评标委员会将根据招标文件确定的评标方法和标准，对其技术部分和商务部分作进一步的比较和评价。</w:t>
      </w:r>
    </w:p>
    <w:p w14:paraId="78B5209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27.2评标严格按照招标文件的要求和条件进行。根据实际情况，在投标人须知表27.2条中规定采用下列一种评标方法，详细评标标准见第四章 评标方法：</w:t>
      </w:r>
    </w:p>
    <w:p w14:paraId="45EEF27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（1）最低评标价法，是指投标文件满足招标文件全部实质性要求，且投标报价最低的投标人为中标候选人的评标方法。</w:t>
      </w:r>
    </w:p>
    <w:p w14:paraId="4E083D2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（2）综合评分法，是指投标文件满足招标文件全部实质性要求，且按照评审因素的量化指标评审得分最高的投标人为中标候选人的评标方法。</w:t>
      </w:r>
    </w:p>
    <w:p w14:paraId="1B4651B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27.3 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等相关材料或省级以上监狱管理局、戒毒管理局（含新疆生产建设兵团）出具的属于监狱企业的证明文件的投标人， 其投标报价扣除 10%-20%后参与评审，大中型企业与小微企业组成联合体或者大中型企业向小微企业分包的，评审优惠4%-6%。具体详见第四章 评标方法。</w:t>
      </w:r>
    </w:p>
    <w:p w14:paraId="455A2D1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652F55D8">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27.5根据财政部、辽宁省财政厅相关规定，对于列入《辽宁省创新产品和服务目录》内的产品、服务实施政府优先采购。具体优先采购办法详见第四章 评标方法。</w:t>
      </w:r>
    </w:p>
    <w:p w14:paraId="570962E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28.废标</w:t>
      </w:r>
    </w:p>
    <w:p w14:paraId="3201AF5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出现下列情形之一，将导致项目</w:t>
      </w:r>
      <w:r>
        <w:rPr>
          <w:rFonts w:hint="eastAsia" w:ascii="仿宋_GB2312" w:hAnsi="仿宋_GB2312" w:eastAsia="仿宋_GB2312" w:cs="仿宋_GB2312"/>
          <w:b/>
          <w:bCs/>
          <w:szCs w:val="21"/>
          <w:highlight w:val="none"/>
        </w:rPr>
        <w:t>废标</w:t>
      </w:r>
      <w:r>
        <w:rPr>
          <w:rFonts w:hint="eastAsia" w:ascii="仿宋_GB2312" w:hAnsi="仿宋_GB2312" w:eastAsia="仿宋_GB2312" w:cs="仿宋_GB2312"/>
          <w:szCs w:val="21"/>
          <w:highlight w:val="none"/>
        </w:rPr>
        <w:t>：</w:t>
      </w:r>
    </w:p>
    <w:p w14:paraId="004F68F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（1）符合专业条件的投标人或者对招标文件做实质性响应的投标人不足3家；</w:t>
      </w:r>
    </w:p>
    <w:p w14:paraId="0DA466A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（2）出现影响采购公正的违法、违规行为的；</w:t>
      </w:r>
    </w:p>
    <w:p w14:paraId="0646516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（3）投标人的报价均超过了采购预算或最高限价，采购人不能支付的；</w:t>
      </w:r>
    </w:p>
    <w:p w14:paraId="458E62F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（4）因重大变故，采购任务取消的。</w:t>
      </w:r>
    </w:p>
    <w:p w14:paraId="5C01A135">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29.中标候选人的推荐原则及标准</w:t>
      </w:r>
    </w:p>
    <w:p w14:paraId="3C53043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29.1除第32条规定外，评标委员会将根据评标标准，对实质上响应招标文件的投标人按下列方法进行排序，推荐中标候选人：</w:t>
      </w:r>
    </w:p>
    <w:p w14:paraId="5269DB37">
      <w:pPr>
        <w:adjustRightInd w:val="0"/>
        <w:snapToGrid w:val="0"/>
        <w:spacing w:line="360" w:lineRule="auto"/>
        <w:ind w:firstLine="210" w:firstLineChars="1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5579FD4A">
      <w:pPr>
        <w:adjustRightInd w:val="0"/>
        <w:snapToGrid w:val="0"/>
        <w:spacing w:line="360" w:lineRule="auto"/>
        <w:ind w:firstLine="210" w:firstLineChars="1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（2）采用综合评分法的，评标结果按评审后得分由高到低顺序排列。得分相同的，按第四章评标办法规定执行。</w:t>
      </w:r>
    </w:p>
    <w:p w14:paraId="02F3938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29.2评标委员会将根据评标标准，按投标人须知表29.2条中规定的数量推荐中标候选人。</w:t>
      </w:r>
    </w:p>
    <w:p w14:paraId="456EEB2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29.3因推荐中标候选人名单产生其他问题，由评标委员会集体研究处理。</w:t>
      </w:r>
    </w:p>
    <w:p w14:paraId="6603A40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30.保密原则</w:t>
      </w:r>
    </w:p>
    <w:p w14:paraId="60E521E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30.1评标将在严格保密的情况下进行。</w:t>
      </w:r>
    </w:p>
    <w:p w14:paraId="02BB6E5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30.2有关人员应当遵守评标工作纪律，不得泄露评审文件、评标情况和评标过程中获悉的国家秘密、商业秘密。</w:t>
      </w:r>
    </w:p>
    <w:p w14:paraId="0C18FB31">
      <w:pPr>
        <w:pStyle w:val="3"/>
        <w:rPr>
          <w:rFonts w:ascii="仿宋_GB2312" w:hAnsi="仿宋_GB2312" w:eastAsia="仿宋_GB2312" w:cs="仿宋_GB2312"/>
          <w:sz w:val="32"/>
          <w:szCs w:val="28"/>
          <w:highlight w:val="none"/>
        </w:rPr>
      </w:pPr>
      <w:r>
        <w:rPr>
          <w:rFonts w:hint="eastAsia" w:ascii="仿宋_GB2312" w:hAnsi="仿宋_GB2312" w:eastAsia="仿宋_GB2312" w:cs="仿宋_GB2312"/>
          <w:sz w:val="32"/>
          <w:szCs w:val="28"/>
          <w:highlight w:val="none"/>
        </w:rPr>
        <w:t>七 确定中标</w:t>
      </w:r>
      <w:bookmarkEnd w:id="68"/>
    </w:p>
    <w:p w14:paraId="042D1B7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31.确定中标人</w:t>
      </w:r>
    </w:p>
    <w:p w14:paraId="6595AEF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由采购人或者采购人委托评标委员会按照投标人须知表31中规定的方式确定中标人。</w:t>
      </w:r>
    </w:p>
    <w:p w14:paraId="4679BEF3">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6455D1B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★32.采购任务取消</w:t>
      </w:r>
    </w:p>
    <w:p w14:paraId="6499E02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因重大变故采购任务取消时，采购人有权拒绝任何供应商中标，且对受影响的投标人不承担任何责任。</w:t>
      </w:r>
    </w:p>
    <w:p w14:paraId="507C3C55">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33.中标通知书</w:t>
      </w:r>
    </w:p>
    <w:p w14:paraId="4B536D2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33.1采购人或者采购代理机构应当自中标人确定之日起2个工作日内，在辽宁政府采购网及其地方分网媒体上公告中标结果。同时向中标人发出中标通知书。</w:t>
      </w:r>
    </w:p>
    <w:p w14:paraId="1B995E2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33.2中标通知书是合同的组成部分。</w:t>
      </w:r>
    </w:p>
    <w:p w14:paraId="7A4BFC9D">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34.签订合同</w:t>
      </w:r>
    </w:p>
    <w:p w14:paraId="69F60D3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34.1中标人应当自发出中标通知书之日起 30 日内，与采购人签订书面合同。</w:t>
      </w:r>
    </w:p>
    <w:p w14:paraId="03AEE39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2072BE1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34.3中标人拒绝与采购人签订合同的，采购人可以按照评标报告推荐的中标候选人名单排序，确定下一中标候选人为中标人，也可以重新开展政府采购活动。</w:t>
      </w:r>
    </w:p>
    <w:p w14:paraId="3FA642E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35.履约保证金</w:t>
      </w:r>
    </w:p>
    <w:p w14:paraId="0577E3F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35.1中标人应按照投标人须知表35.1条规定向采购人缴纳履约保证金。</w:t>
      </w:r>
    </w:p>
    <w:p w14:paraId="22AFB89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35.2 如果中标人没有按照上述履约保证金的规定执行，将视为拒绝签订合同并放弃中标资格，中标人的投标保证金将不予退还。在此情况下，采购人可确定下一中标候选人为中标人，也可以重新开展采购活动。</w:t>
      </w:r>
    </w:p>
    <w:p w14:paraId="58A5781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36.采购代理服务费</w:t>
      </w:r>
    </w:p>
    <w:p w14:paraId="2BB3C08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中标人须向采购代理机构支付采购代理服务费。</w:t>
      </w:r>
    </w:p>
    <w:p w14:paraId="1623F2BD">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37.廉洁自律规定</w:t>
      </w:r>
    </w:p>
    <w:p w14:paraId="191668A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37.1 采购代理机构工作人员不得以不正当手段获取政府采购代理业务，不得与采购人、投标人恶意串通操纵政府采购活动。</w:t>
      </w:r>
    </w:p>
    <w:p w14:paraId="40EFEF4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37.2 采购代理机构工作人员不得接受采购人或者投标人组织的宴请、旅游、娱乐，不得收受礼品、现金、有价证券等，不得向采购人或者投标人报销应当由个人承担的费用。</w:t>
      </w:r>
    </w:p>
    <w:p w14:paraId="3A32812A">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38.人员回避</w:t>
      </w:r>
    </w:p>
    <w:p w14:paraId="3BDCB11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投标人认为采购人及其相关人员有法律法规所列与其他投标人有利害关系的，可以向采购人或采购代理机构书面提出回避申请，并说明理由。</w:t>
      </w:r>
    </w:p>
    <w:p w14:paraId="72EA18BE">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39.质疑与接收</w:t>
      </w:r>
    </w:p>
    <w:p w14:paraId="0553C749">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39.1 供应商认为采购文件、采购过程和采购结果使自己的权益受到损害的，可以根据《中华人民共和国政府采购法》、《中华人民共和国政府采购法实施条例》和《政府采购质疑和投诉办法》的有关规定，依法向采购人或其委托的采购代理机构提出质疑。</w:t>
      </w:r>
    </w:p>
    <w:p w14:paraId="49626779">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39.2 质疑供应商应按照财政部门制定的《政府采购质疑函范本》格式和《政府采购质疑和投诉办法》、《辽宁省政府采购电子化质疑投诉管理办法》（详见辽宁政府采购网）的要求，在法定质疑期内统一在辽宁政府采购网电子化质疑投诉系统中提出质疑。质疑供应商无法在系统中提出质疑的，可采取现场递交书面纸质质疑函方式进行，针对同一采购程序环节的质疑应一次性提出。</w:t>
      </w:r>
    </w:p>
    <w:p w14:paraId="3BBA5EAB">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超出法定质疑期的、重复提出的、分次提出的或内容、形式不符合《政府采购质疑和投诉办法》的，质疑供应商将依法承担不利后果。</w:t>
      </w:r>
    </w:p>
    <w:p w14:paraId="3A1F985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39.3 采购代理机构质疑函接收部门、联系电话和地址, 见投标人须知表39.3款。</w:t>
      </w:r>
    </w:p>
    <w:p w14:paraId="7091D11D">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40.履约验收</w:t>
      </w:r>
    </w:p>
    <w:p w14:paraId="2CE85DA3">
      <w:pPr>
        <w:adjustRightInd w:val="0"/>
        <w:snapToGrid w:val="0"/>
        <w:spacing w:line="360" w:lineRule="auto"/>
        <w:ind w:firstLine="42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本项目采购人将严格按照政府采购相关法律法规以及《辽宁省政府采购履约验收管理办法》（辽财采〔2017〕603号）的要求进行验收。</w:t>
      </w:r>
    </w:p>
    <w:p w14:paraId="5B166E7F">
      <w:pPr>
        <w:adjustRightInd w:val="0"/>
        <w:snapToGrid w:val="0"/>
        <w:spacing w:line="360" w:lineRule="auto"/>
        <w:rPr>
          <w:rFonts w:ascii="仿宋_GB2312" w:hAnsi="仿宋_GB2312" w:eastAsia="仿宋_GB2312" w:cs="仿宋_GB2312"/>
          <w:szCs w:val="21"/>
          <w:highlight w:val="none"/>
        </w:rPr>
      </w:pPr>
    </w:p>
    <w:p w14:paraId="76164D9C">
      <w:pPr>
        <w:adjustRightInd w:val="0"/>
        <w:snapToGrid w:val="0"/>
        <w:spacing w:line="360" w:lineRule="auto"/>
        <w:rPr>
          <w:rFonts w:ascii="仿宋_GB2312" w:hAnsi="仿宋_GB2312" w:eastAsia="仿宋_GB2312" w:cs="仿宋_GB2312"/>
          <w:szCs w:val="21"/>
          <w:highlight w:val="none"/>
        </w:rPr>
      </w:pPr>
    </w:p>
    <w:p w14:paraId="2CF8BF4D">
      <w:pPr>
        <w:adjustRightInd w:val="0"/>
        <w:snapToGrid w:val="0"/>
        <w:spacing w:line="360" w:lineRule="auto"/>
        <w:ind w:firstLine="420"/>
        <w:rPr>
          <w:rFonts w:ascii="仿宋_GB2312" w:hAnsi="仿宋_GB2312" w:eastAsia="仿宋_GB2312" w:cs="仿宋_GB2312"/>
          <w:b/>
          <w:highlight w:val="none"/>
        </w:rPr>
        <w:sectPr>
          <w:footerReference r:id="rId5" w:type="default"/>
          <w:pgSz w:w="11906" w:h="16838"/>
          <w:pgMar w:top="1304" w:right="1803" w:bottom="1304" w:left="1803" w:header="851" w:footer="992" w:gutter="0"/>
          <w:pgNumType w:start="1"/>
          <w:cols w:space="720" w:num="1"/>
          <w:docGrid w:type="linesAndChars" w:linePitch="312" w:charSpace="0"/>
        </w:sectPr>
      </w:pPr>
    </w:p>
    <w:p w14:paraId="1AF913FB">
      <w:pPr>
        <w:pStyle w:val="2"/>
        <w:snapToGrid w:val="0"/>
        <w:spacing w:before="0" w:after="0"/>
        <w:rPr>
          <w:rFonts w:ascii="仿宋_GB2312" w:hAnsi="仿宋_GB2312" w:eastAsia="仿宋_GB2312" w:cs="仿宋_GB2312"/>
          <w:highlight w:val="none"/>
        </w:rPr>
      </w:pPr>
      <w:bookmarkStart w:id="70" w:name="_Toc17725_WPSOffice_Level1"/>
      <w:bookmarkStart w:id="71" w:name="_Toc20672"/>
      <w:bookmarkStart w:id="72" w:name="_Toc13351"/>
      <w:r>
        <w:rPr>
          <w:rFonts w:hint="eastAsia" w:ascii="仿宋_GB2312" w:hAnsi="仿宋_GB2312" w:eastAsia="仿宋_GB2312" w:cs="仿宋_GB2312"/>
          <w:highlight w:val="none"/>
        </w:rPr>
        <w:t>第二章 投标文件内容及格式</w:t>
      </w:r>
      <w:bookmarkEnd w:id="70"/>
      <w:bookmarkEnd w:id="71"/>
      <w:bookmarkEnd w:id="72"/>
    </w:p>
    <w:p w14:paraId="10B642C6">
      <w:pPr>
        <w:rPr>
          <w:rFonts w:ascii="仿宋_GB2312" w:hAnsi="仿宋_GB2312" w:eastAsia="仿宋_GB2312" w:cs="仿宋_GB2312"/>
          <w:b/>
          <w:sz w:val="24"/>
          <w:highlight w:val="none"/>
        </w:rPr>
      </w:pPr>
      <w:bookmarkStart w:id="73" w:name="sys_投标文件内容及格式：Block"/>
      <w:bookmarkEnd w:id="73"/>
      <w:bookmarkStart w:id="74" w:name="投标文件内容及格式：Block"/>
      <w:bookmarkEnd w:id="74"/>
      <w:bookmarkStart w:id="75" w:name="_Toc2481_WPSOffice_Level2"/>
      <w:bookmarkStart w:id="76" w:name="_Toc1538_WPSOffice_Level2"/>
      <w:r>
        <w:rPr>
          <w:rFonts w:hint="eastAsia" w:ascii="仿宋_GB2312" w:hAnsi="仿宋_GB2312" w:eastAsia="仿宋_GB2312" w:cs="仿宋_GB2312"/>
          <w:b/>
          <w:sz w:val="24"/>
          <w:highlight w:val="none"/>
        </w:rPr>
        <w:t>一、投标文件的外封面、封口、封皮及目录</w:t>
      </w:r>
      <w:bookmarkEnd w:id="75"/>
      <w:bookmarkEnd w:id="76"/>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1F0F5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noWrap w:val="0"/>
            <w:vAlign w:val="center"/>
          </w:tcPr>
          <w:p w14:paraId="711030C4">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53" w:type="dxa"/>
            <w:noWrap w:val="0"/>
            <w:vAlign w:val="center"/>
          </w:tcPr>
          <w:p w14:paraId="39FA07CC">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内容</w:t>
            </w:r>
          </w:p>
        </w:tc>
        <w:tc>
          <w:tcPr>
            <w:tcW w:w="789" w:type="dxa"/>
            <w:noWrap w:val="0"/>
            <w:vAlign w:val="center"/>
          </w:tcPr>
          <w:p w14:paraId="695B7D63">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3CAA2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0EC45084">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53" w:type="dxa"/>
            <w:noWrap w:val="0"/>
            <w:vAlign w:val="center"/>
          </w:tcPr>
          <w:p w14:paraId="70F56CB7">
            <w:pPr>
              <w:widowControl/>
              <w:adjustRightInd w:val="0"/>
              <w:snapToGrid w:val="0"/>
              <w:jc w:val="left"/>
              <w:rPr>
                <w:rFonts w:ascii="仿宋_GB2312" w:hAnsi="仿宋_GB2312" w:eastAsia="仿宋_GB2312" w:cs="仿宋_GB2312"/>
                <w:b/>
                <w:kern w:val="0"/>
                <w:szCs w:val="21"/>
                <w:highlight w:val="none"/>
              </w:rPr>
            </w:pPr>
            <w:r>
              <w:rPr>
                <w:rFonts w:hint="eastAsia" w:ascii="仿宋_GB2312" w:hAnsi="仿宋_GB2312" w:eastAsia="仿宋_GB2312" w:cs="仿宋_GB2312"/>
                <w:kern w:val="0"/>
                <w:szCs w:val="21"/>
                <w:highlight w:val="none"/>
              </w:rPr>
              <w:t>投标文件的外封面及封口</w:t>
            </w:r>
          </w:p>
        </w:tc>
        <w:tc>
          <w:tcPr>
            <w:tcW w:w="789" w:type="dxa"/>
            <w:noWrap w:val="0"/>
            <w:vAlign w:val="center"/>
          </w:tcPr>
          <w:p w14:paraId="3E20C50A">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r>
      <w:tr w14:paraId="18E9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4DD0D85A">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6953" w:type="dxa"/>
            <w:noWrap w:val="0"/>
            <w:vAlign w:val="center"/>
          </w:tcPr>
          <w:p w14:paraId="7FA73C3F">
            <w:pPr>
              <w:widowControl/>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投标文件的封皮</w:t>
            </w:r>
          </w:p>
        </w:tc>
        <w:tc>
          <w:tcPr>
            <w:tcW w:w="789" w:type="dxa"/>
            <w:noWrap w:val="0"/>
            <w:vAlign w:val="center"/>
          </w:tcPr>
          <w:p w14:paraId="01D1AF1C">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r>
      <w:tr w14:paraId="4BCA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noWrap w:val="0"/>
            <w:vAlign w:val="center"/>
          </w:tcPr>
          <w:p w14:paraId="120C30B7">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6953" w:type="dxa"/>
            <w:noWrap w:val="0"/>
            <w:vAlign w:val="center"/>
          </w:tcPr>
          <w:p w14:paraId="58D1A932">
            <w:pPr>
              <w:widowControl/>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投标文件的目录</w:t>
            </w:r>
          </w:p>
        </w:tc>
        <w:tc>
          <w:tcPr>
            <w:tcW w:w="789" w:type="dxa"/>
            <w:noWrap w:val="0"/>
            <w:vAlign w:val="center"/>
          </w:tcPr>
          <w:p w14:paraId="17FB9BBF">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r>
    </w:tbl>
    <w:p w14:paraId="7E86243C">
      <w:pPr>
        <w:snapToGrid w:val="0"/>
        <w:spacing w:before="159" w:beforeLines="50"/>
        <w:rPr>
          <w:rFonts w:ascii="仿宋_GB2312" w:hAnsi="仿宋_GB2312" w:eastAsia="仿宋_GB2312" w:cs="仿宋_GB2312"/>
          <w:b/>
          <w:sz w:val="24"/>
          <w:highlight w:val="none"/>
        </w:rPr>
      </w:pPr>
      <w:bookmarkStart w:id="77" w:name="_Toc31052_WPSOffice_Level2"/>
      <w:bookmarkStart w:id="78" w:name="_Toc1266_WPSOffice_Level2"/>
      <w:r>
        <w:rPr>
          <w:rFonts w:hint="eastAsia" w:ascii="仿宋_GB2312" w:hAnsi="仿宋_GB2312" w:eastAsia="仿宋_GB2312" w:cs="仿宋_GB2312"/>
          <w:b/>
          <w:sz w:val="24"/>
          <w:highlight w:val="none"/>
        </w:rPr>
        <w:t>二、资格证明材料</w:t>
      </w:r>
      <w:bookmarkEnd w:id="77"/>
      <w:bookmarkEnd w:id="78"/>
      <w:r>
        <w:rPr>
          <w:rFonts w:hint="eastAsia" w:ascii="仿宋_GB2312" w:hAnsi="仿宋_GB2312" w:eastAsia="仿宋_GB2312" w:cs="仿宋_GB2312"/>
          <w:b/>
          <w:sz w:val="24"/>
          <w:highlight w:val="none"/>
        </w:rPr>
        <w:t>（有一项不符合要求，不能进入下一阶段评审）</w:t>
      </w:r>
    </w:p>
    <w:tbl>
      <w:tblPr>
        <w:tblStyle w:val="20"/>
        <w:tblW w:w="0" w:type="auto"/>
        <w:tblInd w:w="0" w:type="dxa"/>
        <w:tblLayout w:type="fixed"/>
        <w:tblCellMar>
          <w:top w:w="0" w:type="dxa"/>
          <w:left w:w="0" w:type="dxa"/>
          <w:bottom w:w="0" w:type="dxa"/>
          <w:right w:w="0" w:type="dxa"/>
        </w:tblCellMar>
      </w:tblPr>
      <w:tblGrid>
        <w:gridCol w:w="675"/>
        <w:gridCol w:w="6915"/>
        <w:gridCol w:w="749"/>
      </w:tblGrid>
      <w:tr w14:paraId="180E2B96">
        <w:tblPrEx>
          <w:tblCellMar>
            <w:top w:w="0" w:type="dxa"/>
            <w:left w:w="0" w:type="dxa"/>
            <w:bottom w:w="0" w:type="dxa"/>
            <w:right w:w="0" w:type="dxa"/>
          </w:tblCellMar>
        </w:tblPrEx>
        <w:trPr>
          <w:trHeight w:val="482" w:hRule="atLeast"/>
          <w:tblHead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1D95BF">
            <w:pPr>
              <w:adjustRightInd w:val="0"/>
              <w:snapToGrid w:val="0"/>
              <w:jc w:val="center"/>
              <w:rPr>
                <w:rFonts w:ascii="仿宋_GB2312" w:hAnsi="仿宋_GB2312" w:eastAsia="仿宋_GB2312" w:cs="仿宋_GB2312"/>
                <w:szCs w:val="21"/>
                <w:highlight w:val="none"/>
              </w:rPr>
            </w:pPr>
            <w:bookmarkStart w:id="79" w:name="资格性证明材料：Document"/>
            <w:bookmarkStart w:id="80" w:name="sys_资格性证明材料：Document"/>
            <w:r>
              <w:rPr>
                <w:rFonts w:hint="eastAsia" w:ascii="仿宋_GB2312" w:hAnsi="仿宋_GB2312" w:eastAsia="仿宋_GB2312" w:cs="仿宋_GB2312"/>
                <w:szCs w:val="21"/>
                <w:highlight w:val="none"/>
              </w:rPr>
              <w:t>序号</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225289">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FEF3B6">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格式</w:t>
            </w:r>
          </w:p>
        </w:tc>
      </w:tr>
      <w:tr w14:paraId="7103C44F">
        <w:tblPrEx>
          <w:tblCellMar>
            <w:top w:w="0" w:type="dxa"/>
            <w:left w:w="0" w:type="dxa"/>
            <w:bottom w:w="0" w:type="dxa"/>
            <w:right w:w="0" w:type="dxa"/>
          </w:tblCellMar>
        </w:tblPrEx>
        <w:trPr>
          <w:trHeight w:val="636"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BB5B33">
            <w:pPr>
              <w:adjustRightInd w:val="0"/>
              <w:snapToGrid w:val="0"/>
              <w:jc w:val="center"/>
              <w:rPr>
                <w:rFonts w:ascii="仿宋_GB2312" w:hAnsi="仿宋_GB2312" w:eastAsia="仿宋_GB2312" w:cs="仿宋_GB2312"/>
                <w:szCs w:val="21"/>
                <w:highlight w:val="none"/>
              </w:rPr>
            </w:pPr>
            <w:bookmarkStart w:id="81" w:name="OLE_LINK8" w:colFirst="0" w:colLast="1"/>
            <w:r>
              <w:rPr>
                <w:rFonts w:hint="eastAsia" w:ascii="仿宋_GB2312" w:hAnsi="仿宋_GB2312" w:eastAsia="仿宋_GB2312" w:cs="仿宋_GB2312"/>
                <w:szCs w:val="21"/>
                <w:highlight w:val="none"/>
              </w:rPr>
              <w:t>1</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4114BE">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营业执照或事业单位法人证书或执业许可证等证明文件</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或自然人的身份证明</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（自然人身份证明仅在自然人作为投标主体时适用）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3FC603">
            <w:pPr>
              <w:adjustRightInd w:val="0"/>
              <w:snapToGrid w:val="0"/>
              <w:jc w:val="center"/>
              <w:rPr>
                <w:rFonts w:ascii="仿宋_GB2312" w:hAnsi="仿宋_GB2312" w:eastAsia="仿宋_GB2312" w:cs="仿宋_GB2312"/>
                <w:szCs w:val="21"/>
                <w:highlight w:val="none"/>
              </w:rPr>
            </w:pPr>
          </w:p>
        </w:tc>
      </w:tr>
      <w:tr w14:paraId="20329F64">
        <w:tblPrEx>
          <w:tblCellMar>
            <w:top w:w="0" w:type="dxa"/>
            <w:left w:w="0" w:type="dxa"/>
            <w:bottom w:w="0" w:type="dxa"/>
            <w:right w:w="0" w:type="dxa"/>
          </w:tblCellMar>
        </w:tblPrEx>
        <w:trPr>
          <w:trHeight w:val="470"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5D39AF">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B81144">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组织机构代码证</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742D3B">
            <w:pPr>
              <w:adjustRightInd w:val="0"/>
              <w:snapToGrid w:val="0"/>
              <w:jc w:val="center"/>
              <w:rPr>
                <w:rFonts w:ascii="仿宋_GB2312" w:hAnsi="仿宋_GB2312" w:eastAsia="仿宋_GB2312" w:cs="仿宋_GB2312"/>
                <w:szCs w:val="21"/>
                <w:highlight w:val="none"/>
              </w:rPr>
            </w:pPr>
          </w:p>
        </w:tc>
      </w:tr>
      <w:tr w14:paraId="5D31DDE4">
        <w:tblPrEx>
          <w:tblCellMar>
            <w:top w:w="0" w:type="dxa"/>
            <w:left w:w="0" w:type="dxa"/>
            <w:bottom w:w="0" w:type="dxa"/>
            <w:right w:w="0" w:type="dxa"/>
          </w:tblCellMar>
        </w:tblPrEx>
        <w:trPr>
          <w:trHeight w:val="443"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A5F816">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45E219">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税务登记证</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E27E5E">
            <w:pPr>
              <w:adjustRightInd w:val="0"/>
              <w:snapToGrid w:val="0"/>
              <w:jc w:val="center"/>
              <w:rPr>
                <w:rFonts w:ascii="仿宋_GB2312" w:hAnsi="仿宋_GB2312" w:eastAsia="仿宋_GB2312" w:cs="仿宋_GB2312"/>
                <w:szCs w:val="21"/>
                <w:highlight w:val="none"/>
              </w:rPr>
            </w:pPr>
          </w:p>
        </w:tc>
      </w:tr>
      <w:tr w14:paraId="78B042F9">
        <w:tblPrEx>
          <w:tblCellMar>
            <w:top w:w="0" w:type="dxa"/>
            <w:left w:w="0" w:type="dxa"/>
            <w:bottom w:w="0" w:type="dxa"/>
            <w:right w:w="0" w:type="dxa"/>
          </w:tblCellMar>
        </w:tblPrEx>
        <w:trPr>
          <w:trHeight w:val="530"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6FB97A">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98B921">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法定代表人（或非法人组织负责人）身份证明书（自然人投标的无需提供）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1406A7">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r>
      <w:tr w14:paraId="478B2E64">
        <w:tblPrEx>
          <w:tblCellMar>
            <w:top w:w="0" w:type="dxa"/>
            <w:left w:w="0" w:type="dxa"/>
            <w:bottom w:w="0" w:type="dxa"/>
            <w:right w:w="0" w:type="dxa"/>
          </w:tblCellMar>
        </w:tblPrEx>
        <w:trPr>
          <w:trHeight w:val="613"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39918B">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90B48D">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法定代表人（或非法人组织负责人）授权委托书（委托代理人参加投标的须提供）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418244">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r>
      <w:tr w14:paraId="4BAF310F">
        <w:tblPrEx>
          <w:tblCellMar>
            <w:top w:w="0" w:type="dxa"/>
            <w:left w:w="0" w:type="dxa"/>
            <w:bottom w:w="0" w:type="dxa"/>
            <w:right w:w="0" w:type="dxa"/>
          </w:tblCellMar>
        </w:tblPrEx>
        <w:trPr>
          <w:trHeight w:val="464"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2B0EF4">
            <w:pPr>
              <w:adjustRightInd w:val="0"/>
              <w:snapToGrid w:val="0"/>
              <w:jc w:val="center"/>
              <w:rPr>
                <w:rFonts w:hint="eastAsia" w:ascii="仿宋_GB2312" w:hAnsi="仿宋_GB2312" w:eastAsia="仿宋_GB2312" w:cs="仿宋_GB2312"/>
                <w:szCs w:val="21"/>
                <w:highlight w:val="none"/>
              </w:rPr>
            </w:pPr>
            <w:bookmarkStart w:id="82" w:name="OLE_LINK9" w:colFirst="0" w:colLast="1"/>
            <w:bookmarkStart w:id="83" w:name="_Toc25206_WPSOffice_Level2"/>
            <w:bookmarkStart w:id="84" w:name="_Toc22359_WPSOffice_Level2"/>
            <w:r>
              <w:rPr>
                <w:rFonts w:hint="eastAsia" w:ascii="仿宋_GB2312" w:hAnsi="仿宋_GB2312" w:eastAsia="仿宋_GB2312" w:cs="仿宋_GB2312"/>
                <w:szCs w:val="21"/>
                <w:highlight w:val="none"/>
              </w:rPr>
              <w:t>6</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9D4661">
            <w:pPr>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资格证明材料承诺函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79D9D4">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r>
      <w:bookmarkEnd w:id="82"/>
      <w:tr w14:paraId="7D1ADB14">
        <w:tblPrEx>
          <w:tblCellMar>
            <w:top w:w="0" w:type="dxa"/>
            <w:left w:w="0" w:type="dxa"/>
            <w:bottom w:w="0" w:type="dxa"/>
            <w:right w:w="0" w:type="dxa"/>
          </w:tblCellMar>
        </w:tblPrEx>
        <w:trPr>
          <w:trHeight w:val="744"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CDCFF0">
            <w:pPr>
              <w:adjustRightInd w:val="0"/>
              <w:snapToGrid w:val="0"/>
              <w:jc w:val="center"/>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7</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DA1F7B">
            <w:pPr>
              <w:adjustRightInd w:val="0"/>
              <w:snapToGrid w:val="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落实政府采购政策的证明材料（中小企业声明函）</w:t>
            </w:r>
          </w:p>
          <w:p w14:paraId="2B82D4A5">
            <w:pPr>
              <w:adjustRightInd w:val="0"/>
              <w:snapToGrid w:val="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注：本项目属于专门面向中小企业采购的项目,供应商应为中小微企业或监狱企业或残疾人福利性单位，否则投标无效。</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1F64B4">
            <w:pPr>
              <w:adjustRightInd w:val="0"/>
              <w:snapToGrid w:val="0"/>
              <w:jc w:val="center"/>
              <w:rPr>
                <w:rFonts w:hint="eastAsia" w:ascii="仿宋" w:hAnsi="仿宋" w:eastAsia="仿宋_GB2312" w:cs="仿宋"/>
                <w:szCs w:val="21"/>
                <w:highlight w:val="none"/>
              </w:rPr>
            </w:pPr>
            <w:r>
              <w:rPr>
                <w:rFonts w:hint="eastAsia" w:ascii="仿宋_GB2312" w:hAnsi="仿宋_GB2312" w:eastAsia="仿宋_GB2312" w:cs="仿宋_GB2312"/>
                <w:szCs w:val="21"/>
                <w:highlight w:val="none"/>
              </w:rPr>
              <w:t>14/15</w:t>
            </w:r>
          </w:p>
        </w:tc>
      </w:tr>
      <w:tr w14:paraId="2C7712E5">
        <w:tblPrEx>
          <w:tblCellMar>
            <w:top w:w="0" w:type="dxa"/>
            <w:left w:w="0" w:type="dxa"/>
            <w:bottom w:w="0" w:type="dxa"/>
            <w:right w:w="0" w:type="dxa"/>
          </w:tblCellMar>
        </w:tblPrEx>
        <w:trPr>
          <w:trHeight w:val="517"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CB7301">
            <w:pPr>
              <w:adjustRightInd w:val="0"/>
              <w:snapToGrid w:val="0"/>
              <w:jc w:val="center"/>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8</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955A83">
            <w:pPr>
              <w:adjustRightInd w:val="0"/>
              <w:snapToGrid w:val="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投标人须具有有效期内的食品经营许可证</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12B33B">
            <w:pPr>
              <w:adjustRightInd w:val="0"/>
              <w:snapToGrid w:val="0"/>
              <w:jc w:val="center"/>
              <w:rPr>
                <w:rFonts w:hint="eastAsia" w:ascii="仿宋_GB2312" w:hAnsi="仿宋_GB2312" w:eastAsia="仿宋_GB2312" w:cs="仿宋_GB2312"/>
                <w:szCs w:val="21"/>
                <w:highlight w:val="none"/>
              </w:rPr>
            </w:pPr>
          </w:p>
        </w:tc>
      </w:tr>
      <w:tr w14:paraId="17EBDB45">
        <w:tblPrEx>
          <w:tblCellMar>
            <w:top w:w="0" w:type="dxa"/>
            <w:left w:w="0" w:type="dxa"/>
            <w:bottom w:w="0" w:type="dxa"/>
            <w:right w:w="0" w:type="dxa"/>
          </w:tblCellMar>
        </w:tblPrEx>
        <w:trPr>
          <w:trHeight w:val="517"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63D0AE">
            <w:pPr>
              <w:adjustRightInd w:val="0"/>
              <w:snapToGrid w:val="0"/>
              <w:jc w:val="center"/>
              <w:rPr>
                <w:rFonts w:hint="default" w:ascii="仿宋_GB2312" w:hAnsi="仿宋_GB2312" w:eastAsia="仿宋_GB2312" w:cs="仿宋_GB2312"/>
                <w:b w:val="0"/>
                <w:bCs w:val="0"/>
                <w:szCs w:val="21"/>
                <w:highlight w:val="none"/>
                <w:lang w:val="en-US" w:eastAsia="zh-CN"/>
              </w:rPr>
            </w:pPr>
            <w:r>
              <w:rPr>
                <w:rFonts w:hint="eastAsia" w:ascii="仿宋_GB2312" w:hAnsi="仿宋_GB2312" w:eastAsia="仿宋_GB2312" w:cs="仿宋_GB2312"/>
                <w:b w:val="0"/>
                <w:bCs w:val="0"/>
                <w:szCs w:val="21"/>
                <w:highlight w:val="none"/>
                <w:lang w:val="en-US" w:eastAsia="zh-CN"/>
              </w:rPr>
              <w:t>9</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1B8A1E">
            <w:pPr>
              <w:adjustRightInd w:val="0"/>
              <w:snapToGrid w:val="0"/>
              <w:jc w:val="left"/>
              <w:rPr>
                <w:rFonts w:hint="default" w:ascii="仿宋_GB2312" w:hAnsi="仿宋_GB2312" w:eastAsia="仿宋_GB2312" w:cs="仿宋_GB2312"/>
                <w:b w:val="0"/>
                <w:bCs w:val="0"/>
                <w:szCs w:val="21"/>
                <w:highlight w:val="none"/>
                <w:lang w:val="en-US" w:eastAsia="zh-CN"/>
              </w:rPr>
            </w:pPr>
            <w:r>
              <w:rPr>
                <w:rFonts w:hint="eastAsia" w:ascii="仿宋_GB2312" w:hAnsi="仿宋_GB2312" w:eastAsia="仿宋_GB2312" w:cs="仿宋_GB2312"/>
                <w:b w:val="0"/>
                <w:bCs w:val="0"/>
                <w:szCs w:val="21"/>
                <w:highlight w:val="none"/>
                <w:lang w:val="en-US" w:eastAsia="zh-CN"/>
              </w:rPr>
              <w:t>具备“设有食品安全管理机构，配备食品安全管理人员、食品安全总监；至少配有1名具备资质的营养专业人员”承诺函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188057">
            <w:pPr>
              <w:adjustRightInd w:val="0"/>
              <w:snapToGrid w:val="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16</w:t>
            </w:r>
          </w:p>
        </w:tc>
      </w:tr>
      <w:tr w14:paraId="34799B11">
        <w:tblPrEx>
          <w:tblCellMar>
            <w:top w:w="0" w:type="dxa"/>
            <w:left w:w="0" w:type="dxa"/>
            <w:bottom w:w="0" w:type="dxa"/>
            <w:right w:w="0" w:type="dxa"/>
          </w:tblCellMar>
        </w:tblPrEx>
        <w:trPr>
          <w:trHeight w:val="517"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5EADAE">
            <w:pPr>
              <w:adjustRightInd w:val="0"/>
              <w:snapToGrid w:val="0"/>
              <w:jc w:val="center"/>
              <w:rPr>
                <w:rFonts w:hint="default" w:ascii="仿宋_GB2312" w:hAnsi="仿宋_GB2312" w:eastAsia="仿宋_GB2312" w:cs="仿宋_GB2312"/>
                <w:b w:val="0"/>
                <w:bCs w:val="0"/>
                <w:szCs w:val="21"/>
                <w:highlight w:val="none"/>
                <w:lang w:val="en-US" w:eastAsia="zh-CN"/>
              </w:rPr>
            </w:pPr>
            <w:r>
              <w:rPr>
                <w:rFonts w:hint="eastAsia" w:ascii="仿宋_GB2312" w:hAnsi="仿宋_GB2312" w:eastAsia="仿宋_GB2312" w:cs="仿宋_GB2312"/>
                <w:b w:val="0"/>
                <w:bCs w:val="0"/>
                <w:szCs w:val="21"/>
                <w:highlight w:val="none"/>
                <w:lang w:val="en-US" w:eastAsia="zh-CN"/>
              </w:rPr>
              <w:t>10</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AECEFD">
            <w:pPr>
              <w:adjustRightInd w:val="0"/>
              <w:snapToGrid w:val="0"/>
              <w:jc w:val="left"/>
              <w:rPr>
                <w:rFonts w:hint="default" w:ascii="仿宋_GB2312" w:hAnsi="仿宋_GB2312" w:eastAsia="仿宋_GB2312" w:cs="仿宋_GB2312"/>
                <w:b w:val="0"/>
                <w:bCs w:val="0"/>
                <w:szCs w:val="21"/>
                <w:highlight w:val="none"/>
                <w:lang w:val="en-US" w:eastAsia="zh-CN"/>
              </w:rPr>
            </w:pPr>
            <w:r>
              <w:rPr>
                <w:rFonts w:hint="eastAsia" w:ascii="仿宋_GB2312" w:hAnsi="仿宋_GB2312" w:eastAsia="仿宋_GB2312" w:cs="仿宋_GB2312"/>
                <w:b w:val="0"/>
                <w:bCs w:val="0"/>
                <w:szCs w:val="21"/>
                <w:highlight w:val="none"/>
                <w:lang w:val="en-US" w:eastAsia="zh-CN"/>
              </w:rPr>
              <w:t>具备“建立食品卫生、安全生产、安全管理等制度”承诺函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411BA4">
            <w:pPr>
              <w:adjustRightInd w:val="0"/>
              <w:snapToGrid w:val="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17</w:t>
            </w:r>
          </w:p>
        </w:tc>
      </w:tr>
      <w:tr w14:paraId="2FEEC46F">
        <w:tblPrEx>
          <w:tblCellMar>
            <w:top w:w="0" w:type="dxa"/>
            <w:left w:w="0" w:type="dxa"/>
            <w:bottom w:w="0" w:type="dxa"/>
            <w:right w:w="0" w:type="dxa"/>
          </w:tblCellMar>
        </w:tblPrEx>
        <w:trPr>
          <w:trHeight w:val="422" w:hRule="atLeast"/>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5AA637">
            <w:pPr>
              <w:adjustRightInd w:val="0"/>
              <w:snapToGrid w:val="0"/>
              <w:jc w:val="center"/>
              <w:rPr>
                <w:rFonts w:hint="default" w:ascii="仿宋_GB2312" w:hAnsi="仿宋_GB2312" w:eastAsia="仿宋_GB2312" w:cs="仿宋_GB2312"/>
                <w:b w:val="0"/>
                <w:bCs w:val="0"/>
                <w:szCs w:val="21"/>
                <w:highlight w:val="none"/>
                <w:lang w:val="en-US" w:eastAsia="zh-CN"/>
              </w:rPr>
            </w:pPr>
            <w:r>
              <w:rPr>
                <w:rFonts w:hint="eastAsia" w:ascii="仿宋_GB2312" w:hAnsi="仿宋_GB2312" w:eastAsia="仿宋_GB2312" w:cs="仿宋_GB2312"/>
                <w:b w:val="0"/>
                <w:bCs w:val="0"/>
                <w:szCs w:val="21"/>
                <w:highlight w:val="none"/>
                <w:lang w:val="en-US" w:eastAsia="zh-CN"/>
              </w:rPr>
              <w:t>11</w:t>
            </w:r>
          </w:p>
        </w:tc>
        <w:tc>
          <w:tcPr>
            <w:tcW w:w="69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24D6BF">
            <w:pPr>
              <w:adjustRightInd w:val="0"/>
              <w:snapToGrid w:val="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信用记录（</w:t>
            </w:r>
            <w:r>
              <w:rPr>
                <w:rFonts w:hint="eastAsia" w:ascii="仿宋_GB2312" w:hAnsi="仿宋_GB2312" w:eastAsia="仿宋_GB2312" w:cs="仿宋_GB2312"/>
                <w:b w:val="0"/>
                <w:bCs w:val="0"/>
                <w:szCs w:val="21"/>
                <w:highlight w:val="none"/>
                <w:lang w:val="en-US" w:eastAsia="zh-CN"/>
              </w:rPr>
              <w:t>投标人须提供在中国政府采购网、信用中国、中国裁判文书网、国家企业信用信息公示系统中未被列为严重违法失信的截图；</w:t>
            </w:r>
            <w:r>
              <w:rPr>
                <w:rFonts w:hint="eastAsia" w:ascii="仿宋_GB2312" w:hAnsi="仿宋_GB2312" w:eastAsia="仿宋_GB2312" w:cs="仿宋_GB2312"/>
                <w:b w:val="0"/>
                <w:bCs w:val="0"/>
                <w:szCs w:val="21"/>
                <w:highlight w:val="none"/>
              </w:rPr>
              <w:t>采购人或采购代理机构将在招标文件规定的审查期间内进行查询）</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7C4C8B">
            <w:pPr>
              <w:adjustRightInd w:val="0"/>
              <w:snapToGrid w:val="0"/>
              <w:jc w:val="center"/>
              <w:rPr>
                <w:rFonts w:hint="eastAsia" w:ascii="仿宋_GB2312" w:hAnsi="仿宋_GB2312" w:eastAsia="仿宋_GB2312" w:cs="仿宋_GB2312"/>
                <w:szCs w:val="21"/>
                <w:highlight w:val="none"/>
              </w:rPr>
            </w:pPr>
          </w:p>
        </w:tc>
      </w:tr>
      <w:bookmarkEnd w:id="81"/>
    </w:tbl>
    <w:p w14:paraId="2CDD0AB4">
      <w:pPr>
        <w:snapToGrid w:val="0"/>
        <w:spacing w:before="159" w:beforeLines="50"/>
        <w:rPr>
          <w:rFonts w:ascii="仿宋_GB2312" w:hAnsi="仿宋_GB2312" w:eastAsia="仿宋_GB2312" w:cs="仿宋_GB2312"/>
          <w:b/>
          <w:sz w:val="24"/>
          <w:highlight w:val="none"/>
        </w:rPr>
      </w:pPr>
      <w:r>
        <w:rPr>
          <w:rFonts w:hint="eastAsia" w:ascii="仿宋_GB2312" w:hAnsi="仿宋_GB2312" w:eastAsia="仿宋_GB2312" w:cs="仿宋_GB2312"/>
          <w:b/>
          <w:sz w:val="24"/>
          <w:highlight w:val="none"/>
        </w:rPr>
        <w:t>三、符合性证明材料</w:t>
      </w:r>
      <w:bookmarkEnd w:id="83"/>
      <w:bookmarkEnd w:id="84"/>
      <w:r>
        <w:rPr>
          <w:rFonts w:hint="eastAsia" w:ascii="仿宋_GB2312" w:hAnsi="仿宋_GB2312" w:eastAsia="仿宋_GB2312" w:cs="仿宋_GB2312"/>
          <w:b/>
          <w:sz w:val="24"/>
          <w:highlight w:val="none"/>
        </w:rPr>
        <w:t>（有一项不符合要求，不能进入下一阶段评审）</w:t>
      </w:r>
    </w:p>
    <w:bookmarkEnd w:id="79"/>
    <w:bookmarkEnd w:id="80"/>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892"/>
        <w:gridCol w:w="750"/>
      </w:tblGrid>
      <w:tr w14:paraId="2C35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blHeader/>
        </w:trPr>
        <w:tc>
          <w:tcPr>
            <w:tcW w:w="682" w:type="dxa"/>
            <w:noWrap w:val="0"/>
            <w:vAlign w:val="center"/>
          </w:tcPr>
          <w:p w14:paraId="20309D2F">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892" w:type="dxa"/>
            <w:noWrap w:val="0"/>
            <w:vAlign w:val="center"/>
          </w:tcPr>
          <w:p w14:paraId="69DC0598">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符合性证明材料</w:t>
            </w:r>
          </w:p>
        </w:tc>
        <w:tc>
          <w:tcPr>
            <w:tcW w:w="750" w:type="dxa"/>
            <w:noWrap w:val="0"/>
            <w:vAlign w:val="center"/>
          </w:tcPr>
          <w:p w14:paraId="648B928A">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6251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436D5F74">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892" w:type="dxa"/>
            <w:noWrap w:val="0"/>
            <w:vAlign w:val="center"/>
          </w:tcPr>
          <w:p w14:paraId="55484B0E">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投标函</w:t>
            </w:r>
          </w:p>
        </w:tc>
        <w:tc>
          <w:tcPr>
            <w:tcW w:w="750" w:type="dxa"/>
            <w:noWrap w:val="0"/>
            <w:vAlign w:val="center"/>
          </w:tcPr>
          <w:p w14:paraId="743EEE5D">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7</w:t>
            </w:r>
          </w:p>
        </w:tc>
      </w:tr>
      <w:tr w14:paraId="2F64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5308341B">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6892" w:type="dxa"/>
            <w:noWrap w:val="0"/>
            <w:vAlign w:val="center"/>
          </w:tcPr>
          <w:p w14:paraId="40EF2BB4">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开标一览表</w:t>
            </w:r>
          </w:p>
        </w:tc>
        <w:tc>
          <w:tcPr>
            <w:tcW w:w="750" w:type="dxa"/>
            <w:noWrap w:val="0"/>
            <w:vAlign w:val="center"/>
          </w:tcPr>
          <w:p w14:paraId="686A0629">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8</w:t>
            </w:r>
          </w:p>
        </w:tc>
      </w:tr>
      <w:tr w14:paraId="3F440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39558EFD">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6892" w:type="dxa"/>
            <w:noWrap w:val="0"/>
            <w:vAlign w:val="center"/>
          </w:tcPr>
          <w:p w14:paraId="2F74B8DD">
            <w:pPr>
              <w:adjustRightInd w:val="0"/>
              <w:snapToGrid w:val="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服务价格明细表</w:t>
            </w:r>
          </w:p>
        </w:tc>
        <w:tc>
          <w:tcPr>
            <w:tcW w:w="750" w:type="dxa"/>
            <w:noWrap w:val="0"/>
            <w:vAlign w:val="center"/>
          </w:tcPr>
          <w:p w14:paraId="41B15C43">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9</w:t>
            </w:r>
          </w:p>
        </w:tc>
      </w:tr>
      <w:tr w14:paraId="1B28B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40A9E5DC">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w:t>
            </w:r>
          </w:p>
        </w:tc>
        <w:tc>
          <w:tcPr>
            <w:tcW w:w="6892" w:type="dxa"/>
            <w:noWrap w:val="0"/>
            <w:vAlign w:val="center"/>
          </w:tcPr>
          <w:p w14:paraId="4EBD07DE">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服务需求响应表</w:t>
            </w:r>
          </w:p>
        </w:tc>
        <w:tc>
          <w:tcPr>
            <w:tcW w:w="750" w:type="dxa"/>
            <w:noWrap w:val="0"/>
            <w:vAlign w:val="center"/>
          </w:tcPr>
          <w:p w14:paraId="1809CE44">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10</w:t>
            </w:r>
          </w:p>
        </w:tc>
      </w:tr>
      <w:tr w14:paraId="79CBB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1BBAF1B4">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5</w:t>
            </w:r>
          </w:p>
        </w:tc>
        <w:tc>
          <w:tcPr>
            <w:tcW w:w="6892" w:type="dxa"/>
            <w:noWrap w:val="0"/>
            <w:vAlign w:val="center"/>
          </w:tcPr>
          <w:p w14:paraId="50AE9755">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商务条款偏离表</w:t>
            </w:r>
          </w:p>
        </w:tc>
        <w:tc>
          <w:tcPr>
            <w:tcW w:w="750" w:type="dxa"/>
            <w:noWrap w:val="0"/>
            <w:vAlign w:val="center"/>
          </w:tcPr>
          <w:p w14:paraId="6999607F">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w:t>
            </w:r>
          </w:p>
        </w:tc>
      </w:tr>
      <w:tr w14:paraId="194F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1621FB05">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w:t>
            </w:r>
          </w:p>
        </w:tc>
        <w:tc>
          <w:tcPr>
            <w:tcW w:w="6892" w:type="dxa"/>
            <w:noWrap w:val="0"/>
            <w:vAlign w:val="center"/>
          </w:tcPr>
          <w:p w14:paraId="2217539E">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投标人关联单位说明</w:t>
            </w:r>
          </w:p>
        </w:tc>
        <w:tc>
          <w:tcPr>
            <w:tcW w:w="750" w:type="dxa"/>
            <w:noWrap w:val="0"/>
            <w:vAlign w:val="center"/>
          </w:tcPr>
          <w:p w14:paraId="4C66792F">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w:t>
            </w:r>
          </w:p>
        </w:tc>
      </w:tr>
      <w:tr w14:paraId="4472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10DCB833">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7</w:t>
            </w:r>
          </w:p>
        </w:tc>
        <w:tc>
          <w:tcPr>
            <w:tcW w:w="6892" w:type="dxa"/>
            <w:noWrap w:val="0"/>
            <w:vAlign w:val="center"/>
          </w:tcPr>
          <w:p w14:paraId="22FC051E">
            <w:pPr>
              <w:adjustRightInd w:val="0"/>
              <w:snapToGrid w:val="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电子投标文件与备份投标文件内容格式一致性承诺函</w:t>
            </w:r>
          </w:p>
        </w:tc>
        <w:tc>
          <w:tcPr>
            <w:tcW w:w="750" w:type="dxa"/>
            <w:noWrap w:val="0"/>
            <w:vAlign w:val="center"/>
          </w:tcPr>
          <w:p w14:paraId="3802F022">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w:t>
            </w:r>
          </w:p>
        </w:tc>
      </w:tr>
      <w:tr w14:paraId="3CFD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05BA5FE3">
            <w:pPr>
              <w:adjustRightInd w:val="0"/>
              <w:snapToGrid w:val="0"/>
              <w:jc w:val="center"/>
              <w:rPr>
                <w:rFonts w:hint="eastAsia" w:ascii="仿宋_GB2312" w:hAnsi="仿宋_GB2312" w:eastAsia="仿宋_GB2312" w:cs="仿宋_GB2312"/>
                <w:kern w:val="0"/>
                <w:szCs w:val="21"/>
                <w:highlight w:val="none"/>
                <w:lang w:val="en-US" w:eastAsia="zh-CN"/>
              </w:rPr>
            </w:pPr>
            <w:bookmarkStart w:id="85" w:name="_Toc27769_WPSOffice_Level2"/>
            <w:bookmarkStart w:id="86" w:name="_Toc24432_WPSOffice_Level2"/>
            <w:r>
              <w:rPr>
                <w:rFonts w:hint="eastAsia" w:ascii="仿宋_GB2312" w:hAnsi="仿宋_GB2312" w:eastAsia="仿宋_GB2312" w:cs="仿宋_GB2312"/>
                <w:kern w:val="0"/>
                <w:szCs w:val="21"/>
                <w:highlight w:val="none"/>
                <w:lang w:val="en-US" w:eastAsia="zh-CN"/>
              </w:rPr>
              <w:t>8</w:t>
            </w:r>
          </w:p>
        </w:tc>
        <w:tc>
          <w:tcPr>
            <w:tcW w:w="6892" w:type="dxa"/>
            <w:noWrap w:val="0"/>
            <w:vAlign w:val="center"/>
          </w:tcPr>
          <w:p w14:paraId="61B8D6B0">
            <w:pPr>
              <w:adjustRightInd w:val="0"/>
              <w:snapToGrid w:val="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食品安全责任书</w:t>
            </w:r>
          </w:p>
        </w:tc>
        <w:tc>
          <w:tcPr>
            <w:tcW w:w="750" w:type="dxa"/>
            <w:noWrap w:val="0"/>
            <w:vAlign w:val="center"/>
          </w:tcPr>
          <w:p w14:paraId="075599BB">
            <w:pPr>
              <w:adjustRightInd w:val="0"/>
              <w:snapToGrid w:val="0"/>
              <w:jc w:val="center"/>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18</w:t>
            </w:r>
          </w:p>
        </w:tc>
      </w:tr>
    </w:tbl>
    <w:p w14:paraId="0B83DAA9">
      <w:pPr>
        <w:snapToGrid w:val="0"/>
        <w:spacing w:before="159" w:beforeLines="50"/>
        <w:rPr>
          <w:rFonts w:ascii="仿宋_GB2312" w:hAnsi="仿宋_GB2312" w:eastAsia="仿宋_GB2312" w:cs="仿宋_GB2312"/>
          <w:b/>
          <w:sz w:val="24"/>
          <w:highlight w:val="none"/>
        </w:rPr>
      </w:pPr>
      <w:r>
        <w:rPr>
          <w:rFonts w:hint="eastAsia" w:ascii="仿宋_GB2312" w:hAnsi="仿宋_GB2312" w:eastAsia="仿宋_GB2312" w:cs="仿宋_GB2312"/>
          <w:b/>
          <w:sz w:val="24"/>
          <w:highlight w:val="none"/>
        </w:rPr>
        <w:t>四、其他材料</w:t>
      </w:r>
      <w:bookmarkEnd w:id="85"/>
      <w:bookmarkEnd w:id="86"/>
      <w:r>
        <w:rPr>
          <w:rFonts w:hint="eastAsia" w:ascii="仿宋_GB2312" w:hAnsi="仿宋_GB2312" w:eastAsia="仿宋_GB2312" w:cs="仿宋_GB2312"/>
          <w:b/>
          <w:sz w:val="24"/>
          <w:highlight w:val="none"/>
        </w:rPr>
        <w:t>（如有，请提供；如未提供，投标文件不作无效处理）</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4FA27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7120C9D8">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57" w:type="dxa"/>
            <w:noWrap w:val="0"/>
            <w:vAlign w:val="center"/>
          </w:tcPr>
          <w:p w14:paraId="018D3039">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其他材料</w:t>
            </w:r>
          </w:p>
        </w:tc>
        <w:tc>
          <w:tcPr>
            <w:tcW w:w="770" w:type="dxa"/>
            <w:noWrap w:val="0"/>
            <w:vAlign w:val="center"/>
          </w:tcPr>
          <w:p w14:paraId="7CA0590C">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56B6F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0E82B75B">
            <w:pPr>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57" w:type="dxa"/>
            <w:noWrap w:val="0"/>
            <w:vAlign w:val="center"/>
          </w:tcPr>
          <w:p w14:paraId="0A5064AD">
            <w:pPr>
              <w:adjustRightInd w:val="0"/>
              <w:snapToGrid w:val="0"/>
              <w:ind w:left="25" w:leftChars="12"/>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列入《辽宁省创新产品和服务目录》内的产品、服务的证明材料（如适用）</w:t>
            </w:r>
          </w:p>
          <w:p w14:paraId="128C4A8D">
            <w:pPr>
              <w:adjustRightInd w:val="0"/>
              <w:snapToGrid w:val="0"/>
              <w:ind w:left="25" w:leftChars="12"/>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（此项要求可视实际情况设置在符合性证明材料或其他材料中）</w:t>
            </w:r>
          </w:p>
        </w:tc>
        <w:tc>
          <w:tcPr>
            <w:tcW w:w="770" w:type="dxa"/>
            <w:noWrap w:val="0"/>
            <w:vAlign w:val="center"/>
          </w:tcPr>
          <w:p w14:paraId="46128FA0">
            <w:pPr>
              <w:adjustRightInd w:val="0"/>
              <w:snapToGrid w:val="0"/>
              <w:jc w:val="center"/>
              <w:rPr>
                <w:rFonts w:hint="eastAsia" w:ascii="仿宋_GB2312" w:hAnsi="仿宋_GB2312" w:eastAsia="仿宋_GB2312" w:cs="仿宋_GB2312"/>
                <w:kern w:val="0"/>
                <w:szCs w:val="21"/>
                <w:highlight w:val="none"/>
              </w:rPr>
            </w:pPr>
          </w:p>
        </w:tc>
      </w:tr>
      <w:tr w14:paraId="1328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noWrap w:val="0"/>
            <w:vAlign w:val="center"/>
          </w:tcPr>
          <w:p w14:paraId="1492CA7C">
            <w:pPr>
              <w:adjustRightInd w:val="0"/>
              <w:snapToGrid w:val="0"/>
              <w:jc w:val="center"/>
              <w:rPr>
                <w:rFonts w:ascii="仿宋_GB2312" w:hAnsi="仿宋_GB2312" w:eastAsia="仿宋_GB2312" w:cs="仿宋_GB2312"/>
                <w:kern w:val="0"/>
                <w:szCs w:val="21"/>
                <w:highlight w:val="none"/>
              </w:rPr>
            </w:pPr>
          </w:p>
        </w:tc>
        <w:tc>
          <w:tcPr>
            <w:tcW w:w="6957" w:type="dxa"/>
            <w:noWrap w:val="0"/>
            <w:vAlign w:val="center"/>
          </w:tcPr>
          <w:p w14:paraId="63C8DF37">
            <w:pPr>
              <w:pStyle w:val="44"/>
              <w:adjustRightInd w:val="0"/>
              <w:snapToGrid w:val="0"/>
              <w:ind w:left="25" w:leftChars="12" w:firstLine="0" w:firstLineChars="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w:t>
            </w:r>
          </w:p>
        </w:tc>
        <w:tc>
          <w:tcPr>
            <w:tcW w:w="770" w:type="dxa"/>
            <w:noWrap w:val="0"/>
            <w:vAlign w:val="center"/>
          </w:tcPr>
          <w:p w14:paraId="0C7D54A9">
            <w:pPr>
              <w:adjustRightInd w:val="0"/>
              <w:snapToGrid w:val="0"/>
              <w:jc w:val="center"/>
              <w:rPr>
                <w:rFonts w:ascii="仿宋_GB2312" w:hAnsi="仿宋_GB2312" w:eastAsia="仿宋_GB2312" w:cs="仿宋_GB2312"/>
                <w:kern w:val="0"/>
                <w:szCs w:val="21"/>
                <w:highlight w:val="none"/>
              </w:rPr>
            </w:pPr>
          </w:p>
        </w:tc>
      </w:tr>
    </w:tbl>
    <w:p w14:paraId="1F8E9253">
      <w:pPr>
        <w:adjustRightInd w:val="0"/>
        <w:snapToGrid w:val="0"/>
        <w:spacing w:line="360" w:lineRule="auto"/>
        <w:ind w:firstLine="480" w:firstLineChars="200"/>
        <w:rPr>
          <w:rFonts w:ascii="仿宋_GB2312" w:hAnsi="仿宋_GB2312" w:eastAsia="仿宋_GB2312" w:cs="仿宋_GB2312"/>
          <w:b/>
          <w:sz w:val="24"/>
          <w:highlight w:val="none"/>
        </w:rPr>
      </w:pPr>
      <w:r>
        <w:rPr>
          <w:rFonts w:hint="eastAsia" w:ascii="仿宋_GB2312" w:hAnsi="仿宋_GB2312" w:eastAsia="仿宋_GB2312" w:cs="仿宋_GB2312"/>
          <w:b/>
          <w:sz w:val="24"/>
          <w:highlight w:val="none"/>
        </w:rPr>
        <w:t xml:space="preserve"> </w:t>
      </w:r>
      <w:bookmarkStart w:id="87" w:name="_Toc23127_WPSOffice_Level2"/>
      <w:bookmarkStart w:id="88" w:name="_Toc24011_WPSOffice_Level2"/>
      <w:r>
        <w:rPr>
          <w:rFonts w:hint="eastAsia" w:ascii="仿宋_GB2312" w:hAnsi="仿宋_GB2312" w:eastAsia="仿宋_GB2312" w:cs="仿宋_GB2312"/>
          <w:b/>
          <w:sz w:val="24"/>
          <w:highlight w:val="none"/>
        </w:rPr>
        <w:t>重要提示：</w:t>
      </w:r>
      <w:bookmarkEnd w:id="87"/>
      <w:bookmarkEnd w:id="88"/>
    </w:p>
    <w:p w14:paraId="57883F58">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1.投标人提供的证明材料，除需要投标人填报或有特殊说明外，均须按要求提供。</w:t>
      </w:r>
      <w:r>
        <w:rPr>
          <w:rFonts w:hint="eastAsia" w:ascii="仿宋_GB2312" w:hAnsi="仿宋_GB2312" w:eastAsia="仿宋_GB2312" w:cs="仿宋_GB2312"/>
          <w:b/>
          <w:bCs/>
          <w:szCs w:val="21"/>
          <w:highlight w:val="none"/>
        </w:rPr>
        <w:t xml:space="preserve"> </w:t>
      </w:r>
    </w:p>
    <w:p w14:paraId="7AB05258">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2.投标人在编制投标文件时，对于给定格式的文件内容，必须按照给定的标准格式进行填报；对于没有给定标准格式的文件内容，可以由投标人自行设计。</w:t>
      </w:r>
    </w:p>
    <w:p w14:paraId="29C58CE4">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3.投标文件应用中文书写。投标文件中所附或所引用的材料不是中文时，应附中文译本，并加盖公章（自然人投标的，无需加盖单位公章，需要签字）。</w:t>
      </w:r>
    </w:p>
    <w:p w14:paraId="02556F64">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szCs w:val="21"/>
          <w:highlight w:val="none"/>
        </w:rPr>
        <w:t>4.</w:t>
      </w:r>
      <w:r>
        <w:rPr>
          <w:rFonts w:hint="eastAsia" w:ascii="仿宋_GB2312" w:hAnsi="仿宋_GB2312" w:eastAsia="仿宋_GB2312" w:cs="仿宋_GB2312"/>
          <w:b/>
          <w:bCs/>
          <w:szCs w:val="21"/>
          <w:highlight w:val="none"/>
        </w:rPr>
        <w:t>“资格证明材料”</w:t>
      </w:r>
      <w:r>
        <w:rPr>
          <w:rFonts w:hint="eastAsia" w:ascii="仿宋_GB2312" w:hAnsi="仿宋_GB2312" w:eastAsia="仿宋_GB2312" w:cs="仿宋_GB2312"/>
          <w:highlight w:val="none"/>
        </w:rPr>
        <w:t>所列内容即为采购项目的资格审查条件，有一项不符合要求，不能进入下一阶段评审。</w:t>
      </w:r>
    </w:p>
    <w:p w14:paraId="290D0791">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5.</w:t>
      </w:r>
      <w:r>
        <w:rPr>
          <w:rFonts w:hint="eastAsia" w:ascii="仿宋_GB2312" w:hAnsi="仿宋_GB2312" w:eastAsia="仿宋_GB2312" w:cs="仿宋_GB2312"/>
          <w:b/>
          <w:bCs/>
          <w:szCs w:val="21"/>
          <w:highlight w:val="none"/>
        </w:rPr>
        <w:t>“符合性证明材料”</w:t>
      </w:r>
      <w:r>
        <w:rPr>
          <w:rFonts w:hint="eastAsia" w:ascii="仿宋_GB2312" w:hAnsi="仿宋_GB2312" w:eastAsia="仿宋_GB2312" w:cs="仿宋_GB2312"/>
          <w:highlight w:val="none"/>
        </w:rPr>
        <w:t>所列内容即为采购项目的符合性审查条件，有一项不符合要求，不能进入下一阶段评审。</w:t>
      </w:r>
    </w:p>
    <w:p w14:paraId="7F7A7A6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highlight w:val="none"/>
        </w:rPr>
        <w:t>6.</w:t>
      </w:r>
      <w:r>
        <w:rPr>
          <w:rFonts w:hint="eastAsia" w:ascii="仿宋_GB2312" w:hAnsi="仿宋_GB2312" w:eastAsia="仿宋_GB2312" w:cs="仿宋_GB2312"/>
          <w:szCs w:val="21"/>
          <w:highlight w:val="none"/>
        </w:rPr>
        <w:t>“其他材料”</w:t>
      </w:r>
    </w:p>
    <w:p w14:paraId="642290F2">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kern w:val="0"/>
          <w:szCs w:val="21"/>
          <w:highlight w:val="none"/>
        </w:rPr>
        <w:t>综合评分法：</w:t>
      </w:r>
      <w:r>
        <w:rPr>
          <w:rFonts w:hint="eastAsia" w:ascii="仿宋_GB2312" w:hAnsi="仿宋_GB2312" w:eastAsia="仿宋_GB2312" w:cs="仿宋_GB2312"/>
          <w:szCs w:val="21"/>
          <w:highlight w:val="none"/>
        </w:rPr>
        <w:t>投标人可就</w:t>
      </w:r>
      <w:r>
        <w:rPr>
          <w:rFonts w:hint="eastAsia" w:ascii="仿宋_GB2312" w:hAnsi="仿宋_GB2312" w:eastAsia="仿宋_GB2312" w:cs="仿宋_GB2312"/>
          <w:kern w:val="0"/>
          <w:szCs w:val="21"/>
          <w:highlight w:val="none"/>
        </w:rPr>
        <w:t>招标文件要求以及评分细则中各项要求提供相应材料。</w:t>
      </w:r>
    </w:p>
    <w:p w14:paraId="1269073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r>
        <w:rPr>
          <w:rFonts w:hint="eastAsia" w:ascii="仿宋_GB2312" w:hAnsi="仿宋_GB2312" w:eastAsia="仿宋_GB2312" w:cs="仿宋_GB2312"/>
          <w:kern w:val="0"/>
          <w:szCs w:val="21"/>
          <w:highlight w:val="none"/>
        </w:rPr>
        <w:t>最低评标价法：</w:t>
      </w:r>
      <w:r>
        <w:rPr>
          <w:rFonts w:hint="eastAsia" w:ascii="仿宋_GB2312" w:hAnsi="仿宋_GB2312" w:eastAsia="仿宋_GB2312" w:cs="仿宋_GB2312"/>
          <w:szCs w:val="21"/>
          <w:highlight w:val="none"/>
        </w:rPr>
        <w:t>投标人可就</w:t>
      </w:r>
      <w:r>
        <w:rPr>
          <w:rFonts w:hint="eastAsia" w:ascii="仿宋_GB2312" w:hAnsi="仿宋_GB2312" w:eastAsia="仿宋_GB2312" w:cs="仿宋_GB2312"/>
          <w:kern w:val="0"/>
          <w:szCs w:val="21"/>
          <w:highlight w:val="none"/>
        </w:rPr>
        <w:t>招标文件要求提供相应材料。</w:t>
      </w:r>
    </w:p>
    <w:p w14:paraId="4F1AF92F">
      <w:pPr>
        <w:spacing w:line="360" w:lineRule="auto"/>
        <w:rPr>
          <w:rFonts w:ascii="仿宋_GB2312" w:hAnsi="仿宋_GB2312" w:eastAsia="仿宋_GB2312" w:cs="仿宋_GB2312"/>
          <w:highlight w:val="none"/>
        </w:rPr>
      </w:pPr>
      <w:r>
        <w:rPr>
          <w:rFonts w:hint="eastAsia" w:ascii="仿宋_GB2312" w:hAnsi="仿宋_GB2312" w:eastAsia="仿宋_GB2312" w:cs="仿宋_GB2312"/>
          <w:highlight w:val="none"/>
        </w:rPr>
        <w:br w:type="page"/>
      </w:r>
    </w:p>
    <w:p w14:paraId="1AD10D7E">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w:t>
      </w:r>
    </w:p>
    <w:p w14:paraId="610169E1">
      <w:pPr>
        <w:jc w:val="center"/>
        <w:rPr>
          <w:rFonts w:ascii="仿宋_GB2312" w:hAnsi="仿宋_GB2312" w:eastAsia="仿宋_GB2312" w:cs="仿宋_GB2312"/>
          <w:b/>
          <w:bCs/>
          <w:sz w:val="32"/>
          <w:szCs w:val="32"/>
          <w:highlight w:val="none"/>
        </w:rPr>
      </w:pPr>
      <w:bookmarkStart w:id="89" w:name="_Toc21090_WPSOffice_Level2"/>
      <w:bookmarkStart w:id="90" w:name="_Toc26322_WPSOffice_Level2"/>
      <w:r>
        <w:rPr>
          <w:rFonts w:hint="eastAsia" w:ascii="仿宋_GB2312" w:hAnsi="仿宋_GB2312" w:eastAsia="仿宋_GB2312" w:cs="仿宋_GB2312"/>
          <w:b/>
          <w:bCs/>
          <w:sz w:val="32"/>
          <w:szCs w:val="32"/>
          <w:highlight w:val="none"/>
        </w:rPr>
        <w:t>备份投标文件外封面、封口格式</w:t>
      </w:r>
      <w:bookmarkEnd w:id="89"/>
      <w:bookmarkEnd w:id="90"/>
    </w:p>
    <w:p w14:paraId="2853156C">
      <w:pPr>
        <w:rPr>
          <w:rFonts w:ascii="仿宋_GB2312" w:hAnsi="仿宋_GB2312" w:eastAsia="仿宋_GB2312" w:cs="仿宋_GB2312"/>
          <w:highlight w:val="none"/>
        </w:rPr>
      </w:pPr>
      <w:r>
        <w:rPr>
          <w:rFonts w:hint="eastAsia" w:ascii="仿宋_GB2312" w:hAnsi="仿宋_GB2312" w:eastAsia="仿宋_GB2312" w:cs="仿宋_GB2312"/>
          <w:sz w:val="28"/>
          <w:szCs w:val="28"/>
          <w:highlight w:val="none"/>
        </w:rPr>
        <w:t>封面格式：</w:t>
      </w:r>
    </w:p>
    <w:tbl>
      <w:tblPr>
        <w:tblStyle w:val="20"/>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60"/>
      </w:tblGrid>
      <w:tr w14:paraId="7ED44B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5960" w:type="dxa"/>
            <w:noWrap w:val="0"/>
            <w:vAlign w:val="top"/>
          </w:tcPr>
          <w:p w14:paraId="3F1C88B7">
            <w:pPr>
              <w:jc w:val="center"/>
              <w:rPr>
                <w:rFonts w:ascii="仿宋_GB2312" w:hAnsi="仿宋_GB2312" w:eastAsia="仿宋_GB2312" w:cs="仿宋_GB2312"/>
                <w:b/>
                <w:bCs/>
                <w:highlight w:val="none"/>
              </w:rPr>
            </w:pPr>
          </w:p>
          <w:p w14:paraId="4831D281">
            <w:pPr>
              <w:jc w:val="center"/>
              <w:rPr>
                <w:rFonts w:ascii="仿宋_GB2312" w:hAnsi="仿宋_GB2312" w:eastAsia="仿宋_GB2312" w:cs="仿宋_GB2312"/>
                <w:b/>
                <w:bCs/>
                <w:highlight w:val="none"/>
              </w:rPr>
            </w:pPr>
          </w:p>
          <w:p w14:paraId="5B3CB9A7">
            <w:pPr>
              <w:jc w:val="center"/>
              <w:rPr>
                <w:rFonts w:ascii="仿宋_GB2312" w:hAnsi="仿宋_GB2312" w:eastAsia="仿宋_GB2312" w:cs="仿宋_GB2312"/>
                <w:b/>
                <w:bCs/>
                <w:highlight w:val="none"/>
              </w:rPr>
            </w:pPr>
          </w:p>
          <w:p w14:paraId="13782F4A">
            <w:pPr>
              <w:jc w:val="center"/>
              <w:rPr>
                <w:rFonts w:ascii="仿宋_GB2312" w:hAnsi="仿宋_GB2312" w:eastAsia="仿宋_GB2312" w:cs="仿宋_GB2312"/>
                <w:b/>
                <w:bCs/>
                <w:highlight w:val="none"/>
              </w:rPr>
            </w:pPr>
          </w:p>
          <w:p w14:paraId="05212434">
            <w:pPr>
              <w:jc w:val="center"/>
              <w:rPr>
                <w:rFonts w:ascii="仿宋_GB2312" w:hAnsi="仿宋_GB2312" w:eastAsia="仿宋_GB2312" w:cs="仿宋_GB2312"/>
                <w:b/>
                <w:bCs/>
                <w:highlight w:val="none"/>
              </w:rPr>
            </w:pPr>
          </w:p>
          <w:p w14:paraId="02F07CE2">
            <w:pPr>
              <w:jc w:val="center"/>
              <w:rPr>
                <w:rFonts w:ascii="仿宋_GB2312" w:hAnsi="仿宋_GB2312" w:eastAsia="仿宋_GB2312" w:cs="仿宋_GB2312"/>
                <w:b/>
                <w:bCs/>
                <w:highlight w:val="none"/>
              </w:rPr>
            </w:pPr>
            <w:r>
              <w:rPr>
                <w:rFonts w:hint="eastAsia" w:ascii="仿宋_GB2312" w:hAnsi="仿宋_GB2312" w:eastAsia="仿宋_GB2312" w:cs="仿宋_GB2312"/>
                <w:b/>
                <w:bCs/>
                <w:sz w:val="44"/>
                <w:szCs w:val="52"/>
                <w:highlight w:val="none"/>
              </w:rPr>
              <w:t>备份投标文件</w:t>
            </w:r>
          </w:p>
          <w:p w14:paraId="709CC9AB">
            <w:pPr>
              <w:jc w:val="left"/>
              <w:rPr>
                <w:rFonts w:ascii="仿宋_GB2312" w:hAnsi="仿宋_GB2312" w:eastAsia="仿宋_GB2312" w:cs="仿宋_GB2312"/>
                <w:highlight w:val="none"/>
              </w:rPr>
            </w:pPr>
          </w:p>
          <w:p w14:paraId="54CE1B69">
            <w:pPr>
              <w:jc w:val="left"/>
              <w:rPr>
                <w:rFonts w:ascii="仿宋_GB2312" w:hAnsi="仿宋_GB2312" w:eastAsia="仿宋_GB2312" w:cs="仿宋_GB2312"/>
                <w:highlight w:val="none"/>
              </w:rPr>
            </w:pPr>
          </w:p>
          <w:p w14:paraId="58A17613">
            <w:pPr>
              <w:jc w:val="left"/>
              <w:rPr>
                <w:rFonts w:ascii="仿宋_GB2312" w:hAnsi="仿宋_GB2312" w:eastAsia="仿宋_GB2312" w:cs="仿宋_GB2312"/>
                <w:highlight w:val="none"/>
              </w:rPr>
            </w:pPr>
          </w:p>
          <w:p w14:paraId="077EA1CB">
            <w:pPr>
              <w:jc w:val="left"/>
              <w:rPr>
                <w:rFonts w:ascii="仿宋_GB2312" w:hAnsi="仿宋_GB2312" w:eastAsia="仿宋_GB2312" w:cs="仿宋_GB2312"/>
                <w:highlight w:val="none"/>
              </w:rPr>
            </w:pPr>
          </w:p>
          <w:p w14:paraId="0EAFA132">
            <w:pPr>
              <w:jc w:val="left"/>
              <w:rPr>
                <w:rFonts w:ascii="仿宋_GB2312" w:hAnsi="仿宋_GB2312" w:eastAsia="仿宋_GB2312" w:cs="仿宋_GB2312"/>
                <w:highlight w:val="none"/>
              </w:rPr>
            </w:pPr>
          </w:p>
          <w:p w14:paraId="6E3100A9">
            <w:pPr>
              <w:jc w:val="left"/>
              <w:rPr>
                <w:rFonts w:ascii="仿宋_GB2312" w:hAnsi="仿宋_GB2312" w:eastAsia="仿宋_GB2312" w:cs="仿宋_GB2312"/>
                <w:highlight w:val="none"/>
              </w:rPr>
            </w:pPr>
          </w:p>
          <w:p w14:paraId="6A505739">
            <w:pPr>
              <w:jc w:val="left"/>
              <w:rPr>
                <w:rFonts w:ascii="仿宋_GB2312" w:hAnsi="仿宋_GB2312" w:eastAsia="仿宋_GB2312" w:cs="仿宋_GB2312"/>
                <w:highlight w:val="none"/>
              </w:rPr>
            </w:pPr>
          </w:p>
          <w:p w14:paraId="7C138E81">
            <w:pPr>
              <w:jc w:val="left"/>
              <w:rPr>
                <w:rFonts w:ascii="仿宋_GB2312" w:hAnsi="仿宋_GB2312" w:eastAsia="仿宋_GB2312" w:cs="仿宋_GB2312"/>
                <w:highlight w:val="none"/>
              </w:rPr>
            </w:pPr>
            <w:r>
              <w:rPr>
                <w:rFonts w:hint="eastAsia" w:ascii="仿宋_GB2312" w:hAnsi="仿宋_GB2312" w:eastAsia="仿宋_GB2312" w:cs="仿宋_GB2312"/>
                <w:highlight w:val="none"/>
              </w:rPr>
              <w:t>所投包号：第  包</w:t>
            </w:r>
          </w:p>
          <w:p w14:paraId="69BFAC24">
            <w:pPr>
              <w:jc w:val="left"/>
              <w:rPr>
                <w:rFonts w:ascii="仿宋_GB2312" w:hAnsi="仿宋_GB2312" w:eastAsia="仿宋_GB2312" w:cs="仿宋_GB2312"/>
                <w:highlight w:val="none"/>
              </w:rPr>
            </w:pPr>
          </w:p>
          <w:p w14:paraId="77EBB330">
            <w:pPr>
              <w:jc w:val="left"/>
              <w:rPr>
                <w:rFonts w:ascii="仿宋_GB2312" w:hAnsi="仿宋_GB2312" w:eastAsia="仿宋_GB2312" w:cs="仿宋_GB2312"/>
                <w:highlight w:val="none"/>
              </w:rPr>
            </w:pPr>
            <w:r>
              <w:rPr>
                <w:rFonts w:hint="eastAsia" w:ascii="仿宋_GB2312" w:hAnsi="仿宋_GB2312" w:eastAsia="仿宋_GB2312" w:cs="仿宋_GB2312"/>
                <w:highlight w:val="none"/>
              </w:rPr>
              <w:t>项目名称：</w:t>
            </w:r>
          </w:p>
          <w:p w14:paraId="143C3A47">
            <w:pPr>
              <w:jc w:val="left"/>
              <w:rPr>
                <w:rFonts w:ascii="仿宋_GB2312" w:hAnsi="仿宋_GB2312" w:eastAsia="仿宋_GB2312" w:cs="仿宋_GB2312"/>
                <w:highlight w:val="none"/>
              </w:rPr>
            </w:pPr>
          </w:p>
          <w:p w14:paraId="3740DFF3">
            <w:pPr>
              <w:jc w:val="left"/>
              <w:rPr>
                <w:rFonts w:ascii="仿宋_GB2312" w:hAnsi="仿宋_GB2312" w:eastAsia="仿宋_GB2312" w:cs="仿宋_GB2312"/>
                <w:highlight w:val="none"/>
              </w:rPr>
            </w:pPr>
            <w:r>
              <w:rPr>
                <w:rFonts w:hint="eastAsia" w:ascii="仿宋_GB2312" w:hAnsi="仿宋_GB2312" w:eastAsia="仿宋_GB2312" w:cs="仿宋_GB2312"/>
                <w:highlight w:val="none"/>
              </w:rPr>
              <w:t>项目编号：</w:t>
            </w:r>
          </w:p>
          <w:p w14:paraId="75B90C6F">
            <w:pPr>
              <w:jc w:val="center"/>
              <w:rPr>
                <w:rFonts w:ascii="仿宋_GB2312" w:hAnsi="仿宋_GB2312" w:eastAsia="仿宋_GB2312" w:cs="仿宋_GB2312"/>
                <w:highlight w:val="none"/>
              </w:rPr>
            </w:pPr>
          </w:p>
          <w:p w14:paraId="20DE36BC">
            <w:pPr>
              <w:jc w:val="center"/>
              <w:rPr>
                <w:rFonts w:ascii="仿宋_GB2312" w:hAnsi="仿宋_GB2312" w:eastAsia="仿宋_GB2312" w:cs="仿宋_GB2312"/>
                <w:highlight w:val="none"/>
              </w:rPr>
            </w:pPr>
          </w:p>
          <w:p w14:paraId="48A06B06">
            <w:pPr>
              <w:jc w:val="center"/>
              <w:rPr>
                <w:rFonts w:ascii="仿宋_GB2312" w:hAnsi="仿宋_GB2312" w:eastAsia="仿宋_GB2312" w:cs="仿宋_GB2312"/>
                <w:highlight w:val="none"/>
              </w:rPr>
            </w:pPr>
          </w:p>
          <w:p w14:paraId="6D6A3745">
            <w:pPr>
              <w:jc w:val="left"/>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p>
        </w:tc>
      </w:tr>
    </w:tbl>
    <w:p w14:paraId="2B305957">
      <w:pPr>
        <w:rPr>
          <w:rFonts w:ascii="仿宋_GB2312" w:hAnsi="仿宋_GB2312" w:eastAsia="仿宋_GB2312" w:cs="仿宋_GB2312"/>
          <w:highlight w:val="none"/>
        </w:rPr>
      </w:pPr>
    </w:p>
    <w:p w14:paraId="78CE0793">
      <w:pPr>
        <w:rPr>
          <w:rFonts w:ascii="仿宋_GB2312" w:hAnsi="仿宋_GB2312" w:eastAsia="仿宋_GB2312" w:cs="仿宋_GB2312"/>
          <w:highlight w:val="none"/>
        </w:rPr>
      </w:pPr>
    </w:p>
    <w:p w14:paraId="08050C32">
      <w:pPr>
        <w:rPr>
          <w:rFonts w:ascii="仿宋_GB2312" w:hAnsi="仿宋_GB2312" w:eastAsia="仿宋_GB2312" w:cs="仿宋_GB2312"/>
          <w:highlight w:val="none"/>
        </w:rPr>
      </w:pPr>
      <w:r>
        <w:rPr>
          <w:rFonts w:hint="eastAsia" w:ascii="仿宋_GB2312" w:hAnsi="仿宋_GB2312" w:eastAsia="仿宋_GB2312" w:cs="仿宋_GB2312"/>
          <w:sz w:val="24"/>
          <w:szCs w:val="32"/>
          <w:highlight w:val="none"/>
        </w:rPr>
        <w:t>封口格式：</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14:paraId="3C4F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noWrap w:val="0"/>
            <w:vAlign w:val="center"/>
          </w:tcPr>
          <w:p w14:paraId="104A74EA">
            <w:pPr>
              <w:jc w:val="center"/>
              <w:rPr>
                <w:rFonts w:ascii="仿宋_GB2312" w:hAnsi="仿宋_GB2312" w:eastAsia="仿宋_GB2312" w:cs="仿宋_GB2312"/>
                <w:highlight w:val="none"/>
              </w:rPr>
            </w:pPr>
            <w:r>
              <w:rPr>
                <w:rFonts w:hint="eastAsia" w:ascii="仿宋_GB2312" w:hAnsi="仿宋_GB2312" w:eastAsia="仿宋_GB2312" w:cs="仿宋_GB2312"/>
                <w:highlight w:val="none"/>
              </w:rPr>
              <w:t>——于 年 月 日 时之前不准启封（公章）——</w:t>
            </w:r>
          </w:p>
        </w:tc>
      </w:tr>
    </w:tbl>
    <w:p w14:paraId="27AD17A1">
      <w:pPr>
        <w:rPr>
          <w:rFonts w:ascii="仿宋_GB2312" w:hAnsi="仿宋_GB2312" w:eastAsia="仿宋_GB2312" w:cs="仿宋_GB2312"/>
          <w:highlight w:val="none"/>
        </w:rPr>
      </w:pPr>
    </w:p>
    <w:p w14:paraId="1EBDD242">
      <w:pPr>
        <w:rPr>
          <w:rFonts w:ascii="仿宋_GB2312" w:hAnsi="仿宋_GB2312" w:eastAsia="仿宋_GB2312" w:cs="仿宋_GB2312"/>
          <w:highlight w:val="none"/>
        </w:rPr>
      </w:pPr>
    </w:p>
    <w:p w14:paraId="03E8057A">
      <w:pPr>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br w:type="page"/>
      </w:r>
    </w:p>
    <w:p w14:paraId="4B7DB144">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格式2</w:t>
      </w:r>
    </w:p>
    <w:p w14:paraId="3359A55E">
      <w:pPr>
        <w:jc w:val="center"/>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投标文件的封皮</w:t>
      </w:r>
    </w:p>
    <w:p w14:paraId="0320B17C">
      <w:pPr>
        <w:rPr>
          <w:rFonts w:ascii="仿宋_GB2312" w:hAnsi="仿宋_GB2312" w:eastAsia="仿宋_GB2312" w:cs="仿宋_GB2312"/>
          <w:highlight w:val="none"/>
        </w:rPr>
      </w:pPr>
    </w:p>
    <w:p w14:paraId="304EBDCE">
      <w:pPr>
        <w:rPr>
          <w:rFonts w:ascii="仿宋_GB2312" w:hAnsi="仿宋_GB2312" w:eastAsia="仿宋_GB2312" w:cs="仿宋_GB2312"/>
          <w:highlight w:val="none"/>
        </w:rPr>
      </w:pPr>
    </w:p>
    <w:p w14:paraId="7408B425">
      <w:pPr>
        <w:rPr>
          <w:rFonts w:ascii="仿宋_GB2312" w:hAnsi="仿宋_GB2312" w:eastAsia="仿宋_GB2312" w:cs="仿宋_GB2312"/>
          <w:highlight w:val="none"/>
        </w:rPr>
      </w:pPr>
    </w:p>
    <w:p w14:paraId="25741153">
      <w:pPr>
        <w:rPr>
          <w:rFonts w:ascii="仿宋_GB2312" w:hAnsi="仿宋_GB2312" w:eastAsia="仿宋_GB2312" w:cs="仿宋_GB2312"/>
          <w:highlight w:val="none"/>
        </w:rPr>
      </w:pPr>
    </w:p>
    <w:p w14:paraId="3D0DB37E">
      <w:pPr>
        <w:rPr>
          <w:rFonts w:ascii="仿宋_GB2312" w:hAnsi="仿宋_GB2312" w:eastAsia="仿宋_GB2312" w:cs="仿宋_GB2312"/>
          <w:highlight w:val="none"/>
        </w:rPr>
      </w:pPr>
    </w:p>
    <w:p w14:paraId="78709278">
      <w:pPr>
        <w:rPr>
          <w:rFonts w:ascii="仿宋_GB2312" w:hAnsi="仿宋_GB2312" w:eastAsia="仿宋_GB2312" w:cs="仿宋_GB2312"/>
          <w:highlight w:val="none"/>
        </w:rPr>
      </w:pPr>
    </w:p>
    <w:p w14:paraId="57F1BDF1">
      <w:pPr>
        <w:jc w:val="center"/>
        <w:rPr>
          <w:rFonts w:ascii="仿宋_GB2312" w:hAnsi="仿宋_GB2312" w:eastAsia="仿宋_GB2312" w:cs="仿宋_GB2312"/>
          <w:b/>
          <w:bCs/>
          <w:sz w:val="52"/>
          <w:szCs w:val="52"/>
          <w:highlight w:val="none"/>
        </w:rPr>
      </w:pPr>
      <w:r>
        <w:rPr>
          <w:rFonts w:hint="eastAsia" w:ascii="仿宋_GB2312" w:hAnsi="仿宋_GB2312" w:eastAsia="仿宋_GB2312" w:cs="仿宋_GB2312"/>
          <w:b/>
          <w:bCs/>
          <w:sz w:val="52"/>
          <w:szCs w:val="52"/>
          <w:highlight w:val="none"/>
        </w:rPr>
        <w:t>投  标  文  件</w:t>
      </w:r>
    </w:p>
    <w:p w14:paraId="02B0242B">
      <w:pPr>
        <w:rPr>
          <w:rFonts w:ascii="仿宋_GB2312" w:hAnsi="仿宋_GB2312" w:eastAsia="仿宋_GB2312" w:cs="仿宋_GB2312"/>
          <w:highlight w:val="none"/>
        </w:rPr>
      </w:pPr>
    </w:p>
    <w:p w14:paraId="4DC85594">
      <w:pPr>
        <w:rPr>
          <w:rFonts w:ascii="仿宋_GB2312" w:hAnsi="仿宋_GB2312" w:eastAsia="仿宋_GB2312" w:cs="仿宋_GB2312"/>
          <w:highlight w:val="none"/>
        </w:rPr>
      </w:pPr>
    </w:p>
    <w:p w14:paraId="4EED5C30">
      <w:pPr>
        <w:rPr>
          <w:rFonts w:ascii="仿宋_GB2312" w:hAnsi="仿宋_GB2312" w:eastAsia="仿宋_GB2312" w:cs="仿宋_GB2312"/>
          <w:highlight w:val="none"/>
        </w:rPr>
      </w:pPr>
    </w:p>
    <w:p w14:paraId="1118AA08">
      <w:pPr>
        <w:rPr>
          <w:rFonts w:ascii="仿宋_GB2312" w:hAnsi="仿宋_GB2312" w:eastAsia="仿宋_GB2312" w:cs="仿宋_GB2312"/>
          <w:sz w:val="28"/>
          <w:szCs w:val="28"/>
          <w:highlight w:val="none"/>
        </w:rPr>
      </w:pPr>
    </w:p>
    <w:p w14:paraId="2D8F6B01">
      <w:pPr>
        <w:rPr>
          <w:rFonts w:ascii="仿宋_GB2312" w:hAnsi="仿宋_GB2312" w:eastAsia="仿宋_GB2312" w:cs="仿宋_GB2312"/>
          <w:sz w:val="28"/>
          <w:szCs w:val="28"/>
          <w:highlight w:val="none"/>
        </w:rPr>
      </w:pPr>
    </w:p>
    <w:p w14:paraId="3CD7CC32">
      <w:pPr>
        <w:rPr>
          <w:rFonts w:ascii="仿宋_GB2312" w:hAnsi="仿宋_GB2312" w:eastAsia="仿宋_GB2312" w:cs="仿宋_GB2312"/>
          <w:sz w:val="28"/>
          <w:szCs w:val="28"/>
          <w:highlight w:val="none"/>
        </w:rPr>
      </w:pPr>
    </w:p>
    <w:p w14:paraId="7FC25E44">
      <w:pPr>
        <w:rPr>
          <w:rFonts w:ascii="仿宋_GB2312" w:hAnsi="仿宋_GB2312" w:eastAsia="仿宋_GB2312" w:cs="仿宋_GB2312"/>
          <w:sz w:val="28"/>
          <w:szCs w:val="28"/>
          <w:highlight w:val="none"/>
        </w:rPr>
      </w:pPr>
    </w:p>
    <w:p w14:paraId="395095DA">
      <w:pPr>
        <w:rPr>
          <w:rFonts w:ascii="仿宋_GB2312" w:hAnsi="仿宋_GB2312" w:eastAsia="仿宋_GB2312" w:cs="仿宋_GB2312"/>
          <w:sz w:val="28"/>
          <w:szCs w:val="28"/>
          <w:highlight w:val="none"/>
        </w:rPr>
      </w:pPr>
    </w:p>
    <w:p w14:paraId="61531415">
      <w:pPr>
        <w:rPr>
          <w:rFonts w:ascii="仿宋_GB2312" w:hAnsi="仿宋_GB2312" w:eastAsia="仿宋_GB2312" w:cs="仿宋_GB2312"/>
          <w:sz w:val="28"/>
          <w:szCs w:val="28"/>
          <w:highlight w:val="none"/>
        </w:rPr>
      </w:pPr>
    </w:p>
    <w:p w14:paraId="4941DB21">
      <w:pPr>
        <w:rPr>
          <w:rFonts w:ascii="仿宋_GB2312" w:hAnsi="仿宋_GB2312" w:eastAsia="仿宋_GB2312" w:cs="仿宋_GB2312"/>
          <w:sz w:val="28"/>
          <w:szCs w:val="28"/>
          <w:highlight w:val="none"/>
        </w:rPr>
      </w:pPr>
    </w:p>
    <w:p w14:paraId="71D59EF6">
      <w:pPr>
        <w:rPr>
          <w:rFonts w:ascii="仿宋_GB2312" w:hAnsi="仿宋_GB2312" w:eastAsia="仿宋_GB2312" w:cs="仿宋_GB2312"/>
          <w:sz w:val="28"/>
          <w:szCs w:val="28"/>
          <w:highlight w:val="none"/>
        </w:rPr>
      </w:pPr>
    </w:p>
    <w:p w14:paraId="14B12B4E">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所投包号：第  包</w:t>
      </w:r>
    </w:p>
    <w:p w14:paraId="2D21FBC3">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项目名称：</w:t>
      </w:r>
    </w:p>
    <w:p w14:paraId="5C5B1A96">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项目编号：</w:t>
      </w:r>
    </w:p>
    <w:p w14:paraId="5BDAA8CA">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投标人名称 ：</w:t>
      </w:r>
    </w:p>
    <w:p w14:paraId="4DE38F98">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14:paraId="29AD5E16">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格式3</w:t>
      </w:r>
    </w:p>
    <w:p w14:paraId="577A6366">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bookmarkStart w:id="91" w:name="_Toc21414_WPSOffice_Level2"/>
      <w:bookmarkStart w:id="92" w:name="_Toc2304_WPSOffice_Level2"/>
      <w:r>
        <w:rPr>
          <w:rFonts w:hint="eastAsia" w:ascii="仿宋_GB2312" w:hAnsi="仿宋_GB2312" w:eastAsia="仿宋_GB2312" w:cs="仿宋_GB2312"/>
          <w:b/>
          <w:sz w:val="32"/>
          <w:szCs w:val="32"/>
          <w:highlight w:val="none"/>
        </w:rPr>
        <w:t>目  录</w:t>
      </w:r>
      <w:bookmarkEnd w:id="91"/>
      <w:bookmarkEnd w:id="92"/>
    </w:p>
    <w:p w14:paraId="206998E5">
      <w:pPr>
        <w:rPr>
          <w:rFonts w:ascii="仿宋_GB2312" w:hAnsi="仿宋_GB2312" w:eastAsia="仿宋_GB2312" w:cs="仿宋_GB2312"/>
          <w:highlight w:val="none"/>
        </w:rPr>
      </w:pPr>
      <w:bookmarkStart w:id="93" w:name="_Toc30940_WPSOffice_Level2"/>
      <w:bookmarkStart w:id="94" w:name="_Toc7636_WPSOffice_Level2"/>
      <w:r>
        <w:rPr>
          <w:rFonts w:hint="eastAsia" w:ascii="仿宋_GB2312" w:hAnsi="仿宋_GB2312" w:eastAsia="仿宋_GB2312" w:cs="仿宋_GB2312"/>
          <w:highlight w:val="none"/>
        </w:rPr>
        <w:t>一、资格证明材料</w:t>
      </w:r>
      <w:bookmarkEnd w:id="93"/>
      <w:bookmarkEnd w:id="94"/>
    </w:p>
    <w:p w14:paraId="0F420986">
      <w:pPr>
        <w:rPr>
          <w:rFonts w:ascii="仿宋_GB2312" w:hAnsi="仿宋_GB2312" w:eastAsia="仿宋_GB2312" w:cs="仿宋_GB2312"/>
          <w:highlight w:val="none"/>
        </w:rPr>
      </w:pPr>
      <w:r>
        <w:rPr>
          <w:rFonts w:hint="eastAsia" w:ascii="仿宋_GB2312" w:hAnsi="仿宋_GB2312" w:eastAsia="仿宋_GB2312" w:cs="仿宋_GB2312"/>
          <w:highlight w:val="none"/>
        </w:rPr>
        <w:t>……</w:t>
      </w:r>
    </w:p>
    <w:p w14:paraId="564442C3">
      <w:pPr>
        <w:rPr>
          <w:rFonts w:ascii="仿宋_GB2312" w:hAnsi="仿宋_GB2312" w:eastAsia="仿宋_GB2312" w:cs="仿宋_GB2312"/>
          <w:highlight w:val="none"/>
        </w:rPr>
      </w:pPr>
      <w:bookmarkStart w:id="95" w:name="_Toc13950_WPSOffice_Level2"/>
      <w:bookmarkStart w:id="96" w:name="_Toc31702_WPSOffice_Level2"/>
      <w:r>
        <w:rPr>
          <w:rFonts w:hint="eastAsia" w:ascii="仿宋_GB2312" w:hAnsi="仿宋_GB2312" w:eastAsia="仿宋_GB2312" w:cs="仿宋_GB2312"/>
          <w:highlight w:val="none"/>
        </w:rPr>
        <w:t>二、符合性证明材料</w:t>
      </w:r>
      <w:bookmarkEnd w:id="95"/>
      <w:bookmarkEnd w:id="96"/>
    </w:p>
    <w:p w14:paraId="41CFD5DC">
      <w:pPr>
        <w:rPr>
          <w:rFonts w:ascii="仿宋_GB2312" w:hAnsi="仿宋_GB2312" w:eastAsia="仿宋_GB2312" w:cs="仿宋_GB2312"/>
          <w:highlight w:val="none"/>
        </w:rPr>
      </w:pPr>
      <w:r>
        <w:rPr>
          <w:rFonts w:hint="eastAsia" w:ascii="仿宋_GB2312" w:hAnsi="仿宋_GB2312" w:eastAsia="仿宋_GB2312" w:cs="仿宋_GB2312"/>
          <w:highlight w:val="none"/>
        </w:rPr>
        <w:t>……</w:t>
      </w:r>
    </w:p>
    <w:p w14:paraId="137C7407">
      <w:pPr>
        <w:rPr>
          <w:rFonts w:ascii="仿宋_GB2312" w:hAnsi="仿宋_GB2312" w:eastAsia="仿宋_GB2312" w:cs="仿宋_GB2312"/>
          <w:highlight w:val="none"/>
        </w:rPr>
      </w:pPr>
      <w:bookmarkStart w:id="97" w:name="_Toc9090_WPSOffice_Level2"/>
      <w:bookmarkStart w:id="98" w:name="_Toc14854_WPSOffice_Level2"/>
      <w:r>
        <w:rPr>
          <w:rFonts w:hint="eastAsia" w:ascii="仿宋_GB2312" w:hAnsi="仿宋_GB2312" w:eastAsia="仿宋_GB2312" w:cs="仿宋_GB2312"/>
          <w:highlight w:val="none"/>
        </w:rPr>
        <w:t>三、其它材料</w:t>
      </w:r>
      <w:bookmarkEnd w:id="97"/>
      <w:bookmarkEnd w:id="98"/>
    </w:p>
    <w:p w14:paraId="66C9A3B2">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p>
    <w:p w14:paraId="06614E4F">
      <w:pPr>
        <w:rPr>
          <w:rFonts w:ascii="仿宋_GB2312" w:hAnsi="仿宋_GB2312" w:eastAsia="仿宋_GB2312" w:cs="仿宋_GB2312"/>
          <w:szCs w:val="21"/>
          <w:highlight w:val="none"/>
        </w:rPr>
      </w:pPr>
    </w:p>
    <w:p w14:paraId="42FDA629">
      <w:pPr>
        <w:rPr>
          <w:rFonts w:ascii="仿宋_GB2312" w:hAnsi="仿宋_GB2312" w:eastAsia="仿宋_GB2312" w:cs="仿宋_GB2312"/>
          <w:szCs w:val="21"/>
          <w:highlight w:val="none"/>
        </w:rPr>
      </w:pPr>
    </w:p>
    <w:p w14:paraId="6E2A0476">
      <w:pPr>
        <w:rPr>
          <w:rFonts w:ascii="仿宋_GB2312" w:hAnsi="仿宋_GB2312" w:eastAsia="仿宋_GB2312" w:cs="仿宋_GB2312"/>
          <w:szCs w:val="21"/>
          <w:highlight w:val="none"/>
        </w:rPr>
      </w:pPr>
    </w:p>
    <w:p w14:paraId="4A37DB62">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我单位的投标文件由资格证明材料、符合性证明材料和其它材料三部分组成，在此加盖单位公章并由法定代表人（或非法人组织负责人）或其委托代理人签字，保证投标文件中所有材料真实、有效。</w:t>
      </w:r>
    </w:p>
    <w:p w14:paraId="59AA7FE0">
      <w:pPr>
        <w:rPr>
          <w:rFonts w:ascii="仿宋_GB2312" w:hAnsi="仿宋_GB2312" w:eastAsia="仿宋_GB2312" w:cs="仿宋_GB2312"/>
          <w:highlight w:val="none"/>
        </w:rPr>
      </w:pPr>
    </w:p>
    <w:p w14:paraId="08B5B6E8">
      <w:pPr>
        <w:rPr>
          <w:rFonts w:ascii="仿宋_GB2312" w:hAnsi="仿宋_GB2312" w:eastAsia="仿宋_GB2312" w:cs="仿宋_GB2312"/>
          <w:highlight w:val="none"/>
        </w:rPr>
      </w:pPr>
    </w:p>
    <w:p w14:paraId="7393983F">
      <w:pPr>
        <w:rPr>
          <w:rFonts w:ascii="仿宋_GB2312" w:hAnsi="仿宋_GB2312" w:eastAsia="仿宋_GB2312" w:cs="仿宋_GB2312"/>
          <w:highlight w:val="none"/>
        </w:rPr>
      </w:pPr>
    </w:p>
    <w:p w14:paraId="33F96D99">
      <w:pPr>
        <w:rPr>
          <w:rFonts w:ascii="仿宋_GB2312" w:hAnsi="仿宋_GB2312" w:eastAsia="仿宋_GB2312" w:cs="仿宋_GB2312"/>
          <w:highlight w:val="none"/>
        </w:rPr>
      </w:pPr>
    </w:p>
    <w:p w14:paraId="3D3E7999">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77B5E39E">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其委托代理人(签字或盖章)：</w:t>
      </w:r>
      <w:r>
        <w:rPr>
          <w:rFonts w:hint="eastAsia" w:ascii="仿宋_GB2312" w:hAnsi="仿宋_GB2312" w:eastAsia="仿宋_GB2312" w:cs="仿宋_GB2312"/>
          <w:highlight w:val="none"/>
          <w:u w:val="single"/>
        </w:rPr>
        <w:t xml:space="preserve">           </w:t>
      </w:r>
    </w:p>
    <w:p w14:paraId="69463278">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693833BF">
      <w:pPr>
        <w:pStyle w:val="3"/>
        <w:adjustRightInd w:val="0"/>
        <w:snapToGrid w:val="0"/>
        <w:spacing w:before="0" w:after="0" w:line="240" w:lineRule="auto"/>
        <w:jc w:val="left"/>
        <w:rPr>
          <w:rFonts w:ascii="仿宋_GB2312" w:hAnsi="仿宋_GB2312" w:eastAsia="仿宋_GB2312" w:cs="仿宋_GB2312"/>
          <w:b w:val="0"/>
          <w:bCs/>
          <w:sz w:val="32"/>
          <w:szCs w:val="32"/>
          <w:highlight w:val="none"/>
        </w:rPr>
      </w:pPr>
      <w:r>
        <w:rPr>
          <w:rFonts w:hint="eastAsia" w:ascii="仿宋_GB2312" w:hAnsi="仿宋_GB2312" w:eastAsia="仿宋_GB2312" w:cs="仿宋_GB2312"/>
          <w:highlight w:val="none"/>
        </w:rPr>
        <w:br w:type="page"/>
      </w:r>
      <w:r>
        <w:rPr>
          <w:rFonts w:hint="eastAsia" w:ascii="仿宋_GB2312" w:hAnsi="仿宋_GB2312" w:eastAsia="仿宋_GB2312" w:cs="仿宋_GB2312"/>
          <w:szCs w:val="28"/>
          <w:highlight w:val="none"/>
        </w:rPr>
        <w:t>格式4</w:t>
      </w:r>
      <w:bookmarkStart w:id="99" w:name="_Toc16924_WPSOffice_Level2"/>
      <w:bookmarkStart w:id="100" w:name="_Toc3401_WPSOffice_Level2"/>
    </w:p>
    <w:p w14:paraId="5A43EAD6">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法定代表人（或非法人组织负责人）身份证明书</w:t>
      </w:r>
      <w:bookmarkEnd w:id="99"/>
      <w:bookmarkEnd w:id="100"/>
    </w:p>
    <w:p w14:paraId="4663DEC5">
      <w:pPr>
        <w:spacing w:line="360" w:lineRule="auto"/>
        <w:ind w:firstLine="840" w:firstLineChars="4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，性别：</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，出生日期：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，现任职务：</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，系</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（投标人名称）的法定代表人（或非法人组织负责人）。</w:t>
      </w:r>
    </w:p>
    <w:p w14:paraId="0D91398B">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w:t>
      </w:r>
    </w:p>
    <w:p w14:paraId="3696D811">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特此证明。</w:t>
      </w:r>
    </w:p>
    <w:p w14:paraId="264E7CBD">
      <w:pPr>
        <w:rPr>
          <w:rFonts w:ascii="仿宋_GB2312" w:hAnsi="仿宋_GB2312" w:eastAsia="仿宋_GB2312" w:cs="仿宋_GB2312"/>
          <w:szCs w:val="21"/>
          <w:highlight w:val="none"/>
        </w:rPr>
      </w:pPr>
    </w:p>
    <w:p w14:paraId="21DFC4B6">
      <w:pPr>
        <w:rPr>
          <w:rFonts w:ascii="仿宋_GB2312" w:hAnsi="仿宋_GB2312" w:eastAsia="仿宋_GB2312" w:cs="仿宋_GB2312"/>
          <w:szCs w:val="21"/>
          <w:highlight w:val="none"/>
        </w:rPr>
      </w:pPr>
    </w:p>
    <w:p w14:paraId="64A3A326">
      <w:pPr>
        <w:rPr>
          <w:rFonts w:ascii="仿宋_GB2312" w:hAnsi="仿宋_GB2312" w:eastAsia="仿宋_GB2312" w:cs="仿宋_GB2312"/>
          <w:szCs w:val="21"/>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7C7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5E946BB3">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（※法定代表人（或非法人组织负责人）身份证正、反面</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w:t>
            </w:r>
          </w:p>
        </w:tc>
      </w:tr>
    </w:tbl>
    <w:p w14:paraId="7B07130A">
      <w:pPr>
        <w:rPr>
          <w:rFonts w:ascii="仿宋_GB2312" w:hAnsi="仿宋_GB2312" w:eastAsia="仿宋_GB2312" w:cs="仿宋_GB2312"/>
          <w:szCs w:val="21"/>
          <w:highlight w:val="none"/>
        </w:rPr>
      </w:pPr>
    </w:p>
    <w:p w14:paraId="5202CDCA">
      <w:pPr>
        <w:rPr>
          <w:rFonts w:ascii="仿宋_GB2312" w:hAnsi="仿宋_GB2312" w:eastAsia="仿宋_GB2312" w:cs="仿宋_GB2312"/>
          <w:szCs w:val="21"/>
          <w:highlight w:val="none"/>
        </w:rPr>
      </w:pPr>
    </w:p>
    <w:p w14:paraId="5A3C0EB6">
      <w:pPr>
        <w:rPr>
          <w:rFonts w:ascii="仿宋_GB2312" w:hAnsi="仿宋_GB2312" w:eastAsia="仿宋_GB2312" w:cs="仿宋_GB2312"/>
          <w:szCs w:val="21"/>
          <w:highlight w:val="none"/>
        </w:rPr>
      </w:pPr>
    </w:p>
    <w:p w14:paraId="658F7F09">
      <w:pPr>
        <w:rPr>
          <w:rFonts w:ascii="仿宋_GB2312" w:hAnsi="仿宋_GB2312" w:eastAsia="仿宋_GB2312" w:cs="仿宋_GB2312"/>
          <w:szCs w:val="21"/>
          <w:highlight w:val="none"/>
        </w:rPr>
      </w:pPr>
    </w:p>
    <w:p w14:paraId="0ECF814C">
      <w:pPr>
        <w:rPr>
          <w:rFonts w:ascii="仿宋_GB2312" w:hAnsi="仿宋_GB2312" w:eastAsia="仿宋_GB2312" w:cs="仿宋_GB2312"/>
          <w:szCs w:val="21"/>
          <w:highlight w:val="none"/>
        </w:rPr>
      </w:pPr>
    </w:p>
    <w:p w14:paraId="760661E4">
      <w:pPr>
        <w:rPr>
          <w:rFonts w:ascii="仿宋_GB2312" w:hAnsi="仿宋_GB2312" w:eastAsia="仿宋_GB2312" w:cs="仿宋_GB2312"/>
          <w:szCs w:val="21"/>
          <w:highlight w:val="none"/>
        </w:rPr>
      </w:pPr>
    </w:p>
    <w:p w14:paraId="492263F8">
      <w:pPr>
        <w:rPr>
          <w:rFonts w:ascii="仿宋_GB2312" w:hAnsi="仿宋_GB2312" w:eastAsia="仿宋_GB2312" w:cs="仿宋_GB2312"/>
          <w:szCs w:val="21"/>
          <w:highlight w:val="none"/>
        </w:rPr>
      </w:pPr>
    </w:p>
    <w:p w14:paraId="104D735F">
      <w:pPr>
        <w:spacing w:line="480" w:lineRule="auto"/>
        <w:rPr>
          <w:rFonts w:ascii="仿宋_GB2312" w:hAnsi="仿宋_GB2312" w:eastAsia="仿宋_GB2312" w:cs="仿宋_GB2312"/>
          <w:highlight w:val="none"/>
          <w:u w:val="singl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2E703333">
      <w:pPr>
        <w:rPr>
          <w:rFonts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2464A259">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2A143F61">
      <w:pPr>
        <w:pStyle w:val="3"/>
        <w:adjustRightInd w:val="0"/>
        <w:snapToGrid w:val="0"/>
        <w:spacing w:before="0" w:after="0" w:line="240" w:lineRule="auto"/>
        <w:jc w:val="left"/>
        <w:rPr>
          <w:rFonts w:ascii="仿宋_GB2312" w:hAnsi="仿宋_GB2312" w:eastAsia="仿宋_GB2312" w:cs="仿宋_GB2312"/>
          <w:b w:val="0"/>
          <w:bCs/>
          <w:sz w:val="32"/>
          <w:szCs w:val="32"/>
          <w:highlight w:val="none"/>
        </w:rPr>
      </w:pPr>
      <w:r>
        <w:rPr>
          <w:rFonts w:hint="eastAsia" w:ascii="仿宋_GB2312" w:hAnsi="仿宋_GB2312" w:eastAsia="仿宋_GB2312" w:cs="仿宋_GB2312"/>
          <w:szCs w:val="28"/>
          <w:highlight w:val="none"/>
        </w:rPr>
        <w:t>格式5</w:t>
      </w:r>
      <w:bookmarkStart w:id="101" w:name="_Toc122_WPSOffice_Level2"/>
      <w:bookmarkStart w:id="102" w:name="_Toc21833_WPSOffice_Level2"/>
    </w:p>
    <w:p w14:paraId="60276CBB">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法定代表人（或非法人组织负责人）授权委托书</w:t>
      </w:r>
      <w:bookmarkEnd w:id="101"/>
      <w:bookmarkEnd w:id="102"/>
    </w:p>
    <w:p w14:paraId="7FF64143">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单位名称：</w:t>
      </w:r>
      <w:r>
        <w:rPr>
          <w:rFonts w:hint="eastAsia" w:ascii="仿宋_GB2312" w:hAnsi="仿宋_GB2312" w:eastAsia="仿宋_GB2312" w:cs="仿宋_GB2312"/>
          <w:szCs w:val="21"/>
          <w:highlight w:val="none"/>
          <w:u w:val="single"/>
        </w:rPr>
        <w:t xml:space="preserve">                </w:t>
      </w:r>
    </w:p>
    <w:p w14:paraId="7B4DB55D">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法定代表人（或非法人组织负责人）姓名：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14:paraId="7F72CB38">
      <w:pPr>
        <w:tabs>
          <w:tab w:val="left" w:pos="5205"/>
        </w:tabs>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住所地：</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rPr>
        <w:tab/>
      </w:r>
    </w:p>
    <w:p w14:paraId="7104472D">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委托代理人姓名：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14:paraId="37D4044F">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工作单位：</w:t>
      </w:r>
      <w:r>
        <w:rPr>
          <w:rFonts w:hint="eastAsia" w:ascii="仿宋_GB2312" w:hAnsi="仿宋_GB2312" w:eastAsia="仿宋_GB2312" w:cs="仿宋_GB2312"/>
          <w:szCs w:val="21"/>
          <w:highlight w:val="none"/>
          <w:u w:val="single"/>
        </w:rPr>
        <w:t xml:space="preserve">                  </w:t>
      </w:r>
    </w:p>
    <w:p w14:paraId="3F56E72B">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电话：</w:t>
      </w:r>
      <w:r>
        <w:rPr>
          <w:rFonts w:hint="eastAsia" w:ascii="仿宋_GB2312" w:hAnsi="仿宋_GB2312" w:eastAsia="仿宋_GB2312" w:cs="仿宋_GB2312"/>
          <w:szCs w:val="21"/>
          <w:highlight w:val="none"/>
          <w:u w:val="single"/>
        </w:rPr>
        <w:t xml:space="preserve">               </w:t>
      </w:r>
    </w:p>
    <w:p w14:paraId="44A19D57">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现委托</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就</w:t>
      </w:r>
      <w:r>
        <w:rPr>
          <w:rFonts w:hint="eastAsia" w:ascii="仿宋_GB2312" w:hAnsi="仿宋_GB2312" w:eastAsia="仿宋_GB2312" w:cs="仿宋_GB2312"/>
          <w:szCs w:val="21"/>
          <w:highlight w:val="none"/>
          <w:u w:val="single"/>
        </w:rPr>
        <w:t>（项目编号、项目名称、包号）</w:t>
      </w:r>
      <w:r>
        <w:rPr>
          <w:rFonts w:hint="eastAsia" w:ascii="仿宋_GB2312" w:hAnsi="仿宋_GB2312" w:eastAsia="仿宋_GB2312" w:cs="仿宋_GB2312"/>
          <w:szCs w:val="21"/>
          <w:highlight w:val="none"/>
        </w:rPr>
        <w:t>投标中，以我单位名义处理一切与之有关的事务。</w:t>
      </w:r>
    </w:p>
    <w:p w14:paraId="0B7E3558">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本授权书于</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日签字或盖章生效，无转委托，特此声明。</w:t>
      </w:r>
    </w:p>
    <w:p w14:paraId="7D4E11A4">
      <w:pPr>
        <w:spacing w:line="360" w:lineRule="auto"/>
        <w:rPr>
          <w:rFonts w:ascii="仿宋_GB2312" w:hAnsi="仿宋_GB2312" w:eastAsia="仿宋_GB2312" w:cs="仿宋_GB2312"/>
          <w:szCs w:val="21"/>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7033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6ABAAC4D">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（※委托代理人身份证正、反面</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w:t>
            </w:r>
          </w:p>
        </w:tc>
      </w:tr>
    </w:tbl>
    <w:p w14:paraId="075DF486">
      <w:pPr>
        <w:spacing w:line="360" w:lineRule="auto"/>
        <w:rPr>
          <w:rFonts w:ascii="仿宋_GB2312" w:hAnsi="仿宋_GB2312" w:eastAsia="仿宋_GB2312" w:cs="仿宋_GB2312"/>
          <w:szCs w:val="21"/>
          <w:highlight w:val="none"/>
        </w:rPr>
      </w:pPr>
    </w:p>
    <w:p w14:paraId="56905563">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委托人（加盖单位公章）：</w:t>
      </w:r>
      <w:r>
        <w:rPr>
          <w:rFonts w:hint="eastAsia" w:ascii="仿宋_GB2312" w:hAnsi="仿宋_GB2312" w:eastAsia="仿宋_GB2312" w:cs="仿宋_GB2312"/>
          <w:szCs w:val="21"/>
          <w:highlight w:val="none"/>
          <w:u w:val="single"/>
        </w:rPr>
        <w:t xml:space="preserve">              </w:t>
      </w:r>
    </w:p>
    <w:p w14:paraId="45FC42D6">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法定代表人（或非法人组织负责人）（签字或盖章）：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14:paraId="1A5D20C0">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委托代理人（签字或盖章）：</w:t>
      </w:r>
      <w:r>
        <w:rPr>
          <w:rFonts w:hint="eastAsia" w:ascii="仿宋_GB2312" w:hAnsi="仿宋_GB2312" w:eastAsia="仿宋_GB2312" w:cs="仿宋_GB2312"/>
          <w:szCs w:val="21"/>
          <w:highlight w:val="none"/>
          <w:u w:val="single"/>
        </w:rPr>
        <w:t xml:space="preserve">              </w:t>
      </w:r>
    </w:p>
    <w:p w14:paraId="72C4B729">
      <w:pPr>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详细通讯地址：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14:paraId="4CC396E3">
      <w:pPr>
        <w:spacing w:line="360" w:lineRule="auto"/>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电     话：</w:t>
      </w:r>
      <w:r>
        <w:rPr>
          <w:rFonts w:hint="eastAsia" w:ascii="仿宋_GB2312" w:hAnsi="仿宋_GB2312" w:eastAsia="仿宋_GB2312" w:cs="仿宋_GB2312"/>
          <w:szCs w:val="21"/>
          <w:highlight w:val="none"/>
          <w:u w:val="single"/>
        </w:rPr>
        <w:t xml:space="preserve">              </w:t>
      </w:r>
    </w:p>
    <w:p w14:paraId="743BCC15">
      <w:pPr>
        <w:spacing w:line="360" w:lineRule="auto"/>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1DEAA203">
      <w:pPr>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p>
    <w:p w14:paraId="77BA2D13">
      <w:pPr>
        <w:pStyle w:val="3"/>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格式6</w:t>
      </w:r>
    </w:p>
    <w:p w14:paraId="04A64ECB">
      <w:pPr>
        <w:spacing w:before="319" w:beforeLines="100" w:after="319" w:afterLines="100" w:line="360" w:lineRule="auto"/>
        <w:ind w:right="-21" w:rightChars="-10"/>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资格证明材料承诺函</w:t>
      </w:r>
    </w:p>
    <w:p w14:paraId="7587AD58">
      <w:pPr>
        <w:rPr>
          <w:rFonts w:hint="eastAsia"/>
          <w:highlight w:val="none"/>
        </w:rPr>
      </w:pPr>
    </w:p>
    <w:p w14:paraId="67F61E82">
      <w:pPr>
        <w:adjustRightInd w:val="0"/>
        <w:snapToGrid w:val="0"/>
        <w:spacing w:line="360" w:lineRule="auto"/>
        <w:ind w:right="630" w:rightChars="300"/>
        <w:rPr>
          <w:rFonts w:hint="eastAsia" w:ascii="仿宋_GB2312" w:hAnsi="仿宋_GB2312" w:eastAsia="仿宋_GB2312" w:cs="仿宋_GB2312"/>
          <w:szCs w:val="21"/>
          <w:highlight w:val="none"/>
          <w:u w:val="single"/>
        </w:rPr>
      </w:pPr>
      <w:r>
        <w:rPr>
          <w:rFonts w:hint="eastAsia" w:ascii="仿宋_GB2312" w:hAnsi="仿宋_GB2312" w:eastAsia="仿宋_GB2312" w:cs="仿宋_GB2312"/>
          <w:b/>
          <w:szCs w:val="21"/>
          <w:highlight w:val="none"/>
          <w:u w:val="single"/>
        </w:rPr>
        <w:t>（采购人或采购代理机构名称）：</w:t>
      </w:r>
    </w:p>
    <w:p w14:paraId="1A823732">
      <w:pPr>
        <w:adjustRightInd w:val="0"/>
        <w:snapToGrid w:val="0"/>
        <w:spacing w:line="360" w:lineRule="auto"/>
        <w:ind w:right="630" w:rightChars="300"/>
        <w:rPr>
          <w:rFonts w:hint="eastAsia" w:ascii="仿宋_GB2312" w:hAnsi="仿宋_GB2312" w:eastAsia="仿宋_GB2312" w:cs="仿宋_GB2312"/>
          <w:szCs w:val="21"/>
          <w:highlight w:val="none"/>
          <w:u w:val="single"/>
        </w:rPr>
      </w:pPr>
    </w:p>
    <w:p w14:paraId="4FA308E5">
      <w:pPr>
        <w:adjustRightInd w:val="0"/>
        <w:snapToGrid w:val="0"/>
        <w:spacing w:line="360" w:lineRule="auto"/>
        <w:ind w:right="-21" w:rightChars="-10" w:firstLine="420" w:firstLineChars="200"/>
        <w:rPr>
          <w:rFonts w:hint="eastAsia" w:ascii="CESI仿宋-GB2312" w:hAnsi="CESI仿宋-GB2312" w:eastAsia="CESI仿宋-GB2312" w:cs="CESI仿宋-GB2312"/>
          <w:szCs w:val="21"/>
          <w:highlight w:val="none"/>
        </w:rPr>
      </w:pPr>
      <w:r>
        <w:rPr>
          <w:rFonts w:hint="eastAsia" w:ascii="CESI仿宋-GB2312" w:hAnsi="CESI仿宋-GB2312" w:eastAsia="CESI仿宋-GB2312" w:cs="CESI仿宋-GB2312"/>
          <w:szCs w:val="21"/>
          <w:highlight w:val="none"/>
        </w:rPr>
        <w:t>我方承诺：</w:t>
      </w:r>
    </w:p>
    <w:p w14:paraId="4ECB9FD6">
      <w:pPr>
        <w:numPr>
          <w:ilvl w:val="0"/>
          <w:numId w:val="3"/>
        </w:numPr>
        <w:adjustRightInd w:val="0"/>
        <w:snapToGrid w:val="0"/>
        <w:spacing w:line="360" w:lineRule="auto"/>
        <w:ind w:right="-21" w:rightChars="-10" w:firstLine="420" w:firstLineChars="200"/>
        <w:rPr>
          <w:rFonts w:hint="eastAsia" w:ascii="CESI仿宋-GB2312" w:hAnsi="CESI仿宋-GB2312" w:eastAsia="CESI仿宋-GB2312" w:cs="CESI仿宋-GB2312"/>
          <w:szCs w:val="21"/>
          <w:highlight w:val="none"/>
        </w:rPr>
      </w:pPr>
      <w:r>
        <w:rPr>
          <w:rFonts w:hint="eastAsia" w:ascii="CESI仿宋-GB2312" w:hAnsi="CESI仿宋-GB2312" w:eastAsia="CESI仿宋-GB2312" w:cs="CESI仿宋-GB2312"/>
          <w:szCs w:val="21"/>
          <w:highlight w:val="none"/>
        </w:rPr>
        <w:t>我方具有独立承担民事责任的能力；</w:t>
      </w:r>
    </w:p>
    <w:p w14:paraId="620AC2A7">
      <w:pPr>
        <w:adjustRightInd w:val="0"/>
        <w:snapToGrid w:val="0"/>
        <w:spacing w:line="360" w:lineRule="auto"/>
        <w:ind w:right="-21" w:rightChars="-10" w:firstLine="420" w:firstLineChars="200"/>
        <w:rPr>
          <w:rFonts w:hint="eastAsia" w:ascii="CESI仿宋-GB2312" w:hAnsi="CESI仿宋-GB2312" w:eastAsia="CESI仿宋-GB2312" w:cs="CESI仿宋-GB2312"/>
          <w:szCs w:val="21"/>
          <w:highlight w:val="none"/>
        </w:rPr>
      </w:pPr>
      <w:r>
        <w:rPr>
          <w:rFonts w:hint="eastAsia" w:ascii="CESI仿宋-GB2312" w:hAnsi="CESI仿宋-GB2312" w:eastAsia="CESI仿宋-GB2312" w:cs="CESI仿宋-GB2312"/>
          <w:szCs w:val="21"/>
          <w:highlight w:val="none"/>
        </w:rPr>
        <w:t>（2）我方具有良好的商业信誉和健全的财务会计制度；</w:t>
      </w:r>
    </w:p>
    <w:p w14:paraId="0281CFBD">
      <w:pPr>
        <w:spacing w:line="360" w:lineRule="auto"/>
        <w:ind w:firstLine="420" w:firstLineChars="200"/>
        <w:rPr>
          <w:rFonts w:hint="eastAsia" w:ascii="CESI仿宋-GB2312" w:hAnsi="CESI仿宋-GB2312" w:eastAsia="CESI仿宋-GB2312" w:cs="CESI仿宋-GB2312"/>
          <w:szCs w:val="21"/>
          <w:highlight w:val="none"/>
        </w:rPr>
      </w:pPr>
      <w:r>
        <w:rPr>
          <w:rFonts w:hint="eastAsia" w:ascii="CESI仿宋-GB2312" w:hAnsi="CESI仿宋-GB2312" w:eastAsia="CESI仿宋-GB2312" w:cs="CESI仿宋-GB2312"/>
          <w:szCs w:val="21"/>
          <w:highlight w:val="none"/>
        </w:rPr>
        <w:t>（3）我方具有履行合同所必需的设备和专业技术能力；</w:t>
      </w:r>
    </w:p>
    <w:p w14:paraId="0B41A294">
      <w:pPr>
        <w:spacing w:line="360" w:lineRule="auto"/>
        <w:ind w:firstLine="420" w:firstLineChars="200"/>
        <w:rPr>
          <w:rFonts w:hint="eastAsia" w:ascii="CESI仿宋-GB2312" w:hAnsi="CESI仿宋-GB2312" w:eastAsia="CESI仿宋-GB2312" w:cs="CESI仿宋-GB2312"/>
          <w:szCs w:val="21"/>
          <w:highlight w:val="none"/>
        </w:rPr>
      </w:pPr>
      <w:r>
        <w:rPr>
          <w:rFonts w:hint="eastAsia" w:ascii="CESI仿宋-GB2312" w:hAnsi="CESI仿宋-GB2312" w:eastAsia="CESI仿宋-GB2312" w:cs="CESI仿宋-GB2312"/>
          <w:szCs w:val="21"/>
          <w:highlight w:val="none"/>
        </w:rPr>
        <w:t>（4）我方有依法缴纳税收和社会保障资金的良好记录；</w:t>
      </w:r>
    </w:p>
    <w:p w14:paraId="1142903E">
      <w:pPr>
        <w:spacing w:line="360" w:lineRule="auto"/>
        <w:ind w:firstLine="420" w:firstLineChars="200"/>
        <w:rPr>
          <w:rFonts w:hint="eastAsia" w:ascii="CESI仿宋-GB2312" w:hAnsi="CESI仿宋-GB2312" w:eastAsia="CESI仿宋-GB2312" w:cs="CESI仿宋-GB2312"/>
          <w:szCs w:val="21"/>
          <w:highlight w:val="none"/>
        </w:rPr>
      </w:pPr>
      <w:r>
        <w:rPr>
          <w:rFonts w:hint="eastAsia" w:ascii="CESI仿宋-GB2312" w:hAnsi="CESI仿宋-GB2312" w:eastAsia="CESI仿宋-GB2312" w:cs="CESI仿宋-GB2312"/>
          <w:szCs w:val="21"/>
          <w:highlight w:val="none"/>
        </w:rPr>
        <w:t>（5）我方参加政府采购活动前三年内，在经营活动中没有重大违法记录。</w:t>
      </w:r>
    </w:p>
    <w:p w14:paraId="7E275EE0">
      <w:pPr>
        <w:spacing w:line="360" w:lineRule="auto"/>
        <w:ind w:firstLine="420" w:firstLineChars="200"/>
        <w:rPr>
          <w:rFonts w:hint="eastAsia" w:ascii="CESI仿宋-GB2312" w:hAnsi="CESI仿宋-GB2312" w:eastAsia="CESI仿宋-GB2312" w:cs="CESI仿宋-GB2312"/>
          <w:szCs w:val="21"/>
          <w:highlight w:val="none"/>
        </w:rPr>
      </w:pPr>
    </w:p>
    <w:p w14:paraId="09D31209">
      <w:pPr>
        <w:adjustRightInd w:val="0"/>
        <w:snapToGrid w:val="0"/>
        <w:spacing w:line="360" w:lineRule="auto"/>
        <w:ind w:right="-21" w:rightChars="-10" w:firstLine="420" w:firstLineChars="200"/>
        <w:rPr>
          <w:rFonts w:hint="eastAsia" w:ascii="CESI仿宋-GB2312" w:hAnsi="CESI仿宋-GB2312" w:eastAsia="CESI仿宋-GB2312" w:cs="CESI仿宋-GB2312"/>
          <w:szCs w:val="21"/>
          <w:highlight w:val="none"/>
        </w:rPr>
      </w:pPr>
      <w:r>
        <w:rPr>
          <w:rFonts w:hint="eastAsia" w:ascii="CESI仿宋-GB2312" w:hAnsi="CESI仿宋-GB2312" w:eastAsia="CESI仿宋-GB2312" w:cs="CESI仿宋-GB2312"/>
          <w:szCs w:val="21"/>
          <w:highlight w:val="none"/>
        </w:rPr>
        <w:t>以上承诺，如有违反，愿依照国家相关法律法规处理，并承担由此给采购人带来的损失。</w:t>
      </w:r>
    </w:p>
    <w:p w14:paraId="218A1F1B">
      <w:pPr>
        <w:spacing w:line="360" w:lineRule="auto"/>
        <w:ind w:firstLine="420" w:firstLineChars="200"/>
        <w:rPr>
          <w:rFonts w:hint="eastAsia" w:ascii="CESI仿宋-GB2312" w:hAnsi="CESI仿宋-GB2312" w:eastAsia="CESI仿宋-GB2312" w:cs="CESI仿宋-GB2312"/>
          <w:szCs w:val="21"/>
          <w:highlight w:val="none"/>
        </w:rPr>
      </w:pPr>
    </w:p>
    <w:p w14:paraId="10566059">
      <w:pPr>
        <w:rPr>
          <w:highlight w:val="none"/>
        </w:rPr>
      </w:pPr>
    </w:p>
    <w:p w14:paraId="11B29D8A">
      <w:pPr>
        <w:pStyle w:val="33"/>
        <w:ind w:firstLine="210"/>
        <w:rPr>
          <w:highlight w:val="none"/>
        </w:rPr>
      </w:pPr>
    </w:p>
    <w:p w14:paraId="71508AA4">
      <w:pPr>
        <w:pStyle w:val="33"/>
        <w:ind w:firstLine="210"/>
        <w:rPr>
          <w:highlight w:val="none"/>
        </w:rPr>
      </w:pPr>
    </w:p>
    <w:p w14:paraId="26897398">
      <w:pPr>
        <w:pStyle w:val="33"/>
        <w:ind w:firstLine="0" w:firstLineChars="0"/>
        <w:rPr>
          <w:highlight w:val="none"/>
        </w:rPr>
      </w:pPr>
    </w:p>
    <w:p w14:paraId="7B67C5D9">
      <w:pPr>
        <w:pStyle w:val="33"/>
        <w:ind w:firstLine="210"/>
        <w:rPr>
          <w:highlight w:val="none"/>
        </w:rPr>
      </w:pPr>
    </w:p>
    <w:p w14:paraId="0C590EA5">
      <w:pPr>
        <w:pStyle w:val="33"/>
        <w:ind w:firstLine="210"/>
        <w:rPr>
          <w:highlight w:val="none"/>
        </w:rPr>
      </w:pPr>
    </w:p>
    <w:p w14:paraId="6914A81B">
      <w:pPr>
        <w:pStyle w:val="33"/>
        <w:ind w:firstLine="210"/>
        <w:rPr>
          <w:highlight w:val="none"/>
        </w:rPr>
      </w:pPr>
    </w:p>
    <w:p w14:paraId="7D8C7916">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6B4FC587">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委托代理人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0C125EE9">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2CF9D90E">
      <w:pPr>
        <w:rPr>
          <w:rFonts w:ascii="仿宋_GB2312" w:hAnsi="仿宋_GB2312" w:eastAsia="仿宋_GB2312" w:cs="仿宋_GB2312"/>
          <w:szCs w:val="28"/>
          <w:highlight w:val="none"/>
        </w:rPr>
      </w:pPr>
    </w:p>
    <w:p w14:paraId="426E3187">
      <w:pPr>
        <w:pStyle w:val="33"/>
        <w:ind w:firstLine="210"/>
        <w:rPr>
          <w:highlight w:val="none"/>
        </w:rPr>
      </w:pPr>
    </w:p>
    <w:p w14:paraId="20957188">
      <w:pPr>
        <w:adjustRightInd w:val="0"/>
        <w:snapToGrid w:val="0"/>
        <w:spacing w:line="360" w:lineRule="auto"/>
        <w:ind w:right="105" w:rightChars="50"/>
        <w:jc w:val="left"/>
        <w:rPr>
          <w:rFonts w:ascii="仿宋_GB2312" w:hAnsi="仿宋_GB2312" w:eastAsia="仿宋_GB2312" w:cs="仿宋_GB2312"/>
          <w:highlight w:val="none"/>
          <w:u w:val="single"/>
        </w:rPr>
      </w:pPr>
    </w:p>
    <w:p w14:paraId="172F62C2">
      <w:pPr>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p>
    <w:p w14:paraId="2EF99A6E">
      <w:pPr>
        <w:pStyle w:val="3"/>
        <w:adjustRightInd w:val="0"/>
        <w:snapToGrid w:val="0"/>
        <w:spacing w:before="0" w:after="0" w:line="240" w:lineRule="auto"/>
        <w:jc w:val="left"/>
        <w:rPr>
          <w:rFonts w:hint="eastAsia" w:ascii="仿宋_GB2312" w:hAnsi="仿宋_GB2312" w:eastAsia="仿宋_GB2312" w:cs="仿宋_GB2312"/>
          <w:szCs w:val="28"/>
          <w:highlight w:val="none"/>
          <w:lang w:val="en-US" w:eastAsia="zh-CN"/>
        </w:rPr>
      </w:pPr>
      <w:r>
        <w:rPr>
          <w:rFonts w:hint="eastAsia" w:ascii="仿宋_GB2312" w:hAnsi="仿宋_GB2312" w:eastAsia="仿宋_GB2312" w:cs="仿宋_GB2312"/>
          <w:szCs w:val="28"/>
          <w:highlight w:val="none"/>
        </w:rPr>
        <w:t>格式</w:t>
      </w:r>
      <w:r>
        <w:rPr>
          <w:rFonts w:hint="eastAsia" w:ascii="仿宋_GB2312" w:hAnsi="仿宋_GB2312" w:eastAsia="仿宋_GB2312" w:cs="仿宋_GB2312"/>
          <w:szCs w:val="28"/>
          <w:highlight w:val="none"/>
          <w:lang w:val="en-US" w:eastAsia="zh-CN"/>
        </w:rPr>
        <w:t>7</w:t>
      </w:r>
    </w:p>
    <w:p w14:paraId="6EB06C31">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bookmarkStart w:id="103" w:name="_Toc24841_WPSOffice_Level2"/>
      <w:bookmarkStart w:id="104" w:name="_Toc14782_WPSOffice_Level2"/>
      <w:r>
        <w:rPr>
          <w:rFonts w:hint="eastAsia" w:ascii="仿宋_GB2312" w:hAnsi="仿宋_GB2312" w:eastAsia="仿宋_GB2312" w:cs="仿宋_GB2312"/>
          <w:b/>
          <w:sz w:val="32"/>
          <w:szCs w:val="32"/>
          <w:highlight w:val="none"/>
        </w:rPr>
        <w:t>投标函</w:t>
      </w:r>
      <w:bookmarkEnd w:id="103"/>
      <w:bookmarkEnd w:id="104"/>
    </w:p>
    <w:p w14:paraId="2E00EDA0">
      <w:pPr>
        <w:pStyle w:val="11"/>
        <w:spacing w:line="360" w:lineRule="auto"/>
        <w:rPr>
          <w:rFonts w:ascii="仿宋_GB2312" w:hAnsi="仿宋_GB2312" w:eastAsia="仿宋_GB2312" w:cs="仿宋_GB2312"/>
          <w:highlight w:val="none"/>
        </w:rPr>
      </w:pPr>
      <w:r>
        <w:rPr>
          <w:rFonts w:hint="eastAsia" w:ascii="仿宋_GB2312" w:hAnsi="仿宋_GB2312" w:eastAsia="仿宋_GB2312" w:cs="仿宋_GB2312"/>
          <w:b/>
          <w:highlight w:val="none"/>
          <w:u w:val="single"/>
        </w:rPr>
        <w:t>（采购人或采购代理机构名称）</w:t>
      </w:r>
      <w:r>
        <w:rPr>
          <w:rFonts w:hint="eastAsia" w:ascii="仿宋_GB2312" w:hAnsi="仿宋_GB2312" w:eastAsia="仿宋_GB2312" w:cs="仿宋_GB2312"/>
          <w:highlight w:val="none"/>
        </w:rPr>
        <w:t>：</w:t>
      </w:r>
    </w:p>
    <w:p w14:paraId="55FBB8F7">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根据贵方</w:t>
      </w:r>
      <w:r>
        <w:rPr>
          <w:rFonts w:hint="eastAsia" w:ascii="仿宋_GB2312" w:hAnsi="仿宋_GB2312" w:eastAsia="仿宋_GB2312" w:cs="仿宋_GB2312"/>
          <w:szCs w:val="21"/>
          <w:highlight w:val="none"/>
          <w:u w:val="single"/>
        </w:rPr>
        <w:t>(项目名称)</w:t>
      </w:r>
      <w:r>
        <w:rPr>
          <w:rFonts w:hint="eastAsia" w:ascii="仿宋_GB2312" w:hAnsi="仿宋_GB2312" w:eastAsia="仿宋_GB2312" w:cs="仿宋_GB2312"/>
          <w:szCs w:val="21"/>
          <w:highlight w:val="none"/>
        </w:rPr>
        <w:t>项目的招标公告</w:t>
      </w:r>
      <w:r>
        <w:rPr>
          <w:rFonts w:hint="eastAsia" w:ascii="仿宋_GB2312" w:hAnsi="仿宋_GB2312" w:eastAsia="仿宋_GB2312" w:cs="仿宋_GB2312"/>
          <w:szCs w:val="21"/>
          <w:highlight w:val="none"/>
          <w:u w:val="single"/>
        </w:rPr>
        <w:t>(项目编号)</w:t>
      </w:r>
      <w:r>
        <w:rPr>
          <w:rFonts w:hint="eastAsia" w:ascii="仿宋_GB2312" w:hAnsi="仿宋_GB2312" w:eastAsia="仿宋_GB2312" w:cs="仿宋_GB2312"/>
          <w:szCs w:val="21"/>
          <w:highlight w:val="none"/>
        </w:rPr>
        <w:t>,签字代表</w:t>
      </w:r>
      <w:r>
        <w:rPr>
          <w:rFonts w:hint="eastAsia" w:ascii="仿宋_GB2312" w:hAnsi="仿宋_GB2312" w:eastAsia="仿宋_GB2312" w:cs="仿宋_GB2312"/>
          <w:szCs w:val="21"/>
          <w:highlight w:val="none"/>
          <w:u w:val="single"/>
        </w:rPr>
        <w:t>(姓名、职务)</w:t>
      </w:r>
      <w:r>
        <w:rPr>
          <w:rFonts w:hint="eastAsia" w:ascii="仿宋_GB2312" w:hAnsi="仿宋_GB2312" w:eastAsia="仿宋_GB2312" w:cs="仿宋_GB2312"/>
          <w:szCs w:val="21"/>
          <w:highlight w:val="none"/>
        </w:rPr>
        <w:t>经正式授权并代表投标人</w:t>
      </w:r>
      <w:r>
        <w:rPr>
          <w:rFonts w:hint="eastAsia" w:ascii="仿宋_GB2312" w:hAnsi="仿宋_GB2312" w:eastAsia="仿宋_GB2312" w:cs="仿宋_GB2312"/>
          <w:szCs w:val="21"/>
          <w:highlight w:val="none"/>
          <w:u w:val="single"/>
        </w:rPr>
        <w:t>（名称、地址）</w:t>
      </w:r>
      <w:r>
        <w:rPr>
          <w:rFonts w:hint="eastAsia" w:ascii="仿宋_GB2312" w:hAnsi="仿宋_GB2312" w:eastAsia="仿宋_GB2312" w:cs="仿宋_GB2312"/>
          <w:szCs w:val="21"/>
          <w:highlight w:val="none"/>
        </w:rPr>
        <w:t>提交电子投标文件</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1</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份及备份投标文件</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1</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份。</w:t>
      </w:r>
    </w:p>
    <w:p w14:paraId="49A86380">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据此，签字代表宣布同意如下：</w:t>
      </w:r>
    </w:p>
    <w:p w14:paraId="05302CE0">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本项目投标总价详见开标一览表。</w:t>
      </w:r>
    </w:p>
    <w:p w14:paraId="42A1BD29">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本投标有效期为自提交投标文件截止之日起</w:t>
      </w:r>
      <w:r>
        <w:rPr>
          <w:rFonts w:hint="eastAsia" w:ascii="仿宋_GB2312" w:hAnsi="仿宋_GB2312" w:eastAsia="仿宋_GB2312" w:cs="仿宋_GB2312"/>
          <w:szCs w:val="21"/>
          <w:highlight w:val="none"/>
          <w:u w:val="single"/>
        </w:rPr>
        <w:t>90</w:t>
      </w:r>
      <w:r>
        <w:rPr>
          <w:rFonts w:hint="eastAsia" w:ascii="仿宋_GB2312" w:hAnsi="仿宋_GB2312" w:eastAsia="仿宋_GB2312" w:cs="仿宋_GB2312"/>
          <w:szCs w:val="21"/>
          <w:highlight w:val="none"/>
        </w:rPr>
        <w:t>日历日。</w:t>
      </w:r>
    </w:p>
    <w:p w14:paraId="024FD1A0">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（3）已详细审查全部招标文件，包括所有补充通知（如果有的话）。</w:t>
      </w:r>
    </w:p>
    <w:p w14:paraId="057A5BE0">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（4）在规定的开标时间后，遵守招标文件中有关保证金的规定。</w:t>
      </w:r>
    </w:p>
    <w:p w14:paraId="000A0031">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（5）我方不是为本项目提供整体设计、规范编制或者项目管理、监理、检测等服务的供应商，我方不是采购代理机构的附属机构。</w:t>
      </w:r>
    </w:p>
    <w:p w14:paraId="23CCFC04">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ascii="仿宋_GB2312" w:hAnsi="仿宋_GB2312" w:eastAsia="仿宋_GB2312" w:cs="仿宋_GB2312"/>
          <w:szCs w:val="21"/>
          <w:highlight w:val="none"/>
        </w:rPr>
        <w:t>6</w:t>
      </w:r>
      <w:r>
        <w:rPr>
          <w:rFonts w:hint="eastAsia" w:ascii="仿宋_GB2312" w:hAnsi="仿宋_GB2312" w:eastAsia="仿宋_GB2312" w:cs="仿宋_GB2312"/>
          <w:szCs w:val="21"/>
          <w:highlight w:val="none"/>
        </w:rPr>
        <w:t>）按照贵方可能要求，提供与其投标有关的一切数据或资料，完全理解贵方不一定接受最低价的投标或收到的任何投标。</w:t>
      </w:r>
    </w:p>
    <w:p w14:paraId="41992AA8">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ascii="仿宋_GB2312" w:hAnsi="仿宋_GB2312" w:eastAsia="仿宋_GB2312" w:cs="仿宋_GB2312"/>
          <w:szCs w:val="21"/>
          <w:highlight w:val="none"/>
        </w:rPr>
        <w:t>7</w:t>
      </w:r>
      <w:r>
        <w:rPr>
          <w:rFonts w:hint="eastAsia" w:ascii="仿宋_GB2312" w:hAnsi="仿宋_GB2312" w:eastAsia="仿宋_GB2312" w:cs="仿宋_GB2312"/>
          <w:szCs w:val="21"/>
          <w:highlight w:val="none"/>
        </w:rPr>
        <w:t>）按照招标文件的规定履行合同责任和义务。</w:t>
      </w:r>
    </w:p>
    <w:p w14:paraId="2B5A00CC">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ascii="仿宋_GB2312" w:hAnsi="仿宋_GB2312" w:eastAsia="仿宋_GB2312" w:cs="仿宋_GB2312"/>
          <w:szCs w:val="21"/>
          <w:highlight w:val="none"/>
        </w:rPr>
        <w:t>8</w:t>
      </w:r>
      <w:r>
        <w:rPr>
          <w:rFonts w:hint="eastAsia" w:ascii="仿宋_GB2312" w:hAnsi="仿宋_GB2312" w:eastAsia="仿宋_GB2312" w:cs="仿宋_GB2312"/>
          <w:szCs w:val="21"/>
          <w:highlight w:val="none"/>
        </w:rPr>
        <w:t>）我方承诺投标文件中的证明材料真实、合法、有效。</w:t>
      </w:r>
    </w:p>
    <w:p w14:paraId="28B51561">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其他事项：</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p>
    <w:p w14:paraId="2575450E">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highlight w:val="none"/>
        </w:rPr>
      </w:pPr>
    </w:p>
    <w:p w14:paraId="4AF8CBC2">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highlight w:val="none"/>
        </w:rPr>
      </w:pPr>
    </w:p>
    <w:p w14:paraId="1C4AB3AD">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highlight w:val="none"/>
        </w:rPr>
      </w:pPr>
    </w:p>
    <w:p w14:paraId="19882B02">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与本项目有关的一切往来通讯请寄</w:t>
      </w:r>
    </w:p>
    <w:p w14:paraId="292EAC71">
      <w:pPr>
        <w:adjustRightInd w:val="0"/>
        <w:snapToGrid w:val="0"/>
        <w:spacing w:line="360" w:lineRule="auto"/>
        <w:ind w:right="-21"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14:paraId="0605A31E">
      <w:pPr>
        <w:adjustRightInd w:val="0"/>
        <w:snapToGrid w:val="0"/>
        <w:spacing w:line="360" w:lineRule="auto"/>
        <w:ind w:right="-21"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电话：</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电子邮件：</w:t>
      </w:r>
      <w:r>
        <w:rPr>
          <w:rFonts w:hint="eastAsia" w:ascii="仿宋_GB2312" w:hAnsi="仿宋_GB2312" w:eastAsia="仿宋_GB2312" w:cs="仿宋_GB2312"/>
          <w:szCs w:val="21"/>
          <w:highlight w:val="none"/>
          <w:u w:val="single"/>
        </w:rPr>
        <w:t xml:space="preserve">                     </w:t>
      </w:r>
    </w:p>
    <w:p w14:paraId="08ED98C3">
      <w:pPr>
        <w:adjustRightInd w:val="0"/>
        <w:snapToGrid w:val="0"/>
        <w:spacing w:line="360" w:lineRule="auto"/>
        <w:ind w:right="-21"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法定代表人（非法人组织负责人）或其委托代理人（签字或盖章）：</w:t>
      </w:r>
      <w:r>
        <w:rPr>
          <w:rFonts w:hint="eastAsia" w:ascii="仿宋_GB2312" w:hAnsi="仿宋_GB2312" w:eastAsia="仿宋_GB2312" w:cs="仿宋_GB2312"/>
          <w:szCs w:val="21"/>
          <w:highlight w:val="none"/>
          <w:u w:val="single"/>
        </w:rPr>
        <w:t xml:space="preserve">       </w:t>
      </w:r>
    </w:p>
    <w:p w14:paraId="1E020AA0">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357C4A29">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投标人开户银行（全称）：</w:t>
      </w:r>
      <w:r>
        <w:rPr>
          <w:rFonts w:hint="eastAsia" w:ascii="仿宋_GB2312" w:hAnsi="仿宋_GB2312" w:eastAsia="仿宋_GB2312" w:cs="仿宋_GB2312"/>
          <w:szCs w:val="21"/>
          <w:highlight w:val="none"/>
          <w:u w:val="single"/>
        </w:rPr>
        <w:t xml:space="preserve">              </w:t>
      </w:r>
    </w:p>
    <w:p w14:paraId="0366174E">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投标人银行账号：</w:t>
      </w:r>
      <w:r>
        <w:rPr>
          <w:rFonts w:hint="eastAsia" w:ascii="仿宋_GB2312" w:hAnsi="仿宋_GB2312" w:eastAsia="仿宋_GB2312" w:cs="仿宋_GB2312"/>
          <w:szCs w:val="21"/>
          <w:highlight w:val="none"/>
          <w:u w:val="single"/>
        </w:rPr>
        <w:t xml:space="preserve">                      </w:t>
      </w:r>
    </w:p>
    <w:p w14:paraId="25B4483E">
      <w:pPr>
        <w:adjustRightInd w:val="0"/>
        <w:snapToGrid w:val="0"/>
        <w:spacing w:line="360" w:lineRule="auto"/>
        <w:ind w:right="1050" w:rightChars="5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02B3DE72">
      <w:pPr>
        <w:adjustRightInd w:val="0"/>
        <w:snapToGrid w:val="0"/>
        <w:spacing w:line="360" w:lineRule="auto"/>
        <w:ind w:right="1050" w:rightChars="500" w:firstLine="476" w:firstLineChars="227"/>
        <w:rPr>
          <w:rFonts w:ascii="仿宋_GB2312" w:hAnsi="仿宋_GB2312" w:eastAsia="仿宋_GB2312" w:cs="仿宋_GB2312"/>
          <w:szCs w:val="21"/>
          <w:highlight w:val="none"/>
        </w:rPr>
      </w:pPr>
    </w:p>
    <w:p w14:paraId="3F789442">
      <w:pPr>
        <w:pStyle w:val="3"/>
        <w:adjustRightInd w:val="0"/>
        <w:snapToGrid w:val="0"/>
        <w:spacing w:before="0" w:after="0" w:line="240" w:lineRule="auto"/>
        <w:jc w:val="left"/>
        <w:rPr>
          <w:rFonts w:hint="eastAsia" w:ascii="仿宋_GB2312" w:hAnsi="仿宋_GB2312" w:eastAsia="仿宋_GB2312" w:cs="仿宋_GB2312"/>
          <w:szCs w:val="28"/>
          <w:highlight w:val="none"/>
          <w:lang w:eastAsia="zh-CN"/>
        </w:rPr>
      </w:pPr>
      <w:r>
        <w:rPr>
          <w:rFonts w:hint="eastAsia" w:ascii="仿宋_GB2312" w:hAnsi="仿宋_GB2312" w:eastAsia="仿宋_GB2312" w:cs="仿宋_GB2312"/>
          <w:szCs w:val="28"/>
          <w:highlight w:val="none"/>
        </w:rPr>
        <w:br w:type="page"/>
      </w:r>
      <w:r>
        <w:rPr>
          <w:rFonts w:hint="eastAsia" w:ascii="仿宋_GB2312" w:hAnsi="仿宋_GB2312" w:eastAsia="仿宋_GB2312" w:cs="仿宋_GB2312"/>
          <w:szCs w:val="28"/>
          <w:highlight w:val="none"/>
        </w:rPr>
        <w:t>格式</w:t>
      </w:r>
      <w:r>
        <w:rPr>
          <w:rFonts w:hint="eastAsia" w:ascii="仿宋_GB2312" w:hAnsi="仿宋_GB2312" w:eastAsia="仿宋_GB2312" w:cs="仿宋_GB2312"/>
          <w:szCs w:val="28"/>
          <w:highlight w:val="none"/>
          <w:lang w:val="en-US" w:eastAsia="zh-CN"/>
        </w:rPr>
        <w:t>8</w:t>
      </w:r>
    </w:p>
    <w:p w14:paraId="6B4E7D11">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bookmarkStart w:id="105" w:name="_Toc2673_WPSOffice_Level2"/>
      <w:bookmarkStart w:id="106" w:name="_Toc11267_WPSOffice_Level2"/>
      <w:r>
        <w:rPr>
          <w:rFonts w:hint="eastAsia" w:ascii="仿宋_GB2312" w:hAnsi="仿宋_GB2312" w:eastAsia="仿宋_GB2312" w:cs="仿宋_GB2312"/>
          <w:b/>
          <w:bCs/>
          <w:sz w:val="32"/>
          <w:szCs w:val="32"/>
          <w:highlight w:val="none"/>
        </w:rPr>
        <w:t>开标一览表</w:t>
      </w:r>
      <w:bookmarkEnd w:id="105"/>
      <w:bookmarkEnd w:id="106"/>
    </w:p>
    <w:p w14:paraId="6612EC5C">
      <w:pPr>
        <w:adjustRightInd w:val="0"/>
        <w:snapToGrid w:val="0"/>
        <w:spacing w:line="360" w:lineRule="auto"/>
        <w:ind w:right="105" w:rightChars="50"/>
        <w:jc w:val="left"/>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包号： 001                                                     报价单位：元</w:t>
      </w:r>
    </w:p>
    <w:tbl>
      <w:tblPr>
        <w:tblStyle w:val="20"/>
        <w:tblW w:w="8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3"/>
        <w:gridCol w:w="2232"/>
        <w:gridCol w:w="1488"/>
        <w:gridCol w:w="1237"/>
        <w:gridCol w:w="1217"/>
      </w:tblGrid>
      <w:tr w14:paraId="35FD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2203" w:type="dxa"/>
            <w:noWrap w:val="0"/>
            <w:vAlign w:val="center"/>
          </w:tcPr>
          <w:p w14:paraId="6D8490D7">
            <w:pPr>
              <w:adjustRightInd w:val="0"/>
              <w:snapToGrid w:val="0"/>
              <w:ind w:left="-54" w:leftChars="-26"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服务名称</w:t>
            </w:r>
          </w:p>
        </w:tc>
        <w:tc>
          <w:tcPr>
            <w:tcW w:w="2232" w:type="dxa"/>
            <w:noWrap w:val="0"/>
            <w:vAlign w:val="center"/>
          </w:tcPr>
          <w:p w14:paraId="4564BC65">
            <w:pPr>
              <w:adjustRightInd w:val="0"/>
              <w:snapToGrid w:val="0"/>
              <w:ind w:left="-54" w:leftChars="-26"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投标总价</w:t>
            </w:r>
          </w:p>
        </w:tc>
        <w:tc>
          <w:tcPr>
            <w:tcW w:w="1488" w:type="dxa"/>
            <w:noWrap w:val="0"/>
            <w:vAlign w:val="center"/>
          </w:tcPr>
          <w:p w14:paraId="34ECCA27">
            <w:pPr>
              <w:adjustRightInd w:val="0"/>
              <w:snapToGrid w:val="0"/>
              <w:ind w:right="-33" w:rightChars="-16"/>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履约期限</w:t>
            </w:r>
          </w:p>
        </w:tc>
        <w:tc>
          <w:tcPr>
            <w:tcW w:w="1237" w:type="dxa"/>
            <w:noWrap w:val="0"/>
            <w:vAlign w:val="center"/>
          </w:tcPr>
          <w:p w14:paraId="72AC6F63">
            <w:pPr>
              <w:adjustRightInd w:val="0"/>
              <w:snapToGrid w:val="0"/>
              <w:ind w:right="-42" w:rightChars="-2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履约地点</w:t>
            </w:r>
          </w:p>
        </w:tc>
        <w:tc>
          <w:tcPr>
            <w:tcW w:w="1217" w:type="dxa"/>
            <w:noWrap w:val="0"/>
            <w:vAlign w:val="center"/>
          </w:tcPr>
          <w:p w14:paraId="0B56D965">
            <w:pPr>
              <w:adjustRightInd w:val="0"/>
              <w:snapToGrid w:val="0"/>
              <w:ind w:left="-54" w:leftChars="-26"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备注</w:t>
            </w:r>
          </w:p>
        </w:tc>
      </w:tr>
      <w:tr w14:paraId="6B6A2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2203" w:type="dxa"/>
            <w:noWrap w:val="0"/>
            <w:vAlign w:val="center"/>
          </w:tcPr>
          <w:p w14:paraId="087A53DB">
            <w:pPr>
              <w:adjustRightInd w:val="0"/>
              <w:snapToGrid w:val="0"/>
              <w:ind w:left="-54" w:leftChars="-26" w:right="-46" w:rightChars="-22"/>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eastAsia="zh-CN"/>
              </w:rPr>
              <w:t>沈阳市第一0七中学购买师生餐饮服务</w:t>
            </w:r>
            <w:r>
              <w:rPr>
                <w:rFonts w:hint="eastAsia" w:ascii="仿宋_GB2312" w:hAnsi="仿宋_GB2312" w:eastAsia="仿宋_GB2312" w:cs="仿宋_GB2312"/>
                <w:szCs w:val="21"/>
                <w:highlight w:val="none"/>
              </w:rPr>
              <w:t xml:space="preserve"> </w:t>
            </w:r>
          </w:p>
        </w:tc>
        <w:tc>
          <w:tcPr>
            <w:tcW w:w="2232" w:type="dxa"/>
            <w:noWrap w:val="0"/>
            <w:vAlign w:val="center"/>
          </w:tcPr>
          <w:p w14:paraId="53429688">
            <w:pPr>
              <w:adjustRightInd w:val="0"/>
              <w:snapToGrid w:val="0"/>
              <w:ind w:left="-54" w:leftChars="-26" w:right="-46" w:rightChars="-22"/>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小写：</w:t>
            </w:r>
            <w:r>
              <w:rPr>
                <w:rFonts w:hint="eastAsia" w:ascii="仿宋_GB2312" w:hAnsi="仿宋_GB2312" w:eastAsia="仿宋_GB2312" w:cs="仿宋_GB2312"/>
                <w:szCs w:val="21"/>
                <w:highlight w:val="none"/>
                <w:lang w:eastAsia="zh-CN"/>
              </w:rPr>
              <w:t>6,322,500.00</w:t>
            </w:r>
            <w:r>
              <w:rPr>
                <w:rFonts w:hint="eastAsia" w:ascii="仿宋_GB2312" w:hAnsi="仿宋_GB2312" w:eastAsia="仿宋_GB2312" w:cs="仿宋_GB2312"/>
                <w:szCs w:val="21"/>
                <w:highlight w:val="none"/>
              </w:rPr>
              <w:t>元</w:t>
            </w:r>
          </w:p>
          <w:p w14:paraId="0BBD4905">
            <w:pPr>
              <w:adjustRightInd w:val="0"/>
              <w:snapToGrid w:val="0"/>
              <w:ind w:left="-54" w:leftChars="-26" w:right="-46" w:rightChars="-22"/>
              <w:jc w:val="left"/>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大写：</w:t>
            </w:r>
            <w:r>
              <w:rPr>
                <w:rFonts w:hint="eastAsia" w:ascii="仿宋_GB2312" w:hAnsi="仿宋_GB2312" w:eastAsia="仿宋_GB2312" w:cs="仿宋_GB2312"/>
                <w:szCs w:val="21"/>
                <w:highlight w:val="none"/>
                <w:lang w:val="en-US" w:eastAsia="zh-CN"/>
              </w:rPr>
              <w:t>人民币陆佰叁拾贰万贰仟伍佰元整</w:t>
            </w:r>
          </w:p>
        </w:tc>
        <w:tc>
          <w:tcPr>
            <w:tcW w:w="1488" w:type="dxa"/>
            <w:noWrap w:val="0"/>
            <w:vAlign w:val="center"/>
          </w:tcPr>
          <w:p w14:paraId="2FC49159">
            <w:pPr>
              <w:adjustRightInd w:val="0"/>
              <w:snapToGrid w:val="0"/>
              <w:ind w:left="-54" w:leftChars="-26"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lang w:eastAsia="zh-CN"/>
              </w:rPr>
              <w:t>合同签订之日起一年</w:t>
            </w:r>
            <w:r>
              <w:rPr>
                <w:rFonts w:hint="eastAsia" w:ascii="仿宋_GB2312" w:hAnsi="仿宋_GB2312" w:eastAsia="仿宋_GB2312" w:cs="仿宋_GB2312"/>
                <w:szCs w:val="21"/>
                <w:highlight w:val="none"/>
              </w:rPr>
              <w:t>（以实际签订合同为准）</w:t>
            </w:r>
          </w:p>
        </w:tc>
        <w:tc>
          <w:tcPr>
            <w:tcW w:w="1237" w:type="dxa"/>
            <w:noWrap w:val="0"/>
            <w:vAlign w:val="center"/>
          </w:tcPr>
          <w:p w14:paraId="5B5F6C47">
            <w:pPr>
              <w:adjustRightInd w:val="0"/>
              <w:snapToGrid w:val="0"/>
              <w:ind w:left="-54" w:leftChars="-26" w:right="-46" w:rightChars="-22"/>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采购人指定地点</w:t>
            </w:r>
          </w:p>
        </w:tc>
        <w:tc>
          <w:tcPr>
            <w:tcW w:w="1217" w:type="dxa"/>
            <w:noWrap w:val="0"/>
            <w:vAlign w:val="center"/>
          </w:tcPr>
          <w:p w14:paraId="411FF233">
            <w:pPr>
              <w:adjustRightInd w:val="0"/>
              <w:snapToGrid w:val="0"/>
              <w:ind w:left="-54" w:leftChars="-26"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以实际发生量进行结算</w:t>
            </w:r>
          </w:p>
        </w:tc>
      </w:tr>
    </w:tbl>
    <w:p w14:paraId="1340D314">
      <w:pPr>
        <w:adjustRightInd w:val="0"/>
        <w:snapToGrid w:val="0"/>
        <w:spacing w:line="360" w:lineRule="auto"/>
        <w:ind w:right="105" w:rightChars="50" w:firstLine="420" w:firstLineChars="200"/>
        <w:jc w:val="left"/>
        <w:rPr>
          <w:rFonts w:ascii="仿宋_GB2312" w:hAnsi="仿宋_GB2312" w:eastAsia="仿宋_GB2312" w:cs="仿宋_GB2312"/>
          <w:szCs w:val="21"/>
          <w:highlight w:val="none"/>
        </w:rPr>
      </w:pPr>
    </w:p>
    <w:p w14:paraId="5584B39C">
      <w:pPr>
        <w:adjustRightInd w:val="0"/>
        <w:snapToGrid w:val="0"/>
        <w:spacing w:line="360" w:lineRule="auto"/>
        <w:ind w:right="105" w:rightChars="50" w:firstLine="420" w:firstLineChars="200"/>
        <w:jc w:val="left"/>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注：报价说明</w:t>
      </w:r>
    </w:p>
    <w:p w14:paraId="07666AC5">
      <w:pPr>
        <w:pStyle w:val="35"/>
        <w:spacing w:line="360" w:lineRule="auto"/>
        <w:ind w:firstLine="630" w:firstLineChars="300"/>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1、本项目为固定报价，辽宁政府采购网电子平台投标报价栏，统一按照预算金额（最高限价）</w:t>
      </w:r>
      <w:r>
        <w:rPr>
          <w:rFonts w:hint="eastAsia" w:ascii="仿宋_GB2312" w:hAnsi="仿宋_GB2312" w:eastAsia="仿宋_GB2312" w:cs="仿宋_GB2312"/>
          <w:b/>
          <w:bCs/>
          <w:szCs w:val="21"/>
          <w:highlight w:val="none"/>
          <w:lang w:eastAsia="zh-CN"/>
        </w:rPr>
        <w:t>6,322,500.00</w:t>
      </w:r>
      <w:r>
        <w:rPr>
          <w:rFonts w:hint="eastAsia" w:ascii="仿宋_GB2312" w:hAnsi="仿宋_GB2312" w:eastAsia="仿宋_GB2312" w:cs="仿宋_GB2312"/>
          <w:b/>
          <w:bCs/>
          <w:szCs w:val="21"/>
          <w:highlight w:val="none"/>
        </w:rPr>
        <w:t>元进行填报</w:t>
      </w: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lang w:val="en-US" w:eastAsia="zh-CN"/>
        </w:rPr>
        <w:t>不得更改报价</w:t>
      </w:r>
      <w:r>
        <w:rPr>
          <w:rFonts w:hint="eastAsia" w:ascii="仿宋_GB2312" w:hAnsi="仿宋_GB2312" w:eastAsia="仿宋_GB2312" w:cs="仿宋_GB2312"/>
          <w:b/>
          <w:bCs/>
          <w:szCs w:val="21"/>
          <w:highlight w:val="none"/>
        </w:rPr>
        <w:t>。若投标人未按要求填报，</w:t>
      </w:r>
      <w:r>
        <w:rPr>
          <w:rFonts w:hint="eastAsia" w:ascii="仿宋_GB2312" w:hAnsi="仿宋_GB2312" w:eastAsia="仿宋_GB2312" w:cs="仿宋_GB2312"/>
          <w:b/>
          <w:bCs/>
          <w:szCs w:val="21"/>
          <w:highlight w:val="none"/>
          <w:lang w:val="en-US" w:eastAsia="zh-CN"/>
        </w:rPr>
        <w:t>视为</w:t>
      </w:r>
      <w:r>
        <w:rPr>
          <w:rFonts w:hint="eastAsia" w:ascii="仿宋_GB2312" w:hAnsi="仿宋_GB2312" w:eastAsia="仿宋_GB2312" w:cs="仿宋_GB2312"/>
          <w:b/>
          <w:bCs/>
          <w:szCs w:val="21"/>
          <w:highlight w:val="none"/>
        </w:rPr>
        <w:t>投标无效。</w:t>
      </w:r>
    </w:p>
    <w:p w14:paraId="239C0F89">
      <w:pPr>
        <w:pStyle w:val="35"/>
        <w:spacing w:line="360" w:lineRule="auto"/>
        <w:ind w:firstLine="630" w:firstLineChars="300"/>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w:t>
      </w:r>
      <w:r>
        <w:rPr>
          <w:rFonts w:hint="eastAsia" w:ascii="仿宋_GB2312" w:hAnsi="仿宋_GB2312" w:eastAsia="仿宋_GB2312" w:cs="仿宋_GB2312"/>
          <w:b/>
          <w:bCs/>
          <w:szCs w:val="21"/>
          <w:highlight w:val="none"/>
          <w:lang w:val="en-US" w:eastAsia="zh-CN"/>
        </w:rPr>
        <w:t>最终</w:t>
      </w:r>
      <w:r>
        <w:rPr>
          <w:rFonts w:hint="eastAsia" w:ascii="仿宋_GB2312" w:hAnsi="仿宋_GB2312" w:eastAsia="仿宋_GB2312" w:cs="仿宋_GB2312"/>
          <w:b/>
          <w:bCs/>
          <w:szCs w:val="21"/>
          <w:highlight w:val="none"/>
        </w:rPr>
        <w:t>结算金额以实际发生量进行结算</w:t>
      </w:r>
      <w:r>
        <w:rPr>
          <w:rFonts w:hint="eastAsia" w:ascii="仿宋_GB2312" w:hAnsi="仿宋_GB2312" w:eastAsia="仿宋_GB2312" w:cs="仿宋_GB2312"/>
          <w:b/>
          <w:bCs/>
          <w:szCs w:val="21"/>
          <w:highlight w:val="none"/>
          <w:lang w:eastAsia="zh-CN"/>
        </w:rPr>
        <w:t>，</w:t>
      </w:r>
      <w:r>
        <w:rPr>
          <w:rFonts w:hint="eastAsia" w:ascii="仿宋_GB2312" w:hAnsi="仿宋_GB2312" w:eastAsia="仿宋_GB2312" w:cs="仿宋_GB2312"/>
          <w:b/>
          <w:bCs/>
          <w:szCs w:val="21"/>
          <w:highlight w:val="none"/>
          <w:lang w:val="en-US" w:eastAsia="zh-CN"/>
        </w:rPr>
        <w:t>但不超过最高限价</w:t>
      </w:r>
      <w:r>
        <w:rPr>
          <w:rFonts w:hint="eastAsia" w:ascii="仿宋_GB2312" w:hAnsi="仿宋_GB2312" w:eastAsia="仿宋_GB2312" w:cs="仿宋_GB2312"/>
          <w:b/>
          <w:bCs/>
          <w:szCs w:val="21"/>
          <w:highlight w:val="none"/>
        </w:rPr>
        <w:t>。</w:t>
      </w:r>
    </w:p>
    <w:p w14:paraId="73CCA1F1">
      <w:pPr>
        <w:adjustRightInd w:val="0"/>
        <w:snapToGrid w:val="0"/>
        <w:spacing w:line="360" w:lineRule="auto"/>
        <w:ind w:right="105" w:rightChars="50"/>
        <w:jc w:val="left"/>
        <w:rPr>
          <w:rFonts w:ascii="仿宋_GB2312" w:hAnsi="仿宋_GB2312" w:eastAsia="仿宋_GB2312" w:cs="仿宋_GB2312"/>
          <w:szCs w:val="21"/>
          <w:highlight w:val="none"/>
        </w:rPr>
      </w:pPr>
    </w:p>
    <w:p w14:paraId="5AF2C997">
      <w:pPr>
        <w:adjustRightInd w:val="0"/>
        <w:snapToGrid w:val="0"/>
        <w:spacing w:line="360" w:lineRule="auto"/>
        <w:ind w:right="105" w:rightChars="50"/>
        <w:jc w:val="left"/>
        <w:rPr>
          <w:rFonts w:ascii="仿宋_GB2312" w:hAnsi="仿宋_GB2312" w:eastAsia="仿宋_GB2312" w:cs="仿宋_GB2312"/>
          <w:szCs w:val="21"/>
          <w:highlight w:val="none"/>
        </w:rPr>
      </w:pPr>
    </w:p>
    <w:p w14:paraId="4D02C7A5">
      <w:pPr>
        <w:adjustRightInd w:val="0"/>
        <w:snapToGrid w:val="0"/>
        <w:spacing w:line="360" w:lineRule="auto"/>
        <w:ind w:right="105" w:rightChars="50"/>
        <w:jc w:val="left"/>
        <w:rPr>
          <w:rFonts w:ascii="仿宋_GB2312" w:hAnsi="仿宋_GB2312" w:eastAsia="仿宋_GB2312" w:cs="仿宋_GB2312"/>
          <w:szCs w:val="21"/>
          <w:highlight w:val="none"/>
        </w:rPr>
      </w:pPr>
    </w:p>
    <w:p w14:paraId="49CE60A8">
      <w:pPr>
        <w:adjustRightInd w:val="0"/>
        <w:snapToGrid w:val="0"/>
        <w:spacing w:line="360" w:lineRule="auto"/>
        <w:ind w:right="105" w:rightChars="50"/>
        <w:jc w:val="left"/>
        <w:rPr>
          <w:rFonts w:ascii="仿宋_GB2312" w:hAnsi="仿宋_GB2312" w:eastAsia="仿宋_GB2312" w:cs="仿宋_GB2312"/>
          <w:szCs w:val="21"/>
          <w:highlight w:val="none"/>
        </w:rPr>
      </w:pPr>
    </w:p>
    <w:p w14:paraId="0418A1F4">
      <w:pPr>
        <w:adjustRightInd w:val="0"/>
        <w:snapToGrid w:val="0"/>
        <w:spacing w:line="360" w:lineRule="auto"/>
        <w:ind w:right="105" w:rightChars="50"/>
        <w:jc w:val="left"/>
        <w:rPr>
          <w:rFonts w:ascii="仿宋_GB2312" w:hAnsi="仿宋_GB2312" w:eastAsia="仿宋_GB2312" w:cs="仿宋_GB2312"/>
          <w:szCs w:val="21"/>
          <w:highlight w:val="none"/>
        </w:rPr>
      </w:pPr>
    </w:p>
    <w:p w14:paraId="64BA6B2A">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003BB6A6">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委托代理人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4F7426C7">
      <w:pPr>
        <w:adjustRightInd w:val="0"/>
        <w:snapToGrid w:val="0"/>
        <w:spacing w:line="480" w:lineRule="auto"/>
        <w:ind w:right="1050" w:rightChars="500"/>
        <w:rPr>
          <w:rFonts w:ascii="仿宋_GB2312" w:hAnsi="仿宋_GB2312" w:eastAsia="仿宋_GB2312" w:cs="仿宋_GB2312"/>
          <w:szCs w:val="21"/>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rPr>
        <w:t xml:space="preserve"> </w:t>
      </w:r>
    </w:p>
    <w:p w14:paraId="2939A00A">
      <w:pPr>
        <w:adjustRightInd w:val="0"/>
        <w:snapToGrid w:val="0"/>
        <w:spacing w:line="480" w:lineRule="auto"/>
        <w:ind w:right="1050" w:rightChars="500"/>
        <w:rPr>
          <w:rFonts w:ascii="仿宋_GB2312" w:hAnsi="仿宋_GB2312" w:eastAsia="仿宋_GB2312" w:cs="仿宋_GB2312"/>
          <w:szCs w:val="21"/>
          <w:highlight w:val="none"/>
        </w:rPr>
      </w:pPr>
    </w:p>
    <w:p w14:paraId="062F4967">
      <w:pPr>
        <w:pStyle w:val="3"/>
        <w:adjustRightInd w:val="0"/>
        <w:snapToGrid w:val="0"/>
        <w:spacing w:before="0" w:after="0" w:line="240" w:lineRule="auto"/>
        <w:jc w:val="left"/>
        <w:rPr>
          <w:rFonts w:hint="eastAsia" w:ascii="仿宋_GB2312" w:hAnsi="仿宋_GB2312" w:eastAsia="仿宋_GB2312" w:cs="仿宋_GB2312"/>
          <w:szCs w:val="28"/>
          <w:highlight w:val="none"/>
          <w:lang w:val="en-US" w:eastAsia="zh-CN"/>
        </w:rPr>
      </w:pPr>
      <w:r>
        <w:rPr>
          <w:rFonts w:hint="eastAsia" w:ascii="仿宋_GB2312" w:hAnsi="仿宋_GB2312" w:eastAsia="仿宋_GB2312" w:cs="仿宋_GB2312"/>
          <w:szCs w:val="21"/>
          <w:highlight w:val="none"/>
        </w:rPr>
        <w:br w:type="page"/>
      </w:r>
      <w:r>
        <w:rPr>
          <w:rFonts w:hint="eastAsia" w:ascii="仿宋_GB2312" w:hAnsi="仿宋_GB2312" w:eastAsia="仿宋_GB2312" w:cs="仿宋_GB2312"/>
          <w:szCs w:val="28"/>
          <w:highlight w:val="none"/>
        </w:rPr>
        <w:t>格式</w:t>
      </w:r>
      <w:r>
        <w:rPr>
          <w:rFonts w:hint="eastAsia" w:ascii="仿宋_GB2312" w:hAnsi="仿宋_GB2312" w:eastAsia="仿宋_GB2312" w:cs="仿宋_GB2312"/>
          <w:szCs w:val="28"/>
          <w:highlight w:val="none"/>
          <w:lang w:val="en-US" w:eastAsia="zh-CN"/>
        </w:rPr>
        <w:t>9</w:t>
      </w:r>
    </w:p>
    <w:p w14:paraId="02BC4DC8">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服务价格明细表</w:t>
      </w:r>
    </w:p>
    <w:p w14:paraId="7F14AAFB">
      <w:pPr>
        <w:adjustRightInd w:val="0"/>
        <w:snapToGrid w:val="0"/>
        <w:spacing w:line="360" w:lineRule="auto"/>
        <w:ind w:right="105" w:rightChars="50" w:firstLine="420" w:firstLineChars="200"/>
        <w:jc w:val="left"/>
        <w:rPr>
          <w:rFonts w:hint="eastAsia" w:ascii="仿宋_GB2312" w:hAnsi="仿宋_GB2312" w:eastAsia="仿宋_GB2312" w:cs="仿宋_GB2312"/>
          <w:b/>
          <w:bCs/>
          <w:szCs w:val="21"/>
          <w:highlight w:val="none"/>
          <w:lang w:val="en-US" w:eastAsia="zh-CN"/>
        </w:rPr>
      </w:pPr>
      <w:r>
        <w:rPr>
          <w:rFonts w:hint="eastAsia" w:ascii="仿宋_GB2312" w:hAnsi="仿宋_GB2312" w:eastAsia="仿宋_GB2312" w:cs="仿宋_GB2312"/>
          <w:b/>
          <w:bCs/>
          <w:szCs w:val="21"/>
          <w:highlight w:val="none"/>
        </w:rPr>
        <w:t>包号：                                                    报价单位：</w:t>
      </w:r>
      <w:r>
        <w:rPr>
          <w:rFonts w:hint="eastAsia" w:ascii="仿宋_GB2312" w:hAnsi="仿宋_GB2312" w:eastAsia="仿宋_GB2312" w:cs="仿宋_GB2312"/>
          <w:b/>
          <w:bCs/>
          <w:szCs w:val="21"/>
          <w:highlight w:val="none"/>
          <w:lang w:val="en-US" w:eastAsia="zh-CN"/>
        </w:rPr>
        <w:t>元</w:t>
      </w:r>
    </w:p>
    <w:tbl>
      <w:tblPr>
        <w:tblStyle w:val="20"/>
        <w:tblW w:w="8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1345"/>
        <w:gridCol w:w="2530"/>
        <w:gridCol w:w="1669"/>
        <w:gridCol w:w="1457"/>
      </w:tblGrid>
      <w:tr w14:paraId="5937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344ED805">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序号</w:t>
            </w:r>
          </w:p>
        </w:tc>
        <w:tc>
          <w:tcPr>
            <w:tcW w:w="1345" w:type="dxa"/>
            <w:noWrap w:val="0"/>
            <w:vAlign w:val="center"/>
          </w:tcPr>
          <w:p w14:paraId="2A67F18E">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服务名称</w:t>
            </w:r>
          </w:p>
        </w:tc>
        <w:tc>
          <w:tcPr>
            <w:tcW w:w="2530" w:type="dxa"/>
            <w:noWrap w:val="0"/>
            <w:vAlign w:val="center"/>
          </w:tcPr>
          <w:p w14:paraId="54EE093D">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单价</w:t>
            </w:r>
          </w:p>
        </w:tc>
        <w:tc>
          <w:tcPr>
            <w:tcW w:w="1669" w:type="dxa"/>
            <w:noWrap w:val="0"/>
            <w:vAlign w:val="center"/>
          </w:tcPr>
          <w:p w14:paraId="6765264B">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总价</w:t>
            </w:r>
          </w:p>
        </w:tc>
        <w:tc>
          <w:tcPr>
            <w:tcW w:w="1457" w:type="dxa"/>
            <w:noWrap w:val="0"/>
            <w:vAlign w:val="center"/>
          </w:tcPr>
          <w:p w14:paraId="54AB3770">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备注</w:t>
            </w:r>
          </w:p>
        </w:tc>
      </w:tr>
      <w:tr w14:paraId="6341B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1" w:type="dxa"/>
            <w:noWrap w:val="0"/>
            <w:vAlign w:val="center"/>
          </w:tcPr>
          <w:p w14:paraId="49E4231D">
            <w:pPr>
              <w:adjustRightInd w:val="0"/>
              <w:snapToGrid w:val="0"/>
              <w:ind w:right="105" w:rightChars="5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p>
        </w:tc>
        <w:tc>
          <w:tcPr>
            <w:tcW w:w="1345" w:type="dxa"/>
            <w:noWrap w:val="0"/>
            <w:vAlign w:val="center"/>
          </w:tcPr>
          <w:p w14:paraId="1B617126">
            <w:pPr>
              <w:adjustRightInd w:val="0"/>
              <w:snapToGrid w:val="0"/>
              <w:ind w:right="105" w:rightChars="5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教师餐</w:t>
            </w:r>
          </w:p>
        </w:tc>
        <w:tc>
          <w:tcPr>
            <w:tcW w:w="2530" w:type="dxa"/>
            <w:noWrap w:val="0"/>
            <w:vAlign w:val="center"/>
          </w:tcPr>
          <w:p w14:paraId="2B5BBCC6">
            <w:pPr>
              <w:adjustRightInd w:val="0"/>
              <w:snapToGrid w:val="0"/>
              <w:ind w:right="105" w:rightChars="5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15元/人/天</w:t>
            </w:r>
          </w:p>
          <w:p w14:paraId="47860AB7">
            <w:pPr>
              <w:adjustRightInd w:val="0"/>
              <w:snapToGrid w:val="0"/>
              <w:ind w:right="105" w:rightChars="50"/>
              <w:jc w:val="center"/>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早餐2元+午餐13元</w:t>
            </w:r>
            <w:r>
              <w:rPr>
                <w:rFonts w:hint="eastAsia" w:ascii="仿宋_GB2312" w:hAnsi="仿宋_GB2312" w:eastAsia="仿宋_GB2312" w:cs="仿宋_GB2312"/>
                <w:szCs w:val="21"/>
                <w:highlight w:val="none"/>
                <w:lang w:eastAsia="zh-CN"/>
              </w:rPr>
              <w:t>）</w:t>
            </w:r>
          </w:p>
        </w:tc>
        <w:tc>
          <w:tcPr>
            <w:tcW w:w="1669" w:type="dxa"/>
            <w:noWrap w:val="0"/>
            <w:vAlign w:val="center"/>
          </w:tcPr>
          <w:p w14:paraId="0B583758">
            <w:pPr>
              <w:adjustRightInd w:val="0"/>
              <w:snapToGrid w:val="0"/>
              <w:ind w:right="105" w:rightChars="5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472,500</w:t>
            </w:r>
            <w:r>
              <w:rPr>
                <w:rFonts w:hint="eastAsia" w:ascii="仿宋_GB2312" w:hAnsi="仿宋_GB2312" w:eastAsia="仿宋_GB2312" w:cs="仿宋_GB2312"/>
                <w:szCs w:val="21"/>
                <w:highlight w:val="none"/>
                <w:lang w:val="en-US" w:eastAsia="zh-CN"/>
              </w:rPr>
              <w:t>.00</w:t>
            </w:r>
          </w:p>
        </w:tc>
        <w:tc>
          <w:tcPr>
            <w:tcW w:w="1457" w:type="dxa"/>
            <w:noWrap w:val="0"/>
            <w:vAlign w:val="center"/>
          </w:tcPr>
          <w:p w14:paraId="72BE8892">
            <w:pPr>
              <w:adjustRightInd w:val="0"/>
              <w:snapToGrid w:val="0"/>
              <w:ind w:right="105" w:rightChars="5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以实际发生量进行结算</w:t>
            </w:r>
          </w:p>
        </w:tc>
      </w:tr>
      <w:tr w14:paraId="4A6D8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05D082E2">
            <w:pPr>
              <w:adjustRightInd w:val="0"/>
              <w:snapToGrid w:val="0"/>
              <w:ind w:right="105" w:rightChars="5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1345" w:type="dxa"/>
            <w:noWrap w:val="0"/>
            <w:vAlign w:val="center"/>
          </w:tcPr>
          <w:p w14:paraId="2ED63B8E">
            <w:pPr>
              <w:adjustRightInd w:val="0"/>
              <w:snapToGrid w:val="0"/>
              <w:ind w:right="105" w:rightChars="50"/>
              <w:jc w:val="center"/>
              <w:rPr>
                <w:highlight w:val="none"/>
              </w:rPr>
            </w:pPr>
            <w:r>
              <w:rPr>
                <w:rFonts w:hint="eastAsia" w:ascii="仿宋_GB2312" w:hAnsi="仿宋_GB2312" w:eastAsia="仿宋_GB2312" w:cs="仿宋_GB2312"/>
                <w:szCs w:val="21"/>
                <w:highlight w:val="none"/>
              </w:rPr>
              <w:t>学生餐</w:t>
            </w:r>
          </w:p>
        </w:tc>
        <w:tc>
          <w:tcPr>
            <w:tcW w:w="2530" w:type="dxa"/>
            <w:noWrap w:val="0"/>
            <w:vAlign w:val="center"/>
          </w:tcPr>
          <w:p w14:paraId="52BBD793">
            <w:pPr>
              <w:adjustRightInd w:val="0"/>
              <w:snapToGrid w:val="0"/>
              <w:ind w:right="105" w:rightChars="5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26</w:t>
            </w:r>
            <w:r>
              <w:rPr>
                <w:rFonts w:hint="eastAsia" w:ascii="仿宋_GB2312" w:hAnsi="仿宋_GB2312" w:eastAsia="仿宋_GB2312" w:cs="仿宋_GB2312"/>
                <w:szCs w:val="21"/>
                <w:highlight w:val="none"/>
              </w:rPr>
              <w:t>元/人/天</w:t>
            </w:r>
          </w:p>
          <w:p w14:paraId="2F2CDDF3">
            <w:pPr>
              <w:adjustRightInd w:val="0"/>
              <w:snapToGrid w:val="0"/>
              <w:ind w:right="105" w:rightChars="50"/>
              <w:jc w:val="center"/>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午餐13元+晚餐13元</w:t>
            </w:r>
            <w:r>
              <w:rPr>
                <w:rFonts w:hint="eastAsia" w:ascii="仿宋_GB2312" w:hAnsi="仿宋_GB2312" w:eastAsia="仿宋_GB2312" w:cs="仿宋_GB2312"/>
                <w:szCs w:val="21"/>
                <w:highlight w:val="none"/>
                <w:lang w:eastAsia="zh-CN"/>
              </w:rPr>
              <w:t>）</w:t>
            </w:r>
          </w:p>
        </w:tc>
        <w:tc>
          <w:tcPr>
            <w:tcW w:w="1669" w:type="dxa"/>
            <w:noWrap w:val="0"/>
            <w:vAlign w:val="center"/>
          </w:tcPr>
          <w:p w14:paraId="33E19C1B">
            <w:pPr>
              <w:adjustRightInd w:val="0"/>
              <w:snapToGrid w:val="0"/>
              <w:ind w:right="105" w:rightChars="5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5,850,000.00</w:t>
            </w:r>
          </w:p>
        </w:tc>
        <w:tc>
          <w:tcPr>
            <w:tcW w:w="1457" w:type="dxa"/>
            <w:noWrap w:val="0"/>
            <w:vAlign w:val="center"/>
          </w:tcPr>
          <w:p w14:paraId="3A48FD76">
            <w:pPr>
              <w:adjustRightInd w:val="0"/>
              <w:snapToGrid w:val="0"/>
              <w:ind w:right="105" w:rightChars="5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以实际发生量进行结算</w:t>
            </w:r>
          </w:p>
        </w:tc>
      </w:tr>
      <w:tr w14:paraId="6CA3F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011" w:type="dxa"/>
            <w:noWrap w:val="0"/>
            <w:vAlign w:val="center"/>
          </w:tcPr>
          <w:p w14:paraId="0CA93EAF">
            <w:pPr>
              <w:adjustRightInd w:val="0"/>
              <w:snapToGrid w:val="0"/>
              <w:ind w:right="105" w:rightChars="50"/>
              <w:jc w:val="center"/>
              <w:rPr>
                <w:rFonts w:ascii="仿宋_GB2312" w:hAnsi="仿宋_GB2312" w:eastAsia="仿宋_GB2312" w:cs="仿宋_GB2312"/>
                <w:szCs w:val="21"/>
                <w:highlight w:val="none"/>
              </w:rPr>
            </w:pPr>
          </w:p>
        </w:tc>
        <w:tc>
          <w:tcPr>
            <w:tcW w:w="1345" w:type="dxa"/>
            <w:noWrap w:val="0"/>
            <w:vAlign w:val="center"/>
          </w:tcPr>
          <w:p w14:paraId="3A932508">
            <w:pPr>
              <w:adjustRightInd w:val="0"/>
              <w:snapToGrid w:val="0"/>
              <w:ind w:right="105" w:rightChars="50"/>
              <w:jc w:val="center"/>
              <w:rPr>
                <w:rFonts w:ascii="仿宋_GB2312" w:hAnsi="仿宋_GB2312" w:eastAsia="仿宋_GB2312" w:cs="仿宋_GB2312"/>
                <w:szCs w:val="21"/>
                <w:highlight w:val="none"/>
              </w:rPr>
            </w:pPr>
          </w:p>
        </w:tc>
        <w:tc>
          <w:tcPr>
            <w:tcW w:w="2530" w:type="dxa"/>
            <w:noWrap w:val="0"/>
            <w:vAlign w:val="center"/>
          </w:tcPr>
          <w:p w14:paraId="523AC5FC">
            <w:pPr>
              <w:adjustRightInd w:val="0"/>
              <w:snapToGrid w:val="0"/>
              <w:ind w:right="105" w:rightChars="50"/>
              <w:jc w:val="center"/>
              <w:rPr>
                <w:rFonts w:ascii="仿宋_GB2312" w:hAnsi="仿宋_GB2312" w:eastAsia="仿宋_GB2312" w:cs="仿宋_GB2312"/>
                <w:szCs w:val="21"/>
                <w:highlight w:val="none"/>
              </w:rPr>
            </w:pPr>
          </w:p>
        </w:tc>
        <w:tc>
          <w:tcPr>
            <w:tcW w:w="1669" w:type="dxa"/>
            <w:noWrap w:val="0"/>
            <w:vAlign w:val="center"/>
          </w:tcPr>
          <w:p w14:paraId="11887ED6">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4DF61936">
            <w:pPr>
              <w:adjustRightInd w:val="0"/>
              <w:snapToGrid w:val="0"/>
              <w:ind w:right="105" w:rightChars="50"/>
              <w:jc w:val="center"/>
              <w:rPr>
                <w:rFonts w:ascii="仿宋_GB2312" w:hAnsi="仿宋_GB2312" w:eastAsia="仿宋_GB2312" w:cs="仿宋_GB2312"/>
                <w:szCs w:val="21"/>
                <w:highlight w:val="none"/>
              </w:rPr>
            </w:pPr>
          </w:p>
        </w:tc>
      </w:tr>
      <w:tr w14:paraId="7594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011" w:type="dxa"/>
            <w:noWrap w:val="0"/>
            <w:vAlign w:val="center"/>
          </w:tcPr>
          <w:p w14:paraId="1FDABA13">
            <w:pPr>
              <w:adjustRightInd w:val="0"/>
              <w:snapToGrid w:val="0"/>
              <w:ind w:right="105" w:rightChars="50"/>
              <w:jc w:val="center"/>
              <w:rPr>
                <w:rFonts w:ascii="仿宋_GB2312" w:hAnsi="仿宋_GB2312" w:eastAsia="仿宋_GB2312" w:cs="仿宋_GB2312"/>
                <w:szCs w:val="21"/>
                <w:highlight w:val="none"/>
              </w:rPr>
            </w:pPr>
          </w:p>
        </w:tc>
        <w:tc>
          <w:tcPr>
            <w:tcW w:w="1345" w:type="dxa"/>
            <w:noWrap w:val="0"/>
            <w:vAlign w:val="center"/>
          </w:tcPr>
          <w:p w14:paraId="5237E0BE">
            <w:pPr>
              <w:adjustRightInd w:val="0"/>
              <w:snapToGrid w:val="0"/>
              <w:ind w:right="105" w:rightChars="50"/>
              <w:jc w:val="center"/>
              <w:rPr>
                <w:rFonts w:ascii="仿宋_GB2312" w:hAnsi="仿宋_GB2312" w:eastAsia="仿宋_GB2312" w:cs="仿宋_GB2312"/>
                <w:szCs w:val="21"/>
                <w:highlight w:val="none"/>
              </w:rPr>
            </w:pPr>
          </w:p>
        </w:tc>
        <w:tc>
          <w:tcPr>
            <w:tcW w:w="2530" w:type="dxa"/>
            <w:noWrap w:val="0"/>
            <w:vAlign w:val="center"/>
          </w:tcPr>
          <w:p w14:paraId="7B4B94E9">
            <w:pPr>
              <w:adjustRightInd w:val="0"/>
              <w:snapToGrid w:val="0"/>
              <w:ind w:right="105" w:rightChars="50"/>
              <w:jc w:val="center"/>
              <w:rPr>
                <w:rFonts w:ascii="仿宋_GB2312" w:hAnsi="仿宋_GB2312" w:eastAsia="仿宋_GB2312" w:cs="仿宋_GB2312"/>
                <w:szCs w:val="21"/>
                <w:highlight w:val="none"/>
              </w:rPr>
            </w:pPr>
          </w:p>
        </w:tc>
        <w:tc>
          <w:tcPr>
            <w:tcW w:w="1669" w:type="dxa"/>
            <w:noWrap w:val="0"/>
            <w:vAlign w:val="center"/>
          </w:tcPr>
          <w:p w14:paraId="119E85D3">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359862E9">
            <w:pPr>
              <w:adjustRightInd w:val="0"/>
              <w:snapToGrid w:val="0"/>
              <w:ind w:right="105" w:rightChars="50"/>
              <w:jc w:val="center"/>
              <w:rPr>
                <w:rFonts w:ascii="仿宋_GB2312" w:hAnsi="仿宋_GB2312" w:eastAsia="仿宋_GB2312" w:cs="仿宋_GB2312"/>
                <w:szCs w:val="21"/>
                <w:highlight w:val="none"/>
              </w:rPr>
            </w:pPr>
          </w:p>
        </w:tc>
      </w:tr>
      <w:tr w14:paraId="44B8D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011" w:type="dxa"/>
            <w:noWrap w:val="0"/>
            <w:vAlign w:val="center"/>
          </w:tcPr>
          <w:p w14:paraId="3402FA35">
            <w:pPr>
              <w:adjustRightInd w:val="0"/>
              <w:snapToGrid w:val="0"/>
              <w:ind w:right="105" w:rightChars="50"/>
              <w:jc w:val="center"/>
              <w:rPr>
                <w:rFonts w:ascii="仿宋_GB2312" w:hAnsi="仿宋_GB2312" w:eastAsia="仿宋_GB2312" w:cs="仿宋_GB2312"/>
                <w:szCs w:val="21"/>
                <w:highlight w:val="none"/>
              </w:rPr>
            </w:pPr>
          </w:p>
        </w:tc>
        <w:tc>
          <w:tcPr>
            <w:tcW w:w="1345" w:type="dxa"/>
            <w:noWrap w:val="0"/>
            <w:vAlign w:val="center"/>
          </w:tcPr>
          <w:p w14:paraId="631E0174">
            <w:pPr>
              <w:adjustRightInd w:val="0"/>
              <w:snapToGrid w:val="0"/>
              <w:ind w:right="105" w:rightChars="50"/>
              <w:jc w:val="center"/>
              <w:rPr>
                <w:rFonts w:ascii="仿宋_GB2312" w:hAnsi="仿宋_GB2312" w:eastAsia="仿宋_GB2312" w:cs="仿宋_GB2312"/>
                <w:szCs w:val="21"/>
                <w:highlight w:val="none"/>
              </w:rPr>
            </w:pPr>
          </w:p>
        </w:tc>
        <w:tc>
          <w:tcPr>
            <w:tcW w:w="2530" w:type="dxa"/>
            <w:noWrap w:val="0"/>
            <w:vAlign w:val="center"/>
          </w:tcPr>
          <w:p w14:paraId="59EC00CC">
            <w:pPr>
              <w:adjustRightInd w:val="0"/>
              <w:snapToGrid w:val="0"/>
              <w:ind w:right="105" w:rightChars="50"/>
              <w:jc w:val="center"/>
              <w:rPr>
                <w:rFonts w:ascii="仿宋_GB2312" w:hAnsi="仿宋_GB2312" w:eastAsia="仿宋_GB2312" w:cs="仿宋_GB2312"/>
                <w:szCs w:val="21"/>
                <w:highlight w:val="none"/>
              </w:rPr>
            </w:pPr>
          </w:p>
        </w:tc>
        <w:tc>
          <w:tcPr>
            <w:tcW w:w="1669" w:type="dxa"/>
            <w:noWrap w:val="0"/>
            <w:vAlign w:val="center"/>
          </w:tcPr>
          <w:p w14:paraId="5EC76626">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2F89E115">
            <w:pPr>
              <w:adjustRightInd w:val="0"/>
              <w:snapToGrid w:val="0"/>
              <w:ind w:right="105" w:rightChars="50"/>
              <w:jc w:val="center"/>
              <w:rPr>
                <w:rFonts w:ascii="仿宋_GB2312" w:hAnsi="仿宋_GB2312" w:eastAsia="仿宋_GB2312" w:cs="仿宋_GB2312"/>
                <w:szCs w:val="21"/>
                <w:highlight w:val="none"/>
              </w:rPr>
            </w:pPr>
          </w:p>
        </w:tc>
      </w:tr>
      <w:tr w14:paraId="71E8D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011" w:type="dxa"/>
            <w:noWrap w:val="0"/>
            <w:vAlign w:val="center"/>
          </w:tcPr>
          <w:p w14:paraId="64DF168B">
            <w:pPr>
              <w:adjustRightInd w:val="0"/>
              <w:snapToGrid w:val="0"/>
              <w:ind w:right="105" w:rightChars="50"/>
              <w:jc w:val="center"/>
              <w:rPr>
                <w:rFonts w:ascii="仿宋_GB2312" w:hAnsi="仿宋_GB2312" w:eastAsia="仿宋_GB2312" w:cs="仿宋_GB2312"/>
                <w:szCs w:val="21"/>
                <w:highlight w:val="none"/>
              </w:rPr>
            </w:pPr>
          </w:p>
        </w:tc>
        <w:tc>
          <w:tcPr>
            <w:tcW w:w="1345" w:type="dxa"/>
            <w:noWrap w:val="0"/>
            <w:vAlign w:val="center"/>
          </w:tcPr>
          <w:p w14:paraId="7388D34C">
            <w:pPr>
              <w:adjustRightInd w:val="0"/>
              <w:snapToGrid w:val="0"/>
              <w:ind w:right="105" w:rightChars="50"/>
              <w:jc w:val="center"/>
              <w:rPr>
                <w:rFonts w:ascii="仿宋_GB2312" w:hAnsi="仿宋_GB2312" w:eastAsia="仿宋_GB2312" w:cs="仿宋_GB2312"/>
                <w:szCs w:val="21"/>
                <w:highlight w:val="none"/>
              </w:rPr>
            </w:pPr>
          </w:p>
        </w:tc>
        <w:tc>
          <w:tcPr>
            <w:tcW w:w="2530" w:type="dxa"/>
            <w:noWrap w:val="0"/>
            <w:vAlign w:val="center"/>
          </w:tcPr>
          <w:p w14:paraId="1A8E2D13">
            <w:pPr>
              <w:adjustRightInd w:val="0"/>
              <w:snapToGrid w:val="0"/>
              <w:ind w:right="105" w:rightChars="50"/>
              <w:jc w:val="center"/>
              <w:rPr>
                <w:rFonts w:ascii="仿宋_GB2312" w:hAnsi="仿宋_GB2312" w:eastAsia="仿宋_GB2312" w:cs="仿宋_GB2312"/>
                <w:szCs w:val="21"/>
                <w:highlight w:val="none"/>
              </w:rPr>
            </w:pPr>
          </w:p>
        </w:tc>
        <w:tc>
          <w:tcPr>
            <w:tcW w:w="1669" w:type="dxa"/>
            <w:noWrap w:val="0"/>
            <w:vAlign w:val="center"/>
          </w:tcPr>
          <w:p w14:paraId="067246D8">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2E63349D">
            <w:pPr>
              <w:adjustRightInd w:val="0"/>
              <w:snapToGrid w:val="0"/>
              <w:ind w:right="105" w:rightChars="50"/>
              <w:jc w:val="center"/>
              <w:rPr>
                <w:rFonts w:ascii="仿宋_GB2312" w:hAnsi="仿宋_GB2312" w:eastAsia="仿宋_GB2312" w:cs="仿宋_GB2312"/>
                <w:szCs w:val="21"/>
                <w:highlight w:val="none"/>
              </w:rPr>
            </w:pPr>
          </w:p>
        </w:tc>
      </w:tr>
      <w:tr w14:paraId="1EFA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011" w:type="dxa"/>
            <w:noWrap w:val="0"/>
            <w:vAlign w:val="center"/>
          </w:tcPr>
          <w:p w14:paraId="27B66AEC">
            <w:pPr>
              <w:adjustRightInd w:val="0"/>
              <w:snapToGrid w:val="0"/>
              <w:ind w:right="105" w:rightChars="50"/>
              <w:jc w:val="center"/>
              <w:rPr>
                <w:rFonts w:ascii="仿宋_GB2312" w:hAnsi="仿宋_GB2312" w:eastAsia="仿宋_GB2312" w:cs="仿宋_GB2312"/>
                <w:szCs w:val="21"/>
                <w:highlight w:val="none"/>
              </w:rPr>
            </w:pPr>
          </w:p>
        </w:tc>
        <w:tc>
          <w:tcPr>
            <w:tcW w:w="1345" w:type="dxa"/>
            <w:noWrap w:val="0"/>
            <w:vAlign w:val="center"/>
          </w:tcPr>
          <w:p w14:paraId="74CF5F5A">
            <w:pPr>
              <w:adjustRightInd w:val="0"/>
              <w:snapToGrid w:val="0"/>
              <w:ind w:right="105" w:rightChars="50"/>
              <w:jc w:val="center"/>
              <w:rPr>
                <w:rFonts w:ascii="仿宋_GB2312" w:hAnsi="仿宋_GB2312" w:eastAsia="仿宋_GB2312" w:cs="仿宋_GB2312"/>
                <w:szCs w:val="21"/>
                <w:highlight w:val="none"/>
              </w:rPr>
            </w:pPr>
          </w:p>
        </w:tc>
        <w:tc>
          <w:tcPr>
            <w:tcW w:w="2530" w:type="dxa"/>
            <w:noWrap w:val="0"/>
            <w:vAlign w:val="center"/>
          </w:tcPr>
          <w:p w14:paraId="778691C1">
            <w:pPr>
              <w:adjustRightInd w:val="0"/>
              <w:snapToGrid w:val="0"/>
              <w:ind w:right="105" w:rightChars="50"/>
              <w:jc w:val="center"/>
              <w:rPr>
                <w:rFonts w:ascii="仿宋_GB2312" w:hAnsi="仿宋_GB2312" w:eastAsia="仿宋_GB2312" w:cs="仿宋_GB2312"/>
                <w:szCs w:val="21"/>
                <w:highlight w:val="none"/>
              </w:rPr>
            </w:pPr>
          </w:p>
        </w:tc>
        <w:tc>
          <w:tcPr>
            <w:tcW w:w="1669" w:type="dxa"/>
            <w:noWrap w:val="0"/>
            <w:vAlign w:val="center"/>
          </w:tcPr>
          <w:p w14:paraId="28A483D4">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77071119">
            <w:pPr>
              <w:adjustRightInd w:val="0"/>
              <w:snapToGrid w:val="0"/>
              <w:ind w:right="105" w:rightChars="50"/>
              <w:jc w:val="center"/>
              <w:rPr>
                <w:rFonts w:ascii="仿宋_GB2312" w:hAnsi="仿宋_GB2312" w:eastAsia="仿宋_GB2312" w:cs="仿宋_GB2312"/>
                <w:szCs w:val="21"/>
                <w:highlight w:val="none"/>
              </w:rPr>
            </w:pPr>
          </w:p>
        </w:tc>
      </w:tr>
      <w:tr w14:paraId="561DE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356" w:type="dxa"/>
            <w:gridSpan w:val="2"/>
            <w:noWrap w:val="0"/>
            <w:vAlign w:val="center"/>
          </w:tcPr>
          <w:p w14:paraId="19F6317E">
            <w:pPr>
              <w:adjustRightInd w:val="0"/>
              <w:snapToGrid w:val="0"/>
              <w:ind w:right="105" w:rightChars="5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总价</w:t>
            </w:r>
          </w:p>
        </w:tc>
        <w:tc>
          <w:tcPr>
            <w:tcW w:w="5656" w:type="dxa"/>
            <w:gridSpan w:val="3"/>
            <w:noWrap w:val="0"/>
            <w:vAlign w:val="center"/>
          </w:tcPr>
          <w:p w14:paraId="12F0926C">
            <w:pPr>
              <w:adjustRightInd w:val="0"/>
              <w:snapToGrid w:val="0"/>
              <w:ind w:right="105" w:rightChars="50"/>
              <w:jc w:val="center"/>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lang w:eastAsia="zh-CN"/>
              </w:rPr>
              <w:t>6,322,500.00</w:t>
            </w:r>
          </w:p>
        </w:tc>
      </w:tr>
    </w:tbl>
    <w:p w14:paraId="06C4DA81">
      <w:pPr>
        <w:adjustRightInd w:val="0"/>
        <w:snapToGrid w:val="0"/>
        <w:spacing w:line="360" w:lineRule="auto"/>
        <w:ind w:right="105" w:rightChars="50"/>
        <w:jc w:val="left"/>
        <w:rPr>
          <w:rFonts w:ascii="仿宋_GB2312" w:hAnsi="仿宋_GB2312" w:eastAsia="仿宋_GB2312" w:cs="仿宋_GB2312"/>
          <w:szCs w:val="21"/>
          <w:highlight w:val="none"/>
        </w:rPr>
      </w:pPr>
    </w:p>
    <w:p w14:paraId="3EBE0370">
      <w:pPr>
        <w:adjustRightInd w:val="0"/>
        <w:snapToGrid w:val="0"/>
        <w:spacing w:line="360" w:lineRule="auto"/>
        <w:ind w:right="105" w:rightChars="50"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注：1.此表中，总价应和开标一览表的投标总价相一致。</w:t>
      </w:r>
    </w:p>
    <w:p w14:paraId="175202F5">
      <w:pPr>
        <w:adjustRightInd w:val="0"/>
        <w:snapToGrid w:val="0"/>
        <w:spacing w:line="360" w:lineRule="auto"/>
        <w:ind w:right="105" w:rightChars="50" w:firstLine="840" w:firstLineChars="4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2.本表</w:t>
      </w:r>
      <w:r>
        <w:rPr>
          <w:rFonts w:hint="eastAsia" w:ascii="仿宋_GB2312" w:hAnsi="仿宋_GB2312" w:eastAsia="仿宋_GB2312" w:cs="仿宋_GB2312"/>
          <w:szCs w:val="21"/>
          <w:highlight w:val="none"/>
          <w:lang w:val="en-US" w:eastAsia="zh-CN"/>
        </w:rPr>
        <w:t>教师餐为</w:t>
      </w:r>
      <w:r>
        <w:rPr>
          <w:rFonts w:hint="eastAsia" w:ascii="仿宋_GB2312" w:hAnsi="仿宋_GB2312" w:eastAsia="仿宋_GB2312" w:cs="仿宋_GB2312"/>
          <w:szCs w:val="21"/>
          <w:highlight w:val="none"/>
        </w:rPr>
        <w:t>固定价格即472,500.00元（按</w:t>
      </w:r>
      <w:r>
        <w:rPr>
          <w:rFonts w:hint="eastAsia" w:ascii="仿宋_GB2312" w:hAnsi="仿宋_GB2312" w:eastAsia="仿宋_GB2312" w:cs="仿宋_GB2312"/>
          <w:szCs w:val="21"/>
          <w:highlight w:val="none"/>
          <w:lang w:val="en-US" w:eastAsia="zh-CN"/>
        </w:rPr>
        <w:t>教师人数</w:t>
      </w:r>
      <w:r>
        <w:rPr>
          <w:rFonts w:hint="eastAsia" w:ascii="仿宋_GB2312" w:hAnsi="仿宋_GB2312" w:eastAsia="仿宋_GB2312" w:cs="仿宋_GB2312"/>
          <w:szCs w:val="21"/>
          <w:highlight w:val="none"/>
        </w:rPr>
        <w:t>150人×15元/人/天×210天=472,500</w:t>
      </w:r>
      <w:r>
        <w:rPr>
          <w:rFonts w:hint="eastAsia" w:ascii="仿宋_GB2312" w:hAnsi="仿宋_GB2312" w:eastAsia="仿宋_GB2312" w:cs="仿宋_GB2312"/>
          <w:szCs w:val="21"/>
          <w:highlight w:val="none"/>
          <w:lang w:val="en-US" w:eastAsia="zh-CN"/>
        </w:rPr>
        <w:t>元</w:t>
      </w:r>
      <w:r>
        <w:rPr>
          <w:rFonts w:hint="eastAsia" w:ascii="仿宋_GB2312" w:hAnsi="仿宋_GB2312" w:eastAsia="仿宋_GB2312" w:cs="仿宋_GB2312"/>
          <w:szCs w:val="21"/>
          <w:highlight w:val="none"/>
        </w:rPr>
        <w:t>），为不可变动价格；学生餐价格为固定价格即</w:t>
      </w:r>
      <w:r>
        <w:rPr>
          <w:rFonts w:hint="eastAsia" w:ascii="仿宋_GB2312" w:hAnsi="仿宋_GB2312" w:eastAsia="仿宋_GB2312" w:cs="仿宋_GB2312"/>
          <w:szCs w:val="21"/>
          <w:highlight w:val="none"/>
          <w:lang w:eastAsia="zh-CN"/>
        </w:rPr>
        <w:t>5,850,000</w:t>
      </w:r>
      <w:r>
        <w:rPr>
          <w:rFonts w:hint="eastAsia" w:ascii="仿宋_GB2312" w:hAnsi="仿宋_GB2312" w:eastAsia="仿宋_GB2312" w:cs="仿宋_GB2312"/>
          <w:szCs w:val="21"/>
          <w:highlight w:val="none"/>
        </w:rPr>
        <w:t>.00元（</w:t>
      </w:r>
      <w:r>
        <w:rPr>
          <w:rFonts w:hint="eastAsia" w:ascii="仿宋_GB2312" w:hAnsi="仿宋_GB2312" w:eastAsia="仿宋_GB2312" w:cs="仿宋_GB2312"/>
          <w:szCs w:val="21"/>
          <w:highlight w:val="none"/>
          <w:lang w:val="en-US" w:eastAsia="zh-CN"/>
        </w:rPr>
        <w:t>按</w:t>
      </w:r>
      <w:r>
        <w:rPr>
          <w:rFonts w:hint="eastAsia" w:ascii="仿宋_GB2312" w:hAnsi="仿宋_GB2312" w:eastAsia="仿宋_GB2312" w:cs="仿宋_GB2312"/>
          <w:szCs w:val="21"/>
          <w:highlight w:val="none"/>
        </w:rPr>
        <w:t>学生人数1250人×</w:t>
      </w:r>
      <w:r>
        <w:rPr>
          <w:rFonts w:hint="eastAsia" w:ascii="仿宋_GB2312" w:hAnsi="仿宋_GB2312" w:eastAsia="仿宋_GB2312" w:cs="仿宋_GB2312"/>
          <w:szCs w:val="21"/>
          <w:highlight w:val="none"/>
          <w:lang w:val="en-US" w:eastAsia="zh-CN"/>
        </w:rPr>
        <w:t>26</w:t>
      </w:r>
      <w:r>
        <w:rPr>
          <w:rFonts w:hint="eastAsia" w:ascii="仿宋_GB2312" w:hAnsi="仿宋_GB2312" w:eastAsia="仿宋_GB2312" w:cs="仿宋_GB2312"/>
          <w:szCs w:val="21"/>
          <w:highlight w:val="none"/>
        </w:rPr>
        <w:t>元/人/</w:t>
      </w:r>
      <w:r>
        <w:rPr>
          <w:rFonts w:hint="eastAsia" w:ascii="仿宋_GB2312" w:hAnsi="仿宋_GB2312" w:eastAsia="仿宋_GB2312" w:cs="仿宋_GB2312"/>
          <w:szCs w:val="21"/>
          <w:highlight w:val="none"/>
          <w:lang w:val="en-US" w:eastAsia="zh-CN"/>
        </w:rPr>
        <w:t>天</w:t>
      </w:r>
      <w:r>
        <w:rPr>
          <w:rFonts w:hint="eastAsia" w:ascii="仿宋_GB2312" w:hAnsi="仿宋_GB2312" w:eastAsia="仿宋_GB2312" w:cs="仿宋_GB2312"/>
          <w:szCs w:val="21"/>
          <w:highlight w:val="none"/>
        </w:rPr>
        <w:t>×180天=5,850,000元），为不可变动价格。</w:t>
      </w:r>
    </w:p>
    <w:p w14:paraId="2A22A094">
      <w:pPr>
        <w:adjustRightInd w:val="0"/>
        <w:snapToGrid w:val="0"/>
        <w:spacing w:line="360" w:lineRule="auto"/>
        <w:ind w:right="105" w:rightChars="50"/>
        <w:jc w:val="left"/>
        <w:rPr>
          <w:rFonts w:ascii="仿宋_GB2312" w:hAnsi="仿宋_GB2312" w:eastAsia="仿宋_GB2312" w:cs="仿宋_GB2312"/>
          <w:szCs w:val="21"/>
          <w:highlight w:val="none"/>
        </w:rPr>
      </w:pPr>
    </w:p>
    <w:p w14:paraId="768DE3FD">
      <w:pPr>
        <w:adjustRightInd w:val="0"/>
        <w:snapToGrid w:val="0"/>
        <w:spacing w:line="360" w:lineRule="auto"/>
        <w:ind w:right="105" w:rightChars="50"/>
        <w:jc w:val="left"/>
        <w:rPr>
          <w:rFonts w:ascii="仿宋_GB2312" w:hAnsi="仿宋_GB2312" w:eastAsia="仿宋_GB2312" w:cs="仿宋_GB2312"/>
          <w:szCs w:val="21"/>
          <w:highlight w:val="none"/>
        </w:rPr>
      </w:pPr>
    </w:p>
    <w:p w14:paraId="45901636">
      <w:pPr>
        <w:adjustRightInd w:val="0"/>
        <w:snapToGrid w:val="0"/>
        <w:spacing w:line="360" w:lineRule="auto"/>
        <w:ind w:right="105" w:rightChars="50"/>
        <w:jc w:val="left"/>
        <w:rPr>
          <w:rFonts w:ascii="仿宋_GB2312" w:hAnsi="仿宋_GB2312" w:eastAsia="仿宋_GB2312" w:cs="仿宋_GB2312"/>
          <w:szCs w:val="21"/>
          <w:highlight w:val="none"/>
        </w:rPr>
      </w:pPr>
    </w:p>
    <w:p w14:paraId="67D9ACC7">
      <w:pPr>
        <w:adjustRightInd w:val="0"/>
        <w:snapToGrid w:val="0"/>
        <w:spacing w:line="360" w:lineRule="auto"/>
        <w:ind w:right="105" w:rightChars="50"/>
        <w:jc w:val="left"/>
        <w:rPr>
          <w:rFonts w:ascii="仿宋_GB2312" w:hAnsi="仿宋_GB2312" w:eastAsia="仿宋_GB2312" w:cs="仿宋_GB2312"/>
          <w:szCs w:val="21"/>
          <w:highlight w:val="none"/>
        </w:rPr>
      </w:pPr>
    </w:p>
    <w:p w14:paraId="68C4CD79">
      <w:pPr>
        <w:adjustRightInd w:val="0"/>
        <w:snapToGrid w:val="0"/>
        <w:spacing w:line="360" w:lineRule="auto"/>
        <w:ind w:right="105" w:rightChars="50"/>
        <w:jc w:val="left"/>
        <w:rPr>
          <w:rFonts w:ascii="仿宋_GB2312" w:hAnsi="仿宋_GB2312" w:eastAsia="仿宋_GB2312" w:cs="仿宋_GB2312"/>
          <w:szCs w:val="21"/>
          <w:highlight w:val="none"/>
        </w:rPr>
      </w:pPr>
    </w:p>
    <w:p w14:paraId="7F58ED90">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0AEE7902">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其委托代理人(签字或盖章)：</w:t>
      </w:r>
      <w:r>
        <w:rPr>
          <w:rFonts w:hint="eastAsia" w:ascii="仿宋_GB2312" w:hAnsi="仿宋_GB2312" w:eastAsia="仿宋_GB2312" w:cs="仿宋_GB2312"/>
          <w:highlight w:val="none"/>
          <w:u w:val="single"/>
        </w:rPr>
        <w:t xml:space="preserve">           </w:t>
      </w:r>
    </w:p>
    <w:p w14:paraId="1AEA28A3">
      <w:pPr>
        <w:adjustRightInd w:val="0"/>
        <w:snapToGrid w:val="0"/>
        <w:spacing w:line="360" w:lineRule="auto"/>
        <w:ind w:right="1050" w:rightChars="500"/>
        <w:rPr>
          <w:rFonts w:ascii="仿宋_GB2312" w:hAnsi="仿宋_GB2312" w:eastAsia="仿宋_GB2312" w:cs="仿宋_GB2312"/>
          <w:szCs w:val="21"/>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rPr>
        <w:t xml:space="preserve"> </w:t>
      </w:r>
    </w:p>
    <w:p w14:paraId="3731CBE5">
      <w:pPr>
        <w:adjustRightInd w:val="0"/>
        <w:snapToGrid w:val="0"/>
        <w:spacing w:line="360" w:lineRule="auto"/>
        <w:ind w:right="105" w:rightChars="50"/>
        <w:jc w:val="left"/>
        <w:rPr>
          <w:rFonts w:ascii="仿宋_GB2312" w:hAnsi="仿宋_GB2312" w:eastAsia="仿宋_GB2312" w:cs="仿宋_GB2312"/>
          <w:szCs w:val="21"/>
          <w:highlight w:val="none"/>
          <w:u w:val="single"/>
        </w:rPr>
      </w:pPr>
    </w:p>
    <w:p w14:paraId="44763C16">
      <w:pPr>
        <w:adjustRightInd w:val="0"/>
        <w:snapToGrid w:val="0"/>
        <w:spacing w:line="360" w:lineRule="auto"/>
        <w:ind w:right="105" w:rightChars="50" w:firstLine="420" w:firstLineChars="200"/>
        <w:jc w:val="left"/>
        <w:rPr>
          <w:rFonts w:ascii="仿宋_GB2312" w:hAnsi="仿宋_GB2312" w:eastAsia="仿宋_GB2312" w:cs="仿宋_GB2312"/>
          <w:szCs w:val="21"/>
          <w:highlight w:val="none"/>
        </w:rPr>
      </w:pPr>
    </w:p>
    <w:p w14:paraId="6C76BB32">
      <w:pPr>
        <w:pStyle w:val="3"/>
        <w:adjustRightInd w:val="0"/>
        <w:snapToGrid w:val="0"/>
        <w:spacing w:before="0" w:after="0" w:line="240" w:lineRule="auto"/>
        <w:jc w:val="left"/>
        <w:rPr>
          <w:rFonts w:ascii="仿宋_GB2312" w:hAnsi="仿宋_GB2312" w:eastAsia="仿宋_GB2312" w:cs="仿宋_GB2312"/>
          <w:szCs w:val="28"/>
          <w:highlight w:val="none"/>
          <w:lang w:val="en-US" w:eastAsia="zh-CN"/>
        </w:rPr>
      </w:pPr>
      <w:r>
        <w:rPr>
          <w:rFonts w:hint="eastAsia" w:ascii="仿宋_GB2312" w:hAnsi="仿宋_GB2312" w:eastAsia="仿宋_GB2312" w:cs="仿宋_GB2312"/>
          <w:szCs w:val="28"/>
          <w:highlight w:val="none"/>
        </w:rPr>
        <w:br w:type="page"/>
      </w:r>
      <w:r>
        <w:rPr>
          <w:rFonts w:hint="eastAsia" w:ascii="仿宋_GB2312" w:hAnsi="仿宋_GB2312" w:eastAsia="仿宋_GB2312" w:cs="仿宋_GB2312"/>
          <w:szCs w:val="28"/>
          <w:highlight w:val="none"/>
        </w:rPr>
        <w:t>格式</w:t>
      </w:r>
      <w:r>
        <w:rPr>
          <w:rFonts w:hint="eastAsia" w:ascii="仿宋_GB2312" w:hAnsi="仿宋_GB2312" w:eastAsia="仿宋_GB2312" w:cs="仿宋_GB2312"/>
          <w:szCs w:val="28"/>
          <w:highlight w:val="none"/>
          <w:lang w:val="en-US" w:eastAsia="zh-CN"/>
        </w:rPr>
        <w:t>10</w:t>
      </w:r>
    </w:p>
    <w:p w14:paraId="2261B8C0">
      <w:pPr>
        <w:adjustRightInd w:val="0"/>
        <w:snapToGrid w:val="0"/>
        <w:spacing w:before="319" w:beforeLines="100" w:line="360" w:lineRule="auto"/>
        <w:ind w:right="105" w:rightChars="50"/>
        <w:jc w:val="center"/>
        <w:rPr>
          <w:rFonts w:ascii="仿宋_GB2312" w:hAnsi="仿宋_GB2312" w:eastAsia="仿宋_GB2312" w:cs="仿宋_GB2312"/>
          <w:b/>
          <w:bCs/>
          <w:sz w:val="32"/>
          <w:szCs w:val="32"/>
          <w:highlight w:val="none"/>
        </w:rPr>
      </w:pPr>
      <w:bookmarkStart w:id="107" w:name="_Toc9235_WPSOffice_Level2"/>
      <w:bookmarkStart w:id="108" w:name="_Toc31555_WPSOffice_Level2"/>
      <w:r>
        <w:rPr>
          <w:rFonts w:hint="eastAsia" w:ascii="仿宋_GB2312" w:hAnsi="仿宋_GB2312" w:eastAsia="仿宋_GB2312" w:cs="仿宋_GB2312"/>
          <w:b/>
          <w:bCs/>
          <w:sz w:val="32"/>
          <w:szCs w:val="32"/>
          <w:highlight w:val="none"/>
        </w:rPr>
        <w:t>服务需求响应表</w:t>
      </w:r>
      <w:bookmarkEnd w:id="107"/>
      <w:bookmarkEnd w:id="108"/>
    </w:p>
    <w:tbl>
      <w:tblPr>
        <w:tblStyle w:val="20"/>
        <w:tblW w:w="84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0"/>
        <w:gridCol w:w="3268"/>
        <w:gridCol w:w="546"/>
        <w:gridCol w:w="611"/>
        <w:gridCol w:w="675"/>
      </w:tblGrid>
      <w:tr w14:paraId="29AD8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410" w:type="dxa"/>
            <w:gridSpan w:val="5"/>
            <w:tcBorders>
              <w:top w:val="single" w:color="auto" w:sz="4" w:space="0"/>
              <w:left w:val="single" w:color="auto" w:sz="4" w:space="0"/>
              <w:bottom w:val="single" w:color="auto" w:sz="4" w:space="0"/>
              <w:right w:val="single" w:color="auto" w:sz="4" w:space="0"/>
            </w:tcBorders>
            <w:noWrap w:val="0"/>
            <w:vAlign w:val="center"/>
          </w:tcPr>
          <w:p w14:paraId="14BD9B29">
            <w:pPr>
              <w:adjustRightInd w:val="0"/>
              <w:snapToGrid w:val="0"/>
              <w:ind w:right="105" w:rightChars="5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包号/序号：001</w:t>
            </w:r>
          </w:p>
          <w:p w14:paraId="0C1445D8">
            <w:pPr>
              <w:tabs>
                <w:tab w:val="left" w:pos="0"/>
              </w:tabs>
              <w:adjustRightInd w:val="0"/>
              <w:snapToGrid w:val="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服务内容：</w:t>
            </w:r>
            <w:r>
              <w:rPr>
                <w:rFonts w:hint="eastAsia" w:ascii="仿宋_GB2312" w:hAnsi="仿宋_GB2312" w:eastAsia="仿宋_GB2312" w:cs="仿宋_GB2312"/>
                <w:szCs w:val="21"/>
                <w:highlight w:val="none"/>
                <w:lang w:eastAsia="zh-CN"/>
              </w:rPr>
              <w:t>沈阳市第一0七中学购买师生餐饮服务</w:t>
            </w:r>
          </w:p>
        </w:tc>
      </w:tr>
      <w:tr w14:paraId="6032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3310" w:type="dxa"/>
            <w:tcBorders>
              <w:top w:val="single" w:color="auto" w:sz="4" w:space="0"/>
              <w:left w:val="single" w:color="auto" w:sz="4" w:space="0"/>
              <w:bottom w:val="single" w:color="auto" w:sz="4" w:space="0"/>
              <w:right w:val="single" w:color="auto" w:sz="4" w:space="0"/>
            </w:tcBorders>
            <w:noWrap w:val="0"/>
            <w:vAlign w:val="center"/>
          </w:tcPr>
          <w:p w14:paraId="595CCB6F">
            <w:pPr>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招标文件要求</w:t>
            </w:r>
          </w:p>
          <w:p w14:paraId="21B0A5FD">
            <w:pPr>
              <w:jc w:val="center"/>
              <w:rPr>
                <w:rFonts w:hint="eastAsia" w:ascii="仿宋_GB2312" w:hAnsi="仿宋_GB2312" w:eastAsia="仿宋_GB2312" w:cs="仿宋_GB2312"/>
                <w:szCs w:val="21"/>
                <w:highlight w:val="none"/>
              </w:rPr>
            </w:pPr>
            <w:r>
              <w:rPr>
                <w:rFonts w:hint="eastAsia" w:ascii="仿宋_GB2312" w:hAnsi="仿宋_GB2312" w:cs="仿宋_GB2312"/>
                <w:szCs w:val="21"/>
                <w:highlight w:val="none"/>
              </w:rPr>
              <w:t>（</w:t>
            </w:r>
            <w:r>
              <w:rPr>
                <w:rFonts w:hint="eastAsia" w:ascii="仿宋_GB2312" w:hAnsi="仿宋_GB2312" w:cs="仿宋_GB2312"/>
                <w:b/>
                <w:sz w:val="18"/>
                <w:szCs w:val="18"/>
                <w:highlight w:val="none"/>
              </w:rPr>
              <w:t>服务需求响应不允许负偏离，如果负偏离，则投标无效。</w:t>
            </w:r>
            <w:r>
              <w:rPr>
                <w:rFonts w:hint="eastAsia" w:ascii="仿宋_GB2312" w:hAnsi="仿宋_GB2312" w:cs="仿宋_GB2312"/>
                <w:szCs w:val="21"/>
                <w:highlight w:val="none"/>
              </w:rPr>
              <w:t>）</w:t>
            </w:r>
          </w:p>
        </w:tc>
        <w:tc>
          <w:tcPr>
            <w:tcW w:w="3268" w:type="dxa"/>
            <w:tcBorders>
              <w:top w:val="single" w:color="auto" w:sz="4" w:space="0"/>
              <w:left w:val="single" w:color="auto" w:sz="4" w:space="0"/>
              <w:bottom w:val="single" w:color="auto" w:sz="4" w:space="0"/>
              <w:right w:val="single" w:color="auto" w:sz="4" w:space="0"/>
            </w:tcBorders>
            <w:noWrap w:val="0"/>
            <w:vAlign w:val="center"/>
          </w:tcPr>
          <w:p w14:paraId="163FCEDF">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投标文件</w:t>
            </w:r>
          </w:p>
          <w:p w14:paraId="0DE139A6">
            <w:pPr>
              <w:tabs>
                <w:tab w:val="left" w:pos="0"/>
              </w:tabs>
              <w:spacing w:line="240" w:lineRule="exact"/>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响应内容</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65E779A9">
            <w:pPr>
              <w:tabs>
                <w:tab w:val="left" w:pos="-75"/>
              </w:tabs>
              <w:spacing w:line="240" w:lineRule="exact"/>
              <w:ind w:right="-56" w:rightChars="-27"/>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偏离程度</w:t>
            </w:r>
          </w:p>
        </w:tc>
        <w:tc>
          <w:tcPr>
            <w:tcW w:w="611" w:type="dxa"/>
            <w:tcBorders>
              <w:top w:val="single" w:color="auto" w:sz="4" w:space="0"/>
              <w:left w:val="single" w:color="auto" w:sz="4" w:space="0"/>
              <w:bottom w:val="single" w:color="auto" w:sz="4" w:space="0"/>
              <w:right w:val="single" w:color="auto" w:sz="4" w:space="0"/>
            </w:tcBorders>
            <w:noWrap w:val="0"/>
            <w:vAlign w:val="center"/>
          </w:tcPr>
          <w:p w14:paraId="288863CB">
            <w:pPr>
              <w:tabs>
                <w:tab w:val="left" w:pos="-75"/>
              </w:tabs>
              <w:spacing w:line="240" w:lineRule="exact"/>
              <w:ind w:right="-56" w:rightChars="-27"/>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偏离说明</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1ADEFB48">
            <w:pPr>
              <w:tabs>
                <w:tab w:val="left" w:pos="-75"/>
              </w:tabs>
              <w:spacing w:line="240" w:lineRule="exact"/>
              <w:ind w:right="-56" w:rightChars="-27"/>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证明资料</w:t>
            </w:r>
          </w:p>
        </w:tc>
      </w:tr>
      <w:tr w14:paraId="3040D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trPr>
        <w:tc>
          <w:tcPr>
            <w:tcW w:w="3310" w:type="dxa"/>
            <w:tcBorders>
              <w:top w:val="single" w:color="auto" w:sz="4" w:space="0"/>
              <w:left w:val="single" w:color="auto" w:sz="4" w:space="0"/>
              <w:bottom w:val="single" w:color="auto" w:sz="4" w:space="0"/>
              <w:right w:val="single" w:color="auto" w:sz="4" w:space="0"/>
            </w:tcBorders>
            <w:noWrap w:val="0"/>
            <w:vAlign w:val="center"/>
          </w:tcPr>
          <w:p w14:paraId="3DD29581">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一、项目基本情况</w:t>
            </w:r>
          </w:p>
          <w:p w14:paraId="2B6A2C26">
            <w:pPr>
              <w:tabs>
                <w:tab w:val="left" w:pos="4200"/>
              </w:tabs>
              <w:adjustRightInd w:val="0"/>
              <w:snapToGrid w:val="0"/>
              <w:spacing w:line="360" w:lineRule="auto"/>
              <w:ind w:right="105" w:rightChars="50" w:firstLine="476" w:firstLineChars="227"/>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lang w:eastAsia="zh-CN"/>
              </w:rPr>
              <w:t>沈阳市第一0七中学</w:t>
            </w:r>
            <w:r>
              <w:rPr>
                <w:rFonts w:hint="eastAsia" w:ascii="仿宋_GB2312" w:hAnsi="仿宋_GB2312" w:eastAsia="仿宋_GB2312" w:cs="仿宋_GB2312"/>
                <w:szCs w:val="21"/>
                <w:highlight w:val="none"/>
              </w:rPr>
              <w:t>位于沈阳市大东区滂江街121号，现采购专业餐饮公司为教师及</w:t>
            </w:r>
            <w:r>
              <w:rPr>
                <w:rFonts w:hint="eastAsia" w:ascii="仿宋_GB2312" w:hAnsi="仿宋_GB2312" w:eastAsia="仿宋_GB2312" w:cs="仿宋_GB2312"/>
                <w:szCs w:val="21"/>
                <w:highlight w:val="none"/>
                <w:lang w:eastAsia="zh-CN"/>
              </w:rPr>
              <w:t>学生</w:t>
            </w:r>
            <w:r>
              <w:rPr>
                <w:rFonts w:hint="eastAsia" w:ascii="仿宋_GB2312" w:hAnsi="仿宋_GB2312" w:eastAsia="仿宋_GB2312" w:cs="仿宋_GB2312"/>
                <w:szCs w:val="21"/>
                <w:highlight w:val="none"/>
              </w:rPr>
              <w:t>提供餐饮服务，服务期限一年，</w:t>
            </w:r>
            <w:r>
              <w:rPr>
                <w:rFonts w:hint="eastAsia" w:ascii="仿宋_GB2312" w:hAnsi="仿宋_GB2312" w:eastAsia="仿宋_GB2312" w:cs="仿宋_GB2312"/>
                <w:szCs w:val="21"/>
                <w:highlight w:val="none"/>
                <w:lang w:val="en-US" w:eastAsia="zh-CN"/>
              </w:rPr>
              <w:t>包括</w:t>
            </w:r>
            <w:r>
              <w:rPr>
                <w:rFonts w:hint="eastAsia" w:ascii="仿宋_GB2312" w:hAnsi="仿宋_GB2312" w:eastAsia="仿宋_GB2312" w:cs="仿宋_GB2312"/>
                <w:szCs w:val="21"/>
                <w:highlight w:val="none"/>
              </w:rPr>
              <w:t>教职员工早、午工作餐；学生包括</w:t>
            </w:r>
            <w:r>
              <w:rPr>
                <w:rFonts w:hint="eastAsia" w:ascii="仿宋_GB2312" w:hAnsi="仿宋_GB2312" w:eastAsia="仿宋_GB2312" w:cs="仿宋_GB2312"/>
                <w:szCs w:val="21"/>
                <w:highlight w:val="none"/>
                <w:lang w:val="en-US" w:eastAsia="zh-CN"/>
              </w:rPr>
              <w:t>午餐、晚餐</w:t>
            </w:r>
            <w:r>
              <w:rPr>
                <w:rFonts w:hint="eastAsia" w:ascii="仿宋_GB2312" w:hAnsi="仿宋_GB2312" w:eastAsia="仿宋_GB2312" w:cs="仿宋_GB2312"/>
                <w:szCs w:val="21"/>
                <w:highlight w:val="none"/>
              </w:rPr>
              <w:t>。中标单位要按照国家、省市等关于食堂管理的相关要求，严格执行《中华人民共和国食品安全法》</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沈阳市教育局等四部门关于进一步加强中小学校食堂管理的通知</w:t>
            </w:r>
            <w:r>
              <w:rPr>
                <w:rFonts w:hint="eastAsia" w:ascii="仿宋_GB2312" w:hAnsi="仿宋_GB2312" w:eastAsia="仿宋_GB2312" w:cs="仿宋_GB2312"/>
                <w:szCs w:val="21"/>
                <w:highlight w:val="none"/>
              </w:rPr>
              <w:t>和有关食品安全相关法规，保证平衡膳食，配餐科学，食材绿色环保，服务优质，严格执行用餐各项管理制度，切实保障师生用餐安全。</w:t>
            </w:r>
            <w:r>
              <w:rPr>
                <w:rFonts w:hint="eastAsia" w:ascii="仿宋_GB2312" w:hAnsi="仿宋_GB2312" w:eastAsia="仿宋_GB2312" w:cs="仿宋_GB2312"/>
                <w:szCs w:val="21"/>
                <w:highlight w:val="none"/>
                <w:lang w:val="en-US" w:eastAsia="zh-CN"/>
              </w:rPr>
              <w:t>学校</w:t>
            </w:r>
            <w:r>
              <w:rPr>
                <w:rFonts w:hint="eastAsia" w:ascii="仿宋_GB2312" w:hAnsi="仿宋_GB2312" w:eastAsia="仿宋_GB2312" w:cs="仿宋_GB2312"/>
                <w:szCs w:val="21"/>
                <w:highlight w:val="none"/>
              </w:rPr>
              <w:t>现有学生</w:t>
            </w:r>
            <w:r>
              <w:rPr>
                <w:rFonts w:hint="eastAsia" w:ascii="仿宋_GB2312" w:hAnsi="仿宋_GB2312" w:eastAsia="仿宋_GB2312" w:cs="仿宋_GB2312"/>
                <w:szCs w:val="21"/>
                <w:highlight w:val="none"/>
                <w:lang w:val="en-US" w:eastAsia="zh-CN"/>
              </w:rPr>
              <w:t>约</w:t>
            </w:r>
            <w:r>
              <w:rPr>
                <w:rFonts w:hint="eastAsia" w:ascii="仿宋_GB2312" w:hAnsi="仿宋_GB2312" w:eastAsia="仿宋_GB2312" w:cs="仿宋_GB2312"/>
                <w:szCs w:val="21"/>
                <w:highlight w:val="none"/>
              </w:rPr>
              <w:t>1250人，教师</w:t>
            </w:r>
            <w:r>
              <w:rPr>
                <w:rFonts w:hint="eastAsia" w:ascii="仿宋_GB2312" w:hAnsi="仿宋_GB2312" w:eastAsia="仿宋_GB2312" w:cs="仿宋_GB2312"/>
                <w:szCs w:val="21"/>
                <w:highlight w:val="none"/>
                <w:lang w:val="en-US" w:eastAsia="zh-CN"/>
              </w:rPr>
              <w:t>约</w:t>
            </w:r>
            <w:r>
              <w:rPr>
                <w:rFonts w:hint="eastAsia" w:ascii="仿宋_GB2312" w:hAnsi="仿宋_GB2312" w:eastAsia="仿宋_GB2312" w:cs="仿宋_GB2312"/>
                <w:szCs w:val="21"/>
                <w:highlight w:val="none"/>
              </w:rPr>
              <w:t>150人。</w:t>
            </w:r>
          </w:p>
          <w:p w14:paraId="75D8616B">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二、人员管理</w:t>
            </w:r>
          </w:p>
          <w:p w14:paraId="6985136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w:t>
            </w:r>
            <w:r>
              <w:rPr>
                <w:rFonts w:hint="eastAsia" w:ascii="仿宋_GB2312" w:hAnsi="仿宋_GB2312" w:eastAsia="仿宋_GB2312" w:cs="仿宋_GB2312"/>
                <w:highlight w:val="none"/>
                <w:lang w:eastAsia="zh-CN"/>
              </w:rPr>
              <w:t>中标供应商需根据食堂实际运营情况足额配置从业人员，其中至少包括</w:t>
            </w:r>
            <w:r>
              <w:rPr>
                <w:rFonts w:hint="eastAsia" w:ascii="仿宋_GB2312" w:hAnsi="仿宋_GB2312" w:eastAsia="仿宋_GB2312" w:cs="仿宋_GB2312"/>
                <w:highlight w:val="none"/>
                <w:lang w:val="en-US" w:eastAsia="zh-CN"/>
              </w:rPr>
              <w:t>食品安全总监、食品</w:t>
            </w:r>
            <w:r>
              <w:rPr>
                <w:rFonts w:hint="eastAsia" w:ascii="仿宋_GB2312" w:hAnsi="仿宋_GB2312" w:eastAsia="仿宋_GB2312" w:cs="仿宋_GB2312"/>
                <w:highlight w:val="none"/>
                <w:lang w:eastAsia="zh-CN"/>
              </w:rPr>
              <w:t>安全管理员、</w:t>
            </w:r>
            <w:r>
              <w:rPr>
                <w:rFonts w:hint="eastAsia" w:ascii="仿宋_GB2312" w:hAnsi="仿宋_GB2312" w:eastAsia="仿宋_GB2312" w:cs="仿宋_GB2312"/>
                <w:highlight w:val="none"/>
                <w:lang w:val="en-US" w:eastAsia="zh-CN"/>
              </w:rPr>
              <w:t>营养师、厨师、健康管理师、中式面点师等。</w:t>
            </w:r>
            <w:r>
              <w:rPr>
                <w:rFonts w:hint="eastAsia" w:ascii="仿宋_GB2312" w:hAnsi="仿宋_GB2312" w:eastAsia="仿宋_GB2312" w:cs="仿宋_GB2312"/>
                <w:highlight w:val="none"/>
                <w:lang w:eastAsia="zh-CN"/>
              </w:rPr>
              <w:t>从业人员须取得健康证明,经培训后上岗。供应商负责人员的招聘、录用、培训和考评，并承担聘用人员相应费用，包括工资、社会保险、工伤保险等。从业人员与学校不存在劳动或劳务关系。</w:t>
            </w:r>
          </w:p>
          <w:p w14:paraId="3F54327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2.定期对食堂管理人员和从业人员进行食品安全业务培训，每学期进行考核。</w:t>
            </w:r>
          </w:p>
          <w:p w14:paraId="3D4B25D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3.一经录用的从业人员应持健康证上岗，并将复印件提交学校备案，学校有权监督检查。</w:t>
            </w:r>
          </w:p>
          <w:p w14:paraId="03E5FA13">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4.从业人员应接受晨检。有发热、呕吐、腹泻、皮肤伤口或感染、咽部炎症等有碍食品安全病症的人员，应主动向食品安全管理人员等报告并暂停从事接触直接入口食品的工作，待查明原因并治愈后方可复岗。</w:t>
            </w:r>
          </w:p>
          <w:p w14:paraId="3F4DF85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5.为创建安全校园，从业人员应严格遵守校园人员进出管理规定，上下班配合</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门卫做好登记，非经允许，不得擅自携带无关人员进入校内。</w:t>
            </w:r>
          </w:p>
          <w:p w14:paraId="244A626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6.食品处理区内从业人员不得留长指甲、涂指甲油或化妆。工作时，佩戴的饰物不应外露。</w:t>
            </w:r>
          </w:p>
          <w:p w14:paraId="7E5EA94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7.从事接触直接入口食品工作的从业人员，加工食品前应进行手部消毒。</w:t>
            </w:r>
          </w:p>
          <w:p w14:paraId="192B471B">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8.专间和专用操作区内的从业人员操作时应佩戴清洁的口罩、手套、工作帽等。</w:t>
            </w:r>
          </w:p>
          <w:p w14:paraId="083F76C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9</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有权对从业人员的操作规范进行监督检查，并将整改意见告知食堂负责人，中标单位要在</w:t>
            </w:r>
            <w:r>
              <w:rPr>
                <w:rFonts w:hint="eastAsia" w:ascii="仿宋_GB2312" w:hAnsi="仿宋_GB2312" w:eastAsia="仿宋_GB2312" w:cs="仿宋_GB2312"/>
                <w:highlight w:val="none"/>
                <w:lang w:eastAsia="zh-CN"/>
              </w:rPr>
              <w:t>5个工作日</w:t>
            </w:r>
            <w:r>
              <w:rPr>
                <w:rFonts w:hint="eastAsia" w:ascii="仿宋_GB2312" w:hAnsi="仿宋_GB2312" w:eastAsia="仿宋_GB2312" w:cs="仿宋_GB2312"/>
                <w:highlight w:val="none"/>
              </w:rPr>
              <w:t>内进行整改。</w:t>
            </w:r>
          </w:p>
          <w:p w14:paraId="6B6CAA1E">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mc:AlternateContent>
                <mc:Choice Requires="wps">
                  <w:drawing>
                    <wp:anchor distT="0" distB="0" distL="114300" distR="114300" simplePos="0" relativeHeight="251660288" behindDoc="0" locked="0" layoutInCell="1" allowOverlap="1">
                      <wp:simplePos x="0" y="0"/>
                      <wp:positionH relativeFrom="page">
                        <wp:posOffset>3888105</wp:posOffset>
                      </wp:positionH>
                      <wp:positionV relativeFrom="paragraph">
                        <wp:posOffset>810895</wp:posOffset>
                      </wp:positionV>
                      <wp:extent cx="76835" cy="127635"/>
                      <wp:effectExtent l="0" t="0" r="0" b="0"/>
                      <wp:wrapNone/>
                      <wp:docPr id="1" name="文本框 14"/>
                      <wp:cNvGraphicFramePr/>
                      <a:graphic xmlns:a="http://schemas.openxmlformats.org/drawingml/2006/main">
                        <a:graphicData uri="http://schemas.microsoft.com/office/word/2010/wordprocessingShape">
                          <wps:wsp>
                            <wps:cNvSpPr txBox="1"/>
                            <wps:spPr>
                              <a:xfrm>
                                <a:off x="0" y="0"/>
                                <a:ext cx="76835" cy="127635"/>
                              </a:xfrm>
                              <a:prstGeom prst="rect">
                                <a:avLst/>
                              </a:prstGeom>
                              <a:noFill/>
                              <a:ln>
                                <a:noFill/>
                              </a:ln>
                              <a:effectLst/>
                            </wps:spPr>
                            <wps:txbx>
                              <w:txbxContent>
                                <w:p w14:paraId="0B22D9D6">
                                  <w:pPr>
                                    <w:spacing w:line="120" w:lineRule="auto"/>
                                    <w:ind w:left="20"/>
                                    <w:jc w:val="left"/>
                                    <w:rPr>
                                      <w:sz w:val="16"/>
                                    </w:rPr>
                                  </w:pPr>
                                  <w:r>
                                    <w:rPr>
                                      <w:color w:val="676B70"/>
                                      <w:sz w:val="16"/>
                                    </w:rPr>
                                    <w:t>2</w:t>
                                  </w:r>
                                </w:p>
                              </w:txbxContent>
                            </wps:txbx>
                            <wps:bodyPr vert="eaVert" wrap="square" lIns="0" tIns="0" rIns="0" bIns="0" upright="1"/>
                          </wps:wsp>
                        </a:graphicData>
                      </a:graphic>
                    </wp:anchor>
                  </w:drawing>
                </mc:Choice>
                <mc:Fallback>
                  <w:pict>
                    <v:shape id="文本框 14" o:spid="_x0000_s1026" o:spt="202" type="#_x0000_t202" style="position:absolute;left:0pt;margin-left:306.15pt;margin-top:63.85pt;height:10.05pt;width:6.05pt;mso-position-horizontal-relative:page;z-index:251660288;mso-width-relative:page;mso-height-relative:page;" filled="f" stroked="f" coordsize="21600,21600" o:gfxdata="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4KAkT2AAAAAsBAAAPAAAAAAAAAAEAIAAAACIA&#10;AABkcnMvZG93bnJldi54bWxQSwECFAAUAAAACACHTuJAL/8iOdABAACbAwAADgAAAAAAAAABACAA&#10;AAAnAQAAZHJzL2Uyb0RvYy54bWxQSwUGAAAAAAYABgBZAQAAaQUAAAAA&#10;">
                      <v:fill on="f" focussize="0,0"/>
                      <v:stroke on="f"/>
                      <v:imagedata o:title=""/>
                      <o:lock v:ext="edit" aspectratio="f"/>
                      <v:textbox inset="0mm,0mm,0mm,0mm" style="layout-flow:vertical-ideographic;">
                        <w:txbxContent>
                          <w:p w14:paraId="0B22D9D6">
                            <w:pPr>
                              <w:spacing w:line="120" w:lineRule="auto"/>
                              <w:ind w:left="20"/>
                              <w:jc w:val="left"/>
                              <w:rPr>
                                <w:sz w:val="16"/>
                              </w:rPr>
                            </w:pPr>
                            <w:r>
                              <w:rPr>
                                <w:color w:val="676B70"/>
                                <w:sz w:val="16"/>
                              </w:rPr>
                              <w:t>2</w:t>
                            </w:r>
                          </w:p>
                        </w:txbxContent>
                      </v:textbox>
                    </v:shape>
                  </w:pict>
                </mc:Fallback>
              </mc:AlternateContent>
            </w:r>
            <w:r>
              <w:rPr>
                <w:rFonts w:hint="eastAsia" w:ascii="仿宋_GB2312" w:hAnsi="仿宋_GB2312" w:eastAsia="仿宋_GB2312" w:cs="仿宋_GB2312"/>
                <w:b/>
                <w:bCs/>
                <w:highlight w:val="none"/>
              </w:rPr>
              <w:t>三、现场管理</w:t>
            </w:r>
          </w:p>
          <w:p w14:paraId="62D9B56C">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1.</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提供满足食堂正常运营的基础设备及配套设施，并对合理损耗或已到报废期限的设</w:t>
            </w:r>
            <w:r>
              <w:rPr>
                <w:rFonts w:hint="eastAsia" w:ascii="仿宋_GB2312" w:hAnsi="仿宋_GB2312" w:eastAsia="仿宋_GB2312" w:cs="仿宋_GB2312"/>
                <w:color w:val="auto"/>
                <w:highlight w:val="none"/>
              </w:rPr>
              <w:t>备进行补充、更换。中标单位负责餐厅内部改造及相关设备设施的增添，并负责厨房设备日常维修维护保养，必须添置或需要更换的设备，由中标单位提出申请，经</w:t>
            </w:r>
            <w:r>
              <w:rPr>
                <w:rFonts w:hint="eastAsia" w:ascii="仿宋_GB2312" w:hAnsi="仿宋_GB2312" w:eastAsia="仿宋_GB2312" w:cs="仿宋_GB2312"/>
                <w:color w:val="auto"/>
                <w:highlight w:val="none"/>
                <w:lang w:eastAsia="zh-CN"/>
              </w:rPr>
              <w:t>学校</w:t>
            </w:r>
            <w:r>
              <w:rPr>
                <w:rFonts w:hint="eastAsia" w:ascii="仿宋_GB2312" w:hAnsi="仿宋_GB2312" w:eastAsia="仿宋_GB2312" w:cs="仿宋_GB2312"/>
                <w:color w:val="auto"/>
                <w:highlight w:val="none"/>
              </w:rPr>
              <w:t>同意后，</w:t>
            </w:r>
            <w:r>
              <w:rPr>
                <w:rFonts w:hint="eastAsia" w:ascii="仿宋_GB2312" w:hAnsi="仿宋_GB2312" w:eastAsia="仿宋_GB2312" w:cs="仿宋_GB2312"/>
                <w:color w:val="auto"/>
                <w:highlight w:val="none"/>
                <w:lang w:val="en-US" w:eastAsia="zh-CN"/>
              </w:rPr>
              <w:t>学校</w:t>
            </w:r>
            <w:r>
              <w:rPr>
                <w:rFonts w:hint="eastAsia" w:ascii="仿宋_GB2312" w:hAnsi="仿宋_GB2312" w:eastAsia="仿宋_GB2312" w:cs="仿宋_GB2312"/>
                <w:color w:val="auto"/>
                <w:highlight w:val="none"/>
              </w:rPr>
              <w:t>可安排购</w:t>
            </w:r>
            <w:r>
              <w:rPr>
                <w:rFonts w:hint="eastAsia" w:ascii="仿宋_GB2312" w:hAnsi="仿宋_GB2312" w:eastAsia="仿宋_GB2312" w:cs="仿宋_GB2312"/>
                <w:highlight w:val="none"/>
              </w:rPr>
              <w:t>买、安装和使用。如中标单位主动投资增添新设备作为提升满意度的增值服务，则后添置的厨房设备被列为中标单位固定资产；如合同期满，双方不再继续合作，中标单位有权将所有权归中标单位的物品和设备迁离。</w:t>
            </w:r>
          </w:p>
          <w:p w14:paraId="28503CC3">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2.日常所需的餐具、器具、一次性用品等均由中标单位负责。  </w:t>
            </w:r>
          </w:p>
          <w:p w14:paraId="523A354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3.中标单位应保持食堂区域标识明晰，原材料、物料、工具用具及个人物品存放整齐。保持窗明几净，干净整洁。</w:t>
            </w:r>
          </w:p>
          <w:p w14:paraId="44FE553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4.中标单位应建立健全管理制度（例如：岗位职责、流程规范、食品安全制度、生产安全制度、健康证公示、食品经营许可公示等），并做好省、市、区级教育局、市场监督管理局等有关监管部门的例行检查，</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有义务予以配合。</w:t>
            </w:r>
          </w:p>
          <w:p w14:paraId="05D0DF7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5.中标单位负责缴纳水费、电费、燃气费。</w:t>
            </w:r>
          </w:p>
          <w:p w14:paraId="682077F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6.服务期内，未经</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同意，中标单位不得以任何形式将食堂经营权、房屋、场地和设备全部或部分转让、出租、出借给第三方（中标单位自行添置的设备设施等动产除外）。</w:t>
            </w:r>
          </w:p>
          <w:p w14:paraId="47009E6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7.</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为中标单位经营食堂所提供的场地应符合相关消防法律法规的要求，并配置符合规范及设计的消防系统与器材。</w:t>
            </w:r>
          </w:p>
          <w:p w14:paraId="4DC264B0">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四、加工制作要求</w:t>
            </w:r>
          </w:p>
          <w:p w14:paraId="6410412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食堂不得制售冷荤类食品、生食类食品、裱花蛋糕，不得加工四季豆、鲜黄花菜、野生蘑菇、发芽土豆等高风险食品。</w:t>
            </w:r>
          </w:p>
          <w:p w14:paraId="3FE45EA4">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2.动物性、植物性、水产品等食品原料的工用具和容器应分开使用，并有明显区分标识。</w:t>
            </w:r>
          </w:p>
          <w:p w14:paraId="68E9822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3.用于原料、半成品、成品的工用具和容器应分开使用，荤素、生熟应严格区分，并有明显区分标识。</w:t>
            </w:r>
          </w:p>
          <w:p w14:paraId="2961E0E4">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4</w:t>
            </w:r>
            <w:r>
              <w:rPr>
                <w:rFonts w:hint="eastAsia" w:ascii="仿宋_GB2312" w:hAnsi="仿宋_GB2312" w:eastAsia="仿宋_GB2312" w:cs="仿宋_GB2312"/>
                <w:highlight w:val="none"/>
              </w:rPr>
              <w:t>.生食蔬菜和水果应在专用区域或设施内清洗处理，必要时进行消毒。</w:t>
            </w:r>
          </w:p>
          <w:p w14:paraId="7F156783">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5</w:t>
            </w:r>
            <w:r>
              <w:rPr>
                <w:rFonts w:hint="eastAsia" w:ascii="仿宋_GB2312" w:hAnsi="仿宋_GB2312" w:eastAsia="仿宋_GB2312" w:cs="仿宋_GB2312"/>
                <w:highlight w:val="none"/>
              </w:rPr>
              <w:t>.未经清洁的禽蛋使用前应清洁外壳，必要时进行消毒。</w:t>
            </w:r>
          </w:p>
          <w:p w14:paraId="60EA65B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.食堂内不得饲养和宰杀禽、畜等动物。</w:t>
            </w:r>
          </w:p>
          <w:p w14:paraId="59A64F82">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五、供餐模式供餐时间</w:t>
            </w:r>
          </w:p>
          <w:p w14:paraId="6F6D19E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1.供餐模式</w:t>
            </w:r>
          </w:p>
          <w:p w14:paraId="276909D1">
            <w:pPr>
              <w:spacing w:line="360" w:lineRule="auto"/>
              <w:ind w:firstLine="420" w:firstLineChars="20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教师餐：</w:t>
            </w:r>
            <w:r>
              <w:rPr>
                <w:rFonts w:hint="eastAsia" w:ascii="仿宋_GB2312" w:hAnsi="仿宋_GB2312" w:eastAsia="仿宋_GB2312" w:cs="仿宋_GB2312"/>
                <w:highlight w:val="none"/>
                <w:lang w:val="en-US" w:eastAsia="zh-CN"/>
              </w:rPr>
              <w:t>自助模式，</w:t>
            </w:r>
            <w:r>
              <w:rPr>
                <w:rFonts w:hint="eastAsia" w:ascii="仿宋_GB2312" w:hAnsi="仿宋_GB2312" w:eastAsia="仿宋_GB2312" w:cs="仿宋_GB2312"/>
                <w:highlight w:val="none"/>
              </w:rPr>
              <w:t>由中标单位提供用餐设备设施</w:t>
            </w:r>
            <w:r>
              <w:rPr>
                <w:rFonts w:hint="eastAsia" w:ascii="仿宋_GB2312" w:hAnsi="仿宋_GB2312" w:eastAsia="仿宋_GB2312" w:cs="仿宋_GB2312"/>
                <w:highlight w:val="none"/>
                <w:lang w:eastAsia="zh-CN"/>
              </w:rPr>
              <w:t>。</w:t>
            </w:r>
          </w:p>
          <w:p w14:paraId="0ECA5A9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学生餐：食堂做好后需采用保温桶和专业配送器皿盛装食物配送至各班级。</w:t>
            </w:r>
          </w:p>
          <w:p w14:paraId="2DE7597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2.开餐时间</w:t>
            </w:r>
          </w:p>
          <w:p w14:paraId="71CA0EA3">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教师开餐时间： </w:t>
            </w:r>
          </w:p>
          <w:p w14:paraId="2B483E8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早餐：0</w:t>
            </w:r>
            <w:r>
              <w:rPr>
                <w:rFonts w:hint="eastAsia" w:ascii="仿宋_GB2312" w:hAnsi="仿宋_GB2312" w:eastAsia="仿宋_GB2312" w:cs="仿宋_GB2312"/>
                <w:highlight w:val="none"/>
                <w:lang w:val="en-US" w:eastAsia="zh-CN"/>
              </w:rPr>
              <w:t>6:30</w:t>
            </w:r>
            <w:r>
              <w:rPr>
                <w:rFonts w:hint="eastAsia" w:ascii="仿宋_GB2312" w:hAnsi="仿宋_GB2312" w:eastAsia="仿宋_GB2312" w:cs="仿宋_GB2312"/>
                <w:highlight w:val="none"/>
              </w:rPr>
              <w:t xml:space="preserve">-07:30          </w:t>
            </w:r>
          </w:p>
          <w:p w14:paraId="51C7066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午餐：11:30-12:30</w:t>
            </w:r>
          </w:p>
          <w:p w14:paraId="7D4A321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学生开餐时间：</w:t>
            </w:r>
          </w:p>
          <w:p w14:paraId="00F443A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午餐：</w:t>
            </w:r>
            <w:r>
              <w:rPr>
                <w:rFonts w:hint="eastAsia" w:ascii="仿宋_GB2312" w:hAnsi="仿宋_GB2312" w:eastAsia="仿宋_GB2312" w:cs="仿宋_GB2312"/>
                <w:highlight w:val="none"/>
              </w:rPr>
              <w:t>11:30-12:30</w:t>
            </w:r>
          </w:p>
          <w:p w14:paraId="29678A18">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晚餐：17:00</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17:30</w:t>
            </w:r>
          </w:p>
          <w:p w14:paraId="5E9000E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实际的供餐时间会根据实际情况进行调整，以</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安排为准。若无</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通知，中标单位不得无故自行更改供餐时间。如遇特殊情况更改供餐时间</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会及时或提前在合理时间内与中标单位沟通。</w:t>
            </w:r>
          </w:p>
          <w:p w14:paraId="170CC113">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六、供餐标准及付款方式</w:t>
            </w:r>
          </w:p>
          <w:p w14:paraId="736B0D90">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教职工餐费标准：15元/人/天（早餐</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元/人/餐，午餐</w:t>
            </w:r>
            <w:r>
              <w:rPr>
                <w:rFonts w:hint="eastAsia" w:ascii="仿宋_GB2312" w:hAnsi="仿宋_GB2312" w:eastAsia="仿宋_GB2312" w:cs="仿宋_GB2312"/>
                <w:szCs w:val="21"/>
                <w:highlight w:val="none"/>
                <w:lang w:val="en-US" w:eastAsia="zh-CN"/>
              </w:rPr>
              <w:t>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具体支付金额以实际发生量进行结算；</w:t>
            </w:r>
          </w:p>
          <w:p w14:paraId="649A8C2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eastAsia="zh-CN"/>
              </w:rPr>
              <w:t>学生</w:t>
            </w:r>
            <w:r>
              <w:rPr>
                <w:rFonts w:hint="eastAsia" w:ascii="仿宋_GB2312" w:hAnsi="仿宋_GB2312" w:eastAsia="仿宋_GB2312" w:cs="仿宋_GB2312"/>
                <w:highlight w:val="none"/>
              </w:rPr>
              <w:t>餐费标准：</w:t>
            </w:r>
            <w:r>
              <w:rPr>
                <w:rFonts w:hint="eastAsia" w:ascii="仿宋_GB2312" w:hAnsi="仿宋_GB2312" w:eastAsia="仿宋_GB2312" w:cs="仿宋_GB2312"/>
                <w:szCs w:val="21"/>
                <w:highlight w:val="none"/>
                <w:lang w:val="en-US" w:eastAsia="zh-CN"/>
              </w:rPr>
              <w:t>26</w:t>
            </w:r>
            <w:r>
              <w:rPr>
                <w:rFonts w:hint="eastAsia" w:ascii="仿宋_GB2312" w:hAnsi="仿宋_GB2312" w:eastAsia="仿宋_GB2312" w:cs="仿宋_GB2312"/>
                <w:szCs w:val="21"/>
                <w:highlight w:val="none"/>
              </w:rPr>
              <w:t>元/人/天（</w:t>
            </w:r>
            <w:r>
              <w:rPr>
                <w:rFonts w:hint="eastAsia" w:ascii="仿宋_GB2312" w:hAnsi="仿宋_GB2312" w:eastAsia="仿宋_GB2312" w:cs="仿宋_GB2312"/>
                <w:szCs w:val="21"/>
                <w:highlight w:val="none"/>
                <w:lang w:val="en-US" w:eastAsia="zh-CN"/>
              </w:rPr>
              <w:t>午餐13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szCs w:val="21"/>
                <w:highlight w:val="none"/>
                <w:lang w:val="en-US" w:eastAsia="zh-CN"/>
              </w:rPr>
              <w:t>晚餐13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rPr>
              <w:t>餐标单价按学生实收标准确定，如遇市场食品食材价格波动较大须调整餐费标准的，双方共同协商，结算以实际发生量进行。</w:t>
            </w:r>
          </w:p>
          <w:p w14:paraId="2757A8D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供应餐品：</w:t>
            </w:r>
          </w:p>
          <w:p w14:paraId="511AB7D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教师</w:t>
            </w:r>
            <w:r>
              <w:rPr>
                <w:rFonts w:hint="eastAsia" w:ascii="仿宋_GB2312" w:hAnsi="仿宋_GB2312" w:eastAsia="仿宋_GB2312" w:cs="仿宋_GB2312"/>
                <w:highlight w:val="none"/>
              </w:rPr>
              <w:t>早餐：一主食，一粥，</w:t>
            </w:r>
            <w:r>
              <w:rPr>
                <w:rFonts w:hint="eastAsia" w:ascii="仿宋_GB2312" w:hAnsi="仿宋_GB2312" w:eastAsia="仿宋_GB2312" w:cs="仿宋_GB2312"/>
                <w:highlight w:val="none"/>
                <w:lang w:val="en-US" w:eastAsia="zh-CN"/>
              </w:rPr>
              <w:t>二</w:t>
            </w:r>
            <w:r>
              <w:rPr>
                <w:rFonts w:hint="eastAsia" w:ascii="仿宋_GB2312" w:hAnsi="仿宋_GB2312" w:eastAsia="仿宋_GB2312" w:cs="仿宋_GB2312"/>
                <w:highlight w:val="none"/>
              </w:rPr>
              <w:t>个热菜</w:t>
            </w:r>
          </w:p>
          <w:p w14:paraId="74CE595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教师/学生</w:t>
            </w:r>
            <w:r>
              <w:rPr>
                <w:rFonts w:hint="eastAsia" w:ascii="仿宋_GB2312" w:hAnsi="仿宋_GB2312" w:eastAsia="仿宋_GB2312" w:cs="仿宋_GB2312"/>
                <w:highlight w:val="none"/>
              </w:rPr>
              <w:t>午餐</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学生晚餐</w:t>
            </w:r>
            <w:r>
              <w:rPr>
                <w:rFonts w:hint="eastAsia" w:ascii="仿宋_GB2312" w:hAnsi="仿宋_GB2312" w:eastAsia="仿宋_GB2312" w:cs="仿宋_GB2312"/>
                <w:highlight w:val="none"/>
              </w:rPr>
              <w:t>：一主食、二荤、二素</w:t>
            </w:r>
          </w:p>
          <w:p w14:paraId="23877F5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注：实际的供餐食谱需根据要求进行调整，每天按照</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带量食谱供应。</w:t>
            </w:r>
          </w:p>
          <w:p w14:paraId="40E615D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中标单位提供的菜品必须保证质量，并符合法律法规及其他规范性文件对于食品卫生、安全的要求。</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有权对菜品出品进行监督检查，并将整改意见告知中标单位负责人。中标单位应在</w:t>
            </w:r>
            <w:r>
              <w:rPr>
                <w:rFonts w:hint="eastAsia" w:ascii="仿宋_GB2312" w:hAnsi="仿宋_GB2312" w:eastAsia="仿宋_GB2312" w:cs="仿宋_GB2312"/>
                <w:highlight w:val="none"/>
                <w:lang w:val="en-US" w:eastAsia="zh-CN"/>
              </w:rPr>
              <w:t>5个工作日</w:t>
            </w:r>
            <w:r>
              <w:rPr>
                <w:rFonts w:hint="eastAsia" w:ascii="仿宋_GB2312" w:hAnsi="仿宋_GB2312" w:eastAsia="仿宋_GB2312" w:cs="仿宋_GB2312"/>
                <w:highlight w:val="none"/>
              </w:rPr>
              <w:t>内做出整改。</w:t>
            </w:r>
          </w:p>
          <w:p w14:paraId="1380096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用餐人数变化：如遇</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文化活动、学生提前放学、放假及临时性用餐人数增减等情况，</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应至少提前一天通知中标单位，以供中标单位进行相应准备，避免食材浪费。</w:t>
            </w:r>
          </w:p>
          <w:p w14:paraId="11E065F8">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七、服务期限</w:t>
            </w:r>
          </w:p>
          <w:p w14:paraId="6B4805B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本项目</w:t>
            </w:r>
            <w:r>
              <w:rPr>
                <w:rFonts w:hint="eastAsia" w:ascii="仿宋_GB2312" w:hAnsi="仿宋_GB2312" w:eastAsia="仿宋_GB2312" w:cs="仿宋_GB2312"/>
                <w:highlight w:val="none"/>
                <w:lang w:eastAsia="zh-CN"/>
              </w:rPr>
              <w:t>合同签订之日起一年</w:t>
            </w:r>
            <w:r>
              <w:rPr>
                <w:rFonts w:hint="eastAsia" w:ascii="仿宋_GB2312" w:hAnsi="仿宋_GB2312" w:eastAsia="仿宋_GB2312" w:cs="仿宋_GB2312"/>
                <w:highlight w:val="none"/>
              </w:rPr>
              <w:t>（以实际签订合同为准）。</w:t>
            </w:r>
          </w:p>
          <w:p w14:paraId="4ECD0A2D">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八、安全管控</w:t>
            </w:r>
          </w:p>
          <w:p w14:paraId="5021DB1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1.中标单位应选用资质齐全的原材料供应商，建立健全合格的供应商库，保证正规渠道采购新鲜、卫生的食材。详细记录供货商进货台账。</w:t>
            </w:r>
          </w:p>
          <w:p w14:paraId="7C3C24F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中标单位要保持运营场所的环境、操作规范和出品质量符合《中华人民共和国食品安全法》和其他有相关食品安全法律法规，应建立健全食堂整体运营方案。如若因中标单位原因发生因食物引起的食品安全事故，中标单位承担全部责任。</w:t>
            </w:r>
          </w:p>
          <w:p w14:paraId="310441E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3.中标单位负责制定食品安全、消防安全、断水、断电、特殊天气的应急预案，并定期组织演练，为师生提供一个安全、健康的饮食环境。</w:t>
            </w:r>
          </w:p>
          <w:p w14:paraId="5F63672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4.中标单位应</w:t>
            </w:r>
            <w:r>
              <w:rPr>
                <w:rFonts w:hint="eastAsia" w:ascii="仿宋_GB2312" w:hAnsi="仿宋_GB2312" w:eastAsia="仿宋_GB2312" w:cs="仿宋_GB2312"/>
                <w:highlight w:val="none"/>
                <w:lang w:val="en-US" w:eastAsia="zh-CN"/>
              </w:rPr>
              <w:t>严格落实食品留样制度，</w:t>
            </w:r>
            <w:r>
              <w:rPr>
                <w:rFonts w:hint="eastAsia" w:ascii="仿宋_GB2312" w:hAnsi="仿宋_GB2312" w:eastAsia="仿宋_GB2312" w:cs="仿宋_GB2312"/>
                <w:highlight w:val="none"/>
              </w:rPr>
              <w:t>按规定对每餐食品进行留样，应将留样食品按照品种分别盛放于清洗消毒后的专用密闭容器内，每个品种留样量不少于125克，由专用留样冰箱冷藏（0℃～8℃）保存48小时以上，并有留样记录。留样冰箱“双人双锁”，专人负责留样管理，如有异常，立即封存，备查。</w:t>
            </w:r>
          </w:p>
          <w:p w14:paraId="4A49CCB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5.添加剂管理要求：</w:t>
            </w:r>
          </w:p>
          <w:p w14:paraId="49BAC34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①食品添加剂专人专柜（位）保管，标注“食品添加剂”字样，并与食品、食品相关产品等分开存放。</w:t>
            </w:r>
          </w:p>
          <w:p w14:paraId="0388BAD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②添加剂的使用应严格按照国家标准进行，明确允许使用的种类和最大用量，做到计量使用、专册记录，保存详细的使用记录，包括使用日期、种类、用量及相关负责人员信息。</w:t>
            </w:r>
          </w:p>
          <w:p w14:paraId="454AB83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③用容器盛放开封后的食品添加剂的，应在容器上标明食品添加剂名称、生产日期或批号、使用期限，并保留食品添加剂原包装。</w:t>
            </w:r>
          </w:p>
          <w:p w14:paraId="2DA1260B">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④严禁采购、贮存和使用亚硝酸盐（包括亚硝酸钠、亚硝酸钾）。</w:t>
            </w:r>
          </w:p>
          <w:p w14:paraId="12AB5504">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6.清洗消毒：</w:t>
            </w:r>
          </w:p>
          <w:p w14:paraId="670DE61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①采用物理消毒或化学消毒的设备应能正常运转，消毒温度和时间应符合相关要求，消毒液配制和浓度应严格按照规定执行。采用自动清洗消毒的应严格遵循使用说明操作。</w:t>
            </w:r>
          </w:p>
          <w:p w14:paraId="348C29B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②餐饮具清洗设施和设备应与食品原料及清洁工具的清洗设施、设备分开，并有明显区分。</w:t>
            </w:r>
          </w:p>
          <w:p w14:paraId="7A74D9C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③消毒后的餐饮具、盛放或接触直接入口食品的容器和工具，应定位存放在清洁、专用、密闭的保洁设施中，并有明显区分标识。定期清洁保洁设施，防止清洗消毒后的餐饮具受到污染。</w:t>
            </w:r>
          </w:p>
          <w:p w14:paraId="02092063">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④每餐或每班使用专间前，应对操作台面和专间空气进行消毒。</w:t>
            </w:r>
          </w:p>
          <w:p w14:paraId="74C50BC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7.环境卫生：</w:t>
            </w:r>
          </w:p>
          <w:p w14:paraId="3E54D5E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①食品处理区保持墙壁和门窗无污渍、无灰尘，天花板无霉斑。</w:t>
            </w:r>
          </w:p>
          <w:p w14:paraId="028FCC4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②就餐场所卫生清洁，地面、墙壁、门窗、天花板等无霉斑、污垢、积油、积水等情形。</w:t>
            </w:r>
          </w:p>
          <w:p w14:paraId="584294C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③卫生间地面、洗手池及台面无积水、无污物、无垃圾，便池内外无污物、无积垢、冲水良好。</w:t>
            </w:r>
          </w:p>
          <w:p w14:paraId="34A8A6E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④待清洗的工作服不得存放在食品处理区。</w:t>
            </w:r>
          </w:p>
          <w:p w14:paraId="16CA422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⑤应开展有害生物防治，遵循优先使用物理方法、必要时使用化学方法的原则。化学药剂应存放在专门设施内。</w:t>
            </w:r>
          </w:p>
          <w:p w14:paraId="5381129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8.餐厨废弃物处置</w:t>
            </w:r>
            <w:r>
              <w:rPr>
                <w:rFonts w:hint="eastAsia" w:ascii="仿宋_GB2312" w:hAnsi="仿宋_GB2312" w:eastAsia="仿宋_GB2312" w:cs="仿宋_GB2312"/>
                <w:highlight w:val="none"/>
                <w:lang w:val="en-US" w:eastAsia="zh-CN"/>
              </w:rPr>
              <w:t>依据《沈阳市餐厨垃圾管理办法》，建立餐厨废弃物处理制度</w:t>
            </w:r>
            <w:r>
              <w:rPr>
                <w:rFonts w:hint="eastAsia" w:ascii="仿宋_GB2312" w:hAnsi="仿宋_GB2312" w:eastAsia="仿宋_GB2312" w:cs="仿宋_GB2312"/>
                <w:highlight w:val="none"/>
              </w:rPr>
              <w:t>：</w:t>
            </w:r>
          </w:p>
          <w:p w14:paraId="04FECF5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①餐厨废弃物应分类放置、及时清理，日产日清，不应溢出存放容器。</w:t>
            </w:r>
          </w:p>
          <w:p w14:paraId="22C007A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②废弃物存放容器应配有盖子，内壁光滑，易于清洁，及时清洁废弃物存放容器，必要时进行消毒。</w:t>
            </w:r>
          </w:p>
          <w:p w14:paraId="2E71E72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③食堂不能自行处理餐厨废弃物，应交由符合要求的生活垃圾运输单位或者餐厨垃圾处理单位处理。</w:t>
            </w:r>
          </w:p>
          <w:p w14:paraId="0C10A03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④应建立餐厨垃圾处置台账，详细记录餐厨垃圾的处置时间、种类、数量、收运者等信息。</w:t>
            </w:r>
          </w:p>
          <w:p w14:paraId="732703C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9.特殊食品和过敏原控制：</w:t>
            </w:r>
          </w:p>
          <w:p w14:paraId="2CAA383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①特殊食品（如无麸质食品、无乳糖食品）应与普通食品分开存放，并在食品加工和供应过程中避免交叉污染。</w:t>
            </w:r>
          </w:p>
          <w:p w14:paraId="647D1518">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②可能引发过敏反应的食品（如坚果、海鲜等）应在显著位置标识，</w:t>
            </w:r>
            <w:r>
              <w:rPr>
                <w:rFonts w:hint="eastAsia" w:ascii="仿宋_GB2312" w:hAnsi="仿宋_GB2312" w:eastAsia="仿宋_GB2312" w:cs="仿宋_GB2312"/>
                <w:highlight w:val="none"/>
                <w:lang w:val="en-US" w:eastAsia="zh-CN"/>
              </w:rPr>
              <w:t>无堂食条件的学校，相关信息提供给学校在公众号中进行菜谱公示。</w:t>
            </w:r>
          </w:p>
          <w:p w14:paraId="1413E3A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③应为有特殊饮食需求的学生提供适当的替代食品，并在供应前确保这些食品符合安全标准。</w:t>
            </w:r>
          </w:p>
          <w:p w14:paraId="6F613E2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④食堂工作人员应定期接受食品安全和过敏原管理培训，掌握处理和准备特殊食品的正确方法，避免过敏原交叉污染。</w:t>
            </w:r>
          </w:p>
          <w:p w14:paraId="43B4E757">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九、采用食材要求</w:t>
            </w:r>
          </w:p>
          <w:p w14:paraId="2B26A92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禽肉类：经定点屠宰，检疫检验合格，符合GB2707-2016食品安全国家标准，所含有毒有害物质不超过最高限量的，表皮白净、毛少或无毛，脂肪洁白有光泽，肉呈鲜红色或玫红色，弹性好，按之速度恢复，表面不粘手，有正常的肉味。达到一级鲜度，肌肉有光泽，红色均匀，脂肪洁白，挥发性盐基氮≤20mg/100g。必须经正规的检验检疫部门检验，并具有检验合格证明。</w:t>
            </w:r>
          </w:p>
          <w:p w14:paraId="50869AE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2.蛋类：符合卫生部规定</w:t>
            </w:r>
            <w:r>
              <w:rPr>
                <w:rFonts w:hint="eastAsia" w:ascii="仿宋_GB2312" w:hAnsi="仿宋_GB2312" w:eastAsia="仿宋_GB2312" w:cs="仿宋_GB2312"/>
                <w:highlight w:val="none"/>
                <w:lang w:val="en-US" w:eastAsia="zh-CN"/>
              </w:rPr>
              <w:fldChar w:fldCharType="begin"/>
            </w:r>
            <w:r>
              <w:rPr>
                <w:rFonts w:hint="eastAsia" w:ascii="仿宋_GB2312" w:hAnsi="仿宋_GB2312" w:eastAsia="仿宋_GB2312" w:cs="仿宋_GB2312"/>
                <w:highlight w:val="none"/>
                <w:lang w:val="en-US" w:eastAsia="zh-CN"/>
              </w:rPr>
              <w:instrText xml:space="preserve"> HYPERLINK "http://down.foodmate.net/standard/sort/3/48415.html" \t "http://down.foodmate.net/standard/sort/3/_blank" </w:instrText>
            </w:r>
            <w:r>
              <w:rPr>
                <w:rFonts w:hint="eastAsia" w:ascii="仿宋_GB2312" w:hAnsi="仿宋_GB2312" w:eastAsia="仿宋_GB2312" w:cs="仿宋_GB2312"/>
                <w:highlight w:val="none"/>
                <w:lang w:val="en-US" w:eastAsia="zh-CN"/>
              </w:rPr>
              <w:fldChar w:fldCharType="separate"/>
            </w:r>
            <w:r>
              <w:rPr>
                <w:rFonts w:hint="eastAsia" w:ascii="仿宋_GB2312" w:hAnsi="仿宋_GB2312" w:eastAsia="仿宋_GB2312" w:cs="仿宋_GB2312"/>
                <w:highlight w:val="none"/>
                <w:lang w:val="en-US" w:eastAsia="zh-CN"/>
              </w:rPr>
              <w:t>GB 2749-2015 《食品安全国家标准 蛋与蛋制品</w:t>
            </w:r>
            <w:r>
              <w:rPr>
                <w:rFonts w:hint="eastAsia" w:ascii="仿宋_GB2312" w:hAnsi="仿宋_GB2312" w:eastAsia="仿宋_GB2312" w:cs="仿宋_GB2312"/>
                <w:highlight w:val="none"/>
                <w:lang w:val="en-US" w:eastAsia="zh-CN"/>
              </w:rPr>
              <w:fldChar w:fldCharType="end"/>
            </w:r>
            <w:r>
              <w:rPr>
                <w:rFonts w:hint="eastAsia" w:ascii="仿宋_GB2312" w:hAnsi="仿宋_GB2312" w:eastAsia="仿宋_GB2312" w:cs="仿宋_GB2312"/>
                <w:highlight w:val="none"/>
                <w:lang w:val="en-US" w:eastAsia="zh-CN"/>
              </w:rPr>
              <w:t>》</w:t>
            </w:r>
            <w:r>
              <w:rPr>
                <w:rFonts w:hint="eastAsia" w:ascii="仿宋_GB2312" w:hAnsi="仿宋_GB2312" w:eastAsia="仿宋_GB2312" w:cs="仿宋_GB2312"/>
                <w:highlight w:val="none"/>
              </w:rPr>
              <w:t>，鸡蛋的质量等级不低于二级大鸡蛋标准，出厂时间在3天内，蛋壳表面干净、完整、坚实，附有一层无光泽的胶质薄膜，手中振摇无声响，包装为定量包装，并有防碎垫板，鸡蛋中不得检出氯霉素，沙门氏菌等物质，其中无机甲、铅、汞等指标按照食品行业中的系列标准GB/T5009。</w:t>
            </w:r>
          </w:p>
          <w:p w14:paraId="0E1824F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3.畜肉：符合国家制定的卫生标准，肉品品质检验合格证明，达到一级鲜度，肌肉有光泽、红色均匀、脂肪洁白。</w:t>
            </w:r>
          </w:p>
          <w:p w14:paraId="4CBDC4F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4.水产类：</w:t>
            </w:r>
            <w:r>
              <w:rPr>
                <w:rFonts w:hint="eastAsia" w:ascii="仿宋_GB2312" w:hAnsi="仿宋_GB2312" w:eastAsia="仿宋_GB2312" w:cs="仿宋_GB2312"/>
                <w:highlight w:val="none"/>
                <w:lang w:val="en-US" w:eastAsia="zh-CN"/>
              </w:rPr>
              <w:t>海水鱼虾挥发性盐基氮≤30mg/100g、淡水鱼虾挥发性盐基氮≤20 mg/100g（GB2733-2015）</w:t>
            </w:r>
            <w:r>
              <w:rPr>
                <w:rFonts w:hint="eastAsia" w:ascii="仿宋_GB2312" w:hAnsi="仿宋_GB2312" w:eastAsia="仿宋_GB2312" w:cs="仿宋_GB2312"/>
                <w:highlight w:val="none"/>
              </w:rPr>
              <w:t>，体表鳞片完整或较完整，不易脱落。体表粘液透明无臭味，具有固有色泽，鳃丝较清晰，色鲜红或暗红，粘液不混浊，无异臭味，眼球饱满，角膜透明或稍混浊，组织有弹性，切面有光泽，肌纤维清晰。虾片、虾皮、银鱼、海米为干货。鱼类重量需求：鲤鱼每条2-3斤，草鱼每条3-4斤，鲶鱼每条4斤左右，鲫鱼每条1斤左右，刀鱼每条净重量200-400g，鲅鱼每条净重量为300g左右，黄花鱼每盒为14-16条，北极虾每公斤50-60只，大虾为每公斤50-60只。</w:t>
            </w:r>
          </w:p>
          <w:p w14:paraId="44F3F1C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5.蔬菜类：不能低于“无公害蔬菜”等级标准。外观要求：成熟度适中，新鲜，色泽良好，形态正常，个体均匀，外观清洁，无腐烂、无霉变、无异味，无影响食用的病虫害及机械损伤。</w:t>
            </w:r>
          </w:p>
          <w:p w14:paraId="57B4C0F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6.调味品类：</w:t>
            </w:r>
            <w:r>
              <w:rPr>
                <w:rFonts w:hint="eastAsia" w:ascii="仿宋_GB2312" w:hAnsi="仿宋_GB2312" w:eastAsia="仿宋_GB2312" w:cs="仿宋_GB2312"/>
                <w:highlight w:val="none"/>
                <w:lang w:val="en-US" w:eastAsia="zh-CN"/>
              </w:rPr>
              <w:t>GB/T 20903-2007 调味品分类国家标准</w:t>
            </w:r>
            <w:r>
              <w:rPr>
                <w:rFonts w:hint="eastAsia" w:ascii="仿宋_GB2312" w:hAnsi="仿宋_GB2312" w:eastAsia="仿宋_GB2312" w:cs="仿宋_GB2312"/>
                <w:highlight w:val="none"/>
              </w:rPr>
              <w:t>。所采购商品必须具备其所具有的颜色、味道、状态、必须干爽，不得出现霉烂变质、有异味产品。</w:t>
            </w:r>
          </w:p>
          <w:p w14:paraId="7048080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7.水果饮料类：果形周正，发育正常，大小均匀，不得有畸形果，皮色正常，网纹清晰，果皮光滑，茸毛正常，具有本品种应有的特征，成熟时应有的颜色，果实成熟、质脆、汁多、甜度高、口感好、无生果、过熟果，无明显严重伤害。  </w:t>
            </w:r>
          </w:p>
          <w:p w14:paraId="21F059F5">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8.食用油产品质量要求：大豆油必须经地方正规的检验检疫部门检验，并出具验收合格证明后，方可采用。必须完全达到或者优于GBT1535-2017《大豆油》国家标准。</w:t>
            </w:r>
          </w:p>
          <w:p w14:paraId="30C957C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9.奶制品产品质量要求：牛奶/纯牛奶必须完全达到或者优于GB25190-2010《食品安全国家标准灭菌乳，并且为非复原乳，调制品必须完全达到或者优于GB25191-2010《食品安全国家标准调制乳，并且为非复原乳，供货日期在生产日期7日内。必须经地方正规的检验检疫部门检验，并具有验收合格证明。</w:t>
            </w:r>
          </w:p>
          <w:p w14:paraId="4A00B3B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10.大米必须符合</w:t>
            </w:r>
            <w:r>
              <w:rPr>
                <w:rFonts w:hint="eastAsia" w:ascii="仿宋_GB2312" w:hAnsi="仿宋_GB2312" w:eastAsia="仿宋_GB2312" w:cs="仿宋_GB2312"/>
                <w:highlight w:val="none"/>
                <w:lang w:val="en-US" w:eastAsia="zh-CN"/>
              </w:rPr>
              <w:t>GB/T1354-2018</w:t>
            </w:r>
            <w:r>
              <w:rPr>
                <w:rFonts w:hint="eastAsia" w:ascii="仿宋_GB2312" w:hAnsi="仿宋_GB2312" w:eastAsia="仿宋_GB2312" w:cs="仿宋_GB2312"/>
                <w:highlight w:val="none"/>
              </w:rPr>
              <w:t>，并拥有食品生产许可证编号，包装洁净，无破损，生产日期符合要求；产品标签完好，并标注应有内容；颗粒完整饱满，无杂质、无沙土、无霉变、无米虫，干燥，应具备镉、黄曲霉毒素等指标的检测报告。</w:t>
            </w:r>
          </w:p>
          <w:p w14:paraId="26FFC75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11.</w:t>
            </w:r>
            <w:r>
              <w:rPr>
                <w:rFonts w:hint="eastAsia" w:ascii="仿宋_GB2312" w:hAnsi="仿宋_GB2312" w:eastAsia="仿宋_GB2312" w:cs="仿宋_GB2312"/>
                <w:highlight w:val="none"/>
                <w:lang w:val="en-US" w:eastAsia="zh-CN"/>
              </w:rPr>
              <w:t>高筋小麦粉必须符合GB/T8607-1988标准，低筋小麦粉标准符合GB/T8608-1988,2025年12月1日以后专用小麦粉符合</w:t>
            </w:r>
            <w:r>
              <w:rPr>
                <w:rFonts w:hint="eastAsia" w:ascii="仿宋_GB2312" w:hAnsi="仿宋_GB2312" w:eastAsia="仿宋_GB2312" w:cs="仿宋_GB2312"/>
                <w:highlight w:val="none"/>
                <w:lang w:val="en-US" w:eastAsia="zh-CN"/>
              </w:rPr>
              <w:fldChar w:fldCharType="begin"/>
            </w:r>
            <w:r>
              <w:rPr>
                <w:rFonts w:hint="eastAsia" w:ascii="仿宋_GB2312" w:hAnsi="仿宋_GB2312" w:eastAsia="仿宋_GB2312" w:cs="仿宋_GB2312"/>
                <w:highlight w:val="none"/>
                <w:lang w:val="en-US" w:eastAsia="zh-CN"/>
              </w:rPr>
              <w:instrText xml:space="preserve"> HYPERLINK "http://down.foodmate.net/standard/sort/3/159216.html" </w:instrText>
            </w:r>
            <w:r>
              <w:rPr>
                <w:rFonts w:hint="eastAsia" w:ascii="仿宋_GB2312" w:hAnsi="仿宋_GB2312" w:eastAsia="仿宋_GB2312" w:cs="仿宋_GB2312"/>
                <w:highlight w:val="none"/>
                <w:lang w:val="en-US" w:eastAsia="zh-CN"/>
              </w:rPr>
              <w:fldChar w:fldCharType="separate"/>
            </w:r>
            <w:r>
              <w:rPr>
                <w:rFonts w:hint="eastAsia" w:ascii="仿宋_GB2312" w:hAnsi="仿宋_GB2312" w:eastAsia="仿宋_GB2312" w:cs="仿宋_GB2312"/>
                <w:highlight w:val="none"/>
                <w:lang w:val="en-US" w:eastAsia="zh-CN"/>
              </w:rPr>
              <w:t>GB/T 8607-2024</w:t>
            </w:r>
            <w:r>
              <w:rPr>
                <w:rFonts w:hint="eastAsia" w:ascii="仿宋_GB2312" w:hAnsi="仿宋_GB2312" w:eastAsia="仿宋_GB2312" w:cs="仿宋_GB2312"/>
                <w:highlight w:val="none"/>
                <w:lang w:val="en-US" w:eastAsia="zh-CN"/>
              </w:rPr>
              <w:fldChar w:fldCharType="end"/>
            </w:r>
            <w:r>
              <w:rPr>
                <w:rFonts w:hint="eastAsia" w:ascii="仿宋_GB2312" w:hAnsi="仿宋_GB2312" w:eastAsia="仿宋_GB2312" w:cs="仿宋_GB2312"/>
                <w:highlight w:val="none"/>
              </w:rPr>
              <w:t>，并拥有食品生产许可证编号，包装洁净，无破损，生产日期符合要求；产品标签完好，并标注应有的内容；松散不结团，粉粒细软滑均匀，有正常光泽，无异味、无结块，并具有检测报告。</w:t>
            </w:r>
          </w:p>
          <w:p w14:paraId="69104EF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12.根据相关扶贫采购政策，按省市区文件确定的农副产品采购金额预留比例在“扶贫地区农副产品网络销售平台”开展采购活动。实际比例按照省市区文件要求做适时调整，由中标单位按扶贫文件要求进行定点采购，所发生费用由中标单位承担。</w:t>
            </w:r>
          </w:p>
          <w:p w14:paraId="1B75E13B">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以上材料，由中标单位在正式供餐服务期间按实际要求提供，投标文件中无需提供。进货查验记录和相关凭证的保存期限不少于产品保质期满后6个月；无明确保质期的，保存期限不少于2年。其他各项记录保存期限宜为2年。</w:t>
            </w:r>
          </w:p>
          <w:p w14:paraId="0950BF73">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原料贮存要求：</w:t>
            </w:r>
          </w:p>
          <w:p w14:paraId="0A5EF7D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1.散装食品（食用农产品除外）应在贮存位置上标明食品名称、生产日期或生产批号、使用期限等信息。宜使用密闭容器贮存。</w:t>
            </w:r>
          </w:p>
          <w:p w14:paraId="1247DA65">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2.同一库房内贮存不同类别食品和非食品（如食品包装材料等），应分设存放区域，不同区域有明显的区分标识。</w:t>
            </w:r>
          </w:p>
          <w:p w14:paraId="52153C0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3.贮存的食品和物品离墙、离地，距离墙壁和地面均应在10cm以上。</w:t>
            </w:r>
          </w:p>
          <w:p w14:paraId="1F9CA3A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4.冷冻贮存食品前宜分割食品，避免使用时反复解冻、冷冻。冷冻（藏）贮存食品时不宜堆积、挤压食品。</w:t>
            </w:r>
          </w:p>
          <w:p w14:paraId="293CE810">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十、责任状</w:t>
            </w:r>
          </w:p>
          <w:p w14:paraId="14BB95F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1.服务期内中标单位负责食堂的饮食安全卫生，签订合同时还须与</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签订食品安全责任状。</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严格执行事故责任追究制度，如在服务期内因中标单位过错发生食物中毒等重大责任事故，损害就餐师生身体健康，影响</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声誉，中标单位必须承担由此造成的一切责任和经济损失，</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有权终止合同。</w:t>
            </w:r>
          </w:p>
          <w:p w14:paraId="1F526C9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服务期内中标单位负责食堂工作人员管理，食堂工作人员在工作过程中的安全责任由中标单位负责。如因用电、水、燃气操作不当引起的生产事故，或发生从业人员意外伤亡事故，中标单位承担过错责任和必要的经济补偿。</w:t>
            </w:r>
          </w:p>
          <w:p w14:paraId="30A8C0F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3.响应国家号召，在</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指导下中标单位需按时完成扶贫农副产品采购等工作。</w:t>
            </w:r>
          </w:p>
          <w:p w14:paraId="533EC08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充分认可中标单位为履行服务发生或可能发生的成本投入，因此服务履行期间，</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保证与中标单位的合作具有排他性，除中标单位外，</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不得自营或另行从第三方采购项下服务，否则应承担违约责任并赔偿中标单位投入成本损失及预期收益损失。</w:t>
            </w:r>
          </w:p>
          <w:p w14:paraId="07927353">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highlight w:val="none"/>
              </w:rPr>
              <w:t>5.其他未尽事宜以双方签订的服务合同为准。</w:t>
            </w:r>
          </w:p>
          <w:p w14:paraId="453C7C83">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十一、退出引进机制</w:t>
            </w:r>
          </w:p>
          <w:p w14:paraId="300AE4E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1.</w:t>
            </w:r>
            <w:r>
              <w:rPr>
                <w:rFonts w:hint="eastAsia" w:ascii="仿宋_GB2312" w:hAnsi="仿宋_GB2312" w:eastAsia="仿宋_GB2312" w:cs="仿宋_GB2312"/>
                <w:highlight w:val="none"/>
              </w:rPr>
              <w:t>若中标单位在履约期间出现</w:t>
            </w:r>
            <w:r>
              <w:rPr>
                <w:rFonts w:hint="eastAsia" w:ascii="仿宋_GB2312" w:hAnsi="仿宋_GB2312" w:eastAsia="仿宋_GB2312" w:cs="仿宋_GB2312"/>
                <w:highlight w:val="none"/>
                <w:lang w:val="en-US" w:eastAsia="zh-CN"/>
              </w:rPr>
              <w:t>下列情况之一者</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lang w:val="en-US" w:eastAsia="zh-CN"/>
              </w:rPr>
              <w:t>将上报区（市）教育局，</w:t>
            </w:r>
            <w:r>
              <w:rPr>
                <w:rFonts w:hint="eastAsia" w:ascii="仿宋_GB2312" w:hAnsi="仿宋_GB2312" w:eastAsia="仿宋_GB2312" w:cs="仿宋_GB2312"/>
                <w:highlight w:val="none"/>
              </w:rPr>
              <w:t>有权提前终止合同</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同时启动新一轮采购程序。</w:t>
            </w:r>
            <w:r>
              <w:rPr>
                <w:rFonts w:hint="eastAsia" w:ascii="仿宋_GB2312" w:hAnsi="仿宋_GB2312" w:eastAsia="仿宋_GB2312" w:cs="仿宋_GB2312"/>
                <w:highlight w:val="none"/>
              </w:rPr>
              <w:t xml:space="preserve"> </w:t>
            </w:r>
          </w:p>
          <w:p w14:paraId="6C310A46">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(1)未履行经营服务合同约定的；发生转包、分包经营业务的</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擅自更换履约人或违反经营服务合同行为的。</w:t>
            </w:r>
          </w:p>
          <w:p w14:paraId="5BCE530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(2)降低供餐质量和餐食数量标准,随意变更供餐食谱或每学年师生满意度测评连续两次未达到80%的。</w:t>
            </w:r>
          </w:p>
          <w:p w14:paraId="418E3729">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(3)未持续保持食品经营许可或管理资质、经整改仍不符合食品经营或管理条件的</w:t>
            </w:r>
            <w:r>
              <w:rPr>
                <w:rFonts w:hint="eastAsia" w:ascii="仿宋_GB2312" w:hAnsi="仿宋_GB2312" w:eastAsia="仿宋_GB2312" w:cs="仿宋_GB2312"/>
                <w:highlight w:val="none"/>
                <w:lang w:eastAsia="zh-CN"/>
              </w:rPr>
              <w:t>。</w:t>
            </w:r>
          </w:p>
          <w:p w14:paraId="41C84A44">
            <w:pPr>
              <w:spacing w:line="360" w:lineRule="auto"/>
              <w:ind w:firstLine="420" w:firstLineChars="20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(4)与学校存在商业贿赂等不正当经营行为的</w:t>
            </w:r>
            <w:r>
              <w:rPr>
                <w:rFonts w:hint="eastAsia" w:ascii="仿宋_GB2312" w:hAnsi="仿宋_GB2312" w:eastAsia="仿宋_GB2312" w:cs="仿宋_GB2312"/>
                <w:highlight w:val="none"/>
                <w:lang w:eastAsia="zh-CN"/>
              </w:rPr>
              <w:t>。</w:t>
            </w:r>
          </w:p>
          <w:p w14:paraId="68B0D720">
            <w:pPr>
              <w:spacing w:line="360" w:lineRule="auto"/>
              <w:ind w:firstLine="420" w:firstLineChars="20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(5)存在采购加工法律法规禁止生产经营的食品、使用非食用物质、滥用食品添加剂、降低食品安全保障条件等食品安全问题的</w:t>
            </w:r>
            <w:r>
              <w:rPr>
                <w:rFonts w:hint="eastAsia" w:ascii="仿宋_GB2312" w:hAnsi="仿宋_GB2312" w:eastAsia="仿宋_GB2312" w:cs="仿宋_GB2312"/>
                <w:highlight w:val="none"/>
                <w:lang w:eastAsia="zh-CN"/>
              </w:rPr>
              <w:t>。</w:t>
            </w:r>
          </w:p>
          <w:p w14:paraId="68919ED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(6)经营管理混乱、存在突出食品安全隐患，被市场监管部门处罚且限期整改不力的。</w:t>
            </w:r>
          </w:p>
          <w:p w14:paraId="11B2A6EB">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(7)发生食品安全事故、造成学生食物中毒的。</w:t>
            </w:r>
          </w:p>
          <w:p w14:paraId="453B43AB">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(8)违反相关法律法规，被市场监管部门吊销或注销食品经营许可证、营业执照的</w:t>
            </w:r>
          </w:p>
          <w:p w14:paraId="328936D5">
            <w:pPr>
              <w:spacing w:line="360" w:lineRule="auto"/>
              <w:ind w:left="420" w:leftChars="200" w:firstLine="0" w:firstLineChars="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2.</w:t>
            </w:r>
            <w:r>
              <w:rPr>
                <w:rFonts w:hint="eastAsia" w:ascii="仿宋_GB2312" w:hAnsi="仿宋_GB2312" w:eastAsia="仿宋_GB2312" w:cs="仿宋_GB2312"/>
                <w:highlight w:val="none"/>
              </w:rPr>
              <w:t>引进机制</w:t>
            </w:r>
          </w:p>
          <w:p w14:paraId="41BDDEB7">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highlight w:val="none"/>
              </w:rPr>
              <w:t>若中标单位因考核不合格退出</w:t>
            </w:r>
            <w:r>
              <w:rPr>
                <w:rFonts w:hint="eastAsia" w:ascii="仿宋_GB2312" w:hAnsi="仿宋_GB2312" w:eastAsia="仿宋_GB2312" w:cs="仿宋_GB2312"/>
                <w:highlight w:val="none"/>
                <w:lang w:val="en-US" w:eastAsia="zh-CN"/>
              </w:rPr>
              <w:t>或委托经营期满后</w:t>
            </w:r>
            <w:r>
              <w:rPr>
                <w:rFonts w:hint="eastAsia" w:ascii="仿宋_GB2312" w:hAnsi="仿宋_GB2312" w:eastAsia="仿宋_GB2312" w:cs="仿宋_GB2312"/>
                <w:highlight w:val="none"/>
              </w:rPr>
              <w:t>，校方将重新通过招标方式引进优秀的餐饮服务单位为</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提供餐饮服务，做好衔接工作，确保</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饮食正常供应。</w:t>
            </w:r>
          </w:p>
        </w:tc>
        <w:tc>
          <w:tcPr>
            <w:tcW w:w="3268" w:type="dxa"/>
            <w:tcBorders>
              <w:top w:val="single" w:color="auto" w:sz="4" w:space="0"/>
              <w:left w:val="single" w:color="auto" w:sz="4" w:space="0"/>
              <w:bottom w:val="single" w:color="auto" w:sz="4" w:space="0"/>
              <w:right w:val="single" w:color="auto" w:sz="4" w:space="0"/>
            </w:tcBorders>
            <w:noWrap w:val="0"/>
            <w:vAlign w:val="center"/>
          </w:tcPr>
          <w:p w14:paraId="40FA855D">
            <w:pPr>
              <w:tabs>
                <w:tab w:val="left" w:pos="0"/>
              </w:tabs>
              <w:adjustRightInd w:val="0"/>
              <w:snapToGrid w:val="0"/>
              <w:jc w:val="center"/>
              <w:rPr>
                <w:rFonts w:ascii="仿宋_GB2312" w:hAnsi="仿宋_GB2312" w:eastAsia="仿宋_GB2312" w:cs="仿宋_GB2312"/>
                <w:kern w:val="0"/>
                <w:szCs w:val="21"/>
                <w:highlight w:val="none"/>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7F3FBAE6">
            <w:pPr>
              <w:tabs>
                <w:tab w:val="left" w:pos="-75"/>
              </w:tabs>
              <w:spacing w:line="240" w:lineRule="exact"/>
              <w:ind w:right="-56" w:rightChars="-27"/>
              <w:jc w:val="center"/>
              <w:rPr>
                <w:rFonts w:ascii="仿宋_GB2312" w:hAnsi="仿宋_GB2312" w:eastAsia="仿宋_GB2312" w:cs="仿宋_GB2312"/>
                <w:kern w:val="0"/>
                <w:szCs w:val="21"/>
                <w:highlight w:val="none"/>
              </w:rPr>
            </w:pPr>
          </w:p>
        </w:tc>
        <w:tc>
          <w:tcPr>
            <w:tcW w:w="611" w:type="dxa"/>
            <w:tcBorders>
              <w:top w:val="single" w:color="auto" w:sz="4" w:space="0"/>
              <w:left w:val="single" w:color="auto" w:sz="4" w:space="0"/>
              <w:bottom w:val="single" w:color="auto" w:sz="4" w:space="0"/>
              <w:right w:val="single" w:color="auto" w:sz="4" w:space="0"/>
            </w:tcBorders>
            <w:noWrap w:val="0"/>
            <w:vAlign w:val="center"/>
          </w:tcPr>
          <w:p w14:paraId="4B1F9A24">
            <w:pPr>
              <w:tabs>
                <w:tab w:val="left" w:pos="-75"/>
              </w:tabs>
              <w:spacing w:line="240" w:lineRule="exact"/>
              <w:ind w:right="-56" w:rightChars="-27"/>
              <w:jc w:val="center"/>
              <w:rPr>
                <w:rFonts w:ascii="仿宋_GB2312" w:hAnsi="仿宋_GB2312" w:eastAsia="仿宋_GB2312" w:cs="仿宋_GB2312"/>
                <w:kern w:val="0"/>
                <w:szCs w:val="21"/>
                <w:highlight w:val="none"/>
              </w:rPr>
            </w:pPr>
          </w:p>
        </w:tc>
        <w:tc>
          <w:tcPr>
            <w:tcW w:w="675" w:type="dxa"/>
            <w:tcBorders>
              <w:top w:val="single" w:color="auto" w:sz="4" w:space="0"/>
              <w:left w:val="single" w:color="auto" w:sz="4" w:space="0"/>
              <w:bottom w:val="single" w:color="auto" w:sz="4" w:space="0"/>
              <w:right w:val="single" w:color="auto" w:sz="4" w:space="0"/>
            </w:tcBorders>
            <w:noWrap w:val="0"/>
            <w:vAlign w:val="center"/>
          </w:tcPr>
          <w:p w14:paraId="43A62FA3">
            <w:pPr>
              <w:tabs>
                <w:tab w:val="left" w:pos="-75"/>
              </w:tabs>
              <w:spacing w:line="240" w:lineRule="exact"/>
              <w:ind w:right="-56" w:rightChars="-27"/>
              <w:jc w:val="center"/>
              <w:rPr>
                <w:rFonts w:ascii="仿宋_GB2312" w:hAnsi="仿宋_GB2312" w:eastAsia="仿宋_GB2312" w:cs="仿宋_GB2312"/>
                <w:kern w:val="0"/>
                <w:szCs w:val="21"/>
                <w:highlight w:val="none"/>
              </w:rPr>
            </w:pPr>
          </w:p>
        </w:tc>
      </w:tr>
      <w:tr w14:paraId="73DA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3310" w:type="dxa"/>
            <w:tcBorders>
              <w:top w:val="single" w:color="auto" w:sz="4" w:space="0"/>
              <w:left w:val="single" w:color="auto" w:sz="4" w:space="0"/>
              <w:bottom w:val="single" w:color="auto" w:sz="4" w:space="0"/>
              <w:right w:val="single" w:color="auto" w:sz="4" w:space="0"/>
            </w:tcBorders>
            <w:noWrap w:val="0"/>
            <w:vAlign w:val="center"/>
          </w:tcPr>
          <w:p w14:paraId="4C87244A">
            <w:pPr>
              <w:adjustRightInd w:val="0"/>
              <w:snapToGrid w:val="0"/>
              <w:ind w:hanging="1"/>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其它</w:t>
            </w:r>
          </w:p>
        </w:tc>
        <w:tc>
          <w:tcPr>
            <w:tcW w:w="3268" w:type="dxa"/>
            <w:tcBorders>
              <w:top w:val="single" w:color="auto" w:sz="4" w:space="0"/>
              <w:left w:val="single" w:color="auto" w:sz="4" w:space="0"/>
              <w:bottom w:val="single" w:color="auto" w:sz="4" w:space="0"/>
              <w:right w:val="single" w:color="auto" w:sz="4" w:space="0"/>
            </w:tcBorders>
            <w:noWrap w:val="0"/>
            <w:vAlign w:val="center"/>
          </w:tcPr>
          <w:p w14:paraId="2337D922">
            <w:pPr>
              <w:tabs>
                <w:tab w:val="left" w:pos="0"/>
              </w:tabs>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采购单位未提供需求而投标人认为需说明及补充的内容在此填列</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279F875A">
            <w:pPr>
              <w:tabs>
                <w:tab w:val="left" w:pos="-75"/>
              </w:tabs>
              <w:spacing w:line="240" w:lineRule="exact"/>
              <w:ind w:right="-56" w:rightChars="-27"/>
              <w:jc w:val="center"/>
              <w:rPr>
                <w:rFonts w:ascii="仿宋_GB2312" w:hAnsi="仿宋_GB2312" w:eastAsia="仿宋_GB2312" w:cs="仿宋_GB2312"/>
                <w:kern w:val="0"/>
                <w:szCs w:val="21"/>
                <w:highlight w:val="none"/>
              </w:rPr>
            </w:pPr>
          </w:p>
        </w:tc>
        <w:tc>
          <w:tcPr>
            <w:tcW w:w="611" w:type="dxa"/>
            <w:tcBorders>
              <w:top w:val="single" w:color="auto" w:sz="4" w:space="0"/>
              <w:left w:val="single" w:color="auto" w:sz="4" w:space="0"/>
              <w:bottom w:val="single" w:color="auto" w:sz="4" w:space="0"/>
              <w:right w:val="single" w:color="auto" w:sz="4" w:space="0"/>
            </w:tcBorders>
            <w:noWrap w:val="0"/>
            <w:vAlign w:val="center"/>
          </w:tcPr>
          <w:p w14:paraId="71E7B393">
            <w:pPr>
              <w:tabs>
                <w:tab w:val="left" w:pos="-75"/>
              </w:tabs>
              <w:spacing w:line="240" w:lineRule="exact"/>
              <w:ind w:right="-56" w:rightChars="-27"/>
              <w:jc w:val="center"/>
              <w:rPr>
                <w:rFonts w:ascii="仿宋_GB2312" w:hAnsi="仿宋_GB2312" w:eastAsia="仿宋_GB2312" w:cs="仿宋_GB2312"/>
                <w:kern w:val="0"/>
                <w:szCs w:val="21"/>
                <w:highlight w:val="none"/>
              </w:rPr>
            </w:pPr>
          </w:p>
        </w:tc>
        <w:tc>
          <w:tcPr>
            <w:tcW w:w="675" w:type="dxa"/>
            <w:tcBorders>
              <w:top w:val="single" w:color="auto" w:sz="4" w:space="0"/>
              <w:left w:val="single" w:color="auto" w:sz="4" w:space="0"/>
              <w:bottom w:val="single" w:color="auto" w:sz="4" w:space="0"/>
              <w:right w:val="single" w:color="auto" w:sz="4" w:space="0"/>
            </w:tcBorders>
            <w:noWrap w:val="0"/>
            <w:vAlign w:val="center"/>
          </w:tcPr>
          <w:p w14:paraId="604BCB97">
            <w:pPr>
              <w:tabs>
                <w:tab w:val="left" w:pos="-75"/>
              </w:tabs>
              <w:spacing w:line="240" w:lineRule="exact"/>
              <w:ind w:right="-56" w:rightChars="-27"/>
              <w:jc w:val="center"/>
              <w:rPr>
                <w:rFonts w:ascii="仿宋_GB2312" w:hAnsi="仿宋_GB2312" w:eastAsia="仿宋_GB2312" w:cs="仿宋_GB2312"/>
                <w:kern w:val="0"/>
                <w:szCs w:val="21"/>
                <w:highlight w:val="none"/>
              </w:rPr>
            </w:pPr>
          </w:p>
        </w:tc>
      </w:tr>
    </w:tbl>
    <w:p w14:paraId="62AA483F">
      <w:pPr>
        <w:adjustRightInd w:val="0"/>
        <w:snapToGrid w:val="0"/>
        <w:spacing w:line="360" w:lineRule="auto"/>
        <w:ind w:right="105" w:rightChars="50"/>
        <w:jc w:val="left"/>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填表要求：</w:t>
      </w:r>
    </w:p>
    <w:p w14:paraId="48E3F20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1．“投标文件响应内容”一栏由投标人按照招标文件要求填写并进行逐项响应。</w:t>
      </w:r>
    </w:p>
    <w:p w14:paraId="5BD60FA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2．“偏离程度”一栏根据“投标文件响应内容”与招标文件逐项对照的结果填写。偏离必须用 “正偏离、负偏离或无偏离”三个名称中的一种进行标注。</w:t>
      </w:r>
    </w:p>
    <w:p w14:paraId="02E9FB0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3．“偏离说明”一栏由投标人对偏离的情况做详细说明。</w:t>
      </w:r>
    </w:p>
    <w:p w14:paraId="5A1B7195">
      <w:pPr>
        <w:adjustRightInd w:val="0"/>
        <w:snapToGrid w:val="0"/>
        <w:spacing w:line="360" w:lineRule="auto"/>
        <w:rPr>
          <w:rFonts w:ascii="仿宋_GB2312" w:hAnsi="仿宋_GB2312" w:eastAsia="仿宋_GB2312" w:cs="仿宋_GB2312"/>
          <w:szCs w:val="21"/>
          <w:highlight w:val="none"/>
        </w:rPr>
      </w:pPr>
    </w:p>
    <w:p w14:paraId="3FA8A448">
      <w:pPr>
        <w:pStyle w:val="15"/>
        <w:rPr>
          <w:rFonts w:ascii="仿宋_GB2312" w:hAnsi="仿宋_GB2312" w:eastAsia="仿宋_GB2312" w:cs="仿宋_GB2312"/>
          <w:szCs w:val="21"/>
          <w:highlight w:val="none"/>
        </w:rPr>
      </w:pPr>
    </w:p>
    <w:p w14:paraId="7E50AB2A">
      <w:pPr>
        <w:rPr>
          <w:highlight w:val="none"/>
        </w:rPr>
      </w:pPr>
    </w:p>
    <w:p w14:paraId="39DA2D5C">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4C3C2543">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其委托代理人(签字或盖章)：</w:t>
      </w:r>
      <w:r>
        <w:rPr>
          <w:rFonts w:hint="eastAsia" w:ascii="仿宋_GB2312" w:hAnsi="仿宋_GB2312" w:eastAsia="仿宋_GB2312" w:cs="仿宋_GB2312"/>
          <w:highlight w:val="none"/>
          <w:u w:val="single"/>
        </w:rPr>
        <w:t xml:space="preserve">           </w:t>
      </w:r>
    </w:p>
    <w:p w14:paraId="4BEFFCD6">
      <w:pPr>
        <w:adjustRightInd w:val="0"/>
        <w:snapToGrid w:val="0"/>
        <w:ind w:right="105" w:rightChars="50"/>
        <w:jc w:val="left"/>
        <w:rPr>
          <w:rFonts w:ascii="仿宋_GB2312" w:hAnsi="仿宋_GB2312" w:eastAsia="仿宋_GB2312" w:cs="仿宋_GB2312"/>
          <w:szCs w:val="28"/>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u w:val="single"/>
        </w:rPr>
        <w:t xml:space="preserve"> </w:t>
      </w:r>
      <w:r>
        <w:rPr>
          <w:rFonts w:ascii="仿宋_GB2312" w:hAnsi="仿宋_GB2312" w:eastAsia="仿宋_GB2312" w:cs="仿宋_GB2312"/>
          <w:szCs w:val="28"/>
          <w:highlight w:val="none"/>
        </w:rPr>
        <w:br w:type="page"/>
      </w:r>
    </w:p>
    <w:p w14:paraId="431B4A49">
      <w:pPr>
        <w:pStyle w:val="3"/>
        <w:adjustRightInd w:val="0"/>
        <w:snapToGrid w:val="0"/>
        <w:spacing w:before="0" w:after="0" w:line="240" w:lineRule="auto"/>
        <w:jc w:val="left"/>
        <w:rPr>
          <w:rFonts w:ascii="仿宋_GB2312" w:hAnsi="仿宋_GB2312" w:eastAsia="仿宋_GB2312" w:cs="仿宋_GB2312"/>
          <w:szCs w:val="28"/>
          <w:highlight w:val="none"/>
          <w:lang w:val="en-US" w:eastAsia="zh-CN"/>
        </w:rPr>
      </w:pPr>
      <w:r>
        <w:rPr>
          <w:rFonts w:hint="eastAsia" w:ascii="仿宋_GB2312" w:hAnsi="仿宋_GB2312" w:eastAsia="仿宋_GB2312" w:cs="仿宋_GB2312"/>
          <w:szCs w:val="28"/>
          <w:highlight w:val="none"/>
          <w:lang w:val="en-US" w:eastAsia="zh-CN"/>
        </w:rPr>
        <w:t>格式11</w:t>
      </w:r>
    </w:p>
    <w:p w14:paraId="0BB2F89A">
      <w:pPr>
        <w:adjustRightInd w:val="0"/>
        <w:snapToGrid w:val="0"/>
        <w:ind w:right="105" w:rightChars="50"/>
        <w:jc w:val="center"/>
        <w:rPr>
          <w:rFonts w:ascii="仿宋_GB2312" w:hAnsi="仿宋_GB2312" w:eastAsia="仿宋_GB2312" w:cs="仿宋_GB2312"/>
          <w:b/>
          <w:bCs/>
          <w:sz w:val="32"/>
          <w:szCs w:val="32"/>
          <w:highlight w:val="none"/>
        </w:rPr>
      </w:pPr>
      <w:bookmarkStart w:id="109" w:name="_Toc8488_WPSOffice_Level2"/>
      <w:bookmarkStart w:id="110" w:name="_Toc4431_WPSOffice_Level2"/>
      <w:r>
        <w:rPr>
          <w:rFonts w:hint="eastAsia" w:ascii="仿宋_GB2312" w:hAnsi="仿宋_GB2312" w:eastAsia="仿宋_GB2312" w:cs="仿宋_GB2312"/>
          <w:b/>
          <w:bCs/>
          <w:sz w:val="32"/>
          <w:szCs w:val="32"/>
          <w:highlight w:val="none"/>
        </w:rPr>
        <w:t>商务条款偏离表</w:t>
      </w:r>
      <w:bookmarkEnd w:id="109"/>
      <w:bookmarkEnd w:id="110"/>
    </w:p>
    <w:p w14:paraId="6B8E52C6">
      <w:pPr>
        <w:adjustRightInd w:val="0"/>
        <w:snapToGrid w:val="0"/>
        <w:spacing w:line="360" w:lineRule="auto"/>
        <w:ind w:right="105" w:rightChars="5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 xml:space="preserve">包号：001 </w:t>
      </w:r>
    </w:p>
    <w:tbl>
      <w:tblPr>
        <w:tblStyle w:val="20"/>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2942"/>
        <w:gridCol w:w="3036"/>
        <w:gridCol w:w="1003"/>
        <w:gridCol w:w="893"/>
      </w:tblGrid>
      <w:tr w14:paraId="4817C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686" w:type="dxa"/>
            <w:noWrap w:val="0"/>
            <w:vAlign w:val="center"/>
          </w:tcPr>
          <w:p w14:paraId="75963244">
            <w:pPr>
              <w:adjustRightInd w:val="0"/>
              <w:snapToGrid w:val="0"/>
              <w:ind w:right="-48" w:rightChars="-23"/>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序号</w:t>
            </w:r>
          </w:p>
        </w:tc>
        <w:tc>
          <w:tcPr>
            <w:tcW w:w="2942" w:type="dxa"/>
            <w:noWrap w:val="0"/>
            <w:vAlign w:val="center"/>
          </w:tcPr>
          <w:p w14:paraId="5B96BE16">
            <w:pPr>
              <w:adjustRightInd w:val="0"/>
              <w:snapToGrid w:val="0"/>
              <w:ind w:right="-73" w:rightChars="-35"/>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招标文件的商务条款</w:t>
            </w:r>
          </w:p>
          <w:p w14:paraId="1FF88CC1">
            <w:pPr>
              <w:adjustRightInd w:val="0"/>
              <w:snapToGrid w:val="0"/>
              <w:ind w:right="-73" w:rightChars="-35"/>
              <w:jc w:val="center"/>
              <w:rPr>
                <w:rFonts w:hint="eastAsia" w:ascii="仿宋_GB2312" w:hAnsi="仿宋_GB2312" w:eastAsia="仿宋_GB2312" w:cs="仿宋_GB2312"/>
                <w:szCs w:val="21"/>
                <w:highlight w:val="none"/>
              </w:rPr>
            </w:pPr>
            <w:r>
              <w:rPr>
                <w:rFonts w:hint="eastAsia" w:ascii="仿宋_GB2312" w:hAnsi="仿宋_GB2312" w:eastAsia="仿宋_GB2312"/>
                <w:color w:val="000000"/>
                <w:highlight w:val="none"/>
              </w:rPr>
              <w:t>（</w:t>
            </w:r>
            <w:r>
              <w:rPr>
                <w:rFonts w:hint="eastAsia" w:ascii="仿宋_GB2312" w:hAnsi="仿宋_GB2312" w:eastAsia="仿宋_GB2312"/>
                <w:b/>
                <w:bCs/>
                <w:color w:val="000000"/>
                <w:highlight w:val="none"/>
              </w:rPr>
              <w:t>实质性要求及重要指标用★标注，★标注项不得负偏离，如果负偏离，则投标文件无效。</w:t>
            </w:r>
            <w:r>
              <w:rPr>
                <w:rFonts w:hint="eastAsia" w:ascii="仿宋_GB2312" w:hAnsi="仿宋_GB2312" w:eastAsia="仿宋_GB2312"/>
                <w:color w:val="000000"/>
                <w:highlight w:val="none"/>
              </w:rPr>
              <w:t>）</w:t>
            </w:r>
          </w:p>
        </w:tc>
        <w:tc>
          <w:tcPr>
            <w:tcW w:w="3036" w:type="dxa"/>
            <w:noWrap w:val="0"/>
            <w:vAlign w:val="center"/>
          </w:tcPr>
          <w:p w14:paraId="61C60E50">
            <w:pPr>
              <w:adjustRightInd w:val="0"/>
              <w:snapToGrid w:val="0"/>
              <w:ind w:right="-107" w:rightChars="-51"/>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投标文件响应内容</w:t>
            </w:r>
          </w:p>
        </w:tc>
        <w:tc>
          <w:tcPr>
            <w:tcW w:w="1003" w:type="dxa"/>
            <w:noWrap w:val="0"/>
            <w:vAlign w:val="center"/>
          </w:tcPr>
          <w:p w14:paraId="75EF9823">
            <w:pPr>
              <w:adjustRightInd w:val="0"/>
              <w:snapToGrid w:val="0"/>
              <w:ind w:left="-58" w:leftChars="-28" w:right="-105" w:rightChars="-5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偏离程度</w:t>
            </w:r>
          </w:p>
        </w:tc>
        <w:tc>
          <w:tcPr>
            <w:tcW w:w="893" w:type="dxa"/>
            <w:noWrap w:val="0"/>
            <w:vAlign w:val="center"/>
          </w:tcPr>
          <w:p w14:paraId="0B04771B">
            <w:pPr>
              <w:adjustRightInd w:val="0"/>
              <w:snapToGrid w:val="0"/>
              <w:ind w:left="-58" w:leftChars="-28" w:right="-105" w:rightChars="-5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偏离说明</w:t>
            </w:r>
          </w:p>
        </w:tc>
      </w:tr>
      <w:tr w14:paraId="4620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86" w:type="dxa"/>
            <w:noWrap w:val="0"/>
            <w:vAlign w:val="center"/>
          </w:tcPr>
          <w:p w14:paraId="7DF59B1F">
            <w:pPr>
              <w:adjustRightInd w:val="0"/>
              <w:snapToGrid w:val="0"/>
              <w:ind w:right="105" w:rightChars="50"/>
              <w:jc w:val="center"/>
              <w:rPr>
                <w:rFonts w:hint="eastAsia" w:ascii="仿宋_GB2312" w:hAnsi="仿宋_GB2312" w:eastAsia="仿宋_GB2312" w:cs="仿宋_GB2312"/>
                <w:bCs/>
                <w:szCs w:val="21"/>
                <w:highlight w:val="none"/>
              </w:rPr>
            </w:pPr>
            <w:r>
              <w:rPr>
                <w:rFonts w:hint="eastAsia" w:ascii="仿宋_GB2312" w:hAnsi="仿宋" w:eastAsia="仿宋_GB2312" w:cs="仿宋_GB2312"/>
                <w:bCs/>
                <w:szCs w:val="21"/>
                <w:highlight w:val="none"/>
              </w:rPr>
              <w:t>★1</w:t>
            </w:r>
          </w:p>
        </w:tc>
        <w:tc>
          <w:tcPr>
            <w:tcW w:w="2942" w:type="dxa"/>
            <w:noWrap w:val="0"/>
            <w:vAlign w:val="center"/>
          </w:tcPr>
          <w:p w14:paraId="14BE3873">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履约期限：</w:t>
            </w:r>
            <w:r>
              <w:rPr>
                <w:rFonts w:hint="eastAsia" w:ascii="仿宋_GB2312" w:hAnsi="仿宋_GB2312" w:eastAsia="仿宋_GB2312" w:cs="仿宋_GB2312"/>
                <w:szCs w:val="21"/>
                <w:highlight w:val="none"/>
                <w:lang w:eastAsia="zh-CN"/>
              </w:rPr>
              <w:t>合同签订之日起一年</w:t>
            </w:r>
            <w:r>
              <w:rPr>
                <w:rFonts w:hint="eastAsia" w:ascii="仿宋_GB2312" w:hAnsi="仿宋_GB2312" w:eastAsia="仿宋_GB2312" w:cs="仿宋_GB2312"/>
                <w:szCs w:val="21"/>
                <w:highlight w:val="none"/>
              </w:rPr>
              <w:t>（以实际签订合同为准）。</w:t>
            </w:r>
          </w:p>
        </w:tc>
        <w:tc>
          <w:tcPr>
            <w:tcW w:w="3036" w:type="dxa"/>
            <w:noWrap w:val="0"/>
            <w:vAlign w:val="center"/>
          </w:tcPr>
          <w:p w14:paraId="5C000CFE">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2CF2A627">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43C92160">
            <w:pPr>
              <w:adjustRightInd w:val="0"/>
              <w:snapToGrid w:val="0"/>
              <w:ind w:right="105" w:rightChars="50"/>
              <w:jc w:val="center"/>
              <w:rPr>
                <w:rFonts w:ascii="仿宋_GB2312" w:hAnsi="仿宋_GB2312" w:eastAsia="仿宋_GB2312" w:cs="仿宋_GB2312"/>
                <w:szCs w:val="21"/>
                <w:highlight w:val="none"/>
              </w:rPr>
            </w:pPr>
          </w:p>
        </w:tc>
      </w:tr>
      <w:tr w14:paraId="58A9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686" w:type="dxa"/>
            <w:noWrap w:val="0"/>
            <w:vAlign w:val="center"/>
          </w:tcPr>
          <w:p w14:paraId="1ABE67CE">
            <w:pPr>
              <w:adjustRightInd w:val="0"/>
              <w:snapToGrid w:val="0"/>
              <w:ind w:right="105" w:rightChars="50"/>
              <w:jc w:val="center"/>
              <w:rPr>
                <w:rFonts w:ascii="仿宋_GB2312" w:hAnsi="仿宋_GB2312" w:eastAsia="仿宋_GB2312" w:cs="仿宋_GB2312"/>
                <w:bCs/>
                <w:szCs w:val="21"/>
                <w:highlight w:val="none"/>
              </w:rPr>
            </w:pPr>
            <w:r>
              <w:rPr>
                <w:rFonts w:hint="eastAsia" w:ascii="仿宋_GB2312" w:hAnsi="仿宋" w:eastAsia="仿宋_GB2312" w:cs="仿宋_GB2312"/>
                <w:bCs/>
                <w:szCs w:val="21"/>
                <w:highlight w:val="none"/>
              </w:rPr>
              <w:t>★2</w:t>
            </w:r>
          </w:p>
        </w:tc>
        <w:tc>
          <w:tcPr>
            <w:tcW w:w="2942" w:type="dxa"/>
            <w:noWrap w:val="0"/>
            <w:vAlign w:val="center"/>
          </w:tcPr>
          <w:p w14:paraId="50F84D57">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履约地点：采购人指定地点</w:t>
            </w:r>
          </w:p>
        </w:tc>
        <w:tc>
          <w:tcPr>
            <w:tcW w:w="3036" w:type="dxa"/>
            <w:noWrap w:val="0"/>
            <w:vAlign w:val="center"/>
          </w:tcPr>
          <w:p w14:paraId="1804E46F">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27F28AD4">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60EAECB1">
            <w:pPr>
              <w:adjustRightInd w:val="0"/>
              <w:snapToGrid w:val="0"/>
              <w:ind w:right="105" w:rightChars="50"/>
              <w:jc w:val="center"/>
              <w:rPr>
                <w:rFonts w:ascii="仿宋_GB2312" w:hAnsi="仿宋_GB2312" w:eastAsia="仿宋_GB2312" w:cs="仿宋_GB2312"/>
                <w:szCs w:val="21"/>
                <w:highlight w:val="none"/>
              </w:rPr>
            </w:pPr>
          </w:p>
        </w:tc>
      </w:tr>
      <w:tr w14:paraId="6AA77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86" w:type="dxa"/>
            <w:noWrap w:val="0"/>
            <w:vAlign w:val="center"/>
          </w:tcPr>
          <w:p w14:paraId="7426A193">
            <w:pPr>
              <w:adjustRightInd w:val="0"/>
              <w:snapToGrid w:val="0"/>
              <w:ind w:right="105" w:rightChars="50"/>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w:t>
            </w:r>
          </w:p>
        </w:tc>
        <w:tc>
          <w:tcPr>
            <w:tcW w:w="2942" w:type="dxa"/>
            <w:noWrap w:val="0"/>
            <w:vAlign w:val="center"/>
          </w:tcPr>
          <w:p w14:paraId="6FD72E18">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付款方式及条件：</w:t>
            </w:r>
          </w:p>
          <w:p w14:paraId="3E67F915">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验收合格</w:t>
            </w:r>
            <w:r>
              <w:rPr>
                <w:rFonts w:hint="eastAsia" w:ascii="仿宋_GB2312" w:hAnsi="仿宋_GB2312" w:eastAsia="仿宋_GB2312" w:cs="仿宋_GB2312"/>
                <w:szCs w:val="21"/>
                <w:highlight w:val="none"/>
                <w:lang w:val="en-US" w:eastAsia="zh-CN"/>
              </w:rPr>
              <w:t>提供发票</w:t>
            </w:r>
            <w:r>
              <w:rPr>
                <w:rFonts w:hint="eastAsia" w:ascii="仿宋_GB2312" w:hAnsi="仿宋_GB2312" w:eastAsia="仿宋_GB2312" w:cs="仿宋_GB2312"/>
                <w:szCs w:val="21"/>
                <w:highlight w:val="none"/>
              </w:rPr>
              <w:t>后30日内付款。</w:t>
            </w:r>
          </w:p>
          <w:p w14:paraId="1C5EDD82">
            <w:pPr>
              <w:adjustRightInd w:val="0"/>
              <w:snapToGrid w:val="0"/>
              <w:rPr>
                <w:rFonts w:hint="eastAsia" w:ascii="仿宋_GB2312" w:hAnsi="仿宋_GB2312" w:eastAsia="仿宋_GB2312" w:cs="仿宋_GB2312"/>
                <w:szCs w:val="21"/>
                <w:highlight w:val="none"/>
              </w:rPr>
            </w:pPr>
            <w:bookmarkStart w:id="111" w:name="OLE_LINK2"/>
            <w:r>
              <w:rPr>
                <w:rFonts w:hint="eastAsia" w:ascii="仿宋_GB2312" w:hAnsi="仿宋_GB2312" w:eastAsia="仿宋_GB2312" w:cs="仿宋_GB2312"/>
                <w:szCs w:val="21"/>
                <w:highlight w:val="none"/>
              </w:rPr>
              <w:t>教师餐15元/人/天（早餐</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元/人/餐，午餐</w:t>
            </w:r>
            <w:r>
              <w:rPr>
                <w:rFonts w:hint="eastAsia" w:ascii="仿宋_GB2312" w:hAnsi="仿宋_GB2312" w:eastAsia="仿宋_GB2312" w:cs="仿宋_GB2312"/>
                <w:szCs w:val="21"/>
                <w:highlight w:val="none"/>
                <w:lang w:val="en-US" w:eastAsia="zh-CN"/>
              </w:rPr>
              <w:t>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具体支付金额以实际发生量进行结算；</w:t>
            </w:r>
          </w:p>
          <w:p w14:paraId="59CA76E0">
            <w:pPr>
              <w:adjustRightInd w:val="0"/>
              <w:snapToGrid w:val="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学生餐：</w:t>
            </w:r>
            <w:r>
              <w:rPr>
                <w:rFonts w:hint="eastAsia" w:ascii="仿宋_GB2312" w:hAnsi="仿宋_GB2312" w:eastAsia="仿宋_GB2312" w:cs="仿宋_GB2312"/>
                <w:szCs w:val="21"/>
                <w:highlight w:val="none"/>
                <w:lang w:val="en-US" w:eastAsia="zh-CN"/>
              </w:rPr>
              <w:t>26</w:t>
            </w:r>
            <w:r>
              <w:rPr>
                <w:rFonts w:hint="eastAsia" w:ascii="仿宋_GB2312" w:hAnsi="仿宋_GB2312" w:eastAsia="仿宋_GB2312" w:cs="仿宋_GB2312"/>
                <w:szCs w:val="21"/>
                <w:highlight w:val="none"/>
              </w:rPr>
              <w:t>元/人/</w:t>
            </w:r>
            <w:r>
              <w:rPr>
                <w:rFonts w:hint="eastAsia" w:ascii="仿宋_GB2312" w:hAnsi="仿宋_GB2312" w:eastAsia="仿宋_GB2312" w:cs="仿宋_GB2312"/>
                <w:szCs w:val="21"/>
                <w:highlight w:val="none"/>
                <w:lang w:val="en-US" w:eastAsia="zh-CN"/>
              </w:rPr>
              <w:t>天</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lang w:val="en-US" w:eastAsia="zh-CN"/>
              </w:rPr>
              <w:t>午餐13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szCs w:val="21"/>
                <w:highlight w:val="none"/>
                <w:lang w:val="en-US" w:eastAsia="zh-CN"/>
              </w:rPr>
              <w:t>晚餐13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餐标单价按学生实收标准确定，如遇市场食品食材价格波动较大须调整餐费标准的，双方共同协商</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结算以实际发生量进行</w:t>
            </w:r>
            <w:r>
              <w:rPr>
                <w:rFonts w:hint="eastAsia" w:ascii="仿宋_GB2312" w:hAnsi="仿宋_GB2312" w:eastAsia="仿宋_GB2312" w:cs="仿宋_GB2312"/>
                <w:szCs w:val="21"/>
                <w:highlight w:val="none"/>
                <w:lang w:eastAsia="zh-CN"/>
              </w:rPr>
              <w:t>。</w:t>
            </w:r>
            <w:bookmarkEnd w:id="111"/>
          </w:p>
        </w:tc>
        <w:tc>
          <w:tcPr>
            <w:tcW w:w="3036" w:type="dxa"/>
            <w:noWrap w:val="0"/>
            <w:vAlign w:val="center"/>
          </w:tcPr>
          <w:p w14:paraId="5A33CBC7">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66726242">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751447DC">
            <w:pPr>
              <w:adjustRightInd w:val="0"/>
              <w:snapToGrid w:val="0"/>
              <w:ind w:right="105" w:rightChars="50"/>
              <w:jc w:val="center"/>
              <w:rPr>
                <w:rFonts w:ascii="仿宋_GB2312" w:hAnsi="仿宋_GB2312" w:eastAsia="仿宋_GB2312" w:cs="仿宋_GB2312"/>
                <w:szCs w:val="21"/>
                <w:highlight w:val="none"/>
              </w:rPr>
            </w:pPr>
          </w:p>
        </w:tc>
      </w:tr>
      <w:tr w14:paraId="1EDA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686" w:type="dxa"/>
            <w:noWrap w:val="0"/>
            <w:vAlign w:val="center"/>
          </w:tcPr>
          <w:p w14:paraId="7E100CCD">
            <w:pPr>
              <w:adjustRightInd w:val="0"/>
              <w:snapToGrid w:val="0"/>
              <w:ind w:right="105" w:rightChars="50"/>
              <w:jc w:val="center"/>
              <w:rPr>
                <w:rFonts w:ascii="仿宋_GB2312" w:hAnsi="仿宋_GB2312" w:eastAsia="仿宋_GB2312" w:cs="仿宋_GB2312"/>
                <w:bCs/>
                <w:szCs w:val="21"/>
                <w:highlight w:val="none"/>
              </w:rPr>
            </w:pPr>
            <w:r>
              <w:rPr>
                <w:rFonts w:hint="eastAsia" w:ascii="仿宋_GB2312" w:hAnsi="仿宋" w:eastAsia="仿宋_GB2312" w:cs="仿宋_GB2312"/>
                <w:bCs/>
                <w:szCs w:val="21"/>
                <w:highlight w:val="none"/>
              </w:rPr>
              <w:t>★4</w:t>
            </w:r>
          </w:p>
        </w:tc>
        <w:tc>
          <w:tcPr>
            <w:tcW w:w="2942" w:type="dxa"/>
            <w:noWrap w:val="0"/>
            <w:vAlign w:val="center"/>
          </w:tcPr>
          <w:p w14:paraId="1C129921">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验收标准及程序：本项目将严格按照政府采购相关法律法规以及《辽宁省政府采购履约验收管理办法》（辽财采〔2017〕603号）的要求进行验收。</w:t>
            </w:r>
          </w:p>
          <w:p w14:paraId="24518FAC">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验收报告：按照采购人要求</w:t>
            </w:r>
          </w:p>
          <w:p w14:paraId="546FA6CE">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组织验收主体：本项目的履约验收工作由采购人依法组织实施。</w:t>
            </w:r>
          </w:p>
        </w:tc>
        <w:tc>
          <w:tcPr>
            <w:tcW w:w="3036" w:type="dxa"/>
            <w:noWrap w:val="0"/>
            <w:vAlign w:val="center"/>
          </w:tcPr>
          <w:p w14:paraId="05156E02">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214C0811">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7A81D740">
            <w:pPr>
              <w:adjustRightInd w:val="0"/>
              <w:snapToGrid w:val="0"/>
              <w:ind w:right="105" w:rightChars="50"/>
              <w:jc w:val="center"/>
              <w:rPr>
                <w:rFonts w:ascii="仿宋_GB2312" w:hAnsi="仿宋_GB2312" w:eastAsia="仿宋_GB2312" w:cs="仿宋_GB2312"/>
                <w:szCs w:val="21"/>
                <w:highlight w:val="none"/>
              </w:rPr>
            </w:pPr>
          </w:p>
        </w:tc>
      </w:tr>
      <w:tr w14:paraId="249C8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86" w:type="dxa"/>
            <w:noWrap w:val="0"/>
            <w:vAlign w:val="center"/>
          </w:tcPr>
          <w:p w14:paraId="6731C24C">
            <w:pPr>
              <w:adjustRightInd w:val="0"/>
              <w:snapToGrid w:val="0"/>
              <w:ind w:right="105" w:rightChars="50"/>
              <w:jc w:val="center"/>
              <w:rPr>
                <w:rFonts w:hint="eastAsia" w:ascii="仿宋_GB2312" w:hAnsi="仿宋_GB2312" w:eastAsia="仿宋_GB2312" w:cs="仿宋_GB2312"/>
                <w:szCs w:val="21"/>
                <w:highlight w:val="none"/>
              </w:rPr>
            </w:pP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5</w:t>
            </w:r>
          </w:p>
        </w:tc>
        <w:tc>
          <w:tcPr>
            <w:tcW w:w="2942" w:type="dxa"/>
            <w:noWrap w:val="0"/>
            <w:vAlign w:val="center"/>
          </w:tcPr>
          <w:p w14:paraId="0790D6BB">
            <w:pPr>
              <w:adjustRightInd w:val="0"/>
              <w:snapToGrid w:val="0"/>
              <w:ind w:hanging="1"/>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热线支持：7*24小时</w:t>
            </w:r>
          </w:p>
          <w:p w14:paraId="59B7D7CE">
            <w:pPr>
              <w:adjustRightInd w:val="0"/>
              <w:snapToGrid w:val="0"/>
              <w:ind w:hanging="1"/>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现场支持：（2）小时内响应；（24）小时内到达。</w:t>
            </w:r>
          </w:p>
        </w:tc>
        <w:tc>
          <w:tcPr>
            <w:tcW w:w="3036" w:type="dxa"/>
            <w:noWrap w:val="0"/>
            <w:vAlign w:val="center"/>
          </w:tcPr>
          <w:p w14:paraId="348FF145">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59D6BB8D">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22148FC8">
            <w:pPr>
              <w:adjustRightInd w:val="0"/>
              <w:snapToGrid w:val="0"/>
              <w:ind w:right="105" w:rightChars="50"/>
              <w:jc w:val="center"/>
              <w:rPr>
                <w:rFonts w:ascii="仿宋_GB2312" w:hAnsi="仿宋_GB2312" w:eastAsia="仿宋_GB2312" w:cs="仿宋_GB2312"/>
                <w:szCs w:val="21"/>
                <w:highlight w:val="none"/>
              </w:rPr>
            </w:pPr>
          </w:p>
        </w:tc>
      </w:tr>
      <w:tr w14:paraId="494E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686" w:type="dxa"/>
            <w:noWrap w:val="0"/>
            <w:vAlign w:val="center"/>
          </w:tcPr>
          <w:p w14:paraId="57BF9668">
            <w:pPr>
              <w:adjustRightInd w:val="0"/>
              <w:snapToGrid w:val="0"/>
              <w:ind w:right="105" w:rightChars="50"/>
              <w:jc w:val="center"/>
              <w:rPr>
                <w:rFonts w:ascii="仿宋_GB2312" w:hAnsi="仿宋_GB2312" w:eastAsia="仿宋_GB2312" w:cs="仿宋_GB2312"/>
                <w:szCs w:val="21"/>
                <w:highlight w:val="none"/>
              </w:rPr>
            </w:pPr>
          </w:p>
        </w:tc>
        <w:tc>
          <w:tcPr>
            <w:tcW w:w="2942" w:type="dxa"/>
            <w:noWrap w:val="0"/>
            <w:vAlign w:val="center"/>
          </w:tcPr>
          <w:p w14:paraId="2CEC2DA5">
            <w:pPr>
              <w:adjustRightInd w:val="0"/>
              <w:snapToGrid w:val="0"/>
              <w:ind w:hanging="1"/>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其它</w:t>
            </w:r>
          </w:p>
        </w:tc>
        <w:tc>
          <w:tcPr>
            <w:tcW w:w="3036" w:type="dxa"/>
            <w:noWrap w:val="0"/>
            <w:vAlign w:val="center"/>
          </w:tcPr>
          <w:p w14:paraId="04D8A38A">
            <w:pPr>
              <w:adjustRightInd w:val="0"/>
              <w:snapToGrid w:val="0"/>
              <w:ind w:left="-37" w:leftChars="-18"/>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采购单位未提供需求而投标人认为需说明及补充的内容在此填列</w:t>
            </w:r>
          </w:p>
        </w:tc>
        <w:tc>
          <w:tcPr>
            <w:tcW w:w="1003" w:type="dxa"/>
            <w:noWrap w:val="0"/>
            <w:vAlign w:val="center"/>
          </w:tcPr>
          <w:p w14:paraId="737A03D9">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68433D9B">
            <w:pPr>
              <w:adjustRightInd w:val="0"/>
              <w:snapToGrid w:val="0"/>
              <w:ind w:right="105" w:rightChars="50"/>
              <w:jc w:val="center"/>
              <w:rPr>
                <w:rFonts w:ascii="仿宋_GB2312" w:hAnsi="仿宋_GB2312" w:eastAsia="仿宋_GB2312" w:cs="仿宋_GB2312"/>
                <w:szCs w:val="21"/>
                <w:highlight w:val="none"/>
              </w:rPr>
            </w:pPr>
          </w:p>
        </w:tc>
      </w:tr>
    </w:tbl>
    <w:p w14:paraId="102B88C8">
      <w:pPr>
        <w:adjustRightInd w:val="0"/>
        <w:snapToGrid w:val="0"/>
        <w:spacing w:line="360" w:lineRule="auto"/>
        <w:ind w:right="105" w:rightChars="50"/>
        <w:jc w:val="left"/>
        <w:rPr>
          <w:rFonts w:ascii="仿宋_GB2312" w:hAnsi="仿宋_GB2312" w:eastAsia="仿宋_GB2312" w:cs="仿宋_GB2312"/>
          <w:szCs w:val="21"/>
          <w:highlight w:val="none"/>
        </w:rPr>
      </w:pPr>
      <w:r>
        <w:rPr>
          <w:rFonts w:hint="eastAsia" w:ascii="仿宋_GB2312" w:hAnsi="仿宋_GB2312" w:eastAsia="仿宋_GB2312" w:cs="仿宋_GB2312"/>
          <w:b/>
          <w:szCs w:val="21"/>
          <w:highlight w:val="none"/>
        </w:rPr>
        <w:t>填表要求：</w:t>
      </w:r>
    </w:p>
    <w:p w14:paraId="5723AEF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1．“投标文件响应内容”一栏由投标人按照招标文件要求填写，进行响应。</w:t>
      </w:r>
    </w:p>
    <w:p w14:paraId="23D2E8A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2．“偏离程度”一栏根据“投标文件响应内容”与招标文件逐项对照的结果填写。偏离必须用 “正偏离、负偏离或无偏离”三个名称中的一种进行标注。</w:t>
      </w:r>
    </w:p>
    <w:p w14:paraId="1866F200">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3．“偏离说明”一栏由投标人对偏离的情况做详细说明。</w:t>
      </w:r>
    </w:p>
    <w:p w14:paraId="1526114C">
      <w:pPr>
        <w:adjustRightInd w:val="0"/>
        <w:snapToGrid w:val="0"/>
        <w:spacing w:line="480" w:lineRule="auto"/>
        <w:rPr>
          <w:rFonts w:ascii="仿宋_GB2312" w:hAnsi="仿宋_GB2312" w:eastAsia="仿宋_GB2312" w:cs="仿宋_GB2312"/>
          <w:szCs w:val="21"/>
          <w:highlight w:val="none"/>
        </w:rPr>
      </w:pPr>
    </w:p>
    <w:p w14:paraId="16550AB7">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40C13628">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其委托代理人(签字或盖章)：</w:t>
      </w:r>
      <w:r>
        <w:rPr>
          <w:rFonts w:hint="eastAsia" w:ascii="仿宋_GB2312" w:hAnsi="仿宋_GB2312" w:eastAsia="仿宋_GB2312" w:cs="仿宋_GB2312"/>
          <w:highlight w:val="none"/>
          <w:u w:val="single"/>
        </w:rPr>
        <w:t xml:space="preserve">           </w:t>
      </w:r>
    </w:p>
    <w:p w14:paraId="0583F828">
      <w:pPr>
        <w:snapToGrid w:val="0"/>
        <w:spacing w:line="480" w:lineRule="auto"/>
        <w:rPr>
          <w:rFonts w:hint="eastAsia" w:ascii="仿宋_GB2312" w:hAnsi="仿宋_GB2312" w:eastAsia="仿宋_GB2312" w:cs="仿宋_GB2312"/>
          <w:szCs w:val="28"/>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8"/>
          <w:highlight w:val="none"/>
        </w:rPr>
        <w:br w:type="page"/>
      </w:r>
    </w:p>
    <w:p w14:paraId="422718A4">
      <w:pPr>
        <w:pStyle w:val="3"/>
        <w:adjustRightInd w:val="0"/>
        <w:snapToGrid w:val="0"/>
        <w:spacing w:before="0" w:after="0" w:line="240" w:lineRule="auto"/>
        <w:jc w:val="left"/>
        <w:rPr>
          <w:rFonts w:ascii="仿宋_GB2312" w:hAnsi="仿宋_GB2312" w:eastAsia="仿宋_GB2312" w:cs="仿宋_GB2312"/>
          <w:szCs w:val="28"/>
          <w:highlight w:val="none"/>
          <w:lang w:val="en-US" w:eastAsia="zh-CN"/>
        </w:rPr>
      </w:pPr>
      <w:r>
        <w:rPr>
          <w:rFonts w:hint="eastAsia" w:ascii="仿宋_GB2312" w:hAnsi="仿宋_GB2312" w:eastAsia="仿宋_GB2312" w:cs="仿宋_GB2312"/>
          <w:szCs w:val="28"/>
          <w:highlight w:val="none"/>
          <w:lang w:val="en-US" w:eastAsia="zh-CN"/>
        </w:rPr>
        <w:t>格式12</w:t>
      </w:r>
    </w:p>
    <w:p w14:paraId="310547E5">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bookmarkStart w:id="112" w:name="_Toc20929_WPSOffice_Level2"/>
      <w:bookmarkStart w:id="113" w:name="_Toc9410_WPSOffice_Level2"/>
      <w:r>
        <w:rPr>
          <w:rFonts w:hint="eastAsia" w:ascii="仿宋_GB2312" w:hAnsi="仿宋_GB2312" w:eastAsia="仿宋_GB2312" w:cs="仿宋_GB2312"/>
          <w:b/>
          <w:bCs/>
          <w:sz w:val="32"/>
          <w:szCs w:val="32"/>
          <w:highlight w:val="none"/>
        </w:rPr>
        <w:t>投标人关联单位的说明</w:t>
      </w:r>
      <w:bookmarkEnd w:id="112"/>
      <w:bookmarkEnd w:id="113"/>
    </w:p>
    <w:p w14:paraId="7DD42AC2">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说明：投标人应当如实披露与本单位存在下列关联关系的单位名称：</w:t>
      </w:r>
    </w:p>
    <w:p w14:paraId="2B69B463">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bookmarkStart w:id="114" w:name="_Toc31070_WPSOffice_Level2"/>
      <w:bookmarkStart w:id="115" w:name="_Toc2074_WPSOffice_Level2"/>
      <w:r>
        <w:rPr>
          <w:rFonts w:hint="eastAsia" w:ascii="仿宋_GB2312" w:hAnsi="仿宋_GB2312" w:eastAsia="仿宋_GB2312" w:cs="仿宋_GB2312"/>
          <w:szCs w:val="21"/>
          <w:highlight w:val="none"/>
        </w:rPr>
        <w:t>（1）与投标人单位法定代表人（或非法人组织负责人）为同一人的其他单位；</w:t>
      </w:r>
      <w:bookmarkEnd w:id="114"/>
      <w:bookmarkEnd w:id="115"/>
    </w:p>
    <w:p w14:paraId="59C45883">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bookmarkStart w:id="116" w:name="_Toc27053_WPSOffice_Level2"/>
      <w:bookmarkStart w:id="117" w:name="_Toc889_WPSOffice_Level2"/>
      <w:r>
        <w:rPr>
          <w:rFonts w:hint="eastAsia" w:ascii="仿宋_GB2312" w:hAnsi="仿宋_GB2312" w:eastAsia="仿宋_GB2312" w:cs="仿宋_GB2312"/>
          <w:szCs w:val="21"/>
          <w:highlight w:val="none"/>
        </w:rPr>
        <w:t>（2）与投标人存在直接控股、管理关系的其他单位。</w:t>
      </w:r>
      <w:bookmarkEnd w:id="116"/>
      <w:bookmarkEnd w:id="117"/>
    </w:p>
    <w:p w14:paraId="32D03AD2">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3B82105A">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注：若无此情形，写“无”即可</w:t>
      </w:r>
    </w:p>
    <w:p w14:paraId="5D14142C">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2B3C4AA5">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72656745">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502B2493">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54073926">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701FAC93">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65A403C9">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14F17F7A">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56715350">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其委托代理人(签字或盖章)：</w:t>
      </w:r>
      <w:r>
        <w:rPr>
          <w:rFonts w:hint="eastAsia" w:ascii="仿宋_GB2312" w:hAnsi="仿宋_GB2312" w:eastAsia="仿宋_GB2312" w:cs="仿宋_GB2312"/>
          <w:highlight w:val="none"/>
          <w:u w:val="single"/>
        </w:rPr>
        <w:t xml:space="preserve">           </w:t>
      </w:r>
    </w:p>
    <w:p w14:paraId="2A61539E">
      <w:pPr>
        <w:adjustRightInd w:val="0"/>
        <w:snapToGrid w:val="0"/>
        <w:spacing w:line="480" w:lineRule="auto"/>
        <w:ind w:right="105" w:rightChars="50"/>
        <w:jc w:val="left"/>
        <w:rPr>
          <w:rFonts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5BECCD13">
      <w:pPr>
        <w:adjustRightInd w:val="0"/>
        <w:snapToGrid w:val="0"/>
        <w:spacing w:line="360" w:lineRule="auto"/>
        <w:ind w:right="105" w:rightChars="50"/>
        <w:jc w:val="left"/>
        <w:rPr>
          <w:rFonts w:ascii="仿宋_GB2312" w:hAnsi="仿宋_GB2312" w:eastAsia="仿宋_GB2312" w:cs="仿宋_GB2312"/>
          <w:highlight w:val="none"/>
          <w:u w:val="single"/>
        </w:rPr>
      </w:pPr>
    </w:p>
    <w:p w14:paraId="439049F8">
      <w:pPr>
        <w:adjustRightInd w:val="0"/>
        <w:snapToGrid w:val="0"/>
        <w:spacing w:line="360" w:lineRule="auto"/>
        <w:ind w:right="105" w:rightChars="50"/>
        <w:jc w:val="left"/>
        <w:rPr>
          <w:rFonts w:ascii="仿宋_GB2312" w:hAnsi="仿宋_GB2312" w:eastAsia="仿宋_GB2312" w:cs="仿宋_GB2312"/>
          <w:highlight w:val="none"/>
          <w:u w:val="single"/>
        </w:rPr>
      </w:pPr>
    </w:p>
    <w:p w14:paraId="5B5843DE">
      <w:pPr>
        <w:adjustRightInd w:val="0"/>
        <w:snapToGrid w:val="0"/>
        <w:spacing w:line="360" w:lineRule="auto"/>
        <w:ind w:right="105" w:rightChars="50"/>
        <w:jc w:val="left"/>
        <w:rPr>
          <w:rFonts w:ascii="仿宋_GB2312" w:hAnsi="仿宋_GB2312" w:eastAsia="仿宋_GB2312" w:cs="仿宋_GB2312"/>
          <w:highlight w:val="none"/>
          <w:u w:val="single"/>
        </w:rPr>
      </w:pPr>
    </w:p>
    <w:p w14:paraId="77B3E551">
      <w:pPr>
        <w:adjustRightInd w:val="0"/>
        <w:snapToGrid w:val="0"/>
        <w:spacing w:line="360" w:lineRule="auto"/>
        <w:ind w:right="105" w:rightChars="50"/>
        <w:jc w:val="left"/>
        <w:rPr>
          <w:rFonts w:ascii="仿宋_GB2312" w:hAnsi="仿宋_GB2312" w:eastAsia="仿宋_GB2312" w:cs="仿宋_GB2312"/>
          <w:highlight w:val="none"/>
          <w:u w:val="single"/>
        </w:rPr>
      </w:pPr>
    </w:p>
    <w:p w14:paraId="1E41E908">
      <w:pPr>
        <w:adjustRightInd w:val="0"/>
        <w:snapToGrid w:val="0"/>
        <w:spacing w:line="360" w:lineRule="auto"/>
        <w:ind w:right="105" w:rightChars="50"/>
        <w:jc w:val="left"/>
        <w:rPr>
          <w:rFonts w:ascii="仿宋_GB2312" w:hAnsi="仿宋_GB2312" w:eastAsia="仿宋_GB2312" w:cs="仿宋_GB2312"/>
          <w:highlight w:val="none"/>
          <w:u w:val="single"/>
        </w:rPr>
      </w:pPr>
    </w:p>
    <w:p w14:paraId="4F0F8068">
      <w:pPr>
        <w:adjustRightInd w:val="0"/>
        <w:snapToGrid w:val="0"/>
        <w:spacing w:line="360" w:lineRule="auto"/>
        <w:ind w:right="105" w:rightChars="50"/>
        <w:jc w:val="left"/>
        <w:rPr>
          <w:rFonts w:ascii="仿宋_GB2312" w:hAnsi="仿宋_GB2312" w:eastAsia="仿宋_GB2312" w:cs="仿宋_GB2312"/>
          <w:highlight w:val="none"/>
          <w:u w:val="single"/>
        </w:rPr>
      </w:pPr>
    </w:p>
    <w:p w14:paraId="46588E7C">
      <w:pPr>
        <w:adjustRightInd w:val="0"/>
        <w:snapToGrid w:val="0"/>
        <w:spacing w:line="360" w:lineRule="auto"/>
        <w:ind w:right="105" w:rightChars="50"/>
        <w:jc w:val="left"/>
        <w:rPr>
          <w:rFonts w:ascii="仿宋_GB2312" w:hAnsi="仿宋_GB2312" w:eastAsia="仿宋_GB2312" w:cs="仿宋_GB2312"/>
          <w:highlight w:val="none"/>
          <w:u w:val="single"/>
        </w:rPr>
      </w:pPr>
    </w:p>
    <w:p w14:paraId="6ED75F3A">
      <w:pPr>
        <w:adjustRightInd w:val="0"/>
        <w:snapToGrid w:val="0"/>
        <w:spacing w:line="360" w:lineRule="auto"/>
        <w:ind w:right="105" w:rightChars="50"/>
        <w:jc w:val="left"/>
        <w:rPr>
          <w:rFonts w:ascii="仿宋_GB2312" w:hAnsi="仿宋_GB2312" w:eastAsia="仿宋_GB2312" w:cs="仿宋_GB2312"/>
          <w:highlight w:val="none"/>
          <w:u w:val="single"/>
        </w:rPr>
      </w:pPr>
    </w:p>
    <w:p w14:paraId="6246B438">
      <w:pPr>
        <w:adjustRightInd w:val="0"/>
        <w:snapToGrid w:val="0"/>
        <w:spacing w:line="360" w:lineRule="auto"/>
        <w:ind w:right="105" w:rightChars="50"/>
        <w:jc w:val="left"/>
        <w:rPr>
          <w:rFonts w:ascii="仿宋_GB2312" w:hAnsi="仿宋_GB2312" w:eastAsia="仿宋_GB2312" w:cs="仿宋_GB2312"/>
          <w:highlight w:val="none"/>
          <w:u w:val="single"/>
        </w:rPr>
      </w:pPr>
    </w:p>
    <w:p w14:paraId="026B6F0E">
      <w:pPr>
        <w:adjustRightInd w:val="0"/>
        <w:snapToGrid w:val="0"/>
        <w:spacing w:line="360" w:lineRule="auto"/>
        <w:ind w:right="105" w:rightChars="50"/>
        <w:jc w:val="left"/>
        <w:rPr>
          <w:rFonts w:ascii="仿宋_GB2312" w:hAnsi="仿宋_GB2312" w:eastAsia="仿宋_GB2312" w:cs="仿宋_GB2312"/>
          <w:highlight w:val="none"/>
          <w:u w:val="single"/>
        </w:rPr>
      </w:pPr>
    </w:p>
    <w:p w14:paraId="4A6E7279">
      <w:pPr>
        <w:adjustRightInd w:val="0"/>
        <w:snapToGrid w:val="0"/>
        <w:spacing w:line="360" w:lineRule="auto"/>
        <w:ind w:right="105" w:rightChars="50"/>
        <w:jc w:val="left"/>
        <w:rPr>
          <w:rFonts w:ascii="仿宋_GB2312" w:hAnsi="仿宋_GB2312" w:eastAsia="仿宋_GB2312" w:cs="仿宋_GB2312"/>
          <w:highlight w:val="none"/>
          <w:u w:val="single"/>
        </w:rPr>
      </w:pPr>
    </w:p>
    <w:p w14:paraId="514566C5">
      <w:pPr>
        <w:adjustRightInd w:val="0"/>
        <w:snapToGrid w:val="0"/>
        <w:spacing w:line="360" w:lineRule="auto"/>
        <w:ind w:right="105" w:rightChars="50"/>
        <w:jc w:val="left"/>
        <w:rPr>
          <w:rFonts w:ascii="仿宋_GB2312" w:hAnsi="仿宋_GB2312" w:eastAsia="仿宋_GB2312" w:cs="仿宋_GB2312"/>
          <w:highlight w:val="none"/>
          <w:u w:val="single"/>
        </w:rPr>
      </w:pPr>
    </w:p>
    <w:p w14:paraId="23D54FF7">
      <w:pPr>
        <w:adjustRightInd w:val="0"/>
        <w:snapToGrid w:val="0"/>
        <w:spacing w:line="360" w:lineRule="auto"/>
        <w:ind w:right="105" w:rightChars="50"/>
        <w:jc w:val="left"/>
        <w:rPr>
          <w:rFonts w:ascii="仿宋_GB2312" w:hAnsi="仿宋_GB2312" w:eastAsia="仿宋_GB2312" w:cs="仿宋_GB2312"/>
          <w:highlight w:val="none"/>
          <w:u w:val="single"/>
        </w:rPr>
      </w:pPr>
    </w:p>
    <w:p w14:paraId="53C03B28">
      <w:pPr>
        <w:adjustRightInd w:val="0"/>
        <w:snapToGrid w:val="0"/>
        <w:spacing w:line="360" w:lineRule="auto"/>
        <w:ind w:right="105" w:rightChars="50"/>
        <w:jc w:val="left"/>
        <w:rPr>
          <w:rFonts w:ascii="仿宋_GB2312" w:hAnsi="仿宋_GB2312" w:eastAsia="仿宋_GB2312" w:cs="仿宋_GB2312"/>
          <w:highlight w:val="none"/>
          <w:u w:val="single"/>
        </w:rPr>
      </w:pPr>
    </w:p>
    <w:p w14:paraId="73709ADA">
      <w:pPr>
        <w:pStyle w:val="3"/>
        <w:adjustRightInd w:val="0"/>
        <w:snapToGrid w:val="0"/>
        <w:spacing w:before="0" w:after="0" w:line="240" w:lineRule="auto"/>
        <w:jc w:val="left"/>
        <w:rPr>
          <w:rFonts w:ascii="仿宋_GB2312" w:hAnsi="仿宋_GB2312" w:eastAsia="仿宋_GB2312" w:cs="仿宋_GB2312"/>
          <w:szCs w:val="28"/>
          <w:highlight w:val="none"/>
          <w:lang w:val="en-US" w:eastAsia="zh-CN"/>
        </w:rPr>
      </w:pPr>
      <w:r>
        <w:rPr>
          <w:rFonts w:hint="eastAsia" w:ascii="仿宋_GB2312" w:hAnsi="仿宋_GB2312" w:eastAsia="仿宋_GB2312" w:cs="仿宋_GB2312"/>
          <w:szCs w:val="28"/>
          <w:highlight w:val="none"/>
        </w:rPr>
        <w:t>格式</w:t>
      </w:r>
      <w:r>
        <w:rPr>
          <w:rFonts w:hint="eastAsia" w:ascii="仿宋_GB2312" w:hAnsi="仿宋_GB2312" w:eastAsia="仿宋_GB2312" w:cs="仿宋_GB2312"/>
          <w:szCs w:val="28"/>
          <w:highlight w:val="none"/>
          <w:lang w:val="en-US" w:eastAsia="zh-CN"/>
        </w:rPr>
        <w:t>13</w:t>
      </w:r>
    </w:p>
    <w:p w14:paraId="6A0FF5EC">
      <w:pPr>
        <w:spacing w:before="319" w:beforeLines="100" w:after="319" w:afterLines="100" w:line="360" w:lineRule="auto"/>
        <w:ind w:right="-21" w:rightChars="-10"/>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电子投标文件与备份投标文件内容格式一致性承诺函</w:t>
      </w:r>
    </w:p>
    <w:p w14:paraId="0CBC5C90">
      <w:pPr>
        <w:pStyle w:val="11"/>
        <w:spacing w:line="360" w:lineRule="auto"/>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 </w:t>
      </w:r>
      <w:r>
        <w:rPr>
          <w:rFonts w:hint="eastAsia" w:ascii="仿宋_GB2312" w:hAnsi="仿宋_GB2312" w:eastAsia="仿宋_GB2312" w:cs="仿宋_GB2312"/>
          <w:b/>
          <w:highlight w:val="none"/>
          <w:u w:val="single"/>
        </w:rPr>
        <w:t>（采购人或采购代理机构名称）</w:t>
      </w:r>
      <w:r>
        <w:rPr>
          <w:rFonts w:hint="eastAsia" w:ascii="仿宋_GB2312" w:hAnsi="仿宋_GB2312" w:eastAsia="仿宋_GB2312" w:cs="仿宋_GB2312"/>
          <w:highlight w:val="none"/>
        </w:rPr>
        <w:t>：</w:t>
      </w:r>
    </w:p>
    <w:p w14:paraId="19F2E470">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我公司郑重承诺，根据辽财采【2020】298号文件要求，我司提交的“</w:t>
      </w:r>
      <w:r>
        <w:rPr>
          <w:rFonts w:hint="eastAsia" w:ascii="仿宋_GB2312" w:hAnsi="仿宋_GB2312" w:eastAsia="仿宋_GB2312" w:cs="仿宋_GB2312"/>
          <w:szCs w:val="21"/>
          <w:highlight w:val="none"/>
          <w:u w:val="single"/>
        </w:rPr>
        <w:t xml:space="preserve">（项目编号）    </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（项目名称）   ”</w:t>
      </w:r>
      <w:r>
        <w:rPr>
          <w:rFonts w:hint="eastAsia" w:ascii="仿宋_GB2312" w:hAnsi="仿宋_GB2312" w:eastAsia="仿宋_GB2312" w:cs="仿宋_GB2312"/>
          <w:szCs w:val="21"/>
          <w:highlight w:val="none"/>
        </w:rPr>
        <w:t>项目电子投标文件与备份投标文件内容格式完全一致；如出现电子投标文件与备份投标文件内容格式不一致情形，我公司愿承担由此产生的一切不利后果，包括但不限于被认定为投标无效、中标无效。</w:t>
      </w:r>
    </w:p>
    <w:p w14:paraId="79A5DAEE">
      <w:pPr>
        <w:adjustRightInd w:val="0"/>
        <w:snapToGrid w:val="0"/>
        <w:spacing w:line="360" w:lineRule="auto"/>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特此承诺。</w:t>
      </w:r>
    </w:p>
    <w:p w14:paraId="74E7FCC9">
      <w:pPr>
        <w:adjustRightInd w:val="0"/>
        <w:snapToGrid w:val="0"/>
        <w:spacing w:line="360" w:lineRule="auto"/>
        <w:ind w:right="-21" w:rightChars="-1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w:t>
      </w:r>
    </w:p>
    <w:p w14:paraId="7D1F1EC3">
      <w:pPr>
        <w:adjustRightInd w:val="0"/>
        <w:snapToGrid w:val="0"/>
        <w:spacing w:line="360" w:lineRule="auto"/>
        <w:ind w:right="-21" w:rightChars="-10"/>
        <w:rPr>
          <w:rFonts w:hint="eastAsia" w:ascii="仿宋_GB2312" w:hAnsi="仿宋_GB2312" w:eastAsia="仿宋_GB2312" w:cs="仿宋_GB2312"/>
          <w:szCs w:val="21"/>
          <w:highlight w:val="none"/>
        </w:rPr>
      </w:pPr>
    </w:p>
    <w:p w14:paraId="14D78FC7">
      <w:pPr>
        <w:adjustRightInd w:val="0"/>
        <w:snapToGrid w:val="0"/>
        <w:spacing w:line="360" w:lineRule="auto"/>
        <w:ind w:right="-21" w:rightChars="-10"/>
        <w:rPr>
          <w:rFonts w:hint="eastAsia" w:ascii="仿宋_GB2312" w:hAnsi="仿宋_GB2312" w:eastAsia="仿宋_GB2312" w:cs="仿宋_GB2312"/>
          <w:szCs w:val="21"/>
          <w:highlight w:val="none"/>
        </w:rPr>
      </w:pPr>
    </w:p>
    <w:p w14:paraId="62039D1C">
      <w:pPr>
        <w:adjustRightInd w:val="0"/>
        <w:snapToGrid w:val="0"/>
        <w:spacing w:line="360" w:lineRule="auto"/>
        <w:ind w:right="-21" w:rightChars="-10"/>
        <w:rPr>
          <w:rFonts w:hint="eastAsia" w:ascii="仿宋_GB2312" w:hAnsi="仿宋_GB2312" w:eastAsia="仿宋_GB2312" w:cs="仿宋_GB2312"/>
          <w:szCs w:val="21"/>
          <w:highlight w:val="none"/>
        </w:rPr>
      </w:pPr>
    </w:p>
    <w:p w14:paraId="082D0FAA">
      <w:pPr>
        <w:adjustRightInd w:val="0"/>
        <w:snapToGrid w:val="0"/>
        <w:spacing w:line="360" w:lineRule="auto"/>
        <w:ind w:right="-21" w:rightChars="-10"/>
        <w:rPr>
          <w:rFonts w:hint="eastAsia" w:ascii="仿宋_GB2312" w:hAnsi="仿宋_GB2312" w:eastAsia="仿宋_GB2312" w:cs="仿宋_GB2312"/>
          <w:szCs w:val="21"/>
          <w:highlight w:val="none"/>
        </w:rPr>
      </w:pPr>
    </w:p>
    <w:p w14:paraId="4CA4E06B">
      <w:pPr>
        <w:adjustRightInd w:val="0"/>
        <w:snapToGrid w:val="0"/>
        <w:spacing w:line="360" w:lineRule="auto"/>
        <w:ind w:right="-21" w:rightChars="-10"/>
        <w:rPr>
          <w:rFonts w:hint="eastAsia" w:ascii="仿宋_GB2312" w:hAnsi="仿宋_GB2312" w:eastAsia="仿宋_GB2312" w:cs="仿宋_GB2312"/>
          <w:szCs w:val="21"/>
          <w:highlight w:val="none"/>
        </w:rPr>
      </w:pPr>
    </w:p>
    <w:p w14:paraId="3786991A">
      <w:pPr>
        <w:adjustRightInd w:val="0"/>
        <w:snapToGrid w:val="0"/>
        <w:spacing w:line="360" w:lineRule="auto"/>
        <w:ind w:right="-21" w:rightChars="-10"/>
        <w:rPr>
          <w:rFonts w:hint="eastAsia" w:ascii="仿宋_GB2312" w:hAnsi="仿宋_GB2312" w:eastAsia="仿宋_GB2312" w:cs="仿宋_GB2312"/>
          <w:szCs w:val="21"/>
          <w:highlight w:val="none"/>
        </w:rPr>
      </w:pPr>
    </w:p>
    <w:p w14:paraId="452F81DD">
      <w:pPr>
        <w:adjustRightInd w:val="0"/>
        <w:snapToGrid w:val="0"/>
        <w:spacing w:line="360" w:lineRule="auto"/>
        <w:ind w:right="-21" w:rightChars="-10"/>
        <w:rPr>
          <w:rFonts w:hint="eastAsia" w:ascii="仿宋_GB2312" w:hAnsi="仿宋_GB2312" w:eastAsia="仿宋_GB2312" w:cs="仿宋_GB2312"/>
          <w:szCs w:val="21"/>
          <w:highlight w:val="none"/>
        </w:rPr>
      </w:pPr>
    </w:p>
    <w:p w14:paraId="12E44D19">
      <w:pPr>
        <w:adjustRightInd w:val="0"/>
        <w:snapToGrid w:val="0"/>
        <w:spacing w:line="360" w:lineRule="auto"/>
        <w:ind w:right="-21" w:rightChars="-10"/>
        <w:rPr>
          <w:rFonts w:hint="eastAsia" w:ascii="仿宋_GB2312" w:hAnsi="仿宋_GB2312" w:eastAsia="仿宋_GB2312" w:cs="仿宋_GB2312"/>
          <w:szCs w:val="21"/>
          <w:highlight w:val="none"/>
        </w:rPr>
      </w:pPr>
    </w:p>
    <w:p w14:paraId="57B42122">
      <w:pPr>
        <w:adjustRightInd w:val="0"/>
        <w:snapToGrid w:val="0"/>
        <w:spacing w:line="360" w:lineRule="auto"/>
        <w:ind w:right="-21" w:rightChars="-10"/>
        <w:rPr>
          <w:rFonts w:hint="eastAsia" w:ascii="仿宋_GB2312" w:hAnsi="仿宋_GB2312" w:eastAsia="仿宋_GB2312" w:cs="仿宋_GB2312"/>
          <w:szCs w:val="21"/>
          <w:highlight w:val="none"/>
        </w:rPr>
      </w:pPr>
    </w:p>
    <w:p w14:paraId="0EDC7D63">
      <w:pPr>
        <w:adjustRightInd w:val="0"/>
        <w:snapToGrid w:val="0"/>
        <w:spacing w:line="360" w:lineRule="auto"/>
        <w:ind w:right="-21" w:rightChars="-10"/>
        <w:rPr>
          <w:rFonts w:hint="eastAsia" w:ascii="仿宋_GB2312" w:hAnsi="仿宋_GB2312" w:eastAsia="仿宋_GB2312" w:cs="仿宋_GB2312"/>
          <w:szCs w:val="21"/>
          <w:highlight w:val="none"/>
        </w:rPr>
      </w:pPr>
    </w:p>
    <w:p w14:paraId="6E02D2B6">
      <w:pPr>
        <w:adjustRightInd w:val="0"/>
        <w:snapToGrid w:val="0"/>
        <w:spacing w:line="360" w:lineRule="auto"/>
        <w:ind w:right="-21" w:rightChars="-10"/>
        <w:rPr>
          <w:rFonts w:hint="eastAsia" w:ascii="仿宋_GB2312" w:hAnsi="仿宋_GB2312" w:eastAsia="仿宋_GB2312" w:cs="仿宋_GB2312"/>
          <w:szCs w:val="21"/>
          <w:highlight w:val="none"/>
        </w:rPr>
      </w:pPr>
    </w:p>
    <w:p w14:paraId="440AB6B9">
      <w:pPr>
        <w:adjustRightInd w:val="0"/>
        <w:snapToGrid w:val="0"/>
        <w:spacing w:line="360" w:lineRule="auto"/>
        <w:ind w:right="-21" w:rightChars="-10"/>
        <w:rPr>
          <w:rFonts w:hint="eastAsia" w:ascii="仿宋_GB2312" w:hAnsi="仿宋_GB2312" w:eastAsia="仿宋_GB2312" w:cs="仿宋_GB2312"/>
          <w:szCs w:val="21"/>
          <w:highlight w:val="none"/>
        </w:rPr>
      </w:pPr>
    </w:p>
    <w:p w14:paraId="59C65153">
      <w:pPr>
        <w:adjustRightInd w:val="0"/>
        <w:snapToGrid w:val="0"/>
        <w:spacing w:line="360" w:lineRule="auto"/>
        <w:ind w:right="-21" w:rightChars="-10"/>
        <w:rPr>
          <w:rFonts w:hint="eastAsia" w:ascii="仿宋_GB2312" w:hAnsi="仿宋_GB2312" w:eastAsia="仿宋_GB2312" w:cs="仿宋_GB2312"/>
          <w:szCs w:val="21"/>
          <w:highlight w:val="none"/>
        </w:rPr>
      </w:pPr>
    </w:p>
    <w:p w14:paraId="1ACBC975">
      <w:pPr>
        <w:spacing w:line="48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70ADA58E">
      <w:pPr>
        <w:spacing w:line="48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法定代表人（或非法人组织负责人）或其委托代理人(签字或盖章)：</w:t>
      </w:r>
      <w:r>
        <w:rPr>
          <w:rFonts w:hint="eastAsia" w:ascii="仿宋_GB2312" w:hAnsi="仿宋_GB2312" w:eastAsia="仿宋_GB2312" w:cs="仿宋_GB2312"/>
          <w:szCs w:val="21"/>
          <w:highlight w:val="none"/>
          <w:u w:val="single"/>
        </w:rPr>
        <w:t xml:space="preserve">           </w:t>
      </w:r>
    </w:p>
    <w:p w14:paraId="0CFEBD1B">
      <w:pPr>
        <w:spacing w:line="480" w:lineRule="auto"/>
        <w:rPr>
          <w:rFonts w:hint="eastAsia" w:ascii="仿宋_GB2312" w:hAnsi="仿宋_GB2312" w:eastAsia="仿宋_GB2312" w:cs="仿宋_GB2312"/>
          <w:szCs w:val="28"/>
          <w:highlight w:val="none"/>
        </w:rPr>
      </w:pPr>
      <w:r>
        <w:rPr>
          <w:rFonts w:hint="eastAsia" w:ascii="仿宋_GB2312" w:hAnsi="仿宋_GB2312" w:eastAsia="仿宋_GB2312" w:cs="仿宋_GB2312"/>
          <w:szCs w:val="21"/>
          <w:highlight w:val="none"/>
        </w:rPr>
        <w:t>日期：</w:t>
      </w:r>
      <w:r>
        <w:rPr>
          <w:rFonts w:hint="eastAsia" w:ascii="仿宋_GB2312" w:hAnsi="仿宋_GB2312" w:eastAsia="仿宋_GB2312" w:cs="仿宋_GB2312"/>
          <w:szCs w:val="21"/>
          <w:highlight w:val="none"/>
          <w:u w:val="single"/>
        </w:rPr>
        <w:t xml:space="preserve">                </w:t>
      </w:r>
    </w:p>
    <w:p w14:paraId="27702049">
      <w:pPr>
        <w:adjustRightInd w:val="0"/>
        <w:snapToGrid w:val="0"/>
        <w:spacing w:line="360" w:lineRule="auto"/>
        <w:ind w:right="105" w:rightChars="50" w:firstLine="476" w:firstLineChars="227"/>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3F686C28">
      <w:pPr>
        <w:pStyle w:val="3"/>
        <w:adjustRightInd w:val="0"/>
        <w:snapToGrid w:val="0"/>
        <w:spacing w:before="0" w:after="0" w:line="240" w:lineRule="auto"/>
        <w:jc w:val="left"/>
        <w:rPr>
          <w:rFonts w:ascii="仿宋_GB2312" w:hAnsi="仿宋_GB2312" w:eastAsia="仿宋_GB2312" w:cs="仿宋_GB2312"/>
          <w:szCs w:val="28"/>
          <w:highlight w:val="none"/>
          <w:lang w:val="en-US" w:eastAsia="zh-CN"/>
        </w:rPr>
      </w:pPr>
      <w:r>
        <w:rPr>
          <w:rFonts w:hint="eastAsia" w:ascii="仿宋_GB2312" w:hAnsi="仿宋_GB2312" w:eastAsia="仿宋_GB2312" w:cs="仿宋_GB2312"/>
          <w:szCs w:val="28"/>
          <w:highlight w:val="none"/>
        </w:rPr>
        <w:t>格式</w:t>
      </w:r>
      <w:r>
        <w:rPr>
          <w:rFonts w:hint="eastAsia" w:ascii="仿宋_GB2312" w:hAnsi="仿宋_GB2312" w:eastAsia="仿宋_GB2312" w:cs="仿宋_GB2312"/>
          <w:szCs w:val="28"/>
          <w:highlight w:val="none"/>
          <w:lang w:val="en-US" w:eastAsia="zh-CN"/>
        </w:rPr>
        <w:t>14</w:t>
      </w:r>
    </w:p>
    <w:p w14:paraId="4DBE7A56">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sz w:val="32"/>
          <w:szCs w:val="32"/>
          <w:highlight w:val="none"/>
        </w:rPr>
      </w:pPr>
      <w:bookmarkStart w:id="118" w:name="_Toc19164_WPSOffice_Level2"/>
      <w:bookmarkStart w:id="119" w:name="_Toc4541_WPSOffice_Level2"/>
      <w:r>
        <w:rPr>
          <w:rFonts w:hint="eastAsia" w:ascii="仿宋_GB2312" w:hAnsi="仿宋_GB2312" w:eastAsia="仿宋_GB2312" w:cs="仿宋_GB2312"/>
          <w:b/>
          <w:bCs/>
          <w:sz w:val="32"/>
          <w:szCs w:val="32"/>
          <w:highlight w:val="none"/>
        </w:rPr>
        <w:t>中小企业声明函</w:t>
      </w:r>
      <w:bookmarkEnd w:id="118"/>
      <w:bookmarkEnd w:id="119"/>
      <w:r>
        <w:rPr>
          <w:rFonts w:hint="eastAsia" w:ascii="仿宋_GB2312" w:hAnsi="仿宋_GB2312" w:eastAsia="仿宋_GB2312" w:cs="仿宋_GB2312"/>
          <w:b/>
          <w:bCs/>
          <w:sz w:val="32"/>
          <w:szCs w:val="32"/>
          <w:highlight w:val="none"/>
        </w:rPr>
        <w:t>（服务）</w:t>
      </w:r>
    </w:p>
    <w:p w14:paraId="6B97BDD3">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本公司（联合体）郑重声明，根据《政府采购促进中小企业发展管理办法》（财库[2020]46号）的规定，本公司（联合体）参加</w:t>
      </w:r>
      <w:r>
        <w:rPr>
          <w:rFonts w:hint="eastAsia" w:ascii="仿宋_GB2312" w:hAnsi="仿宋_GB2312" w:eastAsia="仿宋_GB2312" w:cs="仿宋_GB2312"/>
          <w:i/>
          <w:iCs/>
          <w:kern w:val="0"/>
          <w:szCs w:val="21"/>
          <w:highlight w:val="none"/>
          <w:u w:val="single"/>
        </w:rPr>
        <w:t>（</w:t>
      </w:r>
      <w:r>
        <w:rPr>
          <w:rFonts w:hint="eastAsia" w:ascii="仿宋_GB2312" w:hAnsi="仿宋_GB2312" w:eastAsia="仿宋_GB2312" w:cs="仿宋_GB2312"/>
          <w:i/>
          <w:iCs/>
          <w:kern w:val="0"/>
          <w:szCs w:val="21"/>
          <w:highlight w:val="none"/>
          <w:u w:val="single"/>
          <w:lang w:eastAsia="zh-CN"/>
        </w:rPr>
        <w:t>沈阳市第一0七中学</w:t>
      </w:r>
      <w:r>
        <w:rPr>
          <w:rFonts w:hint="eastAsia" w:ascii="仿宋_GB2312" w:hAnsi="仿宋_GB2312" w:eastAsia="仿宋_GB2312" w:cs="仿宋_GB2312"/>
          <w:i/>
          <w:iCs/>
          <w:kern w:val="0"/>
          <w:szCs w:val="21"/>
          <w:highlight w:val="none"/>
          <w:u w:val="single"/>
        </w:rPr>
        <w:t>）</w:t>
      </w:r>
      <w:r>
        <w:rPr>
          <w:rFonts w:hint="eastAsia" w:ascii="仿宋_GB2312" w:hAnsi="仿宋_GB2312" w:eastAsia="仿宋_GB2312" w:cs="仿宋_GB2312"/>
          <w:kern w:val="0"/>
          <w:szCs w:val="21"/>
          <w:highlight w:val="none"/>
        </w:rPr>
        <w:t>的</w:t>
      </w:r>
      <w:r>
        <w:rPr>
          <w:rFonts w:hint="eastAsia" w:ascii="仿宋_GB2312" w:hAnsi="仿宋_GB2312" w:eastAsia="仿宋_GB2312" w:cs="仿宋_GB2312"/>
          <w:i/>
          <w:iCs/>
          <w:kern w:val="0"/>
          <w:szCs w:val="21"/>
          <w:highlight w:val="none"/>
          <w:u w:val="single"/>
        </w:rPr>
        <w:t>（</w:t>
      </w:r>
      <w:r>
        <w:rPr>
          <w:rFonts w:hint="eastAsia" w:ascii="仿宋_GB2312" w:hAnsi="仿宋_GB2312" w:eastAsia="仿宋_GB2312" w:cs="仿宋_GB2312"/>
          <w:i/>
          <w:iCs/>
          <w:kern w:val="0"/>
          <w:szCs w:val="21"/>
          <w:highlight w:val="none"/>
          <w:u w:val="single"/>
          <w:lang w:eastAsia="zh-CN"/>
        </w:rPr>
        <w:t>沈阳市第一0七中学购买师生餐饮服务</w:t>
      </w:r>
      <w:r>
        <w:rPr>
          <w:rFonts w:hint="eastAsia" w:ascii="仿宋_GB2312" w:hAnsi="仿宋_GB2312" w:eastAsia="仿宋_GB2312" w:cs="仿宋_GB2312"/>
          <w:i/>
          <w:iCs/>
          <w:kern w:val="0"/>
          <w:szCs w:val="21"/>
          <w:highlight w:val="none"/>
          <w:u w:val="single"/>
        </w:rPr>
        <w:t xml:space="preserve">） </w:t>
      </w:r>
      <w:r>
        <w:rPr>
          <w:rFonts w:hint="eastAsia" w:ascii="仿宋_GB2312" w:hAnsi="仿宋_GB2312" w:eastAsia="仿宋_GB2312" w:cs="仿宋_GB2312"/>
          <w:kern w:val="0"/>
          <w:szCs w:val="21"/>
          <w:highlight w:val="none"/>
        </w:rPr>
        <w:t>采购活动，服务全部由符合政策要求的中小企业承接。相关企业（含联合体中的中小企业、签订分包意向协议的中小企业）的具体情况如下：</w:t>
      </w:r>
    </w:p>
    <w:p w14:paraId="0DE4C6BA">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r>
        <w:rPr>
          <w:rFonts w:hint="eastAsia" w:ascii="仿宋_GB2312" w:hAnsi="仿宋_GB2312" w:eastAsia="仿宋_GB2312" w:cs="仿宋_GB2312"/>
          <w:i/>
          <w:iCs/>
          <w:kern w:val="0"/>
          <w:szCs w:val="21"/>
          <w:highlight w:val="none"/>
          <w:u w:val="single"/>
        </w:rPr>
        <w:t>（</w:t>
      </w:r>
      <w:r>
        <w:rPr>
          <w:rFonts w:hint="eastAsia" w:ascii="仿宋_GB2312" w:hAnsi="仿宋_GB2312" w:eastAsia="仿宋_GB2312" w:cs="仿宋_GB2312"/>
          <w:i/>
          <w:iCs/>
          <w:kern w:val="0"/>
          <w:szCs w:val="21"/>
          <w:highlight w:val="none"/>
          <w:u w:val="single"/>
          <w:lang w:eastAsia="zh-CN"/>
        </w:rPr>
        <w:t>沈阳市第一0七中学购买师生餐饮服务</w:t>
      </w:r>
      <w:r>
        <w:rPr>
          <w:rFonts w:hint="eastAsia" w:ascii="仿宋_GB2312" w:hAnsi="仿宋_GB2312" w:eastAsia="仿宋_GB2312" w:cs="仿宋_GB2312"/>
          <w:i/>
          <w:iCs/>
          <w:kern w:val="0"/>
          <w:szCs w:val="21"/>
          <w:highlight w:val="none"/>
          <w:u w:val="single"/>
        </w:rPr>
        <w:t>）</w:t>
      </w:r>
      <w:r>
        <w:rPr>
          <w:rFonts w:hint="eastAsia" w:ascii="仿宋_GB2312" w:hAnsi="仿宋_GB2312" w:eastAsia="仿宋_GB2312" w:cs="仿宋_GB2312"/>
          <w:kern w:val="0"/>
          <w:szCs w:val="21"/>
          <w:highlight w:val="none"/>
        </w:rPr>
        <w:t>，属于</w:t>
      </w:r>
      <w:r>
        <w:rPr>
          <w:rFonts w:hint="eastAsia" w:ascii="仿宋_GB2312" w:hAnsi="仿宋_GB2312" w:eastAsia="仿宋_GB2312" w:cs="仿宋_GB2312"/>
          <w:i/>
          <w:iCs/>
          <w:kern w:val="0"/>
          <w:szCs w:val="21"/>
          <w:highlight w:val="none"/>
          <w:u w:val="single"/>
        </w:rPr>
        <w:t>（餐饮业）行业</w:t>
      </w:r>
      <w:r>
        <w:rPr>
          <w:rFonts w:hint="eastAsia" w:ascii="仿宋_GB2312" w:hAnsi="仿宋_GB2312" w:eastAsia="仿宋_GB2312" w:cs="仿宋_GB2312"/>
          <w:kern w:val="0"/>
          <w:szCs w:val="21"/>
          <w:highlight w:val="none"/>
        </w:rPr>
        <w:t>；承接企业为</w:t>
      </w:r>
      <w:r>
        <w:rPr>
          <w:rFonts w:hint="eastAsia" w:ascii="仿宋_GB2312" w:hAnsi="仿宋_GB2312" w:eastAsia="仿宋_GB2312" w:cs="仿宋_GB2312"/>
          <w:i/>
          <w:iCs/>
          <w:kern w:val="0"/>
          <w:szCs w:val="21"/>
          <w:highlight w:val="none"/>
          <w:u w:val="single"/>
        </w:rPr>
        <w:t>（企业名称）</w:t>
      </w:r>
      <w:r>
        <w:rPr>
          <w:rFonts w:hint="eastAsia" w:ascii="仿宋_GB2312" w:hAnsi="仿宋_GB2312" w:eastAsia="仿宋_GB2312" w:cs="仿宋_GB2312"/>
          <w:kern w:val="0"/>
          <w:szCs w:val="21"/>
          <w:highlight w:val="none"/>
        </w:rPr>
        <w:t>，从业人员</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人，营业收入为</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万元，资产总额为</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万元</w:t>
      </w:r>
      <w:r>
        <w:rPr>
          <w:rFonts w:hint="eastAsia" w:ascii="仿宋_GB2312" w:hAnsi="仿宋_GB2312" w:eastAsia="仿宋_GB2312" w:cs="仿宋_GB2312"/>
          <w:kern w:val="0"/>
          <w:szCs w:val="21"/>
          <w:highlight w:val="none"/>
          <w:vertAlign w:val="superscript"/>
        </w:rPr>
        <w:t>1</w:t>
      </w:r>
      <w:r>
        <w:rPr>
          <w:rFonts w:hint="eastAsia" w:ascii="仿宋_GB2312" w:hAnsi="仿宋_GB2312" w:eastAsia="仿宋_GB2312" w:cs="仿宋_GB2312"/>
          <w:kern w:val="0"/>
          <w:szCs w:val="21"/>
          <w:highlight w:val="none"/>
        </w:rPr>
        <w:t>，属于</w:t>
      </w:r>
      <w:r>
        <w:rPr>
          <w:rFonts w:hint="eastAsia" w:ascii="仿宋_GB2312" w:hAnsi="仿宋_GB2312" w:eastAsia="仿宋_GB2312" w:cs="仿宋_GB2312"/>
          <w:i/>
          <w:iCs/>
          <w:kern w:val="0"/>
          <w:szCs w:val="21"/>
          <w:highlight w:val="none"/>
          <w:u w:val="single"/>
        </w:rPr>
        <w:t>（中型企业、小型企业、微型企业）</w:t>
      </w:r>
      <w:r>
        <w:rPr>
          <w:rFonts w:hint="eastAsia" w:ascii="仿宋_GB2312" w:hAnsi="仿宋_GB2312" w:eastAsia="仿宋_GB2312" w:cs="仿宋_GB2312"/>
          <w:kern w:val="0"/>
          <w:szCs w:val="21"/>
          <w:highlight w:val="none"/>
        </w:rPr>
        <w:t>；</w:t>
      </w:r>
    </w:p>
    <w:p w14:paraId="61F8201C">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w:t>
      </w:r>
    </w:p>
    <w:p w14:paraId="0DECCC37">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以上企业，不属于大企业的分支机构，不存在控股股东为大企业的情形，也不存在与大企业的负责人为同一人的情形。</w:t>
      </w:r>
    </w:p>
    <w:p w14:paraId="7B3A972B">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本企业对上述声明内容的真实性负责。如有虚假，将依法承担相应责任。</w:t>
      </w:r>
    </w:p>
    <w:p w14:paraId="6065AEC3">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p>
    <w:p w14:paraId="4CB695FF">
      <w:pPr>
        <w:adjustRightInd w:val="0"/>
        <w:snapToGrid w:val="0"/>
        <w:spacing w:line="480" w:lineRule="auto"/>
        <w:ind w:right="105" w:rightChars="50" w:firstLine="4830" w:firstLineChars="2300"/>
        <w:jc w:val="left"/>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企业名称（盖章）：</w:t>
      </w:r>
      <w:r>
        <w:rPr>
          <w:rFonts w:hint="eastAsia" w:ascii="仿宋_GB2312" w:hAnsi="仿宋_GB2312" w:eastAsia="仿宋_GB2312" w:cs="仿宋_GB2312"/>
          <w:kern w:val="0"/>
          <w:szCs w:val="21"/>
          <w:highlight w:val="none"/>
          <w:u w:val="single"/>
        </w:rPr>
        <w:t xml:space="preserve">            </w:t>
      </w:r>
    </w:p>
    <w:p w14:paraId="6B0E170E">
      <w:pPr>
        <w:adjustRightInd w:val="0"/>
        <w:snapToGrid w:val="0"/>
        <w:spacing w:line="480" w:lineRule="auto"/>
        <w:ind w:right="105" w:rightChars="50" w:firstLine="4830" w:firstLineChars="230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日 期：</w:t>
      </w:r>
      <w:r>
        <w:rPr>
          <w:rFonts w:hint="eastAsia" w:ascii="仿宋_GB2312" w:hAnsi="仿宋_GB2312" w:eastAsia="仿宋_GB2312" w:cs="仿宋_GB2312"/>
          <w:kern w:val="0"/>
          <w:szCs w:val="21"/>
          <w:highlight w:val="none"/>
          <w:u w:val="single"/>
        </w:rPr>
        <w:t xml:space="preserve">                       </w:t>
      </w:r>
    </w:p>
    <w:p w14:paraId="31CC2947">
      <w:pPr>
        <w:adjustRightInd w:val="0"/>
        <w:snapToGrid w:val="0"/>
        <w:spacing w:line="480" w:lineRule="auto"/>
        <w:ind w:right="105" w:rightChars="50"/>
        <w:jc w:val="left"/>
        <w:rPr>
          <w:rFonts w:ascii="仿宋_GB2312" w:hAnsi="仿宋_GB2312" w:eastAsia="仿宋_GB2312" w:cs="仿宋_GB2312"/>
          <w:szCs w:val="21"/>
          <w:highlight w:val="none"/>
          <w:u w:val="single"/>
        </w:rPr>
      </w:pPr>
      <w:r>
        <w:rPr>
          <w:rFonts w:hint="eastAsia" w:ascii="仿宋_GB2312" w:hAnsi="仿宋_GB2312" w:eastAsia="仿宋_GB2312" w:cs="仿宋_GB2312"/>
          <w:kern w:val="0"/>
          <w:szCs w:val="21"/>
          <w:highlight w:val="none"/>
        </w:rPr>
        <w:t xml:space="preserve">             </w:t>
      </w:r>
    </w:p>
    <w:p w14:paraId="0455C9B7">
      <w:pPr>
        <w:adjustRightInd w:val="0"/>
        <w:snapToGrid w:val="0"/>
        <w:spacing w:line="480" w:lineRule="auto"/>
        <w:ind w:right="105" w:rightChars="50"/>
        <w:jc w:val="left"/>
        <w:rPr>
          <w:rFonts w:ascii="仿宋_GB2312" w:hAnsi="仿宋_GB2312" w:eastAsia="仿宋_GB2312" w:cs="仿宋_GB2312"/>
          <w:szCs w:val="21"/>
          <w:highlight w:val="none"/>
        </w:rPr>
      </w:pPr>
      <w:r>
        <w:rPr>
          <w:rFonts w:hint="eastAsia" w:ascii="仿宋_GB2312" w:hAnsi="仿宋_GB2312" w:eastAsia="仿宋_GB2312" w:cs="仿宋_GB2312"/>
          <w:sz w:val="18"/>
          <w:szCs w:val="18"/>
          <w:highlight w:val="none"/>
          <w:vertAlign w:val="superscript"/>
        </w:rPr>
        <w:t>1</w:t>
      </w:r>
      <w:r>
        <w:rPr>
          <w:rFonts w:hint="eastAsia" w:ascii="仿宋_GB2312" w:hAnsi="仿宋_GB2312" w:eastAsia="仿宋_GB2312" w:cs="仿宋_GB2312"/>
          <w:sz w:val="18"/>
          <w:szCs w:val="18"/>
          <w:highlight w:val="none"/>
        </w:rPr>
        <w:t>从业人员、营业收入、资产总额填报上一年度数据，无上一年度数据的新成立企业可不填报。</w:t>
      </w:r>
    </w:p>
    <w:p w14:paraId="5ADF916D">
      <w:pPr>
        <w:adjustRightInd w:val="0"/>
        <w:snapToGrid w:val="0"/>
        <w:spacing w:line="360" w:lineRule="auto"/>
        <w:ind w:firstLine="420" w:firstLineChars="200"/>
        <w:jc w:val="left"/>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注：“采购文件中明确的所属行业”是指采购标的对应的中小企业划分标准所属行业，本项目中小企业划分标准所属行业为：</w:t>
      </w:r>
      <w:r>
        <w:rPr>
          <w:rFonts w:hint="eastAsia" w:ascii="仿宋_GB2312" w:hAnsi="仿宋_GB2312" w:eastAsia="仿宋_GB2312" w:cs="仿宋_GB2312"/>
          <w:bCs/>
          <w:szCs w:val="21"/>
          <w:highlight w:val="none"/>
          <w:u w:val="single"/>
        </w:rPr>
        <w:t xml:space="preserve"> 餐饮业</w:t>
      </w:r>
      <w:r>
        <w:rPr>
          <w:rFonts w:hint="eastAsia" w:ascii="仿宋" w:hAnsi="仿宋" w:cs="仿宋"/>
          <w:szCs w:val="21"/>
          <w:highlight w:val="none"/>
          <w:u w:val="single"/>
        </w:rPr>
        <w:t xml:space="preserve"> </w:t>
      </w:r>
      <w:r>
        <w:rPr>
          <w:rFonts w:hint="eastAsia" w:ascii="仿宋_GB2312" w:hAnsi="仿宋_GB2312" w:eastAsia="仿宋_GB2312" w:cs="仿宋_GB2312"/>
          <w:bCs/>
          <w:szCs w:val="21"/>
          <w:highlight w:val="none"/>
        </w:rPr>
        <w:t>。</w:t>
      </w:r>
    </w:p>
    <w:p w14:paraId="197E6A90">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投标人应根据《中小企业划型标准规定（工信部联企业〔2011〕300号）》中相应所属行业划型标准的具体规定，确定企业类型。</w:t>
      </w:r>
    </w:p>
    <w:p w14:paraId="56D520C5">
      <w:pPr>
        <w:widowControl/>
        <w:shd w:val="clear" w:color="auto" w:fill="FFFFFF"/>
        <w:spacing w:before="159" w:beforeLines="50" w:line="312" w:lineRule="auto"/>
        <w:ind w:firstLine="480" w:firstLineChars="200"/>
        <w:jc w:val="left"/>
        <w:rPr>
          <w:rFonts w:ascii="仿宋" w:hAnsi="仿宋" w:cs="Helvetica"/>
          <w:kern w:val="0"/>
          <w:sz w:val="24"/>
          <w:highlight w:val="none"/>
        </w:rPr>
      </w:pPr>
      <w:r>
        <w:rPr>
          <w:rFonts w:hint="eastAsia" w:ascii="仿宋" w:hAnsi="仿宋" w:cs="Helvetica"/>
          <w:b/>
          <w:kern w:val="0"/>
          <w:sz w:val="24"/>
          <w:highlight w:val="none"/>
        </w:rPr>
        <w:t>（十）餐饮业。</w:t>
      </w:r>
      <w:r>
        <w:rPr>
          <w:rFonts w:hint="eastAsia" w:ascii="仿宋" w:hAnsi="仿宋" w:cs="Helvetica"/>
          <w:kern w:val="0"/>
          <w:sz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CF8BB6">
      <w:pPr>
        <w:adjustRightInd w:val="0"/>
        <w:snapToGrid w:val="0"/>
        <w:spacing w:line="360" w:lineRule="auto"/>
        <w:jc w:val="left"/>
        <w:rPr>
          <w:rFonts w:hint="eastAsia"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p>
    <w:p w14:paraId="6863F0F4">
      <w:pPr>
        <w:adjustRightInd w:val="0"/>
        <w:snapToGrid w:val="0"/>
        <w:spacing w:line="360" w:lineRule="auto"/>
        <w:jc w:val="left"/>
        <w:outlineLvl w:val="1"/>
        <w:rPr>
          <w:rFonts w:ascii="仿宋_GB2312" w:hAnsi="仿宋_GB2312" w:eastAsia="仿宋_GB2312" w:cs="仿宋_GB2312"/>
          <w:szCs w:val="28"/>
          <w:highlight w:val="none"/>
        </w:rPr>
      </w:pPr>
      <w:r>
        <w:rPr>
          <w:rFonts w:hint="eastAsia" w:ascii="仿宋_GB2312" w:hAnsi="仿宋_GB2312" w:eastAsia="仿宋_GB2312" w:cs="仿宋_GB2312"/>
          <w:b/>
          <w:sz w:val="28"/>
          <w:szCs w:val="28"/>
          <w:highlight w:val="none"/>
        </w:rPr>
        <w:t>格式15</w:t>
      </w:r>
    </w:p>
    <w:p w14:paraId="1354190B">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bookmarkStart w:id="120" w:name="_Toc29880_WPSOffice_Level2"/>
      <w:bookmarkStart w:id="121" w:name="_Toc13566_WPSOffice_Level2"/>
      <w:r>
        <w:rPr>
          <w:rFonts w:hint="eastAsia" w:ascii="仿宋_GB2312" w:hAnsi="仿宋_GB2312" w:eastAsia="仿宋_GB2312" w:cs="仿宋_GB2312"/>
          <w:b/>
          <w:bCs/>
          <w:sz w:val="32"/>
          <w:szCs w:val="32"/>
          <w:highlight w:val="none"/>
        </w:rPr>
        <w:t>残疾人福利性单位声明函</w:t>
      </w:r>
      <w:bookmarkEnd w:id="120"/>
      <w:bookmarkEnd w:id="121"/>
    </w:p>
    <w:p w14:paraId="2EE556C2">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单位的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项目采购活动，提供本单位制造的货物（由本单位承担工程/提供服务），或者提供其他残疾人福利性单位制造的货物（不包括使用非残疾人福利性单位注册商标的货物）。</w:t>
      </w:r>
    </w:p>
    <w:p w14:paraId="7DCA4415">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本单位对上述声明的真实性负责。如有虚假，将依法承担相应责任。</w:t>
      </w:r>
    </w:p>
    <w:p w14:paraId="3D3EF2ED">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30398437">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7AF94444">
      <w:pPr>
        <w:adjustRightInd w:val="0"/>
        <w:snapToGrid w:val="0"/>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注：供应商为非残疾人福利性单位的，无需填写此声明函。</w:t>
      </w:r>
    </w:p>
    <w:p w14:paraId="0CFEBBB7">
      <w:pPr>
        <w:adjustRightInd w:val="0"/>
        <w:snapToGrid w:val="0"/>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w:t>
      </w:r>
    </w:p>
    <w:p w14:paraId="7B5DCF80">
      <w:pPr>
        <w:adjustRightInd w:val="0"/>
        <w:snapToGrid w:val="0"/>
        <w:spacing w:line="360" w:lineRule="auto"/>
        <w:ind w:right="105" w:rightChars="50"/>
        <w:jc w:val="left"/>
        <w:rPr>
          <w:rFonts w:ascii="仿宋_GB2312" w:hAnsi="仿宋_GB2312" w:eastAsia="仿宋_GB2312" w:cs="仿宋_GB2312"/>
          <w:szCs w:val="21"/>
          <w:highlight w:val="none"/>
        </w:rPr>
      </w:pPr>
    </w:p>
    <w:p w14:paraId="1AB95041">
      <w:pPr>
        <w:adjustRightInd w:val="0"/>
        <w:snapToGrid w:val="0"/>
        <w:spacing w:line="360" w:lineRule="auto"/>
        <w:ind w:right="105" w:rightChars="50"/>
        <w:jc w:val="left"/>
        <w:rPr>
          <w:rFonts w:ascii="仿宋_GB2312" w:hAnsi="仿宋_GB2312" w:eastAsia="仿宋_GB2312" w:cs="仿宋_GB2312"/>
          <w:szCs w:val="21"/>
          <w:highlight w:val="none"/>
        </w:rPr>
      </w:pPr>
    </w:p>
    <w:p w14:paraId="431EBB00">
      <w:pPr>
        <w:adjustRightInd w:val="0"/>
        <w:snapToGrid w:val="0"/>
        <w:spacing w:line="360" w:lineRule="auto"/>
        <w:ind w:right="105" w:rightChars="50"/>
        <w:jc w:val="left"/>
        <w:rPr>
          <w:rFonts w:ascii="仿宋_GB2312" w:hAnsi="仿宋_GB2312" w:eastAsia="仿宋_GB2312" w:cs="仿宋_GB2312"/>
          <w:szCs w:val="21"/>
          <w:highlight w:val="none"/>
        </w:rPr>
      </w:pPr>
    </w:p>
    <w:p w14:paraId="033534CC">
      <w:pPr>
        <w:adjustRightInd w:val="0"/>
        <w:snapToGrid w:val="0"/>
        <w:spacing w:line="480" w:lineRule="auto"/>
        <w:ind w:right="105" w:rightChars="5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327FFDD7">
      <w:pPr>
        <w:adjustRightInd w:val="0"/>
        <w:snapToGrid w:val="0"/>
        <w:spacing w:line="480" w:lineRule="auto"/>
        <w:ind w:right="105" w:rightChars="50"/>
        <w:jc w:val="left"/>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31932345">
      <w:pPr>
        <w:adjustRightInd w:val="0"/>
        <w:snapToGrid w:val="0"/>
        <w:spacing w:line="360" w:lineRule="auto"/>
        <w:jc w:val="left"/>
        <w:outlineLvl w:val="1"/>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rPr>
        <w:br w:type="page"/>
      </w:r>
      <w:bookmarkStart w:id="122" w:name="_Toc30110"/>
      <w:bookmarkStart w:id="123" w:name="_Toc4498_WPSOffice_Level1"/>
      <w:bookmarkStart w:id="124" w:name="_Toc11327"/>
      <w:bookmarkStart w:id="125" w:name="_Toc2821_WPSOffice_Level1"/>
      <w:r>
        <w:rPr>
          <w:rFonts w:hint="eastAsia" w:ascii="仿宋_GB2312" w:hAnsi="仿宋_GB2312" w:eastAsia="仿宋_GB2312" w:cs="仿宋_GB2312"/>
          <w:b/>
          <w:sz w:val="28"/>
          <w:szCs w:val="28"/>
          <w:highlight w:val="none"/>
        </w:rPr>
        <w:t>格式</w:t>
      </w:r>
      <w:r>
        <w:rPr>
          <w:rFonts w:hint="eastAsia" w:ascii="仿宋_GB2312" w:hAnsi="仿宋_GB2312" w:eastAsia="仿宋_GB2312" w:cs="仿宋_GB2312"/>
          <w:b/>
          <w:sz w:val="28"/>
          <w:szCs w:val="28"/>
          <w:highlight w:val="none"/>
          <w:lang w:val="en-US" w:eastAsia="zh-CN"/>
        </w:rPr>
        <w:t>16</w:t>
      </w:r>
    </w:p>
    <w:p w14:paraId="19648182">
      <w:pPr>
        <w:spacing w:before="319" w:beforeLines="100" w:after="319" w:afterLines="100" w:line="360" w:lineRule="auto"/>
        <w:ind w:right="-21" w:rightChars="-10"/>
        <w:jc w:val="center"/>
        <w:rPr>
          <w:rFonts w:hint="eastAsia" w:ascii="仿宋_GB2312" w:hAnsi="仿宋_GB2312" w:eastAsia="仿宋_GB2312" w:cs="仿宋_GB2312"/>
          <w:b/>
          <w:sz w:val="24"/>
          <w:szCs w:val="24"/>
          <w:highlight w:val="none"/>
          <w:lang w:val="en-US" w:eastAsia="zh-CN"/>
        </w:rPr>
      </w:pPr>
      <w:r>
        <w:rPr>
          <w:rFonts w:hint="eastAsia" w:ascii="仿宋_GB2312" w:hAnsi="仿宋_GB2312" w:eastAsia="仿宋_GB2312" w:cs="仿宋_GB2312"/>
          <w:b/>
          <w:sz w:val="24"/>
          <w:szCs w:val="24"/>
          <w:highlight w:val="none"/>
          <w:lang w:val="en-US" w:eastAsia="zh-CN"/>
        </w:rPr>
        <w:t>具备“设有食品安全管理机构，配备食品安全管理人员、食品安全总监；至少配有1名具备资质的营养专业人员”承诺函</w:t>
      </w:r>
    </w:p>
    <w:p w14:paraId="0E3E932B">
      <w:pPr>
        <w:rPr>
          <w:rFonts w:hint="eastAsia" w:ascii="仿宋_GB2312" w:hAnsi="仿宋_GB2312" w:eastAsia="仿宋_GB2312" w:cs="仿宋_GB2312"/>
          <w:b w:val="0"/>
          <w:bCs w:val="0"/>
          <w:szCs w:val="21"/>
          <w:highlight w:val="none"/>
          <w:lang w:val="en-US" w:eastAsia="zh-CN"/>
        </w:rPr>
      </w:pPr>
    </w:p>
    <w:p w14:paraId="574119A0">
      <w:pPr>
        <w:rPr>
          <w:rFonts w:hint="eastAsia" w:ascii="仿宋_GB2312" w:hAnsi="仿宋_GB2312" w:eastAsia="仿宋_GB2312" w:cs="仿宋_GB2312"/>
          <w:b w:val="0"/>
          <w:bCs w:val="0"/>
          <w:szCs w:val="21"/>
          <w:highlight w:val="none"/>
          <w:lang w:val="en-US" w:eastAsia="zh-CN"/>
        </w:rPr>
      </w:pPr>
    </w:p>
    <w:p w14:paraId="3D122A9D">
      <w:pPr>
        <w:adjustRightInd w:val="0"/>
        <w:snapToGrid w:val="0"/>
        <w:spacing w:line="360" w:lineRule="auto"/>
        <w:ind w:right="105" w:rightChars="50"/>
        <w:jc w:val="left"/>
        <w:rPr>
          <w:rFonts w:ascii="仿宋_GB2312" w:hAnsi="仿宋_GB2312" w:eastAsia="仿宋_GB2312" w:cs="仿宋_GB2312"/>
          <w:highlight w:val="none"/>
        </w:rPr>
      </w:pPr>
      <w:r>
        <w:rPr>
          <w:rFonts w:hint="eastAsia" w:ascii="仿宋_GB2312" w:hAnsi="仿宋_GB2312" w:eastAsia="仿宋_GB2312" w:cs="仿宋_GB2312"/>
          <w:b/>
          <w:szCs w:val="21"/>
          <w:highlight w:val="none"/>
          <w:u w:val="single"/>
          <w:lang w:eastAsia="zh-CN"/>
        </w:rPr>
        <w:t>沈阳市第一0七中学</w:t>
      </w:r>
      <w:r>
        <w:rPr>
          <w:rFonts w:hint="eastAsia" w:ascii="仿宋_GB2312" w:hAnsi="仿宋_GB2312" w:eastAsia="仿宋_GB2312" w:cs="仿宋_GB2312"/>
          <w:highlight w:val="none"/>
        </w:rPr>
        <w:t xml:space="preserve">： </w:t>
      </w:r>
    </w:p>
    <w:p w14:paraId="4B43EDEE">
      <w:pPr>
        <w:adjustRightInd w:val="0"/>
        <w:snapToGrid w:val="0"/>
        <w:spacing w:line="360" w:lineRule="auto"/>
        <w:ind w:right="105" w:rightChars="50"/>
        <w:jc w:val="left"/>
        <w:rPr>
          <w:rFonts w:ascii="仿宋_GB2312" w:hAnsi="仿宋_GB2312" w:eastAsia="仿宋_GB2312" w:cs="仿宋_GB2312"/>
          <w:highlight w:val="none"/>
        </w:rPr>
      </w:pPr>
    </w:p>
    <w:p w14:paraId="5736ABBD">
      <w:pPr>
        <w:adjustRightInd w:val="0"/>
        <w:snapToGrid w:val="0"/>
        <w:spacing w:line="360" w:lineRule="auto"/>
        <w:ind w:right="105" w:rightChars="50"/>
        <w:jc w:val="left"/>
        <w:rPr>
          <w:rFonts w:ascii="仿宋_GB2312" w:hAnsi="仿宋_GB2312" w:eastAsia="仿宋_GB2312" w:cs="仿宋_GB2312"/>
          <w:highlight w:val="none"/>
        </w:rPr>
      </w:pPr>
      <w:r>
        <w:rPr>
          <w:rFonts w:ascii="仿宋_GB2312" w:hAnsi="仿宋_GB2312" w:eastAsia="仿宋_GB2312" w:cs="仿宋_GB2312"/>
          <w:highlight w:val="none"/>
        </w:rPr>
        <w:t>我方承诺：</w:t>
      </w:r>
    </w:p>
    <w:p w14:paraId="214EB66E">
      <w:pPr>
        <w:adjustRightInd w:val="0"/>
        <w:snapToGrid w:val="0"/>
        <w:spacing w:line="360" w:lineRule="auto"/>
        <w:ind w:right="105" w:rightChars="50" w:firstLine="420" w:firstLineChars="200"/>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在参与本次采购活动中，我公司</w:t>
      </w:r>
      <w:r>
        <w:rPr>
          <w:rFonts w:hint="eastAsia" w:ascii="仿宋_GB2312" w:hAnsi="仿宋_GB2312" w:eastAsia="仿宋_GB2312" w:cs="仿宋_GB2312"/>
          <w:b w:val="0"/>
          <w:bCs w:val="0"/>
          <w:szCs w:val="21"/>
          <w:highlight w:val="none"/>
        </w:rPr>
        <w:t>具备设有食品安全管理机构，配备食品安全管理人员、食品安全总监；至少配有1名具备资质的营养专业人员</w:t>
      </w:r>
      <w:r>
        <w:rPr>
          <w:rFonts w:hint="eastAsia" w:ascii="仿宋_GB2312" w:hAnsi="仿宋_GB2312" w:eastAsia="仿宋_GB2312" w:cs="仿宋_GB2312"/>
          <w:highlight w:val="none"/>
          <w:lang w:val="en-US" w:eastAsia="zh-CN"/>
        </w:rPr>
        <w:t>。</w:t>
      </w:r>
    </w:p>
    <w:p w14:paraId="365E5F79">
      <w:pPr>
        <w:adjustRightInd w:val="0"/>
        <w:snapToGrid w:val="0"/>
        <w:spacing w:line="360" w:lineRule="auto"/>
        <w:ind w:right="105" w:rightChars="50"/>
        <w:jc w:val="left"/>
        <w:rPr>
          <w:rFonts w:hint="eastAsia" w:ascii="仿宋_GB2312" w:hAnsi="仿宋_GB2312" w:eastAsia="仿宋_GB2312" w:cs="仿宋_GB2312"/>
          <w:highlight w:val="none"/>
        </w:rPr>
      </w:pPr>
    </w:p>
    <w:p w14:paraId="123EC454">
      <w:pPr>
        <w:adjustRightInd w:val="0"/>
        <w:snapToGrid w:val="0"/>
        <w:spacing w:line="360" w:lineRule="auto"/>
        <w:ind w:right="105" w:rightChars="50" w:firstLine="420" w:firstLineChars="200"/>
        <w:jc w:val="left"/>
        <w:rPr>
          <w:rFonts w:ascii="仿宋_GB2312" w:hAnsi="仿宋_GB2312" w:eastAsia="仿宋_GB2312" w:cs="仿宋_GB2312"/>
          <w:highlight w:val="none"/>
        </w:rPr>
      </w:pPr>
      <w:r>
        <w:rPr>
          <w:rFonts w:hint="eastAsia" w:ascii="仿宋_GB2312" w:hAnsi="仿宋_GB2312" w:eastAsia="仿宋_GB2312" w:cs="仿宋_GB2312"/>
          <w:highlight w:val="none"/>
        </w:rPr>
        <w:t>以上承诺，如有违反，愿依照国家相关法律法规处理，并承担由此给</w:t>
      </w:r>
      <w:r>
        <w:rPr>
          <w:rFonts w:hint="eastAsia" w:ascii="仿宋_GB2312" w:hAnsi="仿宋_GB2312" w:eastAsia="仿宋_GB2312" w:cs="仿宋_GB2312"/>
          <w:highlight w:val="none"/>
          <w:lang w:val="en-US" w:eastAsia="zh-CN"/>
        </w:rPr>
        <w:t>采购人</w:t>
      </w:r>
      <w:r>
        <w:rPr>
          <w:rFonts w:hint="eastAsia" w:ascii="仿宋_GB2312" w:hAnsi="仿宋_GB2312" w:eastAsia="仿宋_GB2312" w:cs="仿宋_GB2312"/>
          <w:highlight w:val="none"/>
        </w:rPr>
        <w:t>带来的损失。</w:t>
      </w:r>
    </w:p>
    <w:p w14:paraId="675A2AA5">
      <w:pPr>
        <w:snapToGrid w:val="0"/>
        <w:spacing w:line="360" w:lineRule="auto"/>
        <w:ind w:right="105" w:rightChars="50"/>
        <w:jc w:val="left"/>
        <w:rPr>
          <w:rFonts w:ascii="仿宋_GB2312" w:hAnsi="仿宋_GB2312" w:eastAsia="仿宋_GB2312"/>
          <w:color w:val="000000"/>
          <w:szCs w:val="21"/>
          <w:highlight w:val="none"/>
        </w:rPr>
      </w:pPr>
    </w:p>
    <w:p w14:paraId="28AE99AA">
      <w:pPr>
        <w:snapToGrid w:val="0"/>
        <w:spacing w:line="480" w:lineRule="auto"/>
        <w:rPr>
          <w:rFonts w:ascii="仿宋_GB2312" w:hAnsi="仿宋_GB2312" w:eastAsia="仿宋_GB2312"/>
          <w:color w:val="000000"/>
          <w:highlight w:val="none"/>
        </w:rPr>
      </w:pPr>
    </w:p>
    <w:p w14:paraId="2F4DF627">
      <w:pPr>
        <w:snapToGrid w:val="0"/>
        <w:spacing w:line="480" w:lineRule="auto"/>
        <w:rPr>
          <w:rFonts w:ascii="仿宋_GB2312" w:hAnsi="仿宋_GB2312" w:eastAsia="仿宋_GB2312"/>
          <w:color w:val="000000"/>
          <w:highlight w:val="none"/>
        </w:rPr>
      </w:pPr>
    </w:p>
    <w:p w14:paraId="5EE09763">
      <w:pPr>
        <w:snapToGrid w:val="0"/>
        <w:spacing w:line="480" w:lineRule="auto"/>
        <w:rPr>
          <w:rFonts w:ascii="仿宋_GB2312" w:hAnsi="仿宋_GB2312" w:eastAsia="仿宋_GB2312"/>
          <w:color w:val="000000"/>
          <w:highlight w:val="none"/>
        </w:rPr>
      </w:pPr>
    </w:p>
    <w:p w14:paraId="467280BB">
      <w:pPr>
        <w:snapToGrid w:val="0"/>
        <w:spacing w:line="480" w:lineRule="auto"/>
        <w:rPr>
          <w:rFonts w:ascii="仿宋_GB2312" w:hAnsi="仿宋_GB2312" w:eastAsia="仿宋_GB2312"/>
          <w:color w:val="000000"/>
          <w:highlight w:val="none"/>
        </w:rPr>
      </w:pPr>
      <w:r>
        <w:rPr>
          <w:rFonts w:hint="eastAsia" w:ascii="仿宋_GB2312" w:hAnsi="仿宋_GB2312" w:eastAsia="仿宋_GB2312"/>
          <w:color w:val="000000"/>
          <w:highlight w:val="none"/>
          <w:lang w:val="en-US" w:eastAsia="zh-CN"/>
        </w:rPr>
        <w:t>投标人</w:t>
      </w:r>
      <w:r>
        <w:rPr>
          <w:rFonts w:hint="eastAsia" w:ascii="仿宋_GB2312" w:hAnsi="仿宋_GB2312" w:eastAsia="仿宋_GB2312"/>
          <w:color w:val="000000"/>
          <w:highlight w:val="none"/>
        </w:rPr>
        <w:t>名称（加盖单位公章）：</w:t>
      </w:r>
      <w:r>
        <w:rPr>
          <w:rFonts w:hint="eastAsia" w:ascii="仿宋_GB2312" w:hAnsi="仿宋_GB2312" w:eastAsia="仿宋_GB2312"/>
          <w:color w:val="000000"/>
          <w:highlight w:val="none"/>
          <w:u w:val="single"/>
        </w:rPr>
        <w:t xml:space="preserve">           </w:t>
      </w:r>
    </w:p>
    <w:p w14:paraId="491EFC32">
      <w:pPr>
        <w:snapToGrid w:val="0"/>
        <w:spacing w:line="480" w:lineRule="auto"/>
        <w:rPr>
          <w:rFonts w:ascii="仿宋_GB2312" w:hAnsi="仿宋_GB2312" w:eastAsia="仿宋_GB2312"/>
          <w:color w:val="000000"/>
          <w:highlight w:val="none"/>
        </w:rPr>
      </w:pPr>
      <w:r>
        <w:rPr>
          <w:rFonts w:hint="eastAsia" w:ascii="仿宋_GB2312" w:hAnsi="仿宋_GB2312" w:eastAsia="仿宋_GB2312"/>
          <w:color w:val="000000"/>
          <w:highlight w:val="none"/>
        </w:rPr>
        <w:t>法定代表人（或</w:t>
      </w:r>
      <w:r>
        <w:rPr>
          <w:rFonts w:hint="eastAsia" w:ascii="仿宋_GB2312" w:hAnsi="仿宋_GB2312" w:eastAsia="仿宋_GB2312"/>
          <w:color w:val="000000"/>
          <w:szCs w:val="21"/>
          <w:highlight w:val="none"/>
        </w:rPr>
        <w:t>非法人组织负责人）或</w:t>
      </w:r>
      <w:r>
        <w:rPr>
          <w:rFonts w:hint="eastAsia" w:ascii="仿宋_GB2312" w:hAnsi="仿宋_GB2312" w:eastAsia="仿宋_GB2312"/>
          <w:color w:val="000000"/>
          <w:highlight w:val="none"/>
        </w:rPr>
        <w:t>其委托代理人(签字或盖章)：</w:t>
      </w:r>
      <w:r>
        <w:rPr>
          <w:rFonts w:hint="eastAsia" w:ascii="仿宋_GB2312" w:hAnsi="仿宋_GB2312" w:eastAsia="仿宋_GB2312"/>
          <w:color w:val="000000"/>
          <w:highlight w:val="none"/>
          <w:u w:val="single"/>
        </w:rPr>
        <w:t xml:space="preserve">           </w:t>
      </w:r>
    </w:p>
    <w:p w14:paraId="66AF57EF">
      <w:pPr>
        <w:snapToGrid w:val="0"/>
        <w:spacing w:line="360" w:lineRule="auto"/>
        <w:ind w:right="105" w:rightChars="50"/>
        <w:jc w:val="left"/>
        <w:rPr>
          <w:rFonts w:hint="eastAsia" w:ascii="仿宋_GB2312" w:hAnsi="仿宋_GB2312" w:eastAsia="仿宋_GB2312"/>
          <w:color w:val="000000"/>
          <w:highlight w:val="none"/>
          <w:u w:val="single"/>
        </w:rPr>
      </w:pPr>
      <w:r>
        <w:rPr>
          <w:rFonts w:hint="eastAsia" w:ascii="仿宋_GB2312" w:hAnsi="仿宋_GB2312" w:eastAsia="仿宋_GB2312"/>
          <w:color w:val="000000"/>
          <w:highlight w:val="none"/>
        </w:rPr>
        <w:t>日期：</w:t>
      </w:r>
      <w:r>
        <w:rPr>
          <w:rFonts w:hint="eastAsia" w:ascii="仿宋_GB2312" w:hAnsi="仿宋_GB2312" w:eastAsia="仿宋_GB2312"/>
          <w:color w:val="000000"/>
          <w:highlight w:val="none"/>
          <w:u w:val="single"/>
        </w:rPr>
        <w:t xml:space="preserve">                </w:t>
      </w:r>
    </w:p>
    <w:p w14:paraId="36B741EE">
      <w:pPr>
        <w:adjustRightInd w:val="0"/>
        <w:snapToGrid w:val="0"/>
        <w:spacing w:line="360" w:lineRule="auto"/>
        <w:jc w:val="left"/>
        <w:outlineLvl w:val="1"/>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rPr>
        <w:br w:type="page"/>
      </w:r>
      <w:r>
        <w:rPr>
          <w:rFonts w:hint="eastAsia" w:ascii="仿宋_GB2312" w:hAnsi="仿宋_GB2312" w:eastAsia="仿宋_GB2312" w:cs="仿宋_GB2312"/>
          <w:b/>
          <w:sz w:val="28"/>
          <w:szCs w:val="28"/>
          <w:highlight w:val="none"/>
        </w:rPr>
        <w:t>格式</w:t>
      </w:r>
      <w:r>
        <w:rPr>
          <w:rFonts w:hint="eastAsia" w:ascii="仿宋_GB2312" w:hAnsi="仿宋_GB2312" w:eastAsia="仿宋_GB2312" w:cs="仿宋_GB2312"/>
          <w:b/>
          <w:sz w:val="28"/>
          <w:szCs w:val="28"/>
          <w:highlight w:val="none"/>
          <w:lang w:val="en-US" w:eastAsia="zh-CN"/>
        </w:rPr>
        <w:t>17</w:t>
      </w:r>
    </w:p>
    <w:p w14:paraId="5DE08694">
      <w:pPr>
        <w:spacing w:before="319" w:beforeLines="100" w:after="319" w:afterLines="100" w:line="360" w:lineRule="auto"/>
        <w:ind w:right="-21" w:rightChars="-10"/>
        <w:jc w:val="center"/>
        <w:rPr>
          <w:rFonts w:hint="eastAsia" w:ascii="仿宋_GB2312" w:hAnsi="仿宋_GB2312" w:eastAsia="仿宋_GB2312" w:cs="仿宋_GB2312"/>
          <w:b/>
          <w:sz w:val="24"/>
          <w:szCs w:val="24"/>
          <w:highlight w:val="none"/>
          <w:lang w:val="en-US" w:eastAsia="zh-CN"/>
        </w:rPr>
      </w:pPr>
      <w:r>
        <w:rPr>
          <w:rFonts w:hint="eastAsia" w:ascii="仿宋_GB2312" w:hAnsi="仿宋_GB2312" w:eastAsia="仿宋_GB2312" w:cs="仿宋_GB2312"/>
          <w:b/>
          <w:sz w:val="24"/>
          <w:szCs w:val="24"/>
          <w:highlight w:val="none"/>
          <w:lang w:val="en-US" w:eastAsia="zh-CN"/>
        </w:rPr>
        <w:t>具备“建立食品卫生、安全生产、安全管理等制度”承诺函</w:t>
      </w:r>
    </w:p>
    <w:p w14:paraId="3C7CEB1F">
      <w:pPr>
        <w:rPr>
          <w:rFonts w:hint="eastAsia" w:ascii="仿宋_GB2312" w:hAnsi="仿宋_GB2312" w:eastAsia="仿宋_GB2312" w:cs="仿宋_GB2312"/>
          <w:b w:val="0"/>
          <w:bCs w:val="0"/>
          <w:szCs w:val="21"/>
          <w:highlight w:val="none"/>
          <w:lang w:val="en-US" w:eastAsia="zh-CN"/>
        </w:rPr>
      </w:pPr>
    </w:p>
    <w:p w14:paraId="432117BF">
      <w:pPr>
        <w:rPr>
          <w:rFonts w:hint="eastAsia" w:ascii="仿宋_GB2312" w:hAnsi="仿宋_GB2312" w:eastAsia="仿宋_GB2312" w:cs="仿宋_GB2312"/>
          <w:b w:val="0"/>
          <w:bCs w:val="0"/>
          <w:szCs w:val="21"/>
          <w:highlight w:val="none"/>
          <w:lang w:val="en-US" w:eastAsia="zh-CN"/>
        </w:rPr>
      </w:pPr>
    </w:p>
    <w:p w14:paraId="070ACEEB">
      <w:pPr>
        <w:adjustRightInd w:val="0"/>
        <w:snapToGrid w:val="0"/>
        <w:spacing w:line="360" w:lineRule="auto"/>
        <w:ind w:right="105" w:rightChars="50"/>
        <w:jc w:val="left"/>
        <w:rPr>
          <w:rFonts w:ascii="仿宋_GB2312" w:hAnsi="仿宋_GB2312" w:eastAsia="仿宋_GB2312" w:cs="仿宋_GB2312"/>
          <w:highlight w:val="none"/>
        </w:rPr>
      </w:pPr>
      <w:r>
        <w:rPr>
          <w:rFonts w:hint="eastAsia" w:ascii="仿宋_GB2312" w:hAnsi="仿宋_GB2312" w:eastAsia="仿宋_GB2312" w:cs="仿宋_GB2312"/>
          <w:b/>
          <w:szCs w:val="21"/>
          <w:highlight w:val="none"/>
          <w:u w:val="single"/>
          <w:lang w:eastAsia="zh-CN"/>
        </w:rPr>
        <w:t>沈阳市第一0七中学</w:t>
      </w:r>
      <w:r>
        <w:rPr>
          <w:rFonts w:hint="eastAsia" w:ascii="仿宋_GB2312" w:hAnsi="仿宋_GB2312" w:eastAsia="仿宋_GB2312" w:cs="仿宋_GB2312"/>
          <w:highlight w:val="none"/>
        </w:rPr>
        <w:t xml:space="preserve">： </w:t>
      </w:r>
    </w:p>
    <w:p w14:paraId="61FC8D2D">
      <w:pPr>
        <w:adjustRightInd w:val="0"/>
        <w:snapToGrid w:val="0"/>
        <w:spacing w:line="360" w:lineRule="auto"/>
        <w:ind w:right="105" w:rightChars="50"/>
        <w:jc w:val="left"/>
        <w:rPr>
          <w:rFonts w:ascii="仿宋_GB2312" w:hAnsi="仿宋_GB2312" w:eastAsia="仿宋_GB2312" w:cs="仿宋_GB2312"/>
          <w:highlight w:val="none"/>
        </w:rPr>
      </w:pPr>
    </w:p>
    <w:p w14:paraId="211938C5">
      <w:pPr>
        <w:adjustRightInd w:val="0"/>
        <w:snapToGrid w:val="0"/>
        <w:spacing w:line="360" w:lineRule="auto"/>
        <w:ind w:right="105" w:rightChars="50"/>
        <w:jc w:val="left"/>
        <w:rPr>
          <w:rFonts w:ascii="仿宋_GB2312" w:hAnsi="仿宋_GB2312" w:eastAsia="仿宋_GB2312" w:cs="仿宋_GB2312"/>
          <w:highlight w:val="none"/>
        </w:rPr>
      </w:pPr>
      <w:r>
        <w:rPr>
          <w:rFonts w:ascii="仿宋_GB2312" w:hAnsi="仿宋_GB2312" w:eastAsia="仿宋_GB2312" w:cs="仿宋_GB2312"/>
          <w:highlight w:val="none"/>
        </w:rPr>
        <w:t>我方承诺：</w:t>
      </w:r>
    </w:p>
    <w:p w14:paraId="22498DA4">
      <w:pPr>
        <w:adjustRightInd w:val="0"/>
        <w:snapToGrid w:val="0"/>
        <w:spacing w:line="360" w:lineRule="auto"/>
        <w:ind w:right="105" w:rightChars="50" w:firstLine="420" w:firstLineChars="200"/>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在参与本次采购活动中，我公司</w:t>
      </w:r>
      <w:r>
        <w:rPr>
          <w:rFonts w:hint="eastAsia" w:ascii="仿宋_GB2312" w:hAnsi="仿宋_GB2312" w:eastAsia="仿宋_GB2312" w:cs="仿宋_GB2312"/>
          <w:b w:val="0"/>
          <w:bCs w:val="0"/>
          <w:szCs w:val="21"/>
          <w:highlight w:val="none"/>
        </w:rPr>
        <w:t>具备建立食品卫生、安全生产、安全管理等制度</w:t>
      </w:r>
      <w:r>
        <w:rPr>
          <w:rFonts w:hint="eastAsia" w:ascii="仿宋_GB2312" w:hAnsi="仿宋_GB2312" w:eastAsia="仿宋_GB2312" w:cs="仿宋_GB2312"/>
          <w:highlight w:val="none"/>
          <w:lang w:val="en-US" w:eastAsia="zh-CN"/>
        </w:rPr>
        <w:t>。</w:t>
      </w:r>
    </w:p>
    <w:p w14:paraId="2D7386D4">
      <w:pPr>
        <w:adjustRightInd w:val="0"/>
        <w:snapToGrid w:val="0"/>
        <w:spacing w:line="360" w:lineRule="auto"/>
        <w:ind w:right="105" w:rightChars="50"/>
        <w:jc w:val="left"/>
        <w:rPr>
          <w:rFonts w:hint="eastAsia" w:ascii="仿宋_GB2312" w:hAnsi="仿宋_GB2312" w:eastAsia="仿宋_GB2312" w:cs="仿宋_GB2312"/>
          <w:highlight w:val="none"/>
        </w:rPr>
      </w:pPr>
    </w:p>
    <w:p w14:paraId="2A18476A">
      <w:pPr>
        <w:adjustRightInd w:val="0"/>
        <w:snapToGrid w:val="0"/>
        <w:spacing w:line="360" w:lineRule="auto"/>
        <w:ind w:right="105" w:rightChars="50" w:firstLine="420" w:firstLineChars="200"/>
        <w:jc w:val="left"/>
        <w:rPr>
          <w:rFonts w:ascii="仿宋_GB2312" w:hAnsi="仿宋_GB2312" w:eastAsia="仿宋_GB2312" w:cs="仿宋_GB2312"/>
          <w:highlight w:val="none"/>
        </w:rPr>
      </w:pPr>
      <w:r>
        <w:rPr>
          <w:rFonts w:hint="eastAsia" w:ascii="仿宋_GB2312" w:hAnsi="仿宋_GB2312" w:eastAsia="仿宋_GB2312" w:cs="仿宋_GB2312"/>
          <w:highlight w:val="none"/>
        </w:rPr>
        <w:t>以上承诺，如有违反，愿依照国家相关法律法规处理，并承担由此给</w:t>
      </w:r>
      <w:r>
        <w:rPr>
          <w:rFonts w:hint="eastAsia" w:ascii="仿宋_GB2312" w:hAnsi="仿宋_GB2312" w:eastAsia="仿宋_GB2312" w:cs="仿宋_GB2312"/>
          <w:highlight w:val="none"/>
          <w:lang w:val="en-US" w:eastAsia="zh-CN"/>
        </w:rPr>
        <w:t>采购人</w:t>
      </w:r>
      <w:r>
        <w:rPr>
          <w:rFonts w:hint="eastAsia" w:ascii="仿宋_GB2312" w:hAnsi="仿宋_GB2312" w:eastAsia="仿宋_GB2312" w:cs="仿宋_GB2312"/>
          <w:highlight w:val="none"/>
        </w:rPr>
        <w:t>带来的损失。</w:t>
      </w:r>
    </w:p>
    <w:p w14:paraId="7C232277">
      <w:pPr>
        <w:snapToGrid w:val="0"/>
        <w:spacing w:line="360" w:lineRule="auto"/>
        <w:ind w:right="105" w:rightChars="50"/>
        <w:jc w:val="left"/>
        <w:rPr>
          <w:rFonts w:ascii="仿宋_GB2312" w:hAnsi="仿宋_GB2312" w:eastAsia="仿宋_GB2312"/>
          <w:color w:val="000000"/>
          <w:szCs w:val="21"/>
          <w:highlight w:val="none"/>
        </w:rPr>
      </w:pPr>
    </w:p>
    <w:p w14:paraId="623B6DF4">
      <w:pPr>
        <w:snapToGrid w:val="0"/>
        <w:spacing w:line="480" w:lineRule="auto"/>
        <w:rPr>
          <w:rFonts w:ascii="仿宋_GB2312" w:hAnsi="仿宋_GB2312" w:eastAsia="仿宋_GB2312"/>
          <w:color w:val="000000"/>
          <w:highlight w:val="none"/>
        </w:rPr>
      </w:pPr>
    </w:p>
    <w:p w14:paraId="44DD7F44">
      <w:pPr>
        <w:snapToGrid w:val="0"/>
        <w:spacing w:line="480" w:lineRule="auto"/>
        <w:rPr>
          <w:rFonts w:ascii="仿宋_GB2312" w:hAnsi="仿宋_GB2312" w:eastAsia="仿宋_GB2312"/>
          <w:color w:val="000000"/>
          <w:highlight w:val="none"/>
        </w:rPr>
      </w:pPr>
    </w:p>
    <w:p w14:paraId="3BBB2B39">
      <w:pPr>
        <w:snapToGrid w:val="0"/>
        <w:spacing w:line="480" w:lineRule="auto"/>
        <w:rPr>
          <w:rFonts w:ascii="仿宋_GB2312" w:hAnsi="仿宋_GB2312" w:eastAsia="仿宋_GB2312"/>
          <w:color w:val="000000"/>
          <w:highlight w:val="none"/>
        </w:rPr>
      </w:pPr>
    </w:p>
    <w:p w14:paraId="67067A44">
      <w:pPr>
        <w:snapToGrid w:val="0"/>
        <w:spacing w:line="480" w:lineRule="auto"/>
        <w:rPr>
          <w:rFonts w:ascii="仿宋_GB2312" w:hAnsi="仿宋_GB2312" w:eastAsia="仿宋_GB2312"/>
          <w:color w:val="000000"/>
          <w:highlight w:val="none"/>
        </w:rPr>
      </w:pPr>
      <w:r>
        <w:rPr>
          <w:rFonts w:hint="eastAsia" w:ascii="仿宋_GB2312" w:hAnsi="仿宋_GB2312" w:eastAsia="仿宋_GB2312"/>
          <w:color w:val="000000"/>
          <w:highlight w:val="none"/>
          <w:lang w:val="en-US" w:eastAsia="zh-CN"/>
        </w:rPr>
        <w:t>投标人</w:t>
      </w:r>
      <w:r>
        <w:rPr>
          <w:rFonts w:hint="eastAsia" w:ascii="仿宋_GB2312" w:hAnsi="仿宋_GB2312" w:eastAsia="仿宋_GB2312"/>
          <w:color w:val="000000"/>
          <w:highlight w:val="none"/>
        </w:rPr>
        <w:t>名称（加盖单位公章）：</w:t>
      </w:r>
      <w:r>
        <w:rPr>
          <w:rFonts w:hint="eastAsia" w:ascii="仿宋_GB2312" w:hAnsi="仿宋_GB2312" w:eastAsia="仿宋_GB2312"/>
          <w:color w:val="000000"/>
          <w:highlight w:val="none"/>
          <w:u w:val="single"/>
        </w:rPr>
        <w:t xml:space="preserve">           </w:t>
      </w:r>
    </w:p>
    <w:p w14:paraId="4D7067ED">
      <w:pPr>
        <w:snapToGrid w:val="0"/>
        <w:spacing w:line="480" w:lineRule="auto"/>
        <w:rPr>
          <w:rFonts w:ascii="仿宋_GB2312" w:hAnsi="仿宋_GB2312" w:eastAsia="仿宋_GB2312"/>
          <w:color w:val="000000"/>
          <w:highlight w:val="none"/>
        </w:rPr>
      </w:pPr>
      <w:r>
        <w:rPr>
          <w:rFonts w:hint="eastAsia" w:ascii="仿宋_GB2312" w:hAnsi="仿宋_GB2312" w:eastAsia="仿宋_GB2312"/>
          <w:color w:val="000000"/>
          <w:highlight w:val="none"/>
        </w:rPr>
        <w:t>法定代表人（或</w:t>
      </w:r>
      <w:r>
        <w:rPr>
          <w:rFonts w:hint="eastAsia" w:ascii="仿宋_GB2312" w:hAnsi="仿宋_GB2312" w:eastAsia="仿宋_GB2312"/>
          <w:color w:val="000000"/>
          <w:szCs w:val="21"/>
          <w:highlight w:val="none"/>
        </w:rPr>
        <w:t>非法人组织负责人）或</w:t>
      </w:r>
      <w:r>
        <w:rPr>
          <w:rFonts w:hint="eastAsia" w:ascii="仿宋_GB2312" w:hAnsi="仿宋_GB2312" w:eastAsia="仿宋_GB2312"/>
          <w:color w:val="000000"/>
          <w:highlight w:val="none"/>
        </w:rPr>
        <w:t>其委托代理人(签字或盖章)：</w:t>
      </w:r>
      <w:r>
        <w:rPr>
          <w:rFonts w:hint="eastAsia" w:ascii="仿宋_GB2312" w:hAnsi="仿宋_GB2312" w:eastAsia="仿宋_GB2312"/>
          <w:color w:val="000000"/>
          <w:highlight w:val="none"/>
          <w:u w:val="single"/>
        </w:rPr>
        <w:t xml:space="preserve">           </w:t>
      </w:r>
    </w:p>
    <w:p w14:paraId="0006B084">
      <w:pPr>
        <w:snapToGrid w:val="0"/>
        <w:spacing w:line="360" w:lineRule="auto"/>
        <w:ind w:right="105" w:rightChars="50"/>
        <w:jc w:val="left"/>
        <w:rPr>
          <w:rFonts w:hint="eastAsia" w:ascii="仿宋_GB2312" w:hAnsi="仿宋_GB2312" w:eastAsia="仿宋_GB2312"/>
          <w:color w:val="000000"/>
          <w:highlight w:val="none"/>
          <w:u w:val="single"/>
        </w:rPr>
      </w:pPr>
      <w:r>
        <w:rPr>
          <w:rFonts w:hint="eastAsia" w:ascii="仿宋_GB2312" w:hAnsi="仿宋_GB2312" w:eastAsia="仿宋_GB2312"/>
          <w:color w:val="000000"/>
          <w:highlight w:val="none"/>
        </w:rPr>
        <w:t>日期：</w:t>
      </w:r>
      <w:r>
        <w:rPr>
          <w:rFonts w:hint="eastAsia" w:ascii="仿宋_GB2312" w:hAnsi="仿宋_GB2312" w:eastAsia="仿宋_GB2312"/>
          <w:color w:val="000000"/>
          <w:highlight w:val="none"/>
          <w:u w:val="single"/>
        </w:rPr>
        <w:t xml:space="preserve">                </w:t>
      </w:r>
    </w:p>
    <w:p w14:paraId="4EA9D6C8">
      <w:pPr>
        <w:snapToGrid w:val="0"/>
        <w:spacing w:line="360" w:lineRule="auto"/>
        <w:ind w:right="105" w:rightChars="50"/>
        <w:jc w:val="left"/>
        <w:rPr>
          <w:rFonts w:hint="eastAsia" w:ascii="仿宋_GB2312" w:hAnsi="仿宋_GB2312" w:eastAsia="仿宋_GB2312"/>
          <w:color w:val="000000"/>
          <w:highlight w:val="none"/>
          <w:u w:val="single"/>
        </w:rPr>
      </w:pPr>
    </w:p>
    <w:p w14:paraId="05E7D9E1">
      <w:pPr>
        <w:spacing w:line="480" w:lineRule="exact"/>
        <w:ind w:right="630" w:rightChars="300"/>
        <w:jc w:val="both"/>
        <w:outlineLvl w:val="1"/>
        <w:rPr>
          <w:rFonts w:hint="default"/>
          <w:color w:val="FF0000"/>
          <w:sz w:val="32"/>
          <w:szCs w:val="40"/>
          <w:highlight w:val="none"/>
          <w:lang w:val="en-US" w:eastAsia="zh-CN"/>
        </w:rPr>
      </w:pPr>
      <w:r>
        <w:rPr>
          <w:rFonts w:hint="eastAsia" w:ascii="仿宋_GB2312" w:hAnsi="仿宋_GB2312" w:eastAsia="仿宋_GB2312" w:cs="仿宋_GB2312"/>
          <w:highlight w:val="none"/>
        </w:rPr>
        <w:br w:type="page"/>
      </w:r>
      <w:r>
        <w:rPr>
          <w:rFonts w:hint="eastAsia" w:ascii="仿宋_GB2312" w:hAnsi="仿宋_GB2312" w:eastAsia="仿宋_GB2312" w:cs="仿宋_GB2312"/>
          <w:b/>
          <w:sz w:val="28"/>
          <w:szCs w:val="28"/>
          <w:highlight w:val="none"/>
          <w:lang w:val="en-US" w:eastAsia="zh-CN"/>
        </w:rPr>
        <w:t>格式18</w:t>
      </w:r>
    </w:p>
    <w:p w14:paraId="71527C77">
      <w:pPr>
        <w:spacing w:line="480" w:lineRule="exact"/>
        <w:ind w:right="630" w:rightChars="300"/>
        <w:jc w:val="center"/>
        <w:rPr>
          <w:rFonts w:ascii="仿宋_GB2312" w:hAnsi="仿宋_GB2312" w:eastAsia="仿宋_GB2312"/>
          <w:b/>
          <w:bCs/>
          <w:color w:val="auto"/>
          <w:sz w:val="36"/>
          <w:szCs w:val="36"/>
          <w:highlight w:val="none"/>
        </w:rPr>
      </w:pPr>
      <w:r>
        <w:rPr>
          <w:rFonts w:hint="eastAsia" w:ascii="仿宋_GB2312" w:hAnsi="仿宋_GB2312" w:eastAsia="仿宋_GB2312"/>
          <w:b/>
          <w:bCs/>
          <w:color w:val="auto"/>
          <w:sz w:val="36"/>
          <w:szCs w:val="36"/>
          <w:highlight w:val="none"/>
          <w:lang w:val="en-US" w:eastAsia="zh-CN"/>
        </w:rPr>
        <w:t>食品</w:t>
      </w:r>
      <w:r>
        <w:rPr>
          <w:rFonts w:hint="eastAsia" w:ascii="仿宋_GB2312" w:hAnsi="仿宋_GB2312" w:eastAsia="仿宋_GB2312"/>
          <w:b/>
          <w:bCs/>
          <w:color w:val="auto"/>
          <w:sz w:val="36"/>
          <w:szCs w:val="36"/>
          <w:highlight w:val="none"/>
        </w:rPr>
        <w:t>安全责任书</w:t>
      </w:r>
    </w:p>
    <w:p w14:paraId="2478D8C8">
      <w:pPr>
        <w:adjustRightInd w:val="0"/>
        <w:snapToGrid w:val="0"/>
        <w:spacing w:line="360" w:lineRule="auto"/>
        <w:ind w:right="105" w:rightChars="50"/>
        <w:jc w:val="left"/>
        <w:rPr>
          <w:rFonts w:hint="eastAsia" w:ascii="仿宋_GB2312" w:hAnsi="仿宋_GB2312" w:eastAsia="仿宋_GB2312" w:cs="仿宋_GB2312"/>
          <w:b w:val="0"/>
          <w:bCs w:val="0"/>
          <w:color w:val="auto"/>
          <w:szCs w:val="21"/>
          <w:highlight w:val="none"/>
          <w:lang w:val="en-US" w:eastAsia="zh-CN"/>
        </w:rPr>
      </w:pPr>
    </w:p>
    <w:p w14:paraId="6FC91747">
      <w:pPr>
        <w:adjustRightInd w:val="0"/>
        <w:snapToGrid w:val="0"/>
        <w:spacing w:line="360" w:lineRule="auto"/>
        <w:ind w:right="105" w:rightChars="50"/>
        <w:jc w:val="left"/>
        <w:rPr>
          <w:rFonts w:ascii="仿宋_GB2312" w:hAnsi="仿宋_GB2312" w:eastAsia="仿宋_GB2312" w:cs="仿宋_GB2312"/>
          <w:highlight w:val="none"/>
        </w:rPr>
      </w:pPr>
      <w:r>
        <w:rPr>
          <w:rFonts w:hint="eastAsia" w:ascii="仿宋_GB2312" w:hAnsi="仿宋_GB2312" w:eastAsia="仿宋_GB2312" w:cs="仿宋_GB2312"/>
          <w:b/>
          <w:szCs w:val="21"/>
          <w:highlight w:val="none"/>
          <w:u w:val="single"/>
          <w:lang w:eastAsia="zh-CN"/>
        </w:rPr>
        <w:t>沈阳市第一0七中学</w:t>
      </w:r>
      <w:r>
        <w:rPr>
          <w:rFonts w:hint="eastAsia" w:ascii="仿宋_GB2312" w:hAnsi="仿宋_GB2312" w:eastAsia="仿宋_GB2312" w:cs="仿宋_GB2312"/>
          <w:highlight w:val="none"/>
        </w:rPr>
        <w:t xml:space="preserve">： </w:t>
      </w:r>
    </w:p>
    <w:p w14:paraId="7536CEEE">
      <w:pPr>
        <w:adjustRightInd w:val="0"/>
        <w:snapToGrid w:val="0"/>
        <w:spacing w:line="360" w:lineRule="auto"/>
        <w:ind w:right="105" w:rightChars="50" w:firstLine="420" w:firstLineChars="20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本公司</w:t>
      </w:r>
      <w:r>
        <w:rPr>
          <w:rFonts w:hint="eastAsia" w:ascii="仿宋_GB2312" w:hAnsi="仿宋_GB2312" w:eastAsia="仿宋_GB2312" w:cs="仿宋_GB2312"/>
          <w:b w:val="0"/>
          <w:bCs w:val="0"/>
          <w:szCs w:val="21"/>
          <w:highlight w:val="none"/>
          <w:lang w:val="en-US" w:eastAsia="zh-CN"/>
        </w:rPr>
        <w:t>承诺，若本项目中标</w:t>
      </w:r>
      <w:r>
        <w:rPr>
          <w:rFonts w:hint="eastAsia" w:ascii="仿宋_GB2312" w:hAnsi="仿宋_GB2312" w:eastAsia="仿宋_GB2312" w:cs="仿宋_GB2312"/>
          <w:b w:val="0"/>
          <w:bCs w:val="0"/>
          <w:szCs w:val="21"/>
          <w:highlight w:val="none"/>
        </w:rPr>
        <w:t>，</w:t>
      </w:r>
      <w:r>
        <w:rPr>
          <w:rFonts w:hint="eastAsia" w:ascii="仿宋_GB2312" w:hAnsi="仿宋_GB2312" w:eastAsia="仿宋_GB2312" w:cs="仿宋_GB2312"/>
          <w:b w:val="0"/>
          <w:bCs w:val="0"/>
          <w:szCs w:val="21"/>
          <w:highlight w:val="none"/>
          <w:lang w:val="en-US" w:eastAsia="zh-CN"/>
        </w:rPr>
        <w:t>将在提供</w:t>
      </w:r>
      <w:r>
        <w:rPr>
          <w:rFonts w:hint="eastAsia" w:ascii="仿宋_GB2312" w:hAnsi="仿宋_GB2312" w:eastAsia="仿宋_GB2312" w:cs="仿宋_GB2312"/>
          <w:b w:val="0"/>
          <w:bCs w:val="0"/>
          <w:szCs w:val="21"/>
          <w:highlight w:val="none"/>
        </w:rPr>
        <w:t>服务期内</w:t>
      </w:r>
      <w:r>
        <w:rPr>
          <w:rFonts w:hint="eastAsia" w:ascii="仿宋_GB2312" w:hAnsi="仿宋_GB2312" w:eastAsia="仿宋_GB2312" w:cs="仿宋_GB2312"/>
          <w:b w:val="0"/>
          <w:bCs w:val="0"/>
          <w:szCs w:val="21"/>
          <w:highlight w:val="none"/>
          <w:lang w:eastAsia="zh-CN"/>
        </w:rPr>
        <w:t>，</w:t>
      </w:r>
      <w:r>
        <w:rPr>
          <w:rFonts w:hint="eastAsia" w:ascii="仿宋_GB2312" w:hAnsi="仿宋_GB2312" w:eastAsia="仿宋_GB2312" w:cs="仿宋_GB2312"/>
          <w:b w:val="0"/>
          <w:bCs w:val="0"/>
          <w:szCs w:val="21"/>
          <w:highlight w:val="none"/>
        </w:rPr>
        <w:t>负责</w:t>
      </w:r>
      <w:r>
        <w:rPr>
          <w:rFonts w:hint="eastAsia" w:ascii="仿宋_GB2312" w:hAnsi="仿宋_GB2312" w:eastAsia="仿宋_GB2312" w:cs="仿宋_GB2312"/>
          <w:b w:val="0"/>
          <w:bCs w:val="0"/>
          <w:szCs w:val="21"/>
          <w:highlight w:val="none"/>
          <w:lang w:val="en-US" w:eastAsia="zh-CN"/>
        </w:rPr>
        <w:t>所供学校餐饮服务</w:t>
      </w:r>
      <w:r>
        <w:rPr>
          <w:rFonts w:hint="eastAsia" w:ascii="仿宋_GB2312" w:hAnsi="仿宋_GB2312" w:eastAsia="仿宋_GB2312" w:cs="仿宋_GB2312"/>
          <w:b w:val="0"/>
          <w:bCs w:val="0"/>
          <w:szCs w:val="21"/>
          <w:highlight w:val="none"/>
        </w:rPr>
        <w:t>的饮食安全，如在服务期内发生食物中毒等重大责任事故，损害就餐师生身体健康，影响学校声誉，愿意承担由此造成的一切责任（包括法律责任）和经济损失。</w:t>
      </w:r>
    </w:p>
    <w:p w14:paraId="6EA2D37B">
      <w:pPr>
        <w:adjustRightInd w:val="0"/>
        <w:snapToGrid w:val="0"/>
        <w:spacing w:line="360" w:lineRule="auto"/>
        <w:ind w:right="105" w:rightChars="50" w:firstLine="420" w:firstLineChars="20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lang w:val="en-US" w:eastAsia="zh-CN"/>
        </w:rPr>
        <w:t>提供餐饮服务的</w:t>
      </w:r>
      <w:r>
        <w:rPr>
          <w:rFonts w:hint="eastAsia" w:ascii="仿宋_GB2312" w:hAnsi="仿宋_GB2312" w:eastAsia="仿宋_GB2312" w:cs="仿宋_GB2312"/>
          <w:b w:val="0"/>
          <w:bCs w:val="0"/>
          <w:szCs w:val="21"/>
          <w:highlight w:val="none"/>
        </w:rPr>
        <w:t>工作人员属于我公司员工，与学校不存在任何雇佣、委托等劳动、劳务关系，同时工作人员在工作过程中的安全责任由我公司负责。如因电、水、消防</w:t>
      </w:r>
      <w:r>
        <w:rPr>
          <w:rFonts w:hint="eastAsia" w:ascii="仿宋_GB2312" w:hAnsi="仿宋_GB2312" w:eastAsia="仿宋_GB2312" w:cs="仿宋_GB2312"/>
          <w:b w:val="0"/>
          <w:bCs w:val="0"/>
          <w:szCs w:val="21"/>
          <w:highlight w:val="none"/>
          <w:lang w:eastAsia="zh-CN"/>
        </w:rPr>
        <w:t>、</w:t>
      </w:r>
      <w:r>
        <w:rPr>
          <w:rFonts w:hint="eastAsia" w:ascii="仿宋_GB2312" w:hAnsi="仿宋_GB2312" w:eastAsia="仿宋_GB2312" w:cs="仿宋_GB2312"/>
          <w:b w:val="0"/>
          <w:bCs w:val="0"/>
          <w:szCs w:val="21"/>
          <w:highlight w:val="none"/>
          <w:lang w:val="en-US" w:eastAsia="zh-CN"/>
        </w:rPr>
        <w:t>交通</w:t>
      </w:r>
      <w:r>
        <w:rPr>
          <w:rFonts w:hint="eastAsia" w:ascii="仿宋_GB2312" w:hAnsi="仿宋_GB2312" w:eastAsia="仿宋_GB2312" w:cs="仿宋_GB2312"/>
          <w:b w:val="0"/>
          <w:bCs w:val="0"/>
          <w:szCs w:val="21"/>
          <w:highlight w:val="none"/>
        </w:rPr>
        <w:t>等</w:t>
      </w:r>
      <w:r>
        <w:rPr>
          <w:rFonts w:hint="eastAsia" w:ascii="仿宋_GB2312" w:hAnsi="仿宋_GB2312" w:eastAsia="仿宋_GB2312" w:cs="仿宋_GB2312"/>
          <w:b w:val="0"/>
          <w:bCs w:val="0"/>
          <w:szCs w:val="21"/>
          <w:highlight w:val="none"/>
          <w:lang w:val="en-US" w:eastAsia="zh-CN"/>
        </w:rPr>
        <w:t>各</w:t>
      </w:r>
      <w:r>
        <w:rPr>
          <w:rFonts w:hint="eastAsia" w:ascii="仿宋_GB2312" w:hAnsi="仿宋_GB2312" w:eastAsia="仿宋_GB2312" w:cs="仿宋_GB2312"/>
          <w:b w:val="0"/>
          <w:bCs w:val="0"/>
          <w:szCs w:val="21"/>
          <w:highlight w:val="none"/>
        </w:rPr>
        <w:t>方面引起的生产</w:t>
      </w:r>
      <w:r>
        <w:rPr>
          <w:rFonts w:hint="eastAsia" w:ascii="仿宋_GB2312" w:hAnsi="仿宋_GB2312" w:eastAsia="仿宋_GB2312" w:cs="仿宋_GB2312"/>
          <w:b w:val="0"/>
          <w:bCs w:val="0"/>
          <w:szCs w:val="21"/>
          <w:highlight w:val="none"/>
          <w:lang w:val="en-US" w:eastAsia="zh-CN"/>
        </w:rPr>
        <w:t>或服务</w:t>
      </w:r>
      <w:r>
        <w:rPr>
          <w:rFonts w:hint="eastAsia" w:ascii="仿宋_GB2312" w:hAnsi="仿宋_GB2312" w:eastAsia="仿宋_GB2312" w:cs="仿宋_GB2312"/>
          <w:b w:val="0"/>
          <w:bCs w:val="0"/>
          <w:szCs w:val="21"/>
          <w:highlight w:val="none"/>
        </w:rPr>
        <w:t>事故，或发生意外伤亡事故，我公司愿意承担全部责任（包括法律责任）和必要的经济补偿。</w:t>
      </w:r>
    </w:p>
    <w:p w14:paraId="1647B411">
      <w:pPr>
        <w:adjustRightInd w:val="0"/>
        <w:snapToGrid w:val="0"/>
        <w:spacing w:line="360" w:lineRule="auto"/>
        <w:ind w:right="105" w:rightChars="50" w:firstLine="420" w:firstLineChars="200"/>
        <w:jc w:val="left"/>
        <w:rPr>
          <w:rFonts w:hint="eastAsia" w:ascii="仿宋_GB2312" w:hAnsi="仿宋_GB2312" w:eastAsia="仿宋_GB2312" w:cs="仿宋_GB2312"/>
          <w:b w:val="0"/>
          <w:bCs w:val="0"/>
          <w:szCs w:val="21"/>
          <w:highlight w:val="none"/>
        </w:rPr>
      </w:pPr>
    </w:p>
    <w:p w14:paraId="0F379D58">
      <w:pPr>
        <w:spacing w:line="360" w:lineRule="auto"/>
        <w:ind w:right="630" w:rightChars="300" w:firstLine="420" w:firstLineChars="200"/>
        <w:rPr>
          <w:rFonts w:ascii="仿宋_GB2312" w:hAnsi="仿宋_GB2312" w:eastAsia="仿宋_GB2312"/>
          <w:color w:val="auto"/>
          <w:szCs w:val="21"/>
          <w:highlight w:val="none"/>
        </w:rPr>
      </w:pPr>
    </w:p>
    <w:p w14:paraId="7F5DDFA1">
      <w:pPr>
        <w:spacing w:line="480" w:lineRule="exact"/>
        <w:ind w:right="630" w:rightChars="300"/>
        <w:jc w:val="center"/>
        <w:rPr>
          <w:rFonts w:ascii="仿宋_GB2312" w:hAnsi="仿宋_GB2312" w:eastAsia="仿宋_GB2312"/>
          <w:color w:val="auto"/>
          <w:sz w:val="28"/>
          <w:szCs w:val="28"/>
          <w:highlight w:val="none"/>
        </w:rPr>
      </w:pPr>
    </w:p>
    <w:p w14:paraId="7B5E8CA6">
      <w:pPr>
        <w:spacing w:line="480" w:lineRule="exact"/>
        <w:ind w:right="630" w:rightChars="300"/>
        <w:jc w:val="center"/>
        <w:rPr>
          <w:rFonts w:ascii="仿宋_GB2312" w:hAnsi="仿宋_GB2312" w:eastAsia="仿宋_GB2312"/>
          <w:color w:val="auto"/>
          <w:sz w:val="28"/>
          <w:szCs w:val="28"/>
          <w:highlight w:val="none"/>
        </w:rPr>
      </w:pPr>
    </w:p>
    <w:p w14:paraId="2B3A1444">
      <w:pPr>
        <w:spacing w:line="480" w:lineRule="exact"/>
        <w:ind w:right="630" w:rightChars="300"/>
        <w:jc w:val="center"/>
        <w:rPr>
          <w:rFonts w:ascii="仿宋_GB2312" w:hAnsi="仿宋_GB2312" w:eastAsia="仿宋_GB2312"/>
          <w:color w:val="auto"/>
          <w:sz w:val="28"/>
          <w:szCs w:val="28"/>
          <w:highlight w:val="none"/>
        </w:rPr>
      </w:pPr>
    </w:p>
    <w:p w14:paraId="74773FBA">
      <w:pPr>
        <w:snapToGrid w:val="0"/>
        <w:spacing w:line="480" w:lineRule="auto"/>
        <w:rPr>
          <w:rFonts w:ascii="仿宋_GB2312" w:hAnsi="仿宋_GB2312" w:eastAsia="仿宋_GB2312"/>
          <w:color w:val="auto"/>
          <w:highlight w:val="none"/>
        </w:rPr>
      </w:pPr>
      <w:r>
        <w:rPr>
          <w:rFonts w:hint="eastAsia" w:ascii="仿宋_GB2312" w:hAnsi="仿宋_GB2312" w:eastAsia="仿宋_GB2312"/>
          <w:color w:val="auto"/>
          <w:highlight w:val="none"/>
          <w:lang w:val="en-US" w:eastAsia="zh-CN"/>
        </w:rPr>
        <w:t>投标人</w:t>
      </w:r>
      <w:r>
        <w:rPr>
          <w:rFonts w:hint="eastAsia" w:ascii="仿宋_GB2312" w:hAnsi="仿宋_GB2312" w:eastAsia="仿宋_GB2312"/>
          <w:color w:val="auto"/>
          <w:highlight w:val="none"/>
        </w:rPr>
        <w:t>名称（加盖单位公章）：</w:t>
      </w:r>
      <w:r>
        <w:rPr>
          <w:rFonts w:hint="eastAsia" w:ascii="仿宋_GB2312" w:hAnsi="仿宋_GB2312" w:eastAsia="仿宋_GB2312"/>
          <w:color w:val="auto"/>
          <w:highlight w:val="none"/>
          <w:u w:val="single"/>
        </w:rPr>
        <w:t xml:space="preserve">           </w:t>
      </w:r>
    </w:p>
    <w:p w14:paraId="5BAFD32F">
      <w:pPr>
        <w:snapToGrid w:val="0"/>
        <w:spacing w:line="480" w:lineRule="auto"/>
        <w:rPr>
          <w:rFonts w:hint="eastAsia" w:ascii="仿宋_GB2312" w:hAnsi="仿宋_GB2312" w:eastAsia="仿宋_GB2312"/>
          <w:color w:val="000000"/>
          <w:highlight w:val="none"/>
          <w:u w:val="single"/>
        </w:rPr>
      </w:pPr>
      <w:r>
        <w:rPr>
          <w:rFonts w:hint="eastAsia" w:ascii="仿宋_GB2312" w:hAnsi="仿宋_GB2312" w:eastAsia="仿宋_GB2312"/>
          <w:color w:val="auto"/>
          <w:highlight w:val="none"/>
        </w:rPr>
        <w:t>法定代表人（或</w:t>
      </w:r>
      <w:r>
        <w:rPr>
          <w:rFonts w:hint="eastAsia" w:ascii="仿宋_GB2312" w:hAnsi="仿宋_GB2312" w:eastAsia="仿宋_GB2312"/>
          <w:color w:val="auto"/>
          <w:szCs w:val="21"/>
          <w:highlight w:val="none"/>
        </w:rPr>
        <w:t>非法人组织负责人）或</w:t>
      </w:r>
      <w:r>
        <w:rPr>
          <w:rFonts w:hint="eastAsia" w:ascii="仿宋_GB2312" w:hAnsi="仿宋_GB2312" w:eastAsia="仿宋_GB2312"/>
          <w:color w:val="auto"/>
          <w:highlight w:val="none"/>
        </w:rPr>
        <w:t>其委托代理人(签字或盖章)：</w:t>
      </w:r>
      <w:r>
        <w:rPr>
          <w:rFonts w:hint="eastAsia" w:ascii="仿宋_GB2312" w:hAnsi="仿宋_GB2312" w:eastAsia="仿宋_GB2312"/>
          <w:color w:val="000000"/>
          <w:highlight w:val="none"/>
          <w:u w:val="single"/>
        </w:rPr>
        <w:t xml:space="preserve">           </w:t>
      </w:r>
    </w:p>
    <w:p w14:paraId="3E420A30">
      <w:pPr>
        <w:snapToGrid w:val="0"/>
        <w:spacing w:line="480" w:lineRule="auto"/>
        <w:rPr>
          <w:highlight w:val="none"/>
        </w:rPr>
      </w:pPr>
      <w:r>
        <w:rPr>
          <w:rFonts w:hint="eastAsia" w:ascii="仿宋_GB2312" w:hAnsi="仿宋_GB2312" w:eastAsia="仿宋_GB2312"/>
          <w:color w:val="auto"/>
          <w:highlight w:val="none"/>
        </w:rPr>
        <w:t>日期：</w:t>
      </w:r>
      <w:r>
        <w:rPr>
          <w:rFonts w:hint="eastAsia" w:ascii="仿宋_GB2312" w:hAnsi="仿宋_GB2312" w:eastAsia="仿宋_GB2312"/>
          <w:color w:val="000000"/>
          <w:highlight w:val="none"/>
          <w:u w:val="single"/>
        </w:rPr>
        <w:t xml:space="preserve">           </w:t>
      </w:r>
    </w:p>
    <w:p w14:paraId="2107780C">
      <w:pPr>
        <w:widowControl/>
        <w:jc w:val="center"/>
        <w:outlineLvl w:val="0"/>
        <w:rPr>
          <w:rFonts w:hint="eastAsia" w:ascii="仿宋_GB2312" w:hAnsi="仿宋_GB2312" w:eastAsia="仿宋_GB2312" w:cs="仿宋_GB2312"/>
          <w:b/>
          <w:kern w:val="44"/>
          <w:sz w:val="44"/>
          <w:highlight w:val="none"/>
        </w:rPr>
      </w:pPr>
      <w:r>
        <w:rPr>
          <w:rFonts w:hint="eastAsia" w:ascii="仿宋_GB2312" w:hAnsi="仿宋_GB2312" w:eastAsia="仿宋_GB2312" w:cs="仿宋_GB2312"/>
          <w:highlight w:val="none"/>
        </w:rPr>
        <w:br w:type="page"/>
      </w:r>
      <w:r>
        <w:rPr>
          <w:rFonts w:hint="eastAsia" w:ascii="仿宋_GB2312" w:hAnsi="仿宋_GB2312" w:eastAsia="仿宋_GB2312" w:cs="仿宋_GB2312"/>
          <w:b/>
          <w:kern w:val="44"/>
          <w:sz w:val="44"/>
          <w:highlight w:val="none"/>
        </w:rPr>
        <w:t>第三章 服务需求</w:t>
      </w:r>
      <w:bookmarkEnd w:id="122"/>
      <w:bookmarkEnd w:id="123"/>
      <w:bookmarkEnd w:id="124"/>
    </w:p>
    <w:p w14:paraId="3890107D">
      <w:pPr>
        <w:adjustRightInd w:val="0"/>
        <w:snapToGrid w:val="0"/>
        <w:spacing w:line="360" w:lineRule="auto"/>
        <w:ind w:right="105" w:rightChars="50"/>
        <w:jc w:val="left"/>
        <w:rPr>
          <w:rFonts w:hint="eastAsia" w:ascii="仿宋_GB2312" w:hAnsi="仿宋_GB2312" w:eastAsia="仿宋_GB2312" w:cs="仿宋_GB2312"/>
          <w:szCs w:val="21"/>
          <w:highlight w:val="none"/>
        </w:rPr>
      </w:pPr>
      <w:bookmarkStart w:id="126" w:name="_Toc8062"/>
      <w:bookmarkStart w:id="127" w:name="_Toc8241"/>
    </w:p>
    <w:p w14:paraId="7FBB1B5B">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一、项目基本情况</w:t>
      </w:r>
    </w:p>
    <w:p w14:paraId="0A1690A9">
      <w:pPr>
        <w:tabs>
          <w:tab w:val="left" w:pos="4200"/>
        </w:tabs>
        <w:adjustRightInd w:val="0"/>
        <w:snapToGrid w:val="0"/>
        <w:spacing w:line="360" w:lineRule="auto"/>
        <w:ind w:right="105" w:rightChars="50" w:firstLine="476" w:firstLineChars="227"/>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lang w:eastAsia="zh-CN"/>
        </w:rPr>
        <w:t>沈阳市第一0七中学</w:t>
      </w:r>
      <w:r>
        <w:rPr>
          <w:rFonts w:hint="eastAsia" w:ascii="仿宋_GB2312" w:hAnsi="仿宋_GB2312" w:eastAsia="仿宋_GB2312" w:cs="仿宋_GB2312"/>
          <w:szCs w:val="21"/>
          <w:highlight w:val="none"/>
        </w:rPr>
        <w:t>位于沈阳市大东区滂江街121号，现采购专业餐饮公司为教师及</w:t>
      </w:r>
      <w:r>
        <w:rPr>
          <w:rFonts w:hint="eastAsia" w:ascii="仿宋_GB2312" w:hAnsi="仿宋_GB2312" w:eastAsia="仿宋_GB2312" w:cs="仿宋_GB2312"/>
          <w:szCs w:val="21"/>
          <w:highlight w:val="none"/>
          <w:lang w:eastAsia="zh-CN"/>
        </w:rPr>
        <w:t>学生</w:t>
      </w:r>
      <w:r>
        <w:rPr>
          <w:rFonts w:hint="eastAsia" w:ascii="仿宋_GB2312" w:hAnsi="仿宋_GB2312" w:eastAsia="仿宋_GB2312" w:cs="仿宋_GB2312"/>
          <w:szCs w:val="21"/>
          <w:highlight w:val="none"/>
        </w:rPr>
        <w:t>提供餐饮服务，服务期限一年，</w:t>
      </w:r>
      <w:r>
        <w:rPr>
          <w:rFonts w:hint="eastAsia" w:ascii="仿宋_GB2312" w:hAnsi="仿宋_GB2312" w:eastAsia="仿宋_GB2312" w:cs="仿宋_GB2312"/>
          <w:szCs w:val="21"/>
          <w:highlight w:val="none"/>
          <w:lang w:val="en-US" w:eastAsia="zh-CN"/>
        </w:rPr>
        <w:t>包括</w:t>
      </w:r>
      <w:r>
        <w:rPr>
          <w:rFonts w:hint="eastAsia" w:ascii="仿宋_GB2312" w:hAnsi="仿宋_GB2312" w:eastAsia="仿宋_GB2312" w:cs="仿宋_GB2312"/>
          <w:szCs w:val="21"/>
          <w:highlight w:val="none"/>
        </w:rPr>
        <w:t>教职员工早、午工作餐；学生包括午餐</w:t>
      </w:r>
      <w:r>
        <w:rPr>
          <w:rFonts w:hint="eastAsia" w:ascii="仿宋_GB2312" w:hAnsi="仿宋_GB2312" w:eastAsia="仿宋_GB2312" w:cs="仿宋_GB2312"/>
          <w:szCs w:val="21"/>
          <w:highlight w:val="none"/>
          <w:lang w:val="en-US" w:eastAsia="zh-CN"/>
        </w:rPr>
        <w:t>、晚餐</w:t>
      </w:r>
      <w:r>
        <w:rPr>
          <w:rFonts w:hint="eastAsia" w:ascii="仿宋_GB2312" w:hAnsi="仿宋_GB2312" w:eastAsia="仿宋_GB2312" w:cs="仿宋_GB2312"/>
          <w:szCs w:val="21"/>
          <w:highlight w:val="none"/>
        </w:rPr>
        <w:t>。中标单位要按照国家、省市等关于食堂管理的相关要求，严格执行《中华人民共和国食品安全法》</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沈阳市教育局等四部门关于进一步加强中小学校食堂管理的通知</w:t>
      </w:r>
      <w:r>
        <w:rPr>
          <w:rFonts w:hint="eastAsia" w:ascii="仿宋_GB2312" w:hAnsi="仿宋_GB2312" w:eastAsia="仿宋_GB2312" w:cs="仿宋_GB2312"/>
          <w:szCs w:val="21"/>
          <w:highlight w:val="none"/>
        </w:rPr>
        <w:t>和有关食品安全相关法规，保证平衡膳食，配餐科学，食材绿色环保，服务优质，严格执行用餐各项管理制度，切实保障师生用餐安全。</w:t>
      </w:r>
      <w:r>
        <w:rPr>
          <w:rFonts w:hint="eastAsia" w:ascii="仿宋_GB2312" w:hAnsi="仿宋_GB2312" w:eastAsia="仿宋_GB2312" w:cs="仿宋_GB2312"/>
          <w:szCs w:val="21"/>
          <w:highlight w:val="none"/>
          <w:lang w:val="en-US" w:eastAsia="zh-CN"/>
        </w:rPr>
        <w:t>学校</w:t>
      </w:r>
      <w:r>
        <w:rPr>
          <w:rFonts w:hint="eastAsia" w:ascii="仿宋_GB2312" w:hAnsi="仿宋_GB2312" w:eastAsia="仿宋_GB2312" w:cs="仿宋_GB2312"/>
          <w:szCs w:val="21"/>
          <w:highlight w:val="none"/>
        </w:rPr>
        <w:t>现有学生</w:t>
      </w:r>
      <w:r>
        <w:rPr>
          <w:rFonts w:hint="eastAsia" w:ascii="仿宋_GB2312" w:hAnsi="仿宋_GB2312" w:eastAsia="仿宋_GB2312" w:cs="仿宋_GB2312"/>
          <w:szCs w:val="21"/>
          <w:highlight w:val="none"/>
          <w:lang w:val="en-US" w:eastAsia="zh-CN"/>
        </w:rPr>
        <w:t>约</w:t>
      </w:r>
      <w:r>
        <w:rPr>
          <w:rFonts w:hint="eastAsia" w:ascii="仿宋_GB2312" w:hAnsi="仿宋_GB2312" w:eastAsia="仿宋_GB2312" w:cs="仿宋_GB2312"/>
          <w:szCs w:val="21"/>
          <w:highlight w:val="none"/>
        </w:rPr>
        <w:t>1250人，教师</w:t>
      </w:r>
      <w:r>
        <w:rPr>
          <w:rFonts w:hint="eastAsia" w:ascii="仿宋_GB2312" w:hAnsi="仿宋_GB2312" w:eastAsia="仿宋_GB2312" w:cs="仿宋_GB2312"/>
          <w:szCs w:val="21"/>
          <w:highlight w:val="none"/>
          <w:lang w:val="en-US" w:eastAsia="zh-CN"/>
        </w:rPr>
        <w:t>约</w:t>
      </w:r>
      <w:r>
        <w:rPr>
          <w:rFonts w:hint="eastAsia" w:ascii="仿宋_GB2312" w:hAnsi="仿宋_GB2312" w:eastAsia="仿宋_GB2312" w:cs="仿宋_GB2312"/>
          <w:szCs w:val="21"/>
          <w:highlight w:val="none"/>
        </w:rPr>
        <w:t>150人。</w:t>
      </w:r>
    </w:p>
    <w:p w14:paraId="2BA1AC58">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二、人员管理</w:t>
      </w:r>
    </w:p>
    <w:p w14:paraId="4A0B19E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w:t>
      </w:r>
      <w:r>
        <w:rPr>
          <w:rFonts w:hint="eastAsia" w:ascii="仿宋_GB2312" w:hAnsi="仿宋_GB2312" w:eastAsia="仿宋_GB2312" w:cs="仿宋_GB2312"/>
          <w:highlight w:val="none"/>
          <w:lang w:eastAsia="zh-CN"/>
        </w:rPr>
        <w:t>中标供应商需根据食堂实际运营情况足额配置从业人员，其中至少包括</w:t>
      </w:r>
      <w:r>
        <w:rPr>
          <w:rFonts w:hint="eastAsia" w:ascii="仿宋_GB2312" w:hAnsi="仿宋_GB2312" w:eastAsia="仿宋_GB2312" w:cs="仿宋_GB2312"/>
          <w:highlight w:val="none"/>
          <w:lang w:val="en-US" w:eastAsia="zh-CN"/>
        </w:rPr>
        <w:t>食品安全总监、食品</w:t>
      </w:r>
      <w:r>
        <w:rPr>
          <w:rFonts w:hint="eastAsia" w:ascii="仿宋_GB2312" w:hAnsi="仿宋_GB2312" w:eastAsia="仿宋_GB2312" w:cs="仿宋_GB2312"/>
          <w:highlight w:val="none"/>
          <w:lang w:eastAsia="zh-CN"/>
        </w:rPr>
        <w:t>安全管理员、</w:t>
      </w:r>
      <w:r>
        <w:rPr>
          <w:rFonts w:hint="eastAsia" w:ascii="仿宋_GB2312" w:hAnsi="仿宋_GB2312" w:eastAsia="仿宋_GB2312" w:cs="仿宋_GB2312"/>
          <w:highlight w:val="none"/>
          <w:lang w:val="en-US" w:eastAsia="zh-CN"/>
        </w:rPr>
        <w:t>营养师、厨师、健康管理师、中式面点师等。</w:t>
      </w:r>
      <w:r>
        <w:rPr>
          <w:rFonts w:hint="eastAsia" w:ascii="仿宋_GB2312" w:hAnsi="仿宋_GB2312" w:eastAsia="仿宋_GB2312" w:cs="仿宋_GB2312"/>
          <w:highlight w:val="none"/>
          <w:lang w:eastAsia="zh-CN"/>
        </w:rPr>
        <w:t>从业人员须取得健康证明,经培训后上岗。供应商负责人员的招聘、录用、培训和考评，并承担聘用人员相应费用，包括工资、社会保险、工伤保险等。从业人员与学校不存在劳动或劳务关系。</w:t>
      </w:r>
    </w:p>
    <w:p w14:paraId="080E36C5">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2.定期对食堂管理人员和从业人员进行食品安全业务培训，每学期进行考核。</w:t>
      </w:r>
    </w:p>
    <w:p w14:paraId="2CF381C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3.一经录用的从业人员应持健康证上岗，并将复印件提交学校备案，学校有权监督检查。</w:t>
      </w:r>
    </w:p>
    <w:p w14:paraId="1EAFC43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4.从业人员应接受晨检。有发热、呕吐、腹泻、皮肤伤口或感染、咽部炎症等有碍食品安全病症的人员，应主动向食品安全管理人员等报告并暂停从事接触直接入口食品的工作，待查明原因并治愈后方可复岗。</w:t>
      </w:r>
    </w:p>
    <w:p w14:paraId="690BEC3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5.为创建安全校园，从业人员应严格遵守校园人员进出管理规定，上下班配合</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门卫做好登记，非经允许，不得擅自携带无关人员进入校内。</w:t>
      </w:r>
    </w:p>
    <w:p w14:paraId="2C24D97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6.食品处理区内从业人员不得留长指甲、涂指甲油或化妆。工作时，佩戴的饰物不应外露。</w:t>
      </w:r>
    </w:p>
    <w:p w14:paraId="1D49660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7.从事接触直接入口食品工作的从业人员，加工食品前应进行手部消毒。</w:t>
      </w:r>
    </w:p>
    <w:p w14:paraId="24E1EFB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8.专间和专用操作区内的从业人员操作时应佩戴清洁的口罩、手套、工作帽等。</w:t>
      </w:r>
    </w:p>
    <w:p w14:paraId="101E457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9</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有权对从业人员的操作规范进行监督检查，并将整改意见告知食堂负责人，中标单位要在</w:t>
      </w:r>
      <w:r>
        <w:rPr>
          <w:rFonts w:hint="eastAsia" w:ascii="仿宋_GB2312" w:hAnsi="仿宋_GB2312" w:eastAsia="仿宋_GB2312" w:cs="仿宋_GB2312"/>
          <w:highlight w:val="none"/>
          <w:lang w:eastAsia="zh-CN"/>
        </w:rPr>
        <w:t>5个工作日</w:t>
      </w:r>
      <w:r>
        <w:rPr>
          <w:rFonts w:hint="eastAsia" w:ascii="仿宋_GB2312" w:hAnsi="仿宋_GB2312" w:eastAsia="仿宋_GB2312" w:cs="仿宋_GB2312"/>
          <w:highlight w:val="none"/>
        </w:rPr>
        <w:t>内进行整改。</w:t>
      </w:r>
    </w:p>
    <w:p w14:paraId="44FE1B65">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mc:AlternateContent>
          <mc:Choice Requires="wps">
            <w:drawing>
              <wp:anchor distT="0" distB="0" distL="114300" distR="114300" simplePos="0" relativeHeight="251659264" behindDoc="0" locked="0" layoutInCell="1" allowOverlap="1">
                <wp:simplePos x="0" y="0"/>
                <wp:positionH relativeFrom="page">
                  <wp:posOffset>3888105</wp:posOffset>
                </wp:positionH>
                <wp:positionV relativeFrom="paragraph">
                  <wp:posOffset>810895</wp:posOffset>
                </wp:positionV>
                <wp:extent cx="76835" cy="12763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76835" cy="127635"/>
                        </a:xfrm>
                        <a:prstGeom prst="rect">
                          <a:avLst/>
                        </a:prstGeom>
                        <a:noFill/>
                        <a:ln>
                          <a:noFill/>
                        </a:ln>
                        <a:effectLst/>
                      </wps:spPr>
                      <wps:txbx>
                        <w:txbxContent>
                          <w:p w14:paraId="251700C4">
                            <w:pPr>
                              <w:spacing w:line="120" w:lineRule="auto"/>
                              <w:ind w:left="20"/>
                              <w:jc w:val="left"/>
                              <w:rPr>
                                <w:sz w:val="16"/>
                              </w:rPr>
                            </w:pPr>
                            <w:r>
                              <w:rPr>
                                <w:color w:val="676B70"/>
                                <w:sz w:val="16"/>
                              </w:rPr>
                              <w:t>2</w:t>
                            </w:r>
                          </w:p>
                        </w:txbxContent>
                      </wps:txbx>
                      <wps:bodyPr vert="eaVert" wrap="square" lIns="0" tIns="0" rIns="0" bIns="0" upright="1"/>
                    </wps:wsp>
                  </a:graphicData>
                </a:graphic>
              </wp:anchor>
            </w:drawing>
          </mc:Choice>
          <mc:Fallback>
            <w:pict>
              <v:shape id="_x0000_s1026" o:spid="_x0000_s1026" o:spt="202" type="#_x0000_t202" style="position:absolute;left:0pt;margin-left:306.15pt;margin-top:63.85pt;height:10.05pt;width:6.05pt;mso-position-horizontal-relative:page;z-index:251659264;mso-width-relative:page;mso-height-relative:page;" filled="f" stroked="f" coordsize="21600,21600" o:gfxdata="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PgoCRPYAAAACwEAAA8AAAAAAAAAAQAgAAAAIgAA&#10;AGRycy9kb3ducmV2LnhtbFBLAQIUABQAAAAIAIdO4kBWNSjwzwEAAJwDAAAOAAAAAAAAAAEAIAAA&#10;ACcBAABkcnMvZTJvRG9jLnhtbFBLBQYAAAAABgAGAFkBAABoBQAAAAA=&#10;">
                <v:fill on="f" focussize="0,0"/>
                <v:stroke on="f"/>
                <v:imagedata o:title=""/>
                <o:lock v:ext="edit" aspectratio="f"/>
                <v:textbox inset="0mm,0mm,0mm,0mm" style="layout-flow:vertical-ideographic;">
                  <w:txbxContent>
                    <w:p w14:paraId="251700C4">
                      <w:pPr>
                        <w:spacing w:line="120" w:lineRule="auto"/>
                        <w:ind w:left="20"/>
                        <w:jc w:val="left"/>
                        <w:rPr>
                          <w:sz w:val="16"/>
                        </w:rPr>
                      </w:pPr>
                      <w:r>
                        <w:rPr>
                          <w:color w:val="676B70"/>
                          <w:sz w:val="16"/>
                        </w:rPr>
                        <w:t>2</w:t>
                      </w:r>
                    </w:p>
                  </w:txbxContent>
                </v:textbox>
              </v:shape>
            </w:pict>
          </mc:Fallback>
        </mc:AlternateContent>
      </w:r>
      <w:r>
        <w:rPr>
          <w:rFonts w:hint="eastAsia" w:ascii="仿宋_GB2312" w:hAnsi="仿宋_GB2312" w:eastAsia="仿宋_GB2312" w:cs="仿宋_GB2312"/>
          <w:b/>
          <w:bCs/>
          <w:highlight w:val="none"/>
        </w:rPr>
        <w:t>三、现场管理</w:t>
      </w:r>
    </w:p>
    <w:p w14:paraId="646E4C75">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1.</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提供满足食堂正常运营的基础设备及配套设施，并对合理损耗或已到报废期限的设</w:t>
      </w:r>
      <w:r>
        <w:rPr>
          <w:rFonts w:hint="eastAsia" w:ascii="仿宋_GB2312" w:hAnsi="仿宋_GB2312" w:eastAsia="仿宋_GB2312" w:cs="仿宋_GB2312"/>
          <w:color w:val="auto"/>
          <w:highlight w:val="none"/>
        </w:rPr>
        <w:t>备进行补充、更换。中标单位负责餐厅内部改造及相关设备设施的增添，并负责厨房设备日常维修维护保养，必须添置或需要更换的设备，由中标单位提出申请，经</w:t>
      </w:r>
      <w:r>
        <w:rPr>
          <w:rFonts w:hint="eastAsia" w:ascii="仿宋_GB2312" w:hAnsi="仿宋_GB2312" w:eastAsia="仿宋_GB2312" w:cs="仿宋_GB2312"/>
          <w:color w:val="auto"/>
          <w:highlight w:val="none"/>
          <w:lang w:eastAsia="zh-CN"/>
        </w:rPr>
        <w:t>学校</w:t>
      </w:r>
      <w:r>
        <w:rPr>
          <w:rFonts w:hint="eastAsia" w:ascii="仿宋_GB2312" w:hAnsi="仿宋_GB2312" w:eastAsia="仿宋_GB2312" w:cs="仿宋_GB2312"/>
          <w:color w:val="auto"/>
          <w:highlight w:val="none"/>
        </w:rPr>
        <w:t>同意后，</w:t>
      </w:r>
      <w:r>
        <w:rPr>
          <w:rFonts w:hint="eastAsia" w:ascii="仿宋_GB2312" w:hAnsi="仿宋_GB2312" w:eastAsia="仿宋_GB2312" w:cs="仿宋_GB2312"/>
          <w:color w:val="auto"/>
          <w:highlight w:val="none"/>
          <w:lang w:val="en-US" w:eastAsia="zh-CN"/>
        </w:rPr>
        <w:t>学校</w:t>
      </w:r>
      <w:r>
        <w:rPr>
          <w:rFonts w:hint="eastAsia" w:ascii="仿宋_GB2312" w:hAnsi="仿宋_GB2312" w:eastAsia="仿宋_GB2312" w:cs="仿宋_GB2312"/>
          <w:color w:val="auto"/>
          <w:highlight w:val="none"/>
        </w:rPr>
        <w:t>可安排购</w:t>
      </w:r>
      <w:r>
        <w:rPr>
          <w:rFonts w:hint="eastAsia" w:ascii="仿宋_GB2312" w:hAnsi="仿宋_GB2312" w:eastAsia="仿宋_GB2312" w:cs="仿宋_GB2312"/>
          <w:highlight w:val="none"/>
        </w:rPr>
        <w:t>买、安装和使用。如中标单位主动投资增添新设备作为提升满意度的增值服务，则后添置的厨房设备被列为中标单位固定资产；如合同期满，双方不再继续合作，中标单位有权将所有权归中标单位的物品和设备迁离。</w:t>
      </w:r>
    </w:p>
    <w:p w14:paraId="7DCD025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2.日常所需的餐具、器具、一次性用品等均由中标单位负责。  </w:t>
      </w:r>
    </w:p>
    <w:p w14:paraId="6BE9358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3.中标单位应保持食堂区域标识明晰，原材料、物料、工具用具及个人物品存放整齐。保持窗明几净，干净整洁。</w:t>
      </w:r>
    </w:p>
    <w:p w14:paraId="0865BBC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4.中标单位应建立健全管理制度（例如：岗位职责、流程规范、食品安全制度、生产安全制度、健康证公示、食品经营许可公示等），并做好省、市、区级教育局、市场监督管理局等有关监管部门的例行检查，</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有义务予以配合。</w:t>
      </w:r>
    </w:p>
    <w:p w14:paraId="0493F4B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5.中标单位负责缴纳水费、电费、燃气费。</w:t>
      </w:r>
    </w:p>
    <w:p w14:paraId="61A9340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6.服务期内，未经</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同意，中标单位不得以任何形式将食堂经营权、房屋、场地和设备全部或部分转让、出租、出借给第三方（中标单位自行添置的设备设施等动产除外）。</w:t>
      </w:r>
    </w:p>
    <w:p w14:paraId="05D2A36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7.</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为中标单位经营食堂所提供的场地应符合相关消防法律法规的要求，并配置符合规范及设计的消防系统与器材。</w:t>
      </w:r>
    </w:p>
    <w:p w14:paraId="5EEE8A87">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四、加工制作要求</w:t>
      </w:r>
    </w:p>
    <w:p w14:paraId="43416DE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食堂不得制售冷荤类食品、生食类食品、裱花蛋糕，不得加工四季豆、鲜黄花菜、野生蘑菇、发芽土豆等高风险食品。</w:t>
      </w:r>
    </w:p>
    <w:p w14:paraId="41C4068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2.动物性、植物性、水产品等食品原料的工用具和容器应分开使用，并有明显区分标识。</w:t>
      </w:r>
    </w:p>
    <w:p w14:paraId="0E9C46E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3.用于原料、半成品、成品的工用具和容器应分开使用，荤素、生熟应严格区分，并有明显区分标识。</w:t>
      </w:r>
    </w:p>
    <w:p w14:paraId="598C5EA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4</w:t>
      </w:r>
      <w:r>
        <w:rPr>
          <w:rFonts w:hint="eastAsia" w:ascii="仿宋_GB2312" w:hAnsi="仿宋_GB2312" w:eastAsia="仿宋_GB2312" w:cs="仿宋_GB2312"/>
          <w:highlight w:val="none"/>
        </w:rPr>
        <w:t>.生食蔬菜和水果应在专用区域或设施内清洗处理，必要时进行消毒。</w:t>
      </w:r>
    </w:p>
    <w:p w14:paraId="59FCC21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5</w:t>
      </w:r>
      <w:r>
        <w:rPr>
          <w:rFonts w:hint="eastAsia" w:ascii="仿宋_GB2312" w:hAnsi="仿宋_GB2312" w:eastAsia="仿宋_GB2312" w:cs="仿宋_GB2312"/>
          <w:highlight w:val="none"/>
        </w:rPr>
        <w:t>.未经清洁的禽蛋使用前应清洁外壳，必要时进行消毒。</w:t>
      </w:r>
    </w:p>
    <w:p w14:paraId="0F7F84C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.食堂内不得饲养和宰杀禽、畜等动物。</w:t>
      </w:r>
    </w:p>
    <w:p w14:paraId="60C9CBC5">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五、供餐模式供餐时间</w:t>
      </w:r>
    </w:p>
    <w:p w14:paraId="6BDDD50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1.供餐模式</w:t>
      </w:r>
    </w:p>
    <w:p w14:paraId="5B52ADE5">
      <w:pPr>
        <w:spacing w:line="360" w:lineRule="auto"/>
        <w:ind w:firstLine="420" w:firstLineChars="20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教师餐：</w:t>
      </w:r>
      <w:r>
        <w:rPr>
          <w:rFonts w:hint="eastAsia" w:ascii="仿宋_GB2312" w:hAnsi="仿宋_GB2312" w:eastAsia="仿宋_GB2312" w:cs="仿宋_GB2312"/>
          <w:highlight w:val="none"/>
          <w:lang w:val="en-US" w:eastAsia="zh-CN"/>
        </w:rPr>
        <w:t>自助模式，</w:t>
      </w:r>
      <w:r>
        <w:rPr>
          <w:rFonts w:hint="eastAsia" w:ascii="仿宋_GB2312" w:hAnsi="仿宋_GB2312" w:eastAsia="仿宋_GB2312" w:cs="仿宋_GB2312"/>
          <w:highlight w:val="none"/>
        </w:rPr>
        <w:t>由中标单位提供用餐设备设施</w:t>
      </w:r>
      <w:r>
        <w:rPr>
          <w:rFonts w:hint="eastAsia" w:ascii="仿宋_GB2312" w:hAnsi="仿宋_GB2312" w:eastAsia="仿宋_GB2312" w:cs="仿宋_GB2312"/>
          <w:highlight w:val="none"/>
          <w:lang w:eastAsia="zh-CN"/>
        </w:rPr>
        <w:t>。</w:t>
      </w:r>
    </w:p>
    <w:p w14:paraId="1BFAC45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学生餐：食堂做好后需采用保温桶和专业配送器皿盛装食物配送至各班级。</w:t>
      </w:r>
    </w:p>
    <w:p w14:paraId="546CA9D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2.开餐时间</w:t>
      </w:r>
    </w:p>
    <w:p w14:paraId="3DDEB035">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教师开餐时间： </w:t>
      </w:r>
    </w:p>
    <w:p w14:paraId="7AB97C2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早餐：0</w:t>
      </w:r>
      <w:r>
        <w:rPr>
          <w:rFonts w:hint="eastAsia" w:ascii="仿宋_GB2312" w:hAnsi="仿宋_GB2312" w:eastAsia="仿宋_GB2312" w:cs="仿宋_GB2312"/>
          <w:highlight w:val="none"/>
          <w:lang w:val="en-US" w:eastAsia="zh-CN"/>
        </w:rPr>
        <w:t>6:30</w:t>
      </w:r>
      <w:r>
        <w:rPr>
          <w:rFonts w:hint="eastAsia" w:ascii="仿宋_GB2312" w:hAnsi="仿宋_GB2312" w:eastAsia="仿宋_GB2312" w:cs="仿宋_GB2312"/>
          <w:highlight w:val="none"/>
        </w:rPr>
        <w:t>-07:30          午餐：11:30-12:30</w:t>
      </w:r>
    </w:p>
    <w:p w14:paraId="3079956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学生开餐时间：</w:t>
      </w:r>
    </w:p>
    <w:p w14:paraId="4D7F1190">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午餐：</w:t>
      </w:r>
      <w:r>
        <w:rPr>
          <w:rFonts w:hint="eastAsia" w:ascii="仿宋_GB2312" w:hAnsi="仿宋_GB2312" w:eastAsia="仿宋_GB2312" w:cs="仿宋_GB2312"/>
          <w:highlight w:val="none"/>
        </w:rPr>
        <w:t>11:30-12:30</w:t>
      </w:r>
      <w:r>
        <w:rPr>
          <w:rFonts w:hint="eastAsia" w:ascii="仿宋_GB2312" w:hAnsi="仿宋_GB2312" w:eastAsia="仿宋_GB2312" w:cs="仿宋_GB2312"/>
          <w:highlight w:val="none"/>
          <w:lang w:val="en-US" w:eastAsia="zh-CN"/>
        </w:rPr>
        <w:t xml:space="preserve">          晚餐：17:00</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17:30</w:t>
      </w:r>
    </w:p>
    <w:p w14:paraId="6979F0A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实际的供餐时间会根据实际情况进行调整，以</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安排为准。若无</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通知，中标单位不得无故自行更改供餐时间。如遇特殊情况更改供餐时间</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会及时或提前在合理时间内与中标单位沟通。</w:t>
      </w:r>
    </w:p>
    <w:p w14:paraId="2D707657">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六、供餐标准及付款方式</w:t>
      </w:r>
    </w:p>
    <w:p w14:paraId="3C322657">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教职工餐费标准：15元/人/天（早餐</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元/人/餐，午餐</w:t>
      </w:r>
      <w:r>
        <w:rPr>
          <w:rFonts w:hint="eastAsia" w:ascii="仿宋_GB2312" w:hAnsi="仿宋_GB2312" w:eastAsia="仿宋_GB2312" w:cs="仿宋_GB2312"/>
          <w:szCs w:val="21"/>
          <w:highlight w:val="none"/>
          <w:lang w:val="en-US" w:eastAsia="zh-CN"/>
        </w:rPr>
        <w:t>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具体支付金额以实际发生量进行结算；</w:t>
      </w:r>
    </w:p>
    <w:p w14:paraId="178BBE9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eastAsia="zh-CN"/>
        </w:rPr>
        <w:t>学生</w:t>
      </w:r>
      <w:r>
        <w:rPr>
          <w:rFonts w:hint="eastAsia" w:ascii="仿宋_GB2312" w:hAnsi="仿宋_GB2312" w:eastAsia="仿宋_GB2312" w:cs="仿宋_GB2312"/>
          <w:highlight w:val="none"/>
        </w:rPr>
        <w:t>餐费标准：</w:t>
      </w:r>
      <w:r>
        <w:rPr>
          <w:rFonts w:hint="eastAsia" w:ascii="仿宋_GB2312" w:hAnsi="仿宋_GB2312" w:eastAsia="仿宋_GB2312" w:cs="仿宋_GB2312"/>
          <w:szCs w:val="21"/>
          <w:highlight w:val="none"/>
          <w:lang w:val="en-US" w:eastAsia="zh-CN"/>
        </w:rPr>
        <w:t>26</w:t>
      </w:r>
      <w:r>
        <w:rPr>
          <w:rFonts w:hint="eastAsia" w:ascii="仿宋_GB2312" w:hAnsi="仿宋_GB2312" w:eastAsia="仿宋_GB2312" w:cs="仿宋_GB2312"/>
          <w:szCs w:val="21"/>
          <w:highlight w:val="none"/>
        </w:rPr>
        <w:t>元/人/天（</w:t>
      </w:r>
      <w:r>
        <w:rPr>
          <w:rFonts w:hint="eastAsia" w:ascii="仿宋_GB2312" w:hAnsi="仿宋_GB2312" w:eastAsia="仿宋_GB2312" w:cs="仿宋_GB2312"/>
          <w:szCs w:val="21"/>
          <w:highlight w:val="none"/>
          <w:lang w:val="en-US" w:eastAsia="zh-CN"/>
        </w:rPr>
        <w:t>午餐13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szCs w:val="21"/>
          <w:highlight w:val="none"/>
          <w:lang w:val="en-US" w:eastAsia="zh-CN"/>
        </w:rPr>
        <w:t>晚餐13</w:t>
      </w:r>
      <w:r>
        <w:rPr>
          <w:rFonts w:hint="eastAsia" w:ascii="仿宋_GB2312" w:hAnsi="仿宋_GB2312" w:eastAsia="仿宋_GB2312" w:cs="仿宋_GB2312"/>
          <w:szCs w:val="21"/>
          <w:highlight w:val="none"/>
        </w:rPr>
        <w:t>元/人/餐）</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rPr>
        <w:t>餐标单价按学生实收标准确定，如遇市场食品食材价格波动较大须调整餐费标准的，双方共同协商，结算以实际发生量进行。</w:t>
      </w:r>
    </w:p>
    <w:p w14:paraId="7D5F930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供应餐品：</w:t>
      </w:r>
    </w:p>
    <w:p w14:paraId="7B0324A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教师</w:t>
      </w:r>
      <w:r>
        <w:rPr>
          <w:rFonts w:hint="eastAsia" w:ascii="仿宋_GB2312" w:hAnsi="仿宋_GB2312" w:eastAsia="仿宋_GB2312" w:cs="仿宋_GB2312"/>
          <w:highlight w:val="none"/>
        </w:rPr>
        <w:t>早餐：一主食，一粥，</w:t>
      </w:r>
      <w:r>
        <w:rPr>
          <w:rFonts w:hint="eastAsia" w:ascii="仿宋_GB2312" w:hAnsi="仿宋_GB2312" w:eastAsia="仿宋_GB2312" w:cs="仿宋_GB2312"/>
          <w:highlight w:val="none"/>
          <w:lang w:val="en-US" w:eastAsia="zh-CN"/>
        </w:rPr>
        <w:t>二</w:t>
      </w:r>
      <w:r>
        <w:rPr>
          <w:rFonts w:hint="eastAsia" w:ascii="仿宋_GB2312" w:hAnsi="仿宋_GB2312" w:eastAsia="仿宋_GB2312" w:cs="仿宋_GB2312"/>
          <w:highlight w:val="none"/>
        </w:rPr>
        <w:t>个热菜</w:t>
      </w:r>
    </w:p>
    <w:p w14:paraId="09FF91A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教师/学生</w:t>
      </w:r>
      <w:r>
        <w:rPr>
          <w:rFonts w:hint="eastAsia" w:ascii="仿宋_GB2312" w:hAnsi="仿宋_GB2312" w:eastAsia="仿宋_GB2312" w:cs="仿宋_GB2312"/>
          <w:highlight w:val="none"/>
        </w:rPr>
        <w:t>午餐</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学生晚餐</w:t>
      </w:r>
      <w:r>
        <w:rPr>
          <w:rFonts w:hint="eastAsia" w:ascii="仿宋_GB2312" w:hAnsi="仿宋_GB2312" w:eastAsia="仿宋_GB2312" w:cs="仿宋_GB2312"/>
          <w:highlight w:val="none"/>
        </w:rPr>
        <w:t>：一主食、二荤、二素</w:t>
      </w:r>
    </w:p>
    <w:p w14:paraId="51E4A8D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注：实际的供餐食谱需根据要求进行调整，每天按照</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带量食谱供应。</w:t>
      </w:r>
    </w:p>
    <w:p w14:paraId="72F4A524">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中标单位提供的菜品必须保证质量，并符合法律法规及其他规范性文件对于食品卫生、安全的要求。</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有权对菜品出品进行监督检查，并将整改意见告知中标单位负责人。中标单位应在</w:t>
      </w:r>
      <w:r>
        <w:rPr>
          <w:rFonts w:hint="eastAsia" w:ascii="仿宋_GB2312" w:hAnsi="仿宋_GB2312" w:eastAsia="仿宋_GB2312" w:cs="仿宋_GB2312"/>
          <w:highlight w:val="none"/>
          <w:lang w:val="en-US" w:eastAsia="zh-CN"/>
        </w:rPr>
        <w:t>5个工作日</w:t>
      </w:r>
      <w:r>
        <w:rPr>
          <w:rFonts w:hint="eastAsia" w:ascii="仿宋_GB2312" w:hAnsi="仿宋_GB2312" w:eastAsia="仿宋_GB2312" w:cs="仿宋_GB2312"/>
          <w:highlight w:val="none"/>
        </w:rPr>
        <w:t>内做出整改。</w:t>
      </w:r>
    </w:p>
    <w:p w14:paraId="5E99277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用餐人数变化：如遇</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文化活动、学生提前放学、放假及临时性用餐人数增减等情况，</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应至少提前一天通知中标单位，以供中标单位进行相应准备，避免食材浪费。</w:t>
      </w:r>
    </w:p>
    <w:p w14:paraId="4F56D24D">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七、服务期限</w:t>
      </w:r>
    </w:p>
    <w:p w14:paraId="79308FB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本项目</w:t>
      </w:r>
      <w:r>
        <w:rPr>
          <w:rFonts w:hint="eastAsia" w:ascii="仿宋_GB2312" w:hAnsi="仿宋_GB2312" w:eastAsia="仿宋_GB2312" w:cs="仿宋_GB2312"/>
          <w:highlight w:val="none"/>
          <w:lang w:eastAsia="zh-CN"/>
        </w:rPr>
        <w:t>合同签订之日起一年</w:t>
      </w:r>
      <w:r>
        <w:rPr>
          <w:rFonts w:hint="eastAsia" w:ascii="仿宋_GB2312" w:hAnsi="仿宋_GB2312" w:eastAsia="仿宋_GB2312" w:cs="仿宋_GB2312"/>
          <w:highlight w:val="none"/>
        </w:rPr>
        <w:t>（以实际签订合同为准）。</w:t>
      </w:r>
    </w:p>
    <w:p w14:paraId="407CDA37">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八、安全管控</w:t>
      </w:r>
    </w:p>
    <w:p w14:paraId="4DB496D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1.中标单位应选用资质齐全的原材料供应商，建立健全合格的供应商库，保证正规渠道采购新鲜、卫生的食材。详细记录供货商进货台账。</w:t>
      </w:r>
    </w:p>
    <w:p w14:paraId="05A3418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中标单位要保持运营场所的环境、操作规范和出品质量符合《中华人民共和国食品安全法》和其他有相关食品安全法律法规，应建立健全食堂整体运营方案。如若因中标单位原因发生因食物引起的食品安全事故，中标单位承担全部责任。</w:t>
      </w:r>
    </w:p>
    <w:p w14:paraId="7C5988A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3.中标单位负责制定食品安全、消防安全、断水、断电、特殊天气的应急预案，并定期组织演练，为师生提供一个安全、健康的饮食环境。</w:t>
      </w:r>
    </w:p>
    <w:p w14:paraId="24C2B2B4">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4.中标单位应</w:t>
      </w:r>
      <w:r>
        <w:rPr>
          <w:rFonts w:hint="eastAsia" w:ascii="仿宋_GB2312" w:hAnsi="仿宋_GB2312" w:eastAsia="仿宋_GB2312" w:cs="仿宋_GB2312"/>
          <w:highlight w:val="none"/>
          <w:lang w:val="en-US" w:eastAsia="zh-CN"/>
        </w:rPr>
        <w:t>严格落实食品留样制度，</w:t>
      </w:r>
      <w:r>
        <w:rPr>
          <w:rFonts w:hint="eastAsia" w:ascii="仿宋_GB2312" w:hAnsi="仿宋_GB2312" w:eastAsia="仿宋_GB2312" w:cs="仿宋_GB2312"/>
          <w:highlight w:val="none"/>
        </w:rPr>
        <w:t>按规定对每餐食品进行留样，应将留样食品按照品种分别盛放于清洗消毒后的专用密闭容器内，每个品种留样量不少于125克，由专用留样冰箱冷藏（0℃～8℃）保存48小时以上，并有留样记录。留样冰箱“双人双锁”，专人负责留样管理，如有异常，立即封存，备查。</w:t>
      </w:r>
    </w:p>
    <w:p w14:paraId="771BC60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5.添加剂管理要求：</w:t>
      </w:r>
    </w:p>
    <w:p w14:paraId="4EF245A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①食品添加剂专人专柜（位）保管，标注“食品添加剂”字样，并与食品、食品相关产品等分开存放。</w:t>
      </w:r>
    </w:p>
    <w:p w14:paraId="6D36145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②添加剂的使用应严格按照国家标准进行，明确允许使用的种类和最大用量，做到计量使用、专册记录，保存详细的使用记录，包括使用日期、种类、用量及相关负责人员信息。</w:t>
      </w:r>
    </w:p>
    <w:p w14:paraId="1F7DE8A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③用容器盛放开封后的食品添加剂的，应在容器上标明食品添加剂名称、生产日期或批号、使用期限，并保留食品添加剂原包装。</w:t>
      </w:r>
    </w:p>
    <w:p w14:paraId="11BDA300">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④严禁采购、贮存和使用亚硝酸盐（包括亚硝酸钠、亚硝酸钾）。</w:t>
      </w:r>
    </w:p>
    <w:p w14:paraId="5D2DC98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6.清洗消毒：</w:t>
      </w:r>
    </w:p>
    <w:p w14:paraId="516AE2B5">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①采用物理消毒或化学消毒的设备应能正常运转，消毒温度和时间应符合相关要求，消毒液配制和浓度应严格按照规定执行。采用自动清洗消毒的应严格遵循使用说明操作。</w:t>
      </w:r>
    </w:p>
    <w:p w14:paraId="2108BAD5">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②餐饮具清洗设施和设备应与食品原料及清洁工具的清洗设施、设备分开，并有明显区分。</w:t>
      </w:r>
    </w:p>
    <w:p w14:paraId="26DC264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③消毒后的餐饮具、盛放或接触直接入口食品的容器和工具，应定位存放在清洁、专用、密闭的保洁设施中，并有明显区分标识。定期清洁保洁设施，防止清洗消毒后的餐饮具受到污染。</w:t>
      </w:r>
    </w:p>
    <w:p w14:paraId="341290C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④每餐或每班使用专间前，应对操作台面和专间空气进行消毒。</w:t>
      </w:r>
    </w:p>
    <w:p w14:paraId="70B20A8B">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7.环境卫生：</w:t>
      </w:r>
    </w:p>
    <w:p w14:paraId="7C662F4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①食品处理区保持墙壁和门窗无污渍、无灰尘，天花板无霉斑。</w:t>
      </w:r>
    </w:p>
    <w:p w14:paraId="437B414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②就餐场所卫生清洁，地面、墙壁、门窗、天花板等无霉斑、污垢、积油、积水等情形。</w:t>
      </w:r>
    </w:p>
    <w:p w14:paraId="1DB67E05">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③卫生间地面、洗手池及台面无积水、无污物、无垃圾，便池内外无污物、无积垢、冲水良好。</w:t>
      </w:r>
    </w:p>
    <w:p w14:paraId="45374123">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④待清洗的工作服不得存放在食品处理区。</w:t>
      </w:r>
    </w:p>
    <w:p w14:paraId="1308728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⑤应开展有害生物防治，遵循优先使用物理方法、必要时使用化学方法的原则。化学药剂应存放在专门设施内。</w:t>
      </w:r>
    </w:p>
    <w:p w14:paraId="3BB94E3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8.餐厨废弃物处置</w:t>
      </w:r>
      <w:r>
        <w:rPr>
          <w:rFonts w:hint="eastAsia" w:ascii="仿宋_GB2312" w:hAnsi="仿宋_GB2312" w:eastAsia="仿宋_GB2312" w:cs="仿宋_GB2312"/>
          <w:highlight w:val="none"/>
          <w:lang w:val="en-US" w:eastAsia="zh-CN"/>
        </w:rPr>
        <w:t>依据《沈阳市餐厨垃圾管理办法》，建立餐厨废弃物处理制度</w:t>
      </w:r>
      <w:r>
        <w:rPr>
          <w:rFonts w:hint="eastAsia" w:ascii="仿宋_GB2312" w:hAnsi="仿宋_GB2312" w:eastAsia="仿宋_GB2312" w:cs="仿宋_GB2312"/>
          <w:highlight w:val="none"/>
        </w:rPr>
        <w:t>：</w:t>
      </w:r>
    </w:p>
    <w:p w14:paraId="74C9F2C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①餐厨废弃物应分类放置、及时清理，日产日清，不应溢出存放容器。</w:t>
      </w:r>
    </w:p>
    <w:p w14:paraId="5206E04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②废弃物存放容器应配有盖子，内壁光滑，易于清洁，及时清洁废弃物存放容器，必要时进行消毒。</w:t>
      </w:r>
    </w:p>
    <w:p w14:paraId="51BA316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③食堂不能自行处理餐厨废弃物，应交由符合要求的生活垃圾运输单位或者餐厨垃圾处理单位处理。</w:t>
      </w:r>
    </w:p>
    <w:p w14:paraId="4A748463">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④应建立餐厨垃圾处置台账，详细记录餐厨垃圾的处置时间、种类、数量、收运者等信息。</w:t>
      </w:r>
    </w:p>
    <w:p w14:paraId="67092CC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9.特殊食品和过敏原控制：</w:t>
      </w:r>
    </w:p>
    <w:p w14:paraId="18D5212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①特殊食品（如无麸质食品、无乳糖食品）应与普通食品分开存放，并在食品加工和供应过程中避免交叉污染。</w:t>
      </w:r>
    </w:p>
    <w:p w14:paraId="22385383">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②可能引发过敏反应的食品（如坚果、海鲜等）应在显著位置标识，</w:t>
      </w:r>
      <w:r>
        <w:rPr>
          <w:rFonts w:hint="eastAsia" w:ascii="仿宋_GB2312" w:hAnsi="仿宋_GB2312" w:eastAsia="仿宋_GB2312" w:cs="仿宋_GB2312"/>
          <w:highlight w:val="none"/>
          <w:lang w:val="en-US" w:eastAsia="zh-CN"/>
        </w:rPr>
        <w:t>无堂食条件的学校，相关信息提供给学校在公众号中进行菜谱公示。</w:t>
      </w:r>
    </w:p>
    <w:p w14:paraId="6F877997">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③应为有特殊饮食需求的学生提供适当的替代食品，并在供应前确保这些食品符合安全标准。</w:t>
      </w:r>
    </w:p>
    <w:p w14:paraId="4C15824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④食堂工作人员应定期接受食品安全和过敏原管理培训，掌握处理和准备特殊食品的正确方法，避免过敏原交叉污染。</w:t>
      </w:r>
    </w:p>
    <w:p w14:paraId="1B622C19">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九、采用食材要求</w:t>
      </w:r>
    </w:p>
    <w:p w14:paraId="6EA94B3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禽肉类：经定点屠宰，检疫检验合格，符合GB2707-2016食品安全国家标准，所含有毒有害物质不超过最高限量的，表皮白净、毛少或无毛，脂肪洁白有光泽，肉呈鲜红色或玫红色，弹性好，按之速度恢复，表面不粘手，有正常的肉味。达到一级鲜度，肌肉有光泽，红色均匀，脂肪洁白，挥发性盐基氮≤20mg/100g。必须经正规的检验检疫部门检验，并具有检验合格证明。</w:t>
      </w:r>
    </w:p>
    <w:p w14:paraId="0DE4254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2.蛋类：符合卫生部规定</w:t>
      </w:r>
      <w:r>
        <w:rPr>
          <w:rFonts w:hint="eastAsia" w:ascii="仿宋_GB2312" w:hAnsi="仿宋_GB2312" w:eastAsia="仿宋_GB2312" w:cs="仿宋_GB2312"/>
          <w:highlight w:val="none"/>
          <w:lang w:val="en-US" w:eastAsia="zh-CN"/>
        </w:rPr>
        <w:fldChar w:fldCharType="begin"/>
      </w:r>
      <w:r>
        <w:rPr>
          <w:rFonts w:hint="eastAsia" w:ascii="仿宋_GB2312" w:hAnsi="仿宋_GB2312" w:eastAsia="仿宋_GB2312" w:cs="仿宋_GB2312"/>
          <w:highlight w:val="none"/>
          <w:lang w:val="en-US" w:eastAsia="zh-CN"/>
        </w:rPr>
        <w:instrText xml:space="preserve"> HYPERLINK "http://down.foodmate.net/standard/sort/3/48415.html" \t "http://down.foodmate.net/standard/sort/3/_blank" </w:instrText>
      </w:r>
      <w:r>
        <w:rPr>
          <w:rFonts w:hint="eastAsia" w:ascii="仿宋_GB2312" w:hAnsi="仿宋_GB2312" w:eastAsia="仿宋_GB2312" w:cs="仿宋_GB2312"/>
          <w:highlight w:val="none"/>
          <w:lang w:val="en-US" w:eastAsia="zh-CN"/>
        </w:rPr>
        <w:fldChar w:fldCharType="separate"/>
      </w:r>
      <w:r>
        <w:rPr>
          <w:rFonts w:hint="eastAsia" w:ascii="仿宋_GB2312" w:hAnsi="仿宋_GB2312" w:eastAsia="仿宋_GB2312" w:cs="仿宋_GB2312"/>
          <w:highlight w:val="none"/>
          <w:lang w:val="en-US" w:eastAsia="zh-CN"/>
        </w:rPr>
        <w:t>GB 2749-2015 《食品安全国家标准 蛋与蛋制品</w:t>
      </w:r>
      <w:r>
        <w:rPr>
          <w:rFonts w:hint="eastAsia" w:ascii="仿宋_GB2312" w:hAnsi="仿宋_GB2312" w:eastAsia="仿宋_GB2312" w:cs="仿宋_GB2312"/>
          <w:highlight w:val="none"/>
          <w:lang w:val="en-US" w:eastAsia="zh-CN"/>
        </w:rPr>
        <w:fldChar w:fldCharType="end"/>
      </w:r>
      <w:r>
        <w:rPr>
          <w:rFonts w:hint="eastAsia" w:ascii="仿宋_GB2312" w:hAnsi="仿宋_GB2312" w:eastAsia="仿宋_GB2312" w:cs="仿宋_GB2312"/>
          <w:highlight w:val="none"/>
          <w:lang w:val="en-US" w:eastAsia="zh-CN"/>
        </w:rPr>
        <w:t>》</w:t>
      </w:r>
      <w:r>
        <w:rPr>
          <w:rFonts w:hint="eastAsia" w:ascii="仿宋_GB2312" w:hAnsi="仿宋_GB2312" w:eastAsia="仿宋_GB2312" w:cs="仿宋_GB2312"/>
          <w:highlight w:val="none"/>
        </w:rPr>
        <w:t>，鸡蛋的质量等级不低于二级大鸡蛋标准，出厂时间在3天内，蛋壳表面干净、完整、坚实，附有一层无光泽的胶质薄膜，手中振摇无声响，包装为定量包装，并有防碎垫板，鸡蛋中不得检出氯霉素，沙门氏菌等物质，其中无机甲、铅、汞等指标按照食品行业中的系列标准GB/T5009。</w:t>
      </w:r>
    </w:p>
    <w:p w14:paraId="58D2092C">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3.畜肉：符合国家制定的卫生标准，肉品品质检验合格证明，达到一级鲜度，肌肉有光泽、红色均匀、脂肪洁白。</w:t>
      </w:r>
    </w:p>
    <w:p w14:paraId="66842D4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4.水产类：</w:t>
      </w:r>
      <w:r>
        <w:rPr>
          <w:rFonts w:hint="eastAsia" w:ascii="仿宋_GB2312" w:hAnsi="仿宋_GB2312" w:eastAsia="仿宋_GB2312" w:cs="仿宋_GB2312"/>
          <w:highlight w:val="none"/>
          <w:lang w:val="en-US" w:eastAsia="zh-CN"/>
        </w:rPr>
        <w:t>海水鱼虾挥发性盐基氮≤30mg/100g、淡水鱼虾挥发性盐基氮≤20 mg/100g（GB2733-2015）</w:t>
      </w:r>
      <w:r>
        <w:rPr>
          <w:rFonts w:hint="eastAsia" w:ascii="仿宋_GB2312" w:hAnsi="仿宋_GB2312" w:eastAsia="仿宋_GB2312" w:cs="仿宋_GB2312"/>
          <w:highlight w:val="none"/>
        </w:rPr>
        <w:t>，体表鳞片完整或较完整，不易脱落。体表粘液透明无臭味，具有固有色泽，鳃丝较清晰，色鲜红或暗红，粘液不混浊，无异臭味，眼球饱满，角膜透明或稍混浊，组织有弹性，切面有光泽，肌纤维清晰。虾片、虾皮、银鱼、海米为干货。鱼类重量需求：鲤鱼每条2-3斤，草鱼每条3-4斤，鲶鱼每条4斤左右，鲫鱼每条1斤左右，刀鱼每条净重量200-400g，鲅鱼每条净重量为300g左右，黄花鱼每盒为14-16条，北极虾每公斤50-60只，大虾为每公斤50-60只。</w:t>
      </w:r>
    </w:p>
    <w:p w14:paraId="24A164B3">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5.蔬菜类：不能低于“无公害蔬菜”等级标准。外观要求：成熟度适中，新鲜，色泽良好，形态正常，个体均匀，外观清洁，无腐烂、无霉变、无异味，无影响食用的病虫害及机械损伤。</w:t>
      </w:r>
    </w:p>
    <w:p w14:paraId="12E54C3B">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6.调味品类：</w:t>
      </w:r>
      <w:r>
        <w:rPr>
          <w:rFonts w:hint="eastAsia" w:ascii="仿宋_GB2312" w:hAnsi="仿宋_GB2312" w:eastAsia="仿宋_GB2312" w:cs="仿宋_GB2312"/>
          <w:highlight w:val="none"/>
          <w:lang w:val="en-US" w:eastAsia="zh-CN"/>
        </w:rPr>
        <w:t>GB/T 20903-2007 调味品分类国家标准</w:t>
      </w:r>
      <w:r>
        <w:rPr>
          <w:rFonts w:hint="eastAsia" w:ascii="仿宋_GB2312" w:hAnsi="仿宋_GB2312" w:eastAsia="仿宋_GB2312" w:cs="仿宋_GB2312"/>
          <w:highlight w:val="none"/>
        </w:rPr>
        <w:t>。所采购商品必须具备其所具有的颜色、味道、状态、必须干爽，不得出现霉烂变质、有异味产品。</w:t>
      </w:r>
    </w:p>
    <w:p w14:paraId="4B7CBBE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7.水果饮料类：果形周正，发育正常，大小均匀，不得有畸形果，皮色正常，网纹清晰，果皮光滑，茸毛正常，具有本品种应有的特征，成熟时应有的颜色，果实成熟、质脆、汁多、甜度高、口感好、无生果、过熟果，无明显严重伤害。  </w:t>
      </w:r>
    </w:p>
    <w:p w14:paraId="731B6C1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8.食用油产品质量要求：大豆油必须经地方正规的检验检疫部门检验，并出具验收合格证明后，方可采用。必须完全达到或者优于GBT1535-2017《大豆油》国家标准。</w:t>
      </w:r>
    </w:p>
    <w:p w14:paraId="33C05484">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9.奶制品产品质量要求：牛奶/纯牛奶必须完全达到或者优于GB25190-2010《食品安全国家标准灭菌乳，并且为非复原乳，调制品必须完全达到或者优于GB25191-2010《食品安全国家标准调制乳，并且为非复原乳，供货日期在生产日期7日内。必须经地方正规的检验检疫部门检验，并具有验收合格证明。</w:t>
      </w:r>
    </w:p>
    <w:p w14:paraId="3AA67D4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10.大米必须符合</w:t>
      </w:r>
      <w:r>
        <w:rPr>
          <w:rFonts w:hint="eastAsia" w:ascii="仿宋_GB2312" w:hAnsi="仿宋_GB2312" w:eastAsia="仿宋_GB2312" w:cs="仿宋_GB2312"/>
          <w:highlight w:val="none"/>
          <w:lang w:val="en-US" w:eastAsia="zh-CN"/>
        </w:rPr>
        <w:t>GB/T1354-2018</w:t>
      </w:r>
      <w:r>
        <w:rPr>
          <w:rFonts w:hint="eastAsia" w:ascii="仿宋_GB2312" w:hAnsi="仿宋_GB2312" w:eastAsia="仿宋_GB2312" w:cs="仿宋_GB2312"/>
          <w:highlight w:val="none"/>
        </w:rPr>
        <w:t>，并拥有食品生产许可证编号，包装洁净，无破损，生产日期符合要求；产品标签完好，并标注应有内容；颗粒完整饱满，无杂质、无沙土、无霉变、无米虫，干燥，应具备镉、黄曲霉毒素等指标的检测报告。</w:t>
      </w:r>
    </w:p>
    <w:p w14:paraId="22BB80F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11.</w:t>
      </w:r>
      <w:r>
        <w:rPr>
          <w:rFonts w:hint="eastAsia" w:ascii="仿宋_GB2312" w:hAnsi="仿宋_GB2312" w:eastAsia="仿宋_GB2312" w:cs="仿宋_GB2312"/>
          <w:highlight w:val="none"/>
          <w:lang w:val="en-US" w:eastAsia="zh-CN"/>
        </w:rPr>
        <w:t>高筋小麦粉必须符合GB/T8607-1988标准，低筋小麦粉标准符合GB/T8608-1988,</w:t>
      </w:r>
      <w:bookmarkStart w:id="128" w:name="OLE_LINK1"/>
      <w:r>
        <w:rPr>
          <w:rFonts w:hint="eastAsia" w:ascii="仿宋_GB2312" w:hAnsi="仿宋_GB2312" w:eastAsia="仿宋_GB2312" w:cs="仿宋_GB2312"/>
          <w:highlight w:val="none"/>
          <w:lang w:val="en-US" w:eastAsia="zh-CN"/>
        </w:rPr>
        <w:t>2025年12月1日以后专用小麦粉符合</w:t>
      </w:r>
      <w:r>
        <w:rPr>
          <w:rFonts w:hint="eastAsia" w:ascii="仿宋_GB2312" w:hAnsi="仿宋_GB2312" w:eastAsia="仿宋_GB2312" w:cs="仿宋_GB2312"/>
          <w:highlight w:val="none"/>
          <w:lang w:val="en-US" w:eastAsia="zh-CN"/>
        </w:rPr>
        <w:fldChar w:fldCharType="begin"/>
      </w:r>
      <w:r>
        <w:rPr>
          <w:rFonts w:hint="eastAsia" w:ascii="仿宋_GB2312" w:hAnsi="仿宋_GB2312" w:eastAsia="仿宋_GB2312" w:cs="仿宋_GB2312"/>
          <w:highlight w:val="none"/>
          <w:lang w:val="en-US" w:eastAsia="zh-CN"/>
        </w:rPr>
        <w:instrText xml:space="preserve"> HYPERLINK "http://down.foodmate.net/standard/sort/3/159216.html" </w:instrText>
      </w:r>
      <w:r>
        <w:rPr>
          <w:rFonts w:hint="eastAsia" w:ascii="仿宋_GB2312" w:hAnsi="仿宋_GB2312" w:eastAsia="仿宋_GB2312" w:cs="仿宋_GB2312"/>
          <w:highlight w:val="none"/>
          <w:lang w:val="en-US" w:eastAsia="zh-CN"/>
        </w:rPr>
        <w:fldChar w:fldCharType="separate"/>
      </w:r>
      <w:r>
        <w:rPr>
          <w:rFonts w:hint="eastAsia" w:ascii="仿宋_GB2312" w:hAnsi="仿宋_GB2312" w:eastAsia="仿宋_GB2312" w:cs="仿宋_GB2312"/>
          <w:highlight w:val="none"/>
          <w:lang w:val="en-US" w:eastAsia="zh-CN"/>
        </w:rPr>
        <w:t>GB/T 8607-2024</w:t>
      </w:r>
      <w:r>
        <w:rPr>
          <w:rFonts w:hint="eastAsia" w:ascii="仿宋_GB2312" w:hAnsi="仿宋_GB2312" w:eastAsia="仿宋_GB2312" w:cs="仿宋_GB2312"/>
          <w:highlight w:val="none"/>
          <w:lang w:val="en-US" w:eastAsia="zh-CN"/>
        </w:rPr>
        <w:fldChar w:fldCharType="end"/>
      </w:r>
      <w:bookmarkEnd w:id="128"/>
      <w:r>
        <w:rPr>
          <w:rFonts w:hint="eastAsia" w:ascii="仿宋_GB2312" w:hAnsi="仿宋_GB2312" w:eastAsia="仿宋_GB2312" w:cs="仿宋_GB2312"/>
          <w:highlight w:val="none"/>
        </w:rPr>
        <w:t>，并拥有食品生产许可证编号，包装洁净，无破损，生产日期符合要求；产品标签完好，并标注应有的内容；松散不结团，粉粒细软滑均匀，有正常光泽，无异味、无结块，并具有检测报告。</w:t>
      </w:r>
    </w:p>
    <w:p w14:paraId="3FD57AE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12.根据相关扶贫采购政策，按省市区文件确定的农副产品采购金额预留比例在“扶贫地区农副产品网络销售平台”开展采购活动。实际比例按照省市区文件要求做适时调整，由中标单位按扶贫文件要求进行定点采购，所发生费用由中标单位承担。</w:t>
      </w:r>
    </w:p>
    <w:p w14:paraId="0A41418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以上材料，由中标单位在正式供餐服务期间按实际要求提供，投标文件中无需提供。进货查验记录和相关凭证的保存期限不少于产品保质期满后6个月；无明确保质期的，保存期限不少于2年。其他各项记录保存期限宜为2年。</w:t>
      </w:r>
    </w:p>
    <w:p w14:paraId="762E185A">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原料贮存要求：</w:t>
      </w:r>
    </w:p>
    <w:p w14:paraId="7D2E84CA">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1.散装食品（食用农产品除外）应在贮存位置上标明食品名称、生产日期或生产批号、使用期限等信息。宜使用密闭容器贮存。</w:t>
      </w:r>
    </w:p>
    <w:p w14:paraId="7D3B6A38">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2.同一库房内贮存不同类别食品和非食品（如食品包装材料等），应分设存放区域，不同区域有明显的区分标识。</w:t>
      </w:r>
    </w:p>
    <w:p w14:paraId="77C7071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3.贮存的食品和物品离墙、离地，距离墙壁和地面均应在10cm以上。</w:t>
      </w:r>
    </w:p>
    <w:p w14:paraId="08BF42E2">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4.冷冻贮存食品前宜分割食品，避免使用时反复解冻、冷冻。冷冻（藏）贮存食品时不宜堆积、挤压食品。</w:t>
      </w:r>
    </w:p>
    <w:p w14:paraId="41257957">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十、责任状</w:t>
      </w:r>
    </w:p>
    <w:p w14:paraId="77F2D929">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1.服务期内中标单位负责食堂的饮食安全卫生，签订合同时还须与</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签订食品安全责任状。</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严格执行事故责任追究制度，如在服务期内因中标单位过错发生食物中毒等重大责任事故，损害就餐师生身体健康，影响</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声誉，中标单位必须承担由此造成的一切责任和经济损失，</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有权终止合同。</w:t>
      </w:r>
    </w:p>
    <w:p w14:paraId="2AE86BA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服务期内中标单位负责食堂工作人员管理，食堂工作人员在工作过程中的安全责任由中标单位负责。如因用电、水、燃气操作不当引起的生产事故，或发生从业人员意外伤亡事故，中标单位承担过错责任和必要的经济补偿。</w:t>
      </w:r>
    </w:p>
    <w:p w14:paraId="426BDBE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3.响应国家号召，在</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指导下中标单位需按时完成扶贫农副产品采购等工作。</w:t>
      </w:r>
    </w:p>
    <w:p w14:paraId="5A7F4A06">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4.</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充分认可中标单位为履行服务发生或可能发生的成本投入，因此服务履行期间，</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保证与中标单位的合作具有排他性，除中标单位外，</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不得自营或另行从第三方采购项下服务，否则应承担违约责任并赔偿中标单位投入成本损失及预期收益损失。</w:t>
      </w:r>
    </w:p>
    <w:p w14:paraId="7EE63A11">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highlight w:val="none"/>
        </w:rPr>
        <w:t>5.其他未尽事宜以双方签订的服务合同为准。</w:t>
      </w:r>
    </w:p>
    <w:p w14:paraId="58146006">
      <w:pPr>
        <w:spacing w:line="360" w:lineRule="auto"/>
        <w:ind w:firstLine="420" w:firstLineChars="200"/>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十一、退出引进机制</w:t>
      </w:r>
    </w:p>
    <w:p w14:paraId="7A0E4B6E">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1.</w:t>
      </w:r>
      <w:r>
        <w:rPr>
          <w:rFonts w:hint="eastAsia" w:ascii="仿宋_GB2312" w:hAnsi="仿宋_GB2312" w:eastAsia="仿宋_GB2312" w:cs="仿宋_GB2312"/>
          <w:highlight w:val="none"/>
        </w:rPr>
        <w:t>若中标单位在履约期间出现</w:t>
      </w:r>
      <w:r>
        <w:rPr>
          <w:rFonts w:hint="eastAsia" w:ascii="仿宋_GB2312" w:hAnsi="仿宋_GB2312" w:eastAsia="仿宋_GB2312" w:cs="仿宋_GB2312"/>
          <w:highlight w:val="none"/>
          <w:lang w:val="en-US" w:eastAsia="zh-CN"/>
        </w:rPr>
        <w:t>下列情况之一者</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lang w:val="en-US" w:eastAsia="zh-CN"/>
        </w:rPr>
        <w:t>将上报区（市）教育局，</w:t>
      </w:r>
      <w:r>
        <w:rPr>
          <w:rFonts w:hint="eastAsia" w:ascii="仿宋_GB2312" w:hAnsi="仿宋_GB2312" w:eastAsia="仿宋_GB2312" w:cs="仿宋_GB2312"/>
          <w:highlight w:val="none"/>
        </w:rPr>
        <w:t>有权提前终止合同</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同时启动新一轮采购程序。</w:t>
      </w:r>
      <w:r>
        <w:rPr>
          <w:rFonts w:hint="eastAsia" w:ascii="仿宋_GB2312" w:hAnsi="仿宋_GB2312" w:eastAsia="仿宋_GB2312" w:cs="仿宋_GB2312"/>
          <w:highlight w:val="none"/>
        </w:rPr>
        <w:t xml:space="preserve"> </w:t>
      </w:r>
    </w:p>
    <w:p w14:paraId="01CBDA29">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(1)未履行经营服务合同约定的；发生转包、分包经营业务的</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擅自更换履约人或违反经营服务合同行为的。</w:t>
      </w:r>
    </w:p>
    <w:p w14:paraId="07AA366F">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(2)降低供餐质量和餐食数量标准,随意变更供餐食谱或每学年师生满意度测评连续两次未达到80%的。</w:t>
      </w:r>
    </w:p>
    <w:p w14:paraId="0CD05D18">
      <w:pPr>
        <w:spacing w:line="360" w:lineRule="auto"/>
        <w:ind w:firstLine="42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(3)未持续保持食品经营许可或管理资质、经整改仍不符合食品经营或管理条件的</w:t>
      </w:r>
      <w:r>
        <w:rPr>
          <w:rFonts w:hint="eastAsia" w:ascii="仿宋_GB2312" w:hAnsi="仿宋_GB2312" w:eastAsia="仿宋_GB2312" w:cs="仿宋_GB2312"/>
          <w:highlight w:val="none"/>
          <w:lang w:eastAsia="zh-CN"/>
        </w:rPr>
        <w:t>。</w:t>
      </w:r>
    </w:p>
    <w:p w14:paraId="5B7E8A63">
      <w:pPr>
        <w:spacing w:line="360" w:lineRule="auto"/>
        <w:ind w:firstLine="420" w:firstLineChars="20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(4)与学校存在商业贿赂等不正当经营行为的</w:t>
      </w:r>
      <w:r>
        <w:rPr>
          <w:rFonts w:hint="eastAsia" w:ascii="仿宋_GB2312" w:hAnsi="仿宋_GB2312" w:eastAsia="仿宋_GB2312" w:cs="仿宋_GB2312"/>
          <w:highlight w:val="none"/>
          <w:lang w:eastAsia="zh-CN"/>
        </w:rPr>
        <w:t>。</w:t>
      </w:r>
    </w:p>
    <w:p w14:paraId="2E86D3EC">
      <w:pPr>
        <w:spacing w:line="360" w:lineRule="auto"/>
        <w:ind w:firstLine="420" w:firstLineChars="20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(5)存在采购加工法律法规禁止生产经营的食品、使用非食用物质、滥用食品添加剂、降低食品安全保障条件等食品安全问题的</w:t>
      </w:r>
      <w:r>
        <w:rPr>
          <w:rFonts w:hint="eastAsia" w:ascii="仿宋_GB2312" w:hAnsi="仿宋_GB2312" w:eastAsia="仿宋_GB2312" w:cs="仿宋_GB2312"/>
          <w:highlight w:val="none"/>
          <w:lang w:eastAsia="zh-CN"/>
        </w:rPr>
        <w:t>。</w:t>
      </w:r>
    </w:p>
    <w:p w14:paraId="6DBEA8D1">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(6)经营管理混乱、存在突出食品安全隐患，被市场监管部门处罚且限期整改不力的。</w:t>
      </w:r>
    </w:p>
    <w:p w14:paraId="35A93EAD">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(7)发生食品安全事故、造成学生食物中毒的。</w:t>
      </w:r>
    </w:p>
    <w:p w14:paraId="4A137144">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(8)违反相关法律法规，被市场监管部门吊销或注销食品经营许可证、营业执照的</w:t>
      </w:r>
    </w:p>
    <w:p w14:paraId="3C8A4A62">
      <w:pPr>
        <w:spacing w:line="360" w:lineRule="auto"/>
        <w:ind w:left="420" w:leftChars="200" w:firstLine="0" w:firstLineChars="0"/>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2.</w:t>
      </w:r>
      <w:r>
        <w:rPr>
          <w:rFonts w:hint="eastAsia" w:ascii="仿宋_GB2312" w:hAnsi="仿宋_GB2312" w:eastAsia="仿宋_GB2312" w:cs="仿宋_GB2312"/>
          <w:highlight w:val="none"/>
        </w:rPr>
        <w:t>引进机制</w:t>
      </w:r>
    </w:p>
    <w:p w14:paraId="399B1164">
      <w:pPr>
        <w:spacing w:line="36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若中标单位因考核不合格退出</w:t>
      </w:r>
      <w:r>
        <w:rPr>
          <w:rFonts w:hint="eastAsia" w:ascii="仿宋_GB2312" w:hAnsi="仿宋_GB2312" w:eastAsia="仿宋_GB2312" w:cs="仿宋_GB2312"/>
          <w:highlight w:val="none"/>
          <w:lang w:val="en-US" w:eastAsia="zh-CN"/>
        </w:rPr>
        <w:t>或委托经营期满后</w:t>
      </w:r>
      <w:r>
        <w:rPr>
          <w:rFonts w:hint="eastAsia" w:ascii="仿宋_GB2312" w:hAnsi="仿宋_GB2312" w:eastAsia="仿宋_GB2312" w:cs="仿宋_GB2312"/>
          <w:highlight w:val="none"/>
        </w:rPr>
        <w:t>，校方将重新通过招标方式引进优秀的餐饮服务单位为</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提供餐饮服务，做好衔接工作，确保</w:t>
      </w:r>
      <w:r>
        <w:rPr>
          <w:rFonts w:hint="eastAsia" w:ascii="仿宋_GB2312" w:hAnsi="仿宋_GB2312" w:eastAsia="仿宋_GB2312" w:cs="仿宋_GB2312"/>
          <w:highlight w:val="none"/>
          <w:lang w:eastAsia="zh-CN"/>
        </w:rPr>
        <w:t>学校</w:t>
      </w:r>
      <w:r>
        <w:rPr>
          <w:rFonts w:hint="eastAsia" w:ascii="仿宋_GB2312" w:hAnsi="仿宋_GB2312" w:eastAsia="仿宋_GB2312" w:cs="仿宋_GB2312"/>
          <w:highlight w:val="none"/>
        </w:rPr>
        <w:t>饮食正常供应。</w:t>
      </w:r>
    </w:p>
    <w:p w14:paraId="32565057">
      <w:pPr>
        <w:adjustRightInd w:val="0"/>
        <w:snapToGrid w:val="0"/>
        <w:spacing w:line="360" w:lineRule="auto"/>
        <w:ind w:right="105" w:rightChars="50" w:firstLine="476" w:firstLineChars="227"/>
        <w:jc w:val="center"/>
        <w:outlineLvl w:val="0"/>
        <w:rPr>
          <w:rFonts w:hint="eastAsia" w:ascii="仿宋_GB2312" w:hAnsi="仿宋_GB2312" w:eastAsia="仿宋_GB2312" w:cs="仿宋_GB2312"/>
          <w:b/>
          <w:kern w:val="44"/>
          <w:sz w:val="44"/>
          <w:highlight w:val="none"/>
        </w:rPr>
      </w:pPr>
      <w:r>
        <w:rPr>
          <w:rFonts w:hint="eastAsia" w:ascii="仿宋_GB2312" w:hAnsi="仿宋_GB2312" w:eastAsia="仿宋_GB2312" w:cs="仿宋_GB2312"/>
          <w:szCs w:val="21"/>
          <w:highlight w:val="none"/>
        </w:rPr>
        <w:br w:type="page"/>
      </w:r>
      <w:r>
        <w:rPr>
          <w:rFonts w:hint="eastAsia" w:ascii="仿宋_GB2312" w:hAnsi="仿宋_GB2312" w:eastAsia="仿宋_GB2312" w:cs="仿宋_GB2312"/>
          <w:b/>
          <w:kern w:val="44"/>
          <w:sz w:val="44"/>
          <w:highlight w:val="none"/>
        </w:rPr>
        <w:t>第四章 评标方法</w:t>
      </w:r>
      <w:bookmarkEnd w:id="125"/>
      <w:bookmarkEnd w:id="126"/>
      <w:bookmarkEnd w:id="127"/>
    </w:p>
    <w:p w14:paraId="232003AA">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Cs/>
          <w:kern w:val="0"/>
          <w:szCs w:val="21"/>
          <w:highlight w:val="none"/>
        </w:rPr>
        <w:t>本项目将按照招标文件第一章投标人须知中“六 开标及评标”、“七 确定中标”及本章的规定评标。</w:t>
      </w:r>
    </w:p>
    <w:p w14:paraId="2BC20227">
      <w:pPr>
        <w:adjustRightInd w:val="0"/>
        <w:snapToGrid w:val="0"/>
        <w:spacing w:line="360" w:lineRule="auto"/>
        <w:ind w:firstLine="420" w:firstLineChars="200"/>
        <w:rPr>
          <w:rFonts w:ascii="仿宋_GB2312" w:hAnsi="仿宋_GB2312" w:eastAsia="仿宋_GB2312" w:cs="仿宋_GB2312"/>
          <w:b/>
          <w:kern w:val="0"/>
          <w:szCs w:val="21"/>
          <w:highlight w:val="none"/>
        </w:rPr>
      </w:pPr>
      <w:bookmarkStart w:id="129" w:name="_Toc22313_WPSOffice_Level2"/>
      <w:r>
        <w:rPr>
          <w:rFonts w:hint="eastAsia" w:ascii="仿宋_GB2312" w:hAnsi="仿宋_GB2312" w:eastAsia="仿宋_GB2312" w:cs="仿宋_GB2312"/>
          <w:b/>
          <w:kern w:val="0"/>
          <w:szCs w:val="21"/>
          <w:highlight w:val="none"/>
        </w:rPr>
        <w:t>一、评标方法</w:t>
      </w:r>
      <w:bookmarkEnd w:id="129"/>
    </w:p>
    <w:p w14:paraId="210DA208">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本项目采用</w:t>
      </w:r>
      <w:r>
        <w:rPr>
          <w:rFonts w:hint="eastAsia" w:ascii="仿宋_GB2312" w:hAnsi="仿宋_GB2312" w:eastAsia="仿宋_GB2312" w:cs="仿宋_GB2312"/>
          <w:kern w:val="0"/>
          <w:szCs w:val="21"/>
          <w:highlight w:val="none"/>
          <w:u w:val="single"/>
        </w:rPr>
        <w:t>综合评分法</w:t>
      </w:r>
      <w:r>
        <w:rPr>
          <w:rFonts w:hint="eastAsia" w:ascii="仿宋_GB2312" w:hAnsi="仿宋_GB2312" w:eastAsia="仿宋_GB2312" w:cs="仿宋_GB2312"/>
          <w:kern w:val="0"/>
          <w:szCs w:val="21"/>
          <w:highlight w:val="none"/>
        </w:rPr>
        <w:t>进行评标。</w:t>
      </w:r>
    </w:p>
    <w:p w14:paraId="5DC8FA5F">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bookmarkStart w:id="130" w:name="_Toc21368_WPSOffice_Level2"/>
      <w:r>
        <w:rPr>
          <w:rFonts w:hint="eastAsia" w:ascii="仿宋_GB2312" w:hAnsi="仿宋_GB2312" w:eastAsia="仿宋_GB2312" w:cs="仿宋_GB2312"/>
          <w:b/>
          <w:kern w:val="0"/>
          <w:szCs w:val="21"/>
          <w:highlight w:val="none"/>
        </w:rPr>
        <w:t>二、评标原则及程序</w:t>
      </w:r>
      <w:bookmarkEnd w:id="130"/>
    </w:p>
    <w:p w14:paraId="6CF9B9E0">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（一）评标原则</w:t>
      </w:r>
    </w:p>
    <w:p w14:paraId="48DD83C8">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7E2D4CB8">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（二）评标程序</w:t>
      </w:r>
    </w:p>
    <w:p w14:paraId="2193CD5A">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★1.资格审查</w:t>
      </w:r>
    </w:p>
    <w:p w14:paraId="0900944E">
      <w:pPr>
        <w:adjustRightInd w:val="0"/>
        <w:snapToGrid w:val="0"/>
        <w:spacing w:line="360" w:lineRule="auto"/>
        <w:ind w:firstLine="420" w:firstLineChars="200"/>
        <w:textAlignment w:val="baseline"/>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1.1详见投标人须知22条。资格审查表详见本章附件1。</w:t>
      </w:r>
    </w:p>
    <w:p w14:paraId="66DE6628">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w:t>
      </w:r>
      <w:r>
        <w:rPr>
          <w:rFonts w:hint="eastAsia" w:ascii="仿宋_GB2312" w:hAnsi="仿宋_GB2312" w:eastAsia="仿宋_GB2312" w:cs="仿宋_GB2312"/>
          <w:b/>
          <w:bCs/>
          <w:kern w:val="0"/>
          <w:szCs w:val="21"/>
          <w:highlight w:val="none"/>
        </w:rPr>
        <w:t>2.符合性审查</w:t>
      </w:r>
    </w:p>
    <w:p w14:paraId="1E721B5F">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2.1详见投标人须知23条。符合性审查表详见本章附件2。</w:t>
      </w:r>
    </w:p>
    <w:p w14:paraId="25E2F5BE">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3.样品及演示</w:t>
      </w:r>
    </w:p>
    <w:p w14:paraId="48215D9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3.1</w:t>
      </w:r>
      <w:r>
        <w:rPr>
          <w:rFonts w:hint="eastAsia" w:ascii="仿宋_GB2312" w:hAnsi="仿宋_GB2312" w:eastAsia="仿宋_GB2312" w:cs="仿宋_GB2312"/>
          <w:kern w:val="0"/>
          <w:szCs w:val="21"/>
          <w:highlight w:val="none"/>
        </w:rPr>
        <w:t>投标人须知表11.3条</w:t>
      </w:r>
      <w:r>
        <w:rPr>
          <w:rFonts w:hint="eastAsia" w:ascii="仿宋_GB2312" w:hAnsi="仿宋_GB2312" w:eastAsia="仿宋_GB2312" w:cs="仿宋_GB2312"/>
          <w:szCs w:val="21"/>
          <w:highlight w:val="none"/>
        </w:rPr>
        <w:t>中要求投标人提供样品或演示的，按照</w:t>
      </w:r>
      <w:r>
        <w:rPr>
          <w:rFonts w:hint="eastAsia" w:ascii="仿宋_GB2312" w:hAnsi="仿宋_GB2312" w:eastAsia="仿宋_GB2312" w:cs="仿宋_GB2312"/>
          <w:kern w:val="0"/>
          <w:szCs w:val="21"/>
          <w:highlight w:val="none"/>
        </w:rPr>
        <w:t>投标人须知表25.1条</w:t>
      </w:r>
      <w:r>
        <w:rPr>
          <w:rFonts w:hint="eastAsia" w:ascii="仿宋_GB2312" w:hAnsi="仿宋_GB2312" w:eastAsia="仿宋_GB2312" w:cs="仿宋_GB2312"/>
          <w:szCs w:val="21"/>
          <w:highlight w:val="none"/>
        </w:rPr>
        <w:t>中确定的评审方法以及评审标准进行评审。(样品或演示属于符合性审查的，按照</w:t>
      </w:r>
      <w:r>
        <w:rPr>
          <w:rFonts w:hint="eastAsia" w:ascii="仿宋_GB2312" w:hAnsi="仿宋_GB2312" w:eastAsia="仿宋_GB2312" w:cs="仿宋_GB2312"/>
          <w:kern w:val="0"/>
          <w:szCs w:val="21"/>
          <w:highlight w:val="none"/>
        </w:rPr>
        <w:t>投标人须知23条</w:t>
      </w:r>
      <w:r>
        <w:rPr>
          <w:rFonts w:hint="eastAsia" w:ascii="仿宋_GB2312" w:hAnsi="仿宋_GB2312" w:eastAsia="仿宋_GB2312" w:cs="仿宋_GB2312"/>
          <w:szCs w:val="21"/>
          <w:highlight w:val="none"/>
        </w:rPr>
        <w:t>规定执行）</w:t>
      </w:r>
    </w:p>
    <w:p w14:paraId="77C42D23">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★4.</w:t>
      </w:r>
      <w:r>
        <w:rPr>
          <w:rFonts w:hint="eastAsia" w:ascii="仿宋_GB2312" w:hAnsi="仿宋_GB2312" w:eastAsia="仿宋_GB2312" w:cs="仿宋_GB2312"/>
          <w:b/>
          <w:bCs/>
          <w:kern w:val="0"/>
          <w:szCs w:val="21"/>
          <w:highlight w:val="none"/>
        </w:rPr>
        <w:t>比较及评价</w:t>
      </w:r>
    </w:p>
    <w:p w14:paraId="6DA8DE7D">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4.1评标委员会对通过符合性审查的投标文件进行比较和评价。</w:t>
      </w:r>
    </w:p>
    <w:p w14:paraId="57AC895D">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4.2在评标期间，对投标文件的澄清按投标人须知24条内容执行。</w:t>
      </w:r>
    </w:p>
    <w:p w14:paraId="60DE6049">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4.3评标委员会认为投标人的报价明显低于其他通过符合性审查的投标人报价，有可能影响服务质量或者不能诚信履约的，评标委员会应当要求其在评标现场合理的时间内提供书面说明，并提交相关证明材料，</w:t>
      </w:r>
      <w:r>
        <w:rPr>
          <w:rFonts w:hint="eastAsia" w:ascii="仿宋_GB2312" w:hAnsi="仿宋_GB2312" w:eastAsia="仿宋_GB2312" w:cs="仿宋_GB2312"/>
          <w:kern w:val="0"/>
          <w:szCs w:val="21"/>
          <w:highlight w:val="none"/>
        </w:rPr>
        <w:t>投标人不能证明其报价合理性的，评标委员会应当将</w:t>
      </w:r>
      <w:r>
        <w:rPr>
          <w:rFonts w:hint="eastAsia" w:ascii="仿宋_GB2312" w:hAnsi="仿宋_GB2312" w:eastAsia="仿宋_GB2312" w:cs="仿宋_GB2312"/>
          <w:szCs w:val="21"/>
          <w:highlight w:val="none"/>
        </w:rPr>
        <w:t>其投标作为</w:t>
      </w:r>
      <w:r>
        <w:rPr>
          <w:rFonts w:hint="eastAsia" w:ascii="仿宋_GB2312" w:hAnsi="仿宋_GB2312" w:eastAsia="仿宋_GB2312" w:cs="仿宋_GB2312"/>
          <w:b/>
          <w:bCs/>
          <w:szCs w:val="21"/>
          <w:highlight w:val="none"/>
        </w:rPr>
        <w:t>无效投标处理</w:t>
      </w:r>
      <w:r>
        <w:rPr>
          <w:rFonts w:hint="eastAsia" w:ascii="仿宋_GB2312" w:hAnsi="仿宋_GB2312" w:eastAsia="仿宋_GB2312" w:cs="仿宋_GB2312"/>
          <w:szCs w:val="21"/>
          <w:highlight w:val="none"/>
        </w:rPr>
        <w:t>。</w:t>
      </w:r>
    </w:p>
    <w:p w14:paraId="777951FB">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投标人的书面说明材料包含服务本身成本、人工费用、运输、税收等，以及报价不会影响服务质量或诚信履约能力的说明等。</w:t>
      </w:r>
    </w:p>
    <w:p w14:paraId="5C761E8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投标人的书面说明应当签字确认或者加盖公章，否则无效。书面说明的签字确认，由其法定代表人（非法人单位负责人或自然人本人）或者其授权代表签字确认。</w:t>
      </w:r>
    </w:p>
    <w:p w14:paraId="55282C5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7FBFD6C3">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拒绝或者变相拒绝提供有效书面说明；</w:t>
      </w:r>
    </w:p>
    <w:p w14:paraId="7C501488">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书面说明不能证明其报价合理性的；</w:t>
      </w:r>
    </w:p>
    <w:p w14:paraId="652ADAB0">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未在规定时间内提交有效书面说明书的。</w:t>
      </w:r>
    </w:p>
    <w:p w14:paraId="347414BE">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★5.</w:t>
      </w:r>
      <w:r>
        <w:rPr>
          <w:rFonts w:hint="eastAsia" w:ascii="仿宋_GB2312" w:hAnsi="仿宋_GB2312" w:eastAsia="仿宋_GB2312" w:cs="仿宋_GB2312"/>
          <w:b/>
          <w:bCs/>
          <w:kern w:val="0"/>
          <w:szCs w:val="21"/>
          <w:highlight w:val="none"/>
        </w:rPr>
        <w:t>需落实的政府采购政策性规定：</w:t>
      </w:r>
    </w:p>
    <w:p w14:paraId="448F673E">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5.1对于中小微企业的相关规定</w:t>
      </w:r>
    </w:p>
    <w:p w14:paraId="22E1B71A">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5.1.1对于未预留份额专门面向中小企业采购的项目，以及预留份额项目中非预留部分采购包，在满足价格扣除条件且在投标文件中按要求提交了《中小企业声明函》</w:t>
      </w:r>
      <w:r>
        <w:rPr>
          <w:rFonts w:hint="eastAsia" w:ascii="仿宋_GB2312" w:hAnsi="仿宋_GB2312" w:eastAsia="仿宋_GB2312" w:cs="仿宋_GB2312"/>
          <w:kern w:val="0"/>
          <w:szCs w:val="21"/>
          <w:highlight w:val="none"/>
        </w:rPr>
        <w:t>的，</w:t>
      </w:r>
      <w:r>
        <w:rPr>
          <w:rFonts w:hint="eastAsia" w:ascii="仿宋_GB2312" w:hAnsi="仿宋_GB2312" w:eastAsia="仿宋_GB2312" w:cs="仿宋_GB2312"/>
          <w:szCs w:val="21"/>
          <w:highlight w:val="none"/>
        </w:rPr>
        <w:t>对投标报价给予价格扣除，用扣除后的价格参与评审。投标报价扣除比例如下：</w:t>
      </w:r>
    </w:p>
    <w:p w14:paraId="5672C195">
      <w:pPr>
        <w:adjustRightInd w:val="0"/>
        <w:snapToGrid w:val="0"/>
        <w:spacing w:line="360" w:lineRule="auto"/>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（1）非联合体投标</w:t>
      </w:r>
    </w:p>
    <w:p w14:paraId="06CD83D2">
      <w:pPr>
        <w:adjustRightInd w:val="0"/>
        <w:snapToGrid w:val="0"/>
        <w:spacing w:line="360" w:lineRule="auto"/>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小微企业投标报价的</w:t>
      </w:r>
      <w:r>
        <w:rPr>
          <w:rFonts w:hint="eastAsia" w:ascii="仿宋_GB2312" w:hAnsi="仿宋_GB2312" w:eastAsia="仿宋_GB2312" w:cs="仿宋_GB2312"/>
          <w:kern w:val="0"/>
          <w:szCs w:val="21"/>
          <w:highlight w:val="none"/>
          <w:u w:val="single"/>
        </w:rPr>
        <w:t xml:space="preserve">   /    </w:t>
      </w:r>
      <w:r>
        <w:rPr>
          <w:rFonts w:hint="eastAsia" w:ascii="仿宋_GB2312" w:hAnsi="仿宋_GB2312" w:eastAsia="仿宋_GB2312" w:cs="仿宋_GB2312"/>
          <w:kern w:val="0"/>
          <w:szCs w:val="21"/>
          <w:highlight w:val="none"/>
        </w:rPr>
        <w:t>。</w:t>
      </w:r>
    </w:p>
    <w:p w14:paraId="4FDE2FB8">
      <w:pPr>
        <w:adjustRightInd w:val="0"/>
        <w:snapToGrid w:val="0"/>
        <w:spacing w:line="360" w:lineRule="auto"/>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（2）联合体投标</w:t>
      </w:r>
    </w:p>
    <w:p w14:paraId="541D0B28">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大中型企业与小微企业组成联合体参加的采购项目，联合协议约定小微企业的合同份额占到合同总金额30%以上的，投标报价扣除</w:t>
      </w:r>
      <w:r>
        <w:rPr>
          <w:rFonts w:hint="eastAsia" w:ascii="仿宋_GB2312" w:hAnsi="仿宋_GB2312" w:eastAsia="仿宋_GB2312" w:cs="仿宋_GB2312"/>
          <w:kern w:val="0"/>
          <w:szCs w:val="21"/>
          <w:highlight w:val="none"/>
          <w:u w:val="single"/>
        </w:rPr>
        <w:t xml:space="preserve">   / </w:t>
      </w:r>
      <w:r>
        <w:rPr>
          <w:rFonts w:hint="eastAsia" w:ascii="仿宋_GB2312" w:hAnsi="仿宋_GB2312" w:eastAsia="仿宋_GB2312" w:cs="仿宋_GB2312"/>
          <w:szCs w:val="21"/>
          <w:highlight w:val="none"/>
        </w:rPr>
        <w:t>。</w:t>
      </w:r>
    </w:p>
    <w:p w14:paraId="47BDABC9">
      <w:pPr>
        <w:adjustRightInd w:val="0"/>
        <w:snapToGrid w:val="0"/>
        <w:spacing w:line="360" w:lineRule="auto"/>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（3）合同分包</w:t>
      </w:r>
    </w:p>
    <w:p w14:paraId="7783BE9E">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允许大中型企业向一家或者多家小微企业分包的采购项目，分包意向协议约定小微企业的合同份额占到合同总金额30%以上的，投标报价扣除</w:t>
      </w:r>
      <w:r>
        <w:rPr>
          <w:rFonts w:hint="eastAsia" w:ascii="仿宋_GB2312" w:hAnsi="仿宋_GB2312" w:eastAsia="仿宋_GB2312" w:cs="仿宋_GB2312"/>
          <w:kern w:val="0"/>
          <w:szCs w:val="21"/>
          <w:highlight w:val="none"/>
          <w:u w:val="single"/>
        </w:rPr>
        <w:t xml:space="preserve">  /  </w:t>
      </w:r>
      <w:r>
        <w:rPr>
          <w:rFonts w:hint="eastAsia" w:ascii="仿宋_GB2312" w:hAnsi="仿宋_GB2312" w:eastAsia="仿宋_GB2312" w:cs="仿宋_GB2312"/>
          <w:szCs w:val="21"/>
          <w:highlight w:val="none"/>
        </w:rPr>
        <w:t>。</w:t>
      </w:r>
    </w:p>
    <w:p w14:paraId="2212002F">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联合体各方均为小微企业的，联合体视同小微企业。按第本款（1）条规定享受扶持政策。组成联合体或者接受分包的中小微企业与联合体内其他企业、分包企业之间不得存在直接控股、管理关系。</w:t>
      </w:r>
    </w:p>
    <w:p w14:paraId="4755D377">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依据规定享受扶持政策获得政府采购合同的，小微企业不得将合同分包给大中型企业，中型企业不得将合同分包给大型企业。</w:t>
      </w:r>
    </w:p>
    <w:p w14:paraId="7359679E">
      <w:pPr>
        <w:adjustRightInd w:val="0"/>
        <w:snapToGrid w:val="0"/>
        <w:spacing w:line="360" w:lineRule="auto"/>
        <w:ind w:firstLine="420" w:firstLineChars="20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 xml:space="preserve">5.1.2 </w:t>
      </w:r>
      <w:r>
        <w:rPr>
          <w:rFonts w:hint="eastAsia" w:ascii="仿宋_GB2312" w:hAnsi="仿宋_GB2312" w:eastAsia="仿宋_GB2312" w:cs="仿宋_GB2312"/>
          <w:b/>
          <w:bCs/>
          <w:kern w:val="0"/>
          <w:szCs w:val="21"/>
          <w:highlight w:val="none"/>
        </w:rPr>
        <w:t>对于专门面向中小企业采购的项目，投标人不享受投标报价的价格扣除。</w:t>
      </w:r>
    </w:p>
    <w:p w14:paraId="750A3C0B">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5.1.3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highlight w:val="none"/>
        </w:rPr>
        <w:t>用扣除后的价格参与评审</w:t>
      </w:r>
      <w:r>
        <w:rPr>
          <w:rFonts w:hint="eastAsia" w:ascii="仿宋_GB2312" w:hAnsi="仿宋_GB2312" w:eastAsia="仿宋_GB2312" w:cs="仿宋_GB2312"/>
          <w:szCs w:val="21"/>
          <w:highlight w:val="none"/>
        </w:rPr>
        <w:t>。</w:t>
      </w:r>
    </w:p>
    <w:p w14:paraId="4F155694">
      <w:pPr>
        <w:adjustRightInd w:val="0"/>
        <w:snapToGrid w:val="0"/>
        <w:spacing w:line="360" w:lineRule="auto"/>
        <w:ind w:firstLine="420" w:firstLineChars="200"/>
        <w:jc w:val="left"/>
        <w:rPr>
          <w:rFonts w:ascii="仿宋_GB2312" w:hAnsi="仿宋_GB2312" w:eastAsia="仿宋_GB2312" w:cs="仿宋_GB2312"/>
          <w:bCs/>
          <w:szCs w:val="21"/>
          <w:highlight w:val="none"/>
        </w:rPr>
      </w:pPr>
      <w:r>
        <w:rPr>
          <w:rFonts w:hint="eastAsia" w:ascii="仿宋_GB2312" w:hAnsi="仿宋_GB2312" w:eastAsia="仿宋_GB2312" w:cs="仿宋_GB2312"/>
          <w:bCs/>
          <w:kern w:val="0"/>
          <w:szCs w:val="21"/>
          <w:highlight w:val="none"/>
        </w:rPr>
        <w:t>5.1.4</w:t>
      </w:r>
      <w:r>
        <w:rPr>
          <w:rFonts w:hint="eastAsia" w:ascii="仿宋_GB2312" w:hAnsi="仿宋_GB2312" w:eastAsia="仿宋_GB2312" w:cs="仿宋_GB2312"/>
          <w:bCs/>
          <w:szCs w:val="21"/>
          <w:highlight w:val="none"/>
        </w:rPr>
        <w:t>残疾人福利性单位视同小型、微型企业，在满足价格扣除条件且在</w:t>
      </w:r>
      <w:r>
        <w:rPr>
          <w:rFonts w:hint="eastAsia" w:ascii="仿宋_GB2312" w:hAnsi="仿宋_GB2312" w:eastAsia="仿宋_GB2312" w:cs="仿宋_GB2312"/>
          <w:bCs/>
          <w:kern w:val="0"/>
          <w:szCs w:val="21"/>
          <w:highlight w:val="none"/>
        </w:rPr>
        <w:t>投标文件中提供了《残疾人福利性单位声明函》的，</w:t>
      </w:r>
      <w:r>
        <w:rPr>
          <w:rFonts w:hint="eastAsia" w:ascii="仿宋_GB2312" w:hAnsi="仿宋_GB2312" w:eastAsia="仿宋_GB2312" w:cs="仿宋_GB2312"/>
          <w:bCs/>
          <w:szCs w:val="21"/>
          <w:highlight w:val="none"/>
        </w:rPr>
        <w:t>对其投标报价按本章5.1.1条款的比例予以扣除</w:t>
      </w:r>
      <w:r>
        <w:rPr>
          <w:rFonts w:hint="eastAsia" w:ascii="仿宋_GB2312" w:hAnsi="仿宋_GB2312" w:eastAsia="仿宋_GB2312" w:cs="仿宋_GB2312"/>
          <w:bCs/>
          <w:kern w:val="0"/>
          <w:szCs w:val="21"/>
          <w:highlight w:val="none"/>
        </w:rPr>
        <w:t>，用扣除后的价格参与评审。</w:t>
      </w:r>
    </w:p>
    <w:p w14:paraId="000D8318">
      <w:pPr>
        <w:adjustRightInd w:val="0"/>
        <w:snapToGrid w:val="0"/>
        <w:spacing w:line="360" w:lineRule="auto"/>
        <w:ind w:firstLine="420" w:firstLineChars="20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5.1.5残疾人福利性单位属于小型、微型企业的，不重复享受政策。</w:t>
      </w:r>
    </w:p>
    <w:p w14:paraId="34BE1669">
      <w:pPr>
        <w:adjustRightInd w:val="0"/>
        <w:spacing w:line="360" w:lineRule="auto"/>
        <w:ind w:firstLine="420" w:firstLineChars="200"/>
        <w:jc w:val="left"/>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5.2对于节能产品、环境标志产品的相关规定（本项目不适用）</w:t>
      </w:r>
    </w:p>
    <w:p w14:paraId="240EC755">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100E0230">
      <w:pPr>
        <w:adjustRightInd w:val="0"/>
        <w:snapToGrid w:val="0"/>
        <w:spacing w:line="360" w:lineRule="auto"/>
        <w:ind w:firstLine="630" w:firstLineChars="300"/>
        <w:jc w:val="left"/>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采用最低评标价法的，</w:t>
      </w:r>
      <w:r>
        <w:rPr>
          <w:rFonts w:hint="eastAsia" w:ascii="仿宋_GB2312" w:hAnsi="仿宋_GB2312" w:eastAsia="仿宋_GB2312" w:cs="仿宋_GB2312"/>
          <w:szCs w:val="21"/>
          <w:highlight w:val="none"/>
        </w:rPr>
        <w:t>对</w:t>
      </w:r>
      <w:r>
        <w:rPr>
          <w:rFonts w:hint="eastAsia" w:ascii="仿宋_GB2312" w:hAnsi="仿宋_GB2312" w:eastAsia="仿宋_GB2312" w:cs="仿宋_GB2312"/>
          <w:kern w:val="0"/>
          <w:szCs w:val="21"/>
          <w:highlight w:val="none"/>
        </w:rPr>
        <w:t>清单中投标产品的报价</w:t>
      </w:r>
      <w:r>
        <w:rPr>
          <w:rFonts w:hint="eastAsia" w:ascii="仿宋_GB2312" w:hAnsi="仿宋_GB2312" w:eastAsia="仿宋_GB2312" w:cs="仿宋_GB2312"/>
          <w:szCs w:val="21"/>
          <w:highlight w:val="none"/>
        </w:rPr>
        <w:t>给予价格扣除，用扣除后的价格参与评审。报价扣除比例为</w:t>
      </w:r>
      <w:r>
        <w:rPr>
          <w:rFonts w:hint="eastAsia" w:ascii="仿宋_GB2312" w:hAnsi="仿宋_GB2312" w:eastAsia="仿宋_GB2312" w:cs="仿宋_GB2312"/>
          <w:kern w:val="0"/>
          <w:szCs w:val="21"/>
          <w:highlight w:val="none"/>
        </w:rPr>
        <w:t>清单中产品报价的</w:t>
      </w:r>
      <w:r>
        <w:rPr>
          <w:rFonts w:hint="eastAsia" w:ascii="仿宋_GB2312" w:hAnsi="仿宋_GB2312" w:eastAsia="仿宋_GB2312" w:cs="仿宋_GB2312"/>
          <w:szCs w:val="21"/>
          <w:highlight w:val="none"/>
          <w:u w:val="single"/>
        </w:rPr>
        <w:t xml:space="preserve">   /   </w:t>
      </w:r>
      <w:r>
        <w:rPr>
          <w:rFonts w:hint="eastAsia" w:ascii="仿宋_GB2312" w:hAnsi="仿宋_GB2312" w:eastAsia="仿宋_GB2312" w:cs="仿宋_GB2312"/>
          <w:szCs w:val="21"/>
          <w:highlight w:val="none"/>
        </w:rPr>
        <w:t xml:space="preserve"> %。</w:t>
      </w:r>
    </w:p>
    <w:p w14:paraId="4BFFB67E">
      <w:pPr>
        <w:adjustRightInd w:val="0"/>
        <w:snapToGrid w:val="0"/>
        <w:spacing w:line="360" w:lineRule="auto"/>
        <w:ind w:firstLine="630" w:firstLineChars="300"/>
        <w:jc w:val="left"/>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采用综合评分法评标的项目，对清单中产品给予相应的加分。（详见评分细则）</w:t>
      </w:r>
    </w:p>
    <w:p w14:paraId="3D886A93">
      <w:pPr>
        <w:adjustRightIn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（2）认证机构和获证产品信息发布媒体：详见中国政府采购网（www.ccgp.gov.cn）建立的与认证结果信息发布平台的链接。</w:t>
      </w:r>
    </w:p>
    <w:p w14:paraId="24707798">
      <w:pPr>
        <w:adjustRightInd w:val="0"/>
        <w:spacing w:line="360" w:lineRule="auto"/>
        <w:ind w:firstLine="420" w:firstLineChars="200"/>
        <w:jc w:val="left"/>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5.3对于列入《辽宁省创新产品和服务目录》内的产品、服务的相关规定（本项目不适用）</w:t>
      </w:r>
    </w:p>
    <w:p w14:paraId="7A2E3678">
      <w:pPr>
        <w:adjustRightIn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采用最低评标价法的：对列入《辽宁省创新产品和服务目录》内的投标产品、服务给予其投标报价</w:t>
      </w:r>
      <w:r>
        <w:rPr>
          <w:rFonts w:hint="eastAsia" w:ascii="仿宋_GB2312" w:hAnsi="仿宋_GB2312" w:eastAsia="仿宋_GB2312" w:cs="仿宋_GB2312"/>
          <w:szCs w:val="21"/>
          <w:highlight w:val="none"/>
          <w:u w:val="single"/>
        </w:rPr>
        <w:t xml:space="preserve">   /   </w:t>
      </w:r>
      <w:r>
        <w:rPr>
          <w:rFonts w:hint="eastAsia" w:ascii="仿宋_GB2312" w:hAnsi="仿宋_GB2312" w:eastAsia="仿宋_GB2312" w:cs="仿宋_GB2312"/>
          <w:szCs w:val="21"/>
          <w:highlight w:val="none"/>
        </w:rPr>
        <w:t>的价格扣除，用扣除后的价格参与评审。</w:t>
      </w:r>
    </w:p>
    <w:p w14:paraId="4BAC052E">
      <w:pPr>
        <w:adjustRightIn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采用综合评分法评标的：对列入《辽宁省创新产品和服务目录》内的投标产品、服务给予</w:t>
      </w:r>
      <w:r>
        <w:rPr>
          <w:rFonts w:hint="eastAsia" w:ascii="仿宋_GB2312" w:hAnsi="仿宋_GB2312" w:eastAsia="仿宋_GB2312" w:cs="仿宋_GB2312"/>
          <w:szCs w:val="21"/>
          <w:highlight w:val="none"/>
          <w:u w:val="single"/>
        </w:rPr>
        <w:t xml:space="preserve">   /  </w:t>
      </w:r>
      <w:r>
        <w:rPr>
          <w:rFonts w:hint="eastAsia" w:ascii="仿宋_GB2312" w:hAnsi="仿宋_GB2312" w:eastAsia="仿宋_GB2312" w:cs="仿宋_GB2312"/>
          <w:szCs w:val="21"/>
          <w:highlight w:val="none"/>
        </w:rPr>
        <w:t>的加分（详见评分细则）。</w:t>
      </w:r>
    </w:p>
    <w:p w14:paraId="5D3FD1A6">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★6.</w:t>
      </w:r>
      <w:r>
        <w:rPr>
          <w:rFonts w:hint="eastAsia" w:ascii="仿宋_GB2312" w:hAnsi="仿宋_GB2312" w:eastAsia="仿宋_GB2312" w:cs="仿宋_GB2312"/>
          <w:b/>
          <w:bCs/>
          <w:kern w:val="0"/>
          <w:szCs w:val="21"/>
          <w:highlight w:val="none"/>
        </w:rPr>
        <w:t>投标无效情况详见投标人须知。</w:t>
      </w:r>
    </w:p>
    <w:p w14:paraId="34050225">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★7.</w:t>
      </w:r>
      <w:r>
        <w:rPr>
          <w:rFonts w:hint="eastAsia" w:ascii="仿宋_GB2312" w:hAnsi="仿宋_GB2312" w:eastAsia="仿宋_GB2312" w:cs="仿宋_GB2312"/>
          <w:b/>
          <w:bCs/>
          <w:kern w:val="0"/>
          <w:szCs w:val="21"/>
          <w:highlight w:val="none"/>
        </w:rPr>
        <w:t>推荐中标候选人的原则</w:t>
      </w:r>
    </w:p>
    <w:p w14:paraId="4EC07FAC">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详见第一章投标人须知第29条，具体处理办法如下：</w:t>
      </w:r>
    </w:p>
    <w:p w14:paraId="30127D7D">
      <w:pPr>
        <w:numPr>
          <w:ilvl w:val="0"/>
          <w:numId w:val="6"/>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采用最低评标价法的：</w:t>
      </w:r>
    </w:p>
    <w:p w14:paraId="2F0A120D">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扣除后的投标报价相同时，按投标报价由低至高排序；</w:t>
      </w:r>
    </w:p>
    <w:p w14:paraId="58688829">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按前款不能区分的，按技术指标优劣排序；</w:t>
      </w:r>
    </w:p>
    <w:p w14:paraId="7F938812">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其他情况，由评标委员会投票处理。</w:t>
      </w:r>
    </w:p>
    <w:p w14:paraId="7F13E5BC">
      <w:pPr>
        <w:numPr>
          <w:ilvl w:val="0"/>
          <w:numId w:val="6"/>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采用综合评分法的：</w:t>
      </w:r>
    </w:p>
    <w:p w14:paraId="3730D72D">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得分相同的，按扣除后的投标报价由低到高顺序排序；</w:t>
      </w:r>
    </w:p>
    <w:p w14:paraId="551B40D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按前款不能区分的，按投标报价由低至高顺序排序；</w:t>
      </w:r>
    </w:p>
    <w:p w14:paraId="66E07474">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按前款不能区分的，按技术指标优劣排序；</w:t>
      </w:r>
    </w:p>
    <w:p w14:paraId="7C0740DC">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其他情况，由评标委员会投票处理。</w:t>
      </w:r>
    </w:p>
    <w:p w14:paraId="176227D9">
      <w:pPr>
        <w:adjustRightInd w:val="0"/>
        <w:snapToGrid w:val="0"/>
        <w:spacing w:line="360" w:lineRule="auto"/>
        <w:ind w:firstLine="420" w:firstLineChars="200"/>
        <w:rPr>
          <w:rFonts w:ascii="仿宋_GB2312" w:hAnsi="仿宋_GB2312" w:eastAsia="仿宋_GB2312" w:cs="仿宋_GB2312"/>
          <w:b/>
          <w:kern w:val="0"/>
          <w:szCs w:val="21"/>
          <w:highlight w:val="none"/>
        </w:rPr>
      </w:pPr>
      <w:bookmarkStart w:id="131" w:name="_Toc30297_WPSOffice_Level2"/>
      <w:r>
        <w:rPr>
          <w:rFonts w:hint="eastAsia" w:ascii="仿宋_GB2312" w:hAnsi="仿宋_GB2312" w:eastAsia="仿宋_GB2312" w:cs="仿宋_GB2312"/>
          <w:b/>
          <w:szCs w:val="21"/>
          <w:highlight w:val="none"/>
        </w:rPr>
        <w:t>三、</w:t>
      </w:r>
      <w:r>
        <w:rPr>
          <w:rFonts w:hint="eastAsia" w:ascii="仿宋_GB2312" w:hAnsi="仿宋_GB2312" w:eastAsia="仿宋_GB2312" w:cs="仿宋_GB2312"/>
          <w:b/>
          <w:kern w:val="0"/>
          <w:szCs w:val="21"/>
          <w:highlight w:val="none"/>
        </w:rPr>
        <w:t>确定中标人</w:t>
      </w:r>
      <w:bookmarkEnd w:id="131"/>
    </w:p>
    <w:p w14:paraId="79621F62">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评标委员会根据全体评标委员会成员签字的原始评标记录和评标结果编写评标报告，并向采购人提交书面评标报告。</w:t>
      </w:r>
    </w:p>
    <w:p w14:paraId="68DBFC28">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采购人按照评标报告确定的中标候选人名单按顺序确定中标人，或由采购人委托评标委员会按照第一章投标人须知第31条规定的方式确定中标人。</w:t>
      </w:r>
    </w:p>
    <w:p w14:paraId="42B3EEFF">
      <w:pPr>
        <w:widowControl/>
        <w:jc w:val="left"/>
        <w:rPr>
          <w:rFonts w:ascii="仿宋_GB2312" w:hAnsi="仿宋_GB2312" w:eastAsia="仿宋_GB2312" w:cs="仿宋_GB2312"/>
          <w:kern w:val="0"/>
          <w:sz w:val="24"/>
          <w:highlight w:val="none"/>
        </w:rPr>
      </w:pPr>
      <w:r>
        <w:rPr>
          <w:rFonts w:hint="eastAsia" w:ascii="仿宋_GB2312" w:hAnsi="仿宋_GB2312" w:eastAsia="仿宋_GB2312" w:cs="仿宋_GB2312"/>
          <w:highlight w:val="none"/>
        </w:rPr>
        <w:br w:type="page"/>
      </w:r>
    </w:p>
    <w:p w14:paraId="6CA3C8E3">
      <w:pPr>
        <w:pStyle w:val="3"/>
        <w:adjustRightInd w:val="0"/>
        <w:snapToGrid w:val="0"/>
        <w:spacing w:before="0" w:after="0" w:line="240" w:lineRule="auto"/>
        <w:jc w:val="left"/>
        <w:rPr>
          <w:rFonts w:ascii="仿宋_GB2312" w:hAnsi="仿宋_GB2312" w:eastAsia="仿宋_GB2312" w:cs="仿宋_GB2312"/>
          <w:szCs w:val="28"/>
          <w:highlight w:val="none"/>
        </w:rPr>
      </w:pPr>
      <w:bookmarkStart w:id="132" w:name="_Toc32318_WPSOffice_Level2"/>
      <w:r>
        <w:rPr>
          <w:rFonts w:hint="eastAsia" w:ascii="仿宋_GB2312" w:hAnsi="仿宋_GB2312" w:eastAsia="仿宋_GB2312" w:cs="仿宋_GB2312"/>
          <w:szCs w:val="28"/>
          <w:highlight w:val="none"/>
        </w:rPr>
        <w:t xml:space="preserve">附件1                   </w:t>
      </w:r>
      <w:bookmarkEnd w:id="132"/>
    </w:p>
    <w:p w14:paraId="56BD0197">
      <w:pPr>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资格审查表</w:t>
      </w:r>
    </w:p>
    <w:tbl>
      <w:tblPr>
        <w:tblStyle w:val="20"/>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14:paraId="34EC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546" w:type="dxa"/>
            <w:vMerge w:val="restart"/>
            <w:noWrap w:val="0"/>
            <w:vAlign w:val="center"/>
          </w:tcPr>
          <w:p w14:paraId="54A8481B">
            <w:pPr>
              <w:ind w:left="-96" w:leftChars="-46" w:right="-86" w:rightChars="-41"/>
              <w:jc w:val="center"/>
              <w:rPr>
                <w:rFonts w:ascii="仿宋_GB2312" w:hAnsi="仿宋_GB2312" w:eastAsia="仿宋_GB2312" w:cs="仿宋_GB2312"/>
                <w:highlight w:val="none"/>
              </w:rPr>
            </w:pPr>
            <w:r>
              <w:rPr>
                <w:rFonts w:hint="eastAsia" w:ascii="仿宋_GB2312" w:hAnsi="仿宋_GB2312" w:eastAsia="仿宋_GB2312" w:cs="仿宋_GB2312"/>
                <w:highlight w:val="none"/>
              </w:rPr>
              <w:t>序号</w:t>
            </w:r>
          </w:p>
        </w:tc>
        <w:tc>
          <w:tcPr>
            <w:tcW w:w="3959" w:type="dxa"/>
            <w:vMerge w:val="restart"/>
            <w:noWrap w:val="0"/>
            <w:vAlign w:val="center"/>
          </w:tcPr>
          <w:p w14:paraId="247E9796">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审查项目</w:t>
            </w:r>
          </w:p>
        </w:tc>
        <w:tc>
          <w:tcPr>
            <w:tcW w:w="2003" w:type="dxa"/>
            <w:vMerge w:val="restart"/>
            <w:noWrap w:val="0"/>
            <w:vAlign w:val="center"/>
          </w:tcPr>
          <w:p w14:paraId="70A9A0E1">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审查标准</w:t>
            </w:r>
          </w:p>
        </w:tc>
        <w:tc>
          <w:tcPr>
            <w:tcW w:w="2668" w:type="dxa"/>
            <w:gridSpan w:val="3"/>
            <w:noWrap w:val="0"/>
            <w:vAlign w:val="center"/>
          </w:tcPr>
          <w:p w14:paraId="490BBA95">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投标人名称</w:t>
            </w:r>
          </w:p>
        </w:tc>
      </w:tr>
      <w:tr w14:paraId="5407F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6" w:type="dxa"/>
            <w:vMerge w:val="continue"/>
            <w:noWrap w:val="0"/>
            <w:vAlign w:val="center"/>
          </w:tcPr>
          <w:p w14:paraId="554C3838">
            <w:pPr>
              <w:pStyle w:val="3"/>
              <w:adjustRightInd w:val="0"/>
              <w:snapToGrid w:val="0"/>
              <w:spacing w:before="0" w:after="0" w:line="240" w:lineRule="auto"/>
              <w:rPr>
                <w:rFonts w:ascii="仿宋_GB2312" w:hAnsi="仿宋_GB2312" w:eastAsia="仿宋_GB2312" w:cs="仿宋_GB2312"/>
                <w:highlight w:val="none"/>
                <w:lang w:val="en-US" w:eastAsia="zh-CN"/>
              </w:rPr>
            </w:pPr>
          </w:p>
        </w:tc>
        <w:tc>
          <w:tcPr>
            <w:tcW w:w="3959" w:type="dxa"/>
            <w:vMerge w:val="continue"/>
            <w:noWrap w:val="0"/>
            <w:vAlign w:val="center"/>
          </w:tcPr>
          <w:p w14:paraId="6318617A">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2003" w:type="dxa"/>
            <w:vMerge w:val="continue"/>
            <w:noWrap w:val="0"/>
            <w:vAlign w:val="center"/>
          </w:tcPr>
          <w:p w14:paraId="1E967673">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23" w:type="dxa"/>
            <w:noWrap w:val="0"/>
            <w:vAlign w:val="center"/>
          </w:tcPr>
          <w:p w14:paraId="6A97F3BC">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center"/>
          </w:tcPr>
          <w:p w14:paraId="0043D9A5">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center"/>
          </w:tcPr>
          <w:p w14:paraId="03B0BD67">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09AD4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546" w:type="dxa"/>
            <w:noWrap w:val="0"/>
            <w:vAlign w:val="center"/>
          </w:tcPr>
          <w:p w14:paraId="26F70C63">
            <w:pPr>
              <w:adjustRightInd w:val="0"/>
              <w:snapToGrid w:val="0"/>
              <w:jc w:val="center"/>
              <w:rPr>
                <w:rFonts w:ascii="仿宋_GB2312" w:hAnsi="仿宋_GB2312" w:eastAsia="仿宋_GB2312" w:cs="仿宋_GB2312"/>
                <w:highlight w:val="none"/>
              </w:rPr>
            </w:pPr>
            <w:r>
              <w:rPr>
                <w:rFonts w:hint="eastAsia" w:ascii="仿宋_GB2312" w:hAnsi="仿宋_GB2312" w:eastAsia="仿宋_GB2312" w:cs="仿宋_GB2312"/>
                <w:szCs w:val="21"/>
                <w:highlight w:val="none"/>
              </w:rPr>
              <w:t>1</w:t>
            </w:r>
          </w:p>
        </w:tc>
        <w:tc>
          <w:tcPr>
            <w:tcW w:w="3959" w:type="dxa"/>
            <w:noWrap w:val="0"/>
            <w:vAlign w:val="center"/>
          </w:tcPr>
          <w:p w14:paraId="76354592">
            <w:pPr>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营业执照或事业单位法人证书或执业许可证等证明文件</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或自然人的身份证明</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（自然人身份证明仅在自然人作为投标主体时适用）</w:t>
            </w:r>
          </w:p>
        </w:tc>
        <w:tc>
          <w:tcPr>
            <w:tcW w:w="2003" w:type="dxa"/>
            <w:noWrap w:val="0"/>
            <w:vAlign w:val="center"/>
          </w:tcPr>
          <w:p w14:paraId="403A3436">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1.按要求提供</w:t>
            </w:r>
          </w:p>
          <w:p w14:paraId="7CBA027E">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2.合法有效</w:t>
            </w:r>
          </w:p>
        </w:tc>
        <w:tc>
          <w:tcPr>
            <w:tcW w:w="923" w:type="dxa"/>
            <w:noWrap w:val="0"/>
            <w:vAlign w:val="center"/>
          </w:tcPr>
          <w:p w14:paraId="6074A4E0">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center"/>
          </w:tcPr>
          <w:p w14:paraId="1E6612AA">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center"/>
          </w:tcPr>
          <w:p w14:paraId="66A92418">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1C0A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546" w:type="dxa"/>
            <w:noWrap w:val="0"/>
            <w:vAlign w:val="center"/>
          </w:tcPr>
          <w:p w14:paraId="142D771D">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3959" w:type="dxa"/>
            <w:noWrap w:val="0"/>
            <w:vAlign w:val="center"/>
          </w:tcPr>
          <w:p w14:paraId="1C80EC76">
            <w:pPr>
              <w:widowControl/>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组织机构代码证</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（三证合一的不需提供）</w:t>
            </w:r>
          </w:p>
        </w:tc>
        <w:tc>
          <w:tcPr>
            <w:tcW w:w="2003" w:type="dxa"/>
            <w:noWrap w:val="0"/>
            <w:vAlign w:val="center"/>
          </w:tcPr>
          <w:p w14:paraId="69BFAFDB">
            <w:pPr>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1.按要求提供</w:t>
            </w:r>
          </w:p>
          <w:p w14:paraId="682EEE7A">
            <w:pPr>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2.合法有效</w:t>
            </w:r>
          </w:p>
        </w:tc>
        <w:tc>
          <w:tcPr>
            <w:tcW w:w="923" w:type="dxa"/>
            <w:noWrap w:val="0"/>
            <w:vAlign w:val="top"/>
          </w:tcPr>
          <w:p w14:paraId="69C9A10A">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3A496F7C">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49795D9B">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7652B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46" w:type="dxa"/>
            <w:noWrap w:val="0"/>
            <w:vAlign w:val="center"/>
          </w:tcPr>
          <w:p w14:paraId="393B5C25">
            <w:pPr>
              <w:adjustRightInd w:val="0"/>
              <w:snapToGrid w:val="0"/>
              <w:jc w:val="center"/>
              <w:rPr>
                <w:rFonts w:ascii="仿宋_GB2312" w:hAnsi="仿宋_GB2312" w:eastAsia="仿宋_GB2312" w:cs="仿宋_GB2312"/>
                <w:highlight w:val="none"/>
              </w:rPr>
            </w:pPr>
            <w:r>
              <w:rPr>
                <w:rFonts w:hint="eastAsia" w:ascii="仿宋_GB2312" w:hAnsi="仿宋_GB2312" w:eastAsia="仿宋_GB2312" w:cs="仿宋_GB2312"/>
                <w:szCs w:val="21"/>
                <w:highlight w:val="none"/>
              </w:rPr>
              <w:t>3</w:t>
            </w:r>
          </w:p>
        </w:tc>
        <w:tc>
          <w:tcPr>
            <w:tcW w:w="3959" w:type="dxa"/>
            <w:noWrap w:val="0"/>
            <w:vAlign w:val="center"/>
          </w:tcPr>
          <w:p w14:paraId="24B3B49E">
            <w:pPr>
              <w:widowControl/>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税务登记证</w:t>
            </w:r>
            <w:r>
              <w:rPr>
                <w:rFonts w:hint="eastAsia" w:ascii="仿宋_GB2312" w:hAnsi="仿宋_GB2312" w:eastAsia="仿宋_GB2312" w:cs="仿宋_GB2312"/>
                <w:szCs w:val="21"/>
                <w:highlight w:val="none"/>
                <w:lang w:eastAsia="zh-CN"/>
              </w:rPr>
              <w:t>扫描件</w:t>
            </w:r>
            <w:r>
              <w:rPr>
                <w:rFonts w:hint="eastAsia" w:ascii="仿宋_GB2312" w:hAnsi="仿宋_GB2312" w:eastAsia="仿宋_GB2312" w:cs="仿宋_GB2312"/>
                <w:szCs w:val="21"/>
                <w:highlight w:val="none"/>
              </w:rPr>
              <w:t>（三证合一的不需提供）</w:t>
            </w:r>
          </w:p>
        </w:tc>
        <w:tc>
          <w:tcPr>
            <w:tcW w:w="2003" w:type="dxa"/>
            <w:noWrap w:val="0"/>
            <w:vAlign w:val="center"/>
          </w:tcPr>
          <w:p w14:paraId="200294E9">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1.按要求提供</w:t>
            </w:r>
          </w:p>
          <w:p w14:paraId="77C414AA">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2.合法有效</w:t>
            </w:r>
          </w:p>
        </w:tc>
        <w:tc>
          <w:tcPr>
            <w:tcW w:w="923" w:type="dxa"/>
            <w:noWrap w:val="0"/>
            <w:vAlign w:val="top"/>
          </w:tcPr>
          <w:p w14:paraId="4BFB1285">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09729800">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16034308">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1E57B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46" w:type="dxa"/>
            <w:noWrap w:val="0"/>
            <w:vAlign w:val="center"/>
          </w:tcPr>
          <w:p w14:paraId="062CFEB1">
            <w:pPr>
              <w:adjustRightInd w:val="0"/>
              <w:snapToGrid w:val="0"/>
              <w:jc w:val="center"/>
              <w:rPr>
                <w:rFonts w:ascii="仿宋_GB2312" w:hAnsi="仿宋_GB2312" w:eastAsia="仿宋_GB2312" w:cs="仿宋_GB2312"/>
                <w:highlight w:val="none"/>
              </w:rPr>
            </w:pPr>
            <w:r>
              <w:rPr>
                <w:rFonts w:hint="eastAsia" w:ascii="仿宋_GB2312" w:hAnsi="仿宋_GB2312" w:eastAsia="仿宋_GB2312" w:cs="仿宋_GB2312"/>
                <w:szCs w:val="21"/>
                <w:highlight w:val="none"/>
              </w:rPr>
              <w:t>4</w:t>
            </w:r>
          </w:p>
        </w:tc>
        <w:tc>
          <w:tcPr>
            <w:tcW w:w="3959" w:type="dxa"/>
            <w:noWrap w:val="0"/>
            <w:vAlign w:val="center"/>
          </w:tcPr>
          <w:p w14:paraId="6D1A2117">
            <w:pPr>
              <w:widowControl/>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法定代表人（或非法人组织负责人）身份证明书（自然人投标的无需提供）</w:t>
            </w:r>
          </w:p>
        </w:tc>
        <w:tc>
          <w:tcPr>
            <w:tcW w:w="2003" w:type="dxa"/>
            <w:noWrap w:val="0"/>
            <w:vAlign w:val="top"/>
          </w:tcPr>
          <w:p w14:paraId="00A998F4">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1.按给定格式填写</w:t>
            </w:r>
          </w:p>
          <w:p w14:paraId="6D091839">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2.按规定签章</w:t>
            </w:r>
          </w:p>
        </w:tc>
        <w:tc>
          <w:tcPr>
            <w:tcW w:w="923" w:type="dxa"/>
            <w:noWrap w:val="0"/>
            <w:vAlign w:val="top"/>
          </w:tcPr>
          <w:p w14:paraId="166E3A49">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193B7DC2">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76B6D83C">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1DC07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546" w:type="dxa"/>
            <w:noWrap w:val="0"/>
            <w:vAlign w:val="center"/>
          </w:tcPr>
          <w:p w14:paraId="7AC98604">
            <w:pPr>
              <w:adjustRightInd w:val="0"/>
              <w:snapToGrid w:val="0"/>
              <w:jc w:val="center"/>
              <w:rPr>
                <w:rFonts w:ascii="仿宋_GB2312" w:hAnsi="仿宋_GB2312" w:eastAsia="仿宋_GB2312" w:cs="仿宋_GB2312"/>
                <w:highlight w:val="none"/>
              </w:rPr>
            </w:pPr>
            <w:r>
              <w:rPr>
                <w:rFonts w:hint="eastAsia" w:ascii="仿宋_GB2312" w:hAnsi="仿宋_GB2312" w:eastAsia="仿宋_GB2312" w:cs="仿宋_GB2312"/>
                <w:szCs w:val="21"/>
                <w:highlight w:val="none"/>
              </w:rPr>
              <w:t>5</w:t>
            </w:r>
          </w:p>
        </w:tc>
        <w:tc>
          <w:tcPr>
            <w:tcW w:w="3959" w:type="dxa"/>
            <w:noWrap w:val="0"/>
            <w:vAlign w:val="center"/>
          </w:tcPr>
          <w:p w14:paraId="0DD9142A">
            <w:pPr>
              <w:widowControl/>
              <w:adjustRightInd w:val="0"/>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法定代表人（或非法人组织负责人）授权委托书（委托代理人参加投标的须提供）</w:t>
            </w:r>
          </w:p>
        </w:tc>
        <w:tc>
          <w:tcPr>
            <w:tcW w:w="2003" w:type="dxa"/>
            <w:noWrap w:val="0"/>
            <w:vAlign w:val="top"/>
          </w:tcPr>
          <w:p w14:paraId="7EE18ACD">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1.按给定格式填写</w:t>
            </w:r>
          </w:p>
          <w:p w14:paraId="5C8D6638">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2.按规定签章</w:t>
            </w:r>
          </w:p>
        </w:tc>
        <w:tc>
          <w:tcPr>
            <w:tcW w:w="923" w:type="dxa"/>
            <w:noWrap w:val="0"/>
            <w:vAlign w:val="top"/>
          </w:tcPr>
          <w:p w14:paraId="080FF53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11A487B3">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19EF894E">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3E90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546" w:type="dxa"/>
            <w:noWrap w:val="0"/>
            <w:vAlign w:val="center"/>
          </w:tcPr>
          <w:p w14:paraId="11957351">
            <w:pPr>
              <w:adjustRightInd w:val="0"/>
              <w:snapToGrid w:val="0"/>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c>
          <w:tcPr>
            <w:tcW w:w="3959" w:type="dxa"/>
            <w:noWrap w:val="0"/>
            <w:vAlign w:val="center"/>
          </w:tcPr>
          <w:p w14:paraId="682A7A00">
            <w:pPr>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资格证明材料承诺函</w:t>
            </w:r>
          </w:p>
        </w:tc>
        <w:tc>
          <w:tcPr>
            <w:tcW w:w="2003" w:type="dxa"/>
            <w:noWrap w:val="0"/>
            <w:vAlign w:val="top"/>
          </w:tcPr>
          <w:p w14:paraId="002EFCB5">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1.按给定格式填写</w:t>
            </w:r>
          </w:p>
          <w:p w14:paraId="6AC54E1B">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2.按规定签章</w:t>
            </w:r>
          </w:p>
        </w:tc>
        <w:tc>
          <w:tcPr>
            <w:tcW w:w="923" w:type="dxa"/>
            <w:noWrap w:val="0"/>
            <w:vAlign w:val="top"/>
          </w:tcPr>
          <w:p w14:paraId="34DD749A">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78112717">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24F65300">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7092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546" w:type="dxa"/>
            <w:noWrap w:val="0"/>
            <w:vAlign w:val="center"/>
          </w:tcPr>
          <w:p w14:paraId="601880DF">
            <w:pPr>
              <w:adjustRightInd w:val="0"/>
              <w:snapToGrid w:val="0"/>
              <w:jc w:val="center"/>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7</w:t>
            </w:r>
          </w:p>
        </w:tc>
        <w:tc>
          <w:tcPr>
            <w:tcW w:w="3959" w:type="dxa"/>
            <w:noWrap w:val="0"/>
            <w:vAlign w:val="center"/>
          </w:tcPr>
          <w:p w14:paraId="038F9717">
            <w:pPr>
              <w:adjustRightInd w:val="0"/>
              <w:snapToGrid w:val="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落实政府采购政策的证明材料（中小企业声明函）</w:t>
            </w:r>
          </w:p>
          <w:p w14:paraId="26263C5F">
            <w:pPr>
              <w:adjustRightInd w:val="0"/>
              <w:snapToGrid w:val="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注：本项目属于专门面向中小企业采购的项目,供应商应为中小微企业或监狱企业或残疾人福利性单位，否则投标无效。</w:t>
            </w:r>
          </w:p>
        </w:tc>
        <w:tc>
          <w:tcPr>
            <w:tcW w:w="2003" w:type="dxa"/>
            <w:noWrap w:val="0"/>
            <w:vAlign w:val="center"/>
          </w:tcPr>
          <w:p w14:paraId="58211248">
            <w:pPr>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1.按要求提供</w:t>
            </w:r>
          </w:p>
          <w:p w14:paraId="66D731F9">
            <w:pPr>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2.合法有效</w:t>
            </w:r>
          </w:p>
        </w:tc>
        <w:tc>
          <w:tcPr>
            <w:tcW w:w="923" w:type="dxa"/>
            <w:noWrap w:val="0"/>
            <w:vAlign w:val="top"/>
          </w:tcPr>
          <w:p w14:paraId="65E0D943">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6D919287">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3972168B">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5F40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46" w:type="dxa"/>
            <w:noWrap w:val="0"/>
            <w:vAlign w:val="center"/>
          </w:tcPr>
          <w:p w14:paraId="7F128001">
            <w:pPr>
              <w:adjustRightInd w:val="0"/>
              <w:snapToGrid w:val="0"/>
              <w:jc w:val="center"/>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8</w:t>
            </w:r>
          </w:p>
        </w:tc>
        <w:tc>
          <w:tcPr>
            <w:tcW w:w="3959" w:type="dxa"/>
            <w:noWrap w:val="0"/>
            <w:vAlign w:val="center"/>
          </w:tcPr>
          <w:p w14:paraId="46558EA1">
            <w:pPr>
              <w:adjustRightInd w:val="0"/>
              <w:snapToGrid w:val="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投标人须具有有效期内的食品经营许可证</w:t>
            </w:r>
          </w:p>
        </w:tc>
        <w:tc>
          <w:tcPr>
            <w:tcW w:w="2003" w:type="dxa"/>
            <w:noWrap w:val="0"/>
            <w:vAlign w:val="center"/>
          </w:tcPr>
          <w:p w14:paraId="238BEAAB">
            <w:pPr>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1.按要求提供</w:t>
            </w:r>
          </w:p>
          <w:p w14:paraId="1F7924DA">
            <w:pPr>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2.合法有效</w:t>
            </w:r>
          </w:p>
        </w:tc>
        <w:tc>
          <w:tcPr>
            <w:tcW w:w="923" w:type="dxa"/>
            <w:noWrap w:val="0"/>
            <w:vAlign w:val="top"/>
          </w:tcPr>
          <w:p w14:paraId="387EFE43">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4F7CCE7B">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44C80B22">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5507B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546" w:type="dxa"/>
            <w:noWrap w:val="0"/>
            <w:vAlign w:val="center"/>
          </w:tcPr>
          <w:p w14:paraId="4C7145EE">
            <w:pPr>
              <w:adjustRightInd w:val="0"/>
              <w:snapToGrid w:val="0"/>
              <w:jc w:val="center"/>
              <w:rPr>
                <w:rFonts w:hint="eastAsia" w:ascii="仿宋_GB2312" w:hAnsi="仿宋_GB2312" w:eastAsia="仿宋_GB2312" w:cs="仿宋_GB2312"/>
                <w:b w:val="0"/>
                <w:bCs w:val="0"/>
                <w:kern w:val="2"/>
                <w:sz w:val="21"/>
                <w:szCs w:val="21"/>
                <w:highlight w:val="none"/>
                <w:lang w:val="en-US" w:eastAsia="zh-CN" w:bidi="ar-SA"/>
              </w:rPr>
            </w:pPr>
            <w:r>
              <w:rPr>
                <w:rFonts w:hint="eastAsia" w:ascii="仿宋_GB2312" w:hAnsi="仿宋_GB2312" w:eastAsia="仿宋_GB2312" w:cs="仿宋_GB2312"/>
                <w:b w:val="0"/>
                <w:bCs w:val="0"/>
                <w:szCs w:val="21"/>
                <w:highlight w:val="none"/>
                <w:lang w:val="en-US" w:eastAsia="zh-CN"/>
              </w:rPr>
              <w:t>9</w:t>
            </w:r>
          </w:p>
        </w:tc>
        <w:tc>
          <w:tcPr>
            <w:tcW w:w="3959" w:type="dxa"/>
            <w:noWrap w:val="0"/>
            <w:vAlign w:val="center"/>
          </w:tcPr>
          <w:p w14:paraId="384B731E">
            <w:pPr>
              <w:adjustRightInd w:val="0"/>
              <w:snapToGrid w:val="0"/>
              <w:jc w:val="left"/>
              <w:rPr>
                <w:rFonts w:hint="eastAsia" w:ascii="仿宋_GB2312" w:hAnsi="仿宋_GB2312" w:eastAsia="仿宋_GB2312" w:cs="仿宋_GB2312"/>
                <w:b w:val="0"/>
                <w:bCs w:val="0"/>
                <w:kern w:val="2"/>
                <w:sz w:val="21"/>
                <w:szCs w:val="21"/>
                <w:highlight w:val="none"/>
                <w:lang w:val="en-US" w:eastAsia="zh-CN" w:bidi="ar-SA"/>
              </w:rPr>
            </w:pPr>
            <w:r>
              <w:rPr>
                <w:rFonts w:hint="eastAsia" w:ascii="仿宋_GB2312" w:hAnsi="仿宋_GB2312" w:eastAsia="仿宋_GB2312" w:cs="仿宋_GB2312"/>
                <w:b w:val="0"/>
                <w:bCs w:val="0"/>
                <w:szCs w:val="21"/>
                <w:highlight w:val="none"/>
                <w:lang w:val="en-US" w:eastAsia="zh-CN"/>
              </w:rPr>
              <w:t>具备“设有食品安全管理机构，配备食品安全管理人员、食品安全总监；至少配有1名具备资质的营养专业人员”承诺函</w:t>
            </w:r>
          </w:p>
        </w:tc>
        <w:tc>
          <w:tcPr>
            <w:tcW w:w="2003" w:type="dxa"/>
            <w:noWrap w:val="0"/>
            <w:vAlign w:val="top"/>
          </w:tcPr>
          <w:p w14:paraId="15ECC4D3">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1.按给定格式填写</w:t>
            </w:r>
          </w:p>
          <w:p w14:paraId="1F4EC666">
            <w:pPr>
              <w:pStyle w:val="3"/>
              <w:adjustRightInd w:val="0"/>
              <w:snapToGrid w:val="0"/>
              <w:spacing w:before="0" w:after="0" w:line="240" w:lineRule="auto"/>
              <w:jc w:val="left"/>
              <w:rPr>
                <w:rFonts w:hint="eastAsia" w:ascii="仿宋_GB2312" w:hAnsi="仿宋_GB2312" w:eastAsia="仿宋_GB2312" w:cs="仿宋_GB2312"/>
                <w:b w:val="0"/>
                <w:kern w:val="2"/>
                <w:sz w:val="21"/>
                <w:szCs w:val="21"/>
                <w:highlight w:val="none"/>
                <w:lang w:val="en-US" w:eastAsia="zh-CN" w:bidi="ar-SA"/>
              </w:rPr>
            </w:pPr>
            <w:r>
              <w:rPr>
                <w:rFonts w:hint="eastAsia" w:ascii="仿宋_GB2312" w:hAnsi="仿宋_GB2312" w:eastAsia="仿宋_GB2312" w:cs="仿宋_GB2312"/>
                <w:b w:val="0"/>
                <w:sz w:val="21"/>
                <w:szCs w:val="21"/>
                <w:highlight w:val="none"/>
                <w:lang w:val="en-US" w:eastAsia="zh-CN"/>
              </w:rPr>
              <w:t>2.按规定签章</w:t>
            </w:r>
          </w:p>
        </w:tc>
        <w:tc>
          <w:tcPr>
            <w:tcW w:w="923" w:type="dxa"/>
            <w:noWrap w:val="0"/>
            <w:vAlign w:val="top"/>
          </w:tcPr>
          <w:p w14:paraId="2F4A96F2">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1C23EFFD">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68E9E8DC">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0648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546" w:type="dxa"/>
            <w:noWrap w:val="0"/>
            <w:vAlign w:val="center"/>
          </w:tcPr>
          <w:p w14:paraId="512042E8">
            <w:pPr>
              <w:adjustRightInd w:val="0"/>
              <w:snapToGrid w:val="0"/>
              <w:jc w:val="center"/>
              <w:rPr>
                <w:rFonts w:hint="eastAsia" w:ascii="仿宋_GB2312" w:hAnsi="仿宋_GB2312" w:eastAsia="仿宋_GB2312" w:cs="仿宋_GB2312"/>
                <w:b w:val="0"/>
                <w:bCs w:val="0"/>
                <w:kern w:val="2"/>
                <w:sz w:val="21"/>
                <w:szCs w:val="21"/>
                <w:highlight w:val="none"/>
                <w:lang w:val="en-US" w:eastAsia="zh-CN" w:bidi="ar-SA"/>
              </w:rPr>
            </w:pPr>
            <w:r>
              <w:rPr>
                <w:rFonts w:hint="eastAsia" w:ascii="仿宋_GB2312" w:hAnsi="仿宋_GB2312" w:eastAsia="仿宋_GB2312" w:cs="仿宋_GB2312"/>
                <w:b w:val="0"/>
                <w:bCs w:val="0"/>
                <w:szCs w:val="21"/>
                <w:highlight w:val="none"/>
                <w:lang w:val="en-US" w:eastAsia="zh-CN"/>
              </w:rPr>
              <w:t>10</w:t>
            </w:r>
          </w:p>
        </w:tc>
        <w:tc>
          <w:tcPr>
            <w:tcW w:w="3959" w:type="dxa"/>
            <w:noWrap w:val="0"/>
            <w:vAlign w:val="center"/>
          </w:tcPr>
          <w:p w14:paraId="1725DCF3">
            <w:pPr>
              <w:adjustRightInd w:val="0"/>
              <w:snapToGrid w:val="0"/>
              <w:jc w:val="left"/>
              <w:rPr>
                <w:rFonts w:hint="eastAsia" w:ascii="仿宋_GB2312" w:hAnsi="仿宋_GB2312" w:eastAsia="仿宋_GB2312" w:cs="仿宋_GB2312"/>
                <w:b w:val="0"/>
                <w:bCs w:val="0"/>
                <w:kern w:val="2"/>
                <w:sz w:val="21"/>
                <w:szCs w:val="21"/>
                <w:highlight w:val="none"/>
                <w:lang w:val="en-US" w:eastAsia="zh-CN" w:bidi="ar-SA"/>
              </w:rPr>
            </w:pPr>
            <w:r>
              <w:rPr>
                <w:rFonts w:hint="eastAsia" w:ascii="仿宋_GB2312" w:hAnsi="仿宋_GB2312" w:eastAsia="仿宋_GB2312" w:cs="仿宋_GB2312"/>
                <w:b w:val="0"/>
                <w:bCs w:val="0"/>
                <w:szCs w:val="21"/>
                <w:highlight w:val="none"/>
                <w:lang w:val="en-US" w:eastAsia="zh-CN"/>
              </w:rPr>
              <w:t>具备“建立食品卫生、安全生产、安全管理等制度”承诺函</w:t>
            </w:r>
          </w:p>
        </w:tc>
        <w:tc>
          <w:tcPr>
            <w:tcW w:w="2003" w:type="dxa"/>
            <w:noWrap w:val="0"/>
            <w:vAlign w:val="center"/>
          </w:tcPr>
          <w:p w14:paraId="0A8D2401">
            <w:pPr>
              <w:pStyle w:val="3"/>
              <w:adjustRightInd w:val="0"/>
              <w:snapToGrid w:val="0"/>
              <w:spacing w:before="0" w:after="0" w:line="240" w:lineRule="auto"/>
              <w:jc w:val="left"/>
              <w:rPr>
                <w:rFonts w:hint="eastAsia" w:ascii="仿宋_GB2312" w:hAnsi="仿宋_GB2312" w:eastAsia="仿宋_GB2312" w:cs="仿宋_GB2312"/>
                <w:b w:val="0"/>
                <w:bCs/>
                <w:sz w:val="21"/>
                <w:szCs w:val="21"/>
                <w:highlight w:val="none"/>
                <w:lang w:val="en-US" w:eastAsia="zh-CN"/>
              </w:rPr>
            </w:pPr>
            <w:r>
              <w:rPr>
                <w:rFonts w:hint="eastAsia" w:ascii="仿宋_GB2312" w:hAnsi="仿宋_GB2312" w:eastAsia="仿宋_GB2312" w:cs="仿宋_GB2312"/>
                <w:b w:val="0"/>
                <w:bCs/>
                <w:sz w:val="21"/>
                <w:szCs w:val="21"/>
                <w:highlight w:val="none"/>
                <w:lang w:val="en-US" w:eastAsia="zh-CN"/>
              </w:rPr>
              <w:t>1.按给定格式填写</w:t>
            </w:r>
          </w:p>
          <w:p w14:paraId="5DA294DE">
            <w:pPr>
              <w:pStyle w:val="3"/>
              <w:adjustRightInd w:val="0"/>
              <w:snapToGrid w:val="0"/>
              <w:spacing w:before="0" w:after="0" w:line="240" w:lineRule="auto"/>
              <w:jc w:val="left"/>
              <w:rPr>
                <w:rFonts w:hint="eastAsia" w:ascii="仿宋_GB2312" w:hAnsi="仿宋_GB2312" w:eastAsia="仿宋_GB2312" w:cs="仿宋_GB2312"/>
                <w:b w:val="0"/>
                <w:bCs/>
                <w:sz w:val="21"/>
                <w:szCs w:val="21"/>
                <w:highlight w:val="none"/>
                <w:lang w:val="en-US" w:eastAsia="zh-CN"/>
              </w:rPr>
            </w:pPr>
            <w:r>
              <w:rPr>
                <w:rFonts w:hint="eastAsia" w:ascii="仿宋_GB2312" w:hAnsi="仿宋_GB2312" w:eastAsia="仿宋_GB2312" w:cs="仿宋_GB2312"/>
                <w:b w:val="0"/>
                <w:bCs/>
                <w:sz w:val="21"/>
                <w:szCs w:val="21"/>
                <w:highlight w:val="none"/>
                <w:lang w:val="en-US" w:eastAsia="zh-CN"/>
              </w:rPr>
              <w:t>2.按规定签章</w:t>
            </w:r>
          </w:p>
        </w:tc>
        <w:tc>
          <w:tcPr>
            <w:tcW w:w="923" w:type="dxa"/>
            <w:noWrap w:val="0"/>
            <w:vAlign w:val="top"/>
          </w:tcPr>
          <w:p w14:paraId="52ED76BE">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1477845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7D7ED15F">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018BC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546" w:type="dxa"/>
            <w:noWrap w:val="0"/>
            <w:vAlign w:val="center"/>
          </w:tcPr>
          <w:p w14:paraId="687EA5DD">
            <w:pPr>
              <w:adjustRightInd w:val="0"/>
              <w:snapToGrid w:val="0"/>
              <w:jc w:val="center"/>
              <w:rPr>
                <w:rFonts w:hint="eastAsia" w:ascii="仿宋_GB2312" w:hAnsi="仿宋_GB2312" w:eastAsia="仿宋_GB2312" w:cs="仿宋_GB2312"/>
                <w:b w:val="0"/>
                <w:bCs w:val="0"/>
                <w:kern w:val="2"/>
                <w:sz w:val="21"/>
                <w:szCs w:val="21"/>
                <w:highlight w:val="none"/>
                <w:lang w:val="en-US" w:eastAsia="zh-CN" w:bidi="ar-SA"/>
              </w:rPr>
            </w:pPr>
            <w:r>
              <w:rPr>
                <w:rFonts w:hint="eastAsia" w:ascii="仿宋_GB2312" w:hAnsi="仿宋_GB2312" w:eastAsia="仿宋_GB2312" w:cs="仿宋_GB2312"/>
                <w:b w:val="0"/>
                <w:bCs w:val="0"/>
                <w:szCs w:val="21"/>
                <w:highlight w:val="none"/>
                <w:lang w:val="en-US" w:eastAsia="zh-CN"/>
              </w:rPr>
              <w:t>11</w:t>
            </w:r>
          </w:p>
        </w:tc>
        <w:tc>
          <w:tcPr>
            <w:tcW w:w="3959" w:type="dxa"/>
            <w:noWrap w:val="0"/>
            <w:vAlign w:val="center"/>
          </w:tcPr>
          <w:p w14:paraId="08E5B8D4">
            <w:pPr>
              <w:adjustRightInd w:val="0"/>
              <w:snapToGrid w:val="0"/>
              <w:jc w:val="left"/>
              <w:rPr>
                <w:rFonts w:hint="eastAsia" w:ascii="仿宋_GB2312" w:hAnsi="仿宋_GB2312" w:eastAsia="仿宋_GB2312" w:cs="仿宋_GB2312"/>
                <w:b w:val="0"/>
                <w:bCs w:val="0"/>
                <w:kern w:val="2"/>
                <w:sz w:val="21"/>
                <w:szCs w:val="21"/>
                <w:highlight w:val="none"/>
                <w:lang w:val="en-US" w:eastAsia="zh-CN" w:bidi="ar-SA"/>
              </w:rPr>
            </w:pPr>
            <w:r>
              <w:rPr>
                <w:rFonts w:hint="eastAsia" w:ascii="仿宋_GB2312" w:hAnsi="仿宋_GB2312" w:eastAsia="仿宋_GB2312" w:cs="仿宋_GB2312"/>
                <w:b w:val="0"/>
                <w:bCs w:val="0"/>
                <w:szCs w:val="21"/>
                <w:highlight w:val="none"/>
              </w:rPr>
              <w:t>信用记录（</w:t>
            </w:r>
            <w:r>
              <w:rPr>
                <w:rFonts w:hint="eastAsia" w:ascii="仿宋_GB2312" w:hAnsi="仿宋_GB2312" w:eastAsia="仿宋_GB2312" w:cs="仿宋_GB2312"/>
                <w:b w:val="0"/>
                <w:bCs w:val="0"/>
                <w:szCs w:val="21"/>
                <w:highlight w:val="none"/>
                <w:lang w:val="en-US" w:eastAsia="zh-CN"/>
              </w:rPr>
              <w:t>投标人须提供在中国政府采购网、信用中国、中国裁判文书网、国家企业信用信息公示系统中未被列为严重违法失信的截图；</w:t>
            </w:r>
            <w:r>
              <w:rPr>
                <w:rFonts w:hint="eastAsia" w:ascii="仿宋_GB2312" w:hAnsi="仿宋_GB2312" w:eastAsia="仿宋_GB2312" w:cs="仿宋_GB2312"/>
                <w:b w:val="0"/>
                <w:bCs w:val="0"/>
                <w:szCs w:val="21"/>
                <w:highlight w:val="none"/>
              </w:rPr>
              <w:t>采购人或采购代理机构将在招标文件规定的审查期间内进行查询）</w:t>
            </w:r>
          </w:p>
        </w:tc>
        <w:tc>
          <w:tcPr>
            <w:tcW w:w="2003" w:type="dxa"/>
            <w:noWrap w:val="0"/>
            <w:vAlign w:val="center"/>
          </w:tcPr>
          <w:p w14:paraId="4C3C287D">
            <w:pPr>
              <w:pStyle w:val="3"/>
              <w:adjustRightInd w:val="0"/>
              <w:snapToGrid w:val="0"/>
              <w:spacing w:before="0" w:after="0" w:line="240" w:lineRule="auto"/>
              <w:jc w:val="left"/>
              <w:rPr>
                <w:rFonts w:hint="eastAsia" w:ascii="仿宋_GB2312" w:hAnsi="仿宋_GB2312" w:eastAsia="仿宋_GB2312" w:cs="仿宋_GB2312"/>
                <w:b w:val="0"/>
                <w:bCs/>
                <w:sz w:val="21"/>
                <w:szCs w:val="21"/>
                <w:highlight w:val="none"/>
                <w:lang w:val="en-US" w:eastAsia="zh-CN"/>
              </w:rPr>
            </w:pPr>
            <w:r>
              <w:rPr>
                <w:rFonts w:hint="eastAsia" w:ascii="仿宋_GB2312" w:hAnsi="仿宋_GB2312" w:eastAsia="仿宋_GB2312" w:cs="仿宋_GB2312"/>
                <w:b w:val="0"/>
                <w:bCs/>
                <w:sz w:val="21"/>
                <w:szCs w:val="21"/>
                <w:highlight w:val="none"/>
                <w:lang w:val="en-US" w:eastAsia="zh-CN"/>
              </w:rPr>
              <w:t>1.按要求提供</w:t>
            </w:r>
          </w:p>
          <w:p w14:paraId="336AE383">
            <w:pPr>
              <w:pStyle w:val="3"/>
              <w:adjustRightInd w:val="0"/>
              <w:snapToGrid w:val="0"/>
              <w:spacing w:before="0" w:after="0" w:line="240" w:lineRule="auto"/>
              <w:jc w:val="left"/>
              <w:rPr>
                <w:rFonts w:hint="eastAsia" w:ascii="仿宋_GB2312" w:hAnsi="仿宋_GB2312" w:eastAsia="仿宋_GB2312" w:cs="仿宋_GB2312"/>
                <w:b w:val="0"/>
                <w:bCs/>
                <w:sz w:val="21"/>
                <w:szCs w:val="21"/>
                <w:highlight w:val="none"/>
                <w:lang w:val="en-US" w:eastAsia="zh-CN"/>
              </w:rPr>
            </w:pPr>
            <w:r>
              <w:rPr>
                <w:rFonts w:hint="eastAsia" w:ascii="仿宋_GB2312" w:hAnsi="仿宋_GB2312" w:eastAsia="仿宋_GB2312" w:cs="仿宋_GB2312"/>
                <w:b w:val="0"/>
                <w:bCs/>
                <w:sz w:val="21"/>
                <w:szCs w:val="21"/>
                <w:highlight w:val="none"/>
                <w:lang w:val="en-US" w:eastAsia="zh-CN"/>
              </w:rPr>
              <w:t>2.合法有效</w:t>
            </w:r>
          </w:p>
        </w:tc>
        <w:tc>
          <w:tcPr>
            <w:tcW w:w="923" w:type="dxa"/>
            <w:noWrap w:val="0"/>
            <w:vAlign w:val="top"/>
          </w:tcPr>
          <w:p w14:paraId="4838BB71">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5619CDC3">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7EA59DC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0FE51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46" w:type="dxa"/>
            <w:noWrap w:val="0"/>
            <w:vAlign w:val="center"/>
          </w:tcPr>
          <w:p w14:paraId="7E0D74D0">
            <w:pPr>
              <w:snapToGrid w:val="0"/>
              <w:jc w:val="center"/>
              <w:rPr>
                <w:rFonts w:ascii="仿宋_GB2312" w:hAnsi="仿宋_GB2312" w:eastAsia="仿宋_GB2312" w:cs="仿宋_GB2312"/>
                <w:highlight w:val="none"/>
              </w:rPr>
            </w:pPr>
          </w:p>
        </w:tc>
        <w:tc>
          <w:tcPr>
            <w:tcW w:w="3959" w:type="dxa"/>
            <w:noWrap w:val="0"/>
            <w:vAlign w:val="center"/>
          </w:tcPr>
          <w:p w14:paraId="5DF4E2D2">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结论</w:t>
            </w:r>
          </w:p>
        </w:tc>
        <w:tc>
          <w:tcPr>
            <w:tcW w:w="2003" w:type="dxa"/>
            <w:noWrap w:val="0"/>
            <w:vAlign w:val="top"/>
          </w:tcPr>
          <w:p w14:paraId="5CA9A2EB">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23" w:type="dxa"/>
            <w:noWrap w:val="0"/>
            <w:vAlign w:val="top"/>
          </w:tcPr>
          <w:p w14:paraId="1D677435">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804" w:type="dxa"/>
            <w:noWrap w:val="0"/>
            <w:vAlign w:val="top"/>
          </w:tcPr>
          <w:p w14:paraId="7C8FA73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1" w:type="dxa"/>
            <w:noWrap w:val="0"/>
            <w:vAlign w:val="top"/>
          </w:tcPr>
          <w:p w14:paraId="1542A38A">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bl>
    <w:p w14:paraId="2209C8BE">
      <w:pPr>
        <w:snapToGrid w:val="0"/>
        <w:rPr>
          <w:rFonts w:ascii="仿宋_GB2312" w:hAnsi="仿宋_GB2312" w:eastAsia="仿宋_GB2312" w:cs="仿宋_GB2312"/>
          <w:highlight w:val="none"/>
        </w:rPr>
      </w:pPr>
      <w:r>
        <w:rPr>
          <w:rFonts w:hint="eastAsia" w:ascii="仿宋_GB2312" w:hAnsi="仿宋_GB2312" w:eastAsia="仿宋_GB2312" w:cs="仿宋_GB2312"/>
          <w:highlight w:val="none"/>
        </w:rPr>
        <w:t>填表说明：1、每项内容审查合格，在表中填写“√”；不合格填写“×”</w:t>
      </w:r>
    </w:p>
    <w:p w14:paraId="2A50E173">
      <w:pPr>
        <w:snapToGrid w:val="0"/>
        <w:rPr>
          <w:rFonts w:ascii="仿宋_GB2312" w:hAnsi="仿宋_GB2312" w:eastAsia="仿宋_GB2312" w:cs="仿宋_GB2312"/>
          <w:highlight w:val="none"/>
        </w:rPr>
      </w:pPr>
      <w:r>
        <w:rPr>
          <w:rFonts w:hint="eastAsia" w:ascii="仿宋_GB2312" w:hAnsi="仿宋_GB2312" w:eastAsia="仿宋_GB2312" w:cs="仿宋_GB2312"/>
          <w:highlight w:val="none"/>
        </w:rPr>
        <w:t xml:space="preserve">          2、审查结论填写“通过”或“不通过”</w:t>
      </w:r>
    </w:p>
    <w:p w14:paraId="5AA2D470">
      <w:pPr>
        <w:rPr>
          <w:rFonts w:ascii="仿宋_GB2312" w:hAnsi="仿宋_GB2312" w:eastAsia="仿宋_GB2312" w:cs="仿宋_GB2312"/>
          <w:highlight w:val="none"/>
        </w:rPr>
      </w:pPr>
    </w:p>
    <w:p w14:paraId="5D2203FF">
      <w:pPr>
        <w:pStyle w:val="17"/>
        <w:widowControl w:val="0"/>
        <w:snapToGrid w:val="0"/>
        <w:spacing w:before="0" w:beforeAutospacing="0" w:after="0" w:afterAutospacing="0" w:line="480" w:lineRule="auto"/>
        <w:jc w:val="both"/>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审查人签字：</w:t>
      </w:r>
    </w:p>
    <w:p w14:paraId="51A1BF4E">
      <w:pPr>
        <w:pStyle w:val="17"/>
        <w:widowControl w:val="0"/>
        <w:snapToGrid w:val="0"/>
        <w:spacing w:before="0" w:beforeAutospacing="0" w:after="0" w:afterAutospacing="0" w:line="480" w:lineRule="auto"/>
        <w:jc w:val="both"/>
        <w:rPr>
          <w:rFonts w:hint="eastAsia" w:ascii="仿宋_GB2312" w:hAnsi="仿宋_GB2312" w:eastAsia="仿宋_GB2312" w:cs="仿宋_GB2312"/>
          <w:bCs/>
          <w:sz w:val="21"/>
          <w:szCs w:val="21"/>
          <w:highlight w:val="none"/>
        </w:rPr>
      </w:pPr>
      <w:r>
        <w:rPr>
          <w:rFonts w:hint="eastAsia" w:ascii="仿宋_GB2312" w:hAnsi="仿宋_GB2312" w:eastAsia="仿宋_GB2312" w:cs="仿宋_GB2312"/>
          <w:bCs/>
          <w:sz w:val="21"/>
          <w:szCs w:val="21"/>
          <w:highlight w:val="none"/>
        </w:rPr>
        <w:t>日      期：</w:t>
      </w:r>
      <w:bookmarkStart w:id="133" w:name="_Toc11558_WPSOffice_Level2"/>
    </w:p>
    <w:p w14:paraId="4BA1F1DF">
      <w:pP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br w:type="page"/>
      </w:r>
    </w:p>
    <w:p w14:paraId="168F57A2">
      <w:pPr>
        <w:pStyle w:val="17"/>
        <w:widowControl w:val="0"/>
        <w:snapToGrid w:val="0"/>
        <w:spacing w:before="0" w:beforeAutospacing="0" w:after="0" w:afterAutospacing="0" w:line="480" w:lineRule="auto"/>
        <w:jc w:val="both"/>
        <w:outlineLvl w:val="1"/>
        <w:rPr>
          <w:rFonts w:ascii="仿宋_GB2312" w:hAnsi="仿宋_GB2312" w:eastAsia="仿宋_GB2312" w:cs="仿宋_GB2312"/>
          <w:szCs w:val="28"/>
          <w:highlight w:val="none"/>
        </w:rPr>
      </w:pPr>
      <w:r>
        <w:rPr>
          <w:rFonts w:hint="eastAsia" w:ascii="仿宋_GB2312" w:hAnsi="仿宋_GB2312" w:eastAsia="仿宋_GB2312" w:cs="仿宋_GB2312"/>
          <w:b/>
          <w:kern w:val="2"/>
          <w:sz w:val="28"/>
          <w:szCs w:val="28"/>
          <w:highlight w:val="none"/>
        </w:rPr>
        <w:t xml:space="preserve">附件2  </w:t>
      </w:r>
      <w:r>
        <w:rPr>
          <w:rFonts w:hint="eastAsia" w:ascii="仿宋_GB2312" w:hAnsi="仿宋_GB2312" w:eastAsia="仿宋_GB2312" w:cs="仿宋_GB2312"/>
          <w:szCs w:val="28"/>
          <w:highlight w:val="none"/>
        </w:rPr>
        <w:t xml:space="preserve">                </w:t>
      </w:r>
      <w:bookmarkEnd w:id="133"/>
    </w:p>
    <w:p w14:paraId="0FA5E06B">
      <w:pPr>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符合性审查表</w:t>
      </w:r>
    </w:p>
    <w:tbl>
      <w:tblPr>
        <w:tblStyle w:val="20"/>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2484"/>
        <w:gridCol w:w="3015"/>
        <w:gridCol w:w="1050"/>
        <w:gridCol w:w="1020"/>
        <w:gridCol w:w="944"/>
      </w:tblGrid>
      <w:tr w14:paraId="03F27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563" w:type="dxa"/>
            <w:vMerge w:val="restart"/>
            <w:noWrap w:val="0"/>
            <w:vAlign w:val="center"/>
          </w:tcPr>
          <w:p w14:paraId="133A14F1">
            <w:pPr>
              <w:ind w:left="-84" w:leftChars="-40" w:right="-75"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序号</w:t>
            </w:r>
          </w:p>
        </w:tc>
        <w:tc>
          <w:tcPr>
            <w:tcW w:w="2484" w:type="dxa"/>
            <w:vMerge w:val="restart"/>
            <w:noWrap w:val="0"/>
            <w:vAlign w:val="center"/>
          </w:tcPr>
          <w:p w14:paraId="5195CFBF">
            <w:pPr>
              <w:ind w:left="-84" w:leftChars="-40" w:right="-75"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审查项目</w:t>
            </w:r>
          </w:p>
        </w:tc>
        <w:tc>
          <w:tcPr>
            <w:tcW w:w="3015" w:type="dxa"/>
            <w:vMerge w:val="restart"/>
            <w:noWrap w:val="0"/>
            <w:vAlign w:val="center"/>
          </w:tcPr>
          <w:p w14:paraId="72275D5E">
            <w:pPr>
              <w:ind w:left="-84" w:leftChars="-40" w:right="-75"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审查标准</w:t>
            </w:r>
          </w:p>
        </w:tc>
        <w:tc>
          <w:tcPr>
            <w:tcW w:w="3014" w:type="dxa"/>
            <w:gridSpan w:val="3"/>
            <w:noWrap w:val="0"/>
            <w:vAlign w:val="center"/>
          </w:tcPr>
          <w:p w14:paraId="16BCDAED">
            <w:pPr>
              <w:ind w:left="-84" w:leftChars="-40" w:right="-75"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投标人名称</w:t>
            </w:r>
          </w:p>
        </w:tc>
      </w:tr>
      <w:tr w14:paraId="3F553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63" w:type="dxa"/>
            <w:vMerge w:val="continue"/>
            <w:noWrap w:val="0"/>
            <w:vAlign w:val="center"/>
          </w:tcPr>
          <w:p w14:paraId="49429442">
            <w:pPr>
              <w:pStyle w:val="3"/>
              <w:adjustRightInd w:val="0"/>
              <w:snapToGrid w:val="0"/>
              <w:spacing w:before="0" w:after="0" w:line="240" w:lineRule="auto"/>
              <w:rPr>
                <w:rFonts w:ascii="仿宋_GB2312" w:hAnsi="仿宋_GB2312" w:eastAsia="仿宋_GB2312" w:cs="仿宋_GB2312"/>
                <w:highlight w:val="none"/>
                <w:lang w:val="en-US" w:eastAsia="zh-CN"/>
              </w:rPr>
            </w:pPr>
          </w:p>
        </w:tc>
        <w:tc>
          <w:tcPr>
            <w:tcW w:w="2484" w:type="dxa"/>
            <w:vMerge w:val="continue"/>
            <w:noWrap w:val="0"/>
            <w:vAlign w:val="center"/>
          </w:tcPr>
          <w:p w14:paraId="18E1A75D">
            <w:pPr>
              <w:pStyle w:val="3"/>
              <w:adjustRightInd w:val="0"/>
              <w:snapToGrid w:val="0"/>
              <w:spacing w:before="0" w:after="0" w:line="240" w:lineRule="auto"/>
              <w:jc w:val="both"/>
              <w:rPr>
                <w:rFonts w:ascii="仿宋_GB2312" w:hAnsi="仿宋_GB2312" w:eastAsia="仿宋_GB2312" w:cs="仿宋_GB2312"/>
                <w:sz w:val="21"/>
                <w:szCs w:val="21"/>
                <w:highlight w:val="none"/>
                <w:lang w:val="en-US" w:eastAsia="zh-CN"/>
              </w:rPr>
            </w:pPr>
          </w:p>
        </w:tc>
        <w:tc>
          <w:tcPr>
            <w:tcW w:w="3015" w:type="dxa"/>
            <w:vMerge w:val="continue"/>
            <w:noWrap w:val="0"/>
            <w:vAlign w:val="center"/>
          </w:tcPr>
          <w:p w14:paraId="03D7317A">
            <w:pPr>
              <w:pStyle w:val="3"/>
              <w:adjustRightInd w:val="0"/>
              <w:snapToGrid w:val="0"/>
              <w:spacing w:before="0" w:after="0" w:line="240" w:lineRule="auto"/>
              <w:jc w:val="both"/>
              <w:rPr>
                <w:rFonts w:ascii="仿宋_GB2312" w:hAnsi="仿宋_GB2312" w:eastAsia="仿宋_GB2312" w:cs="仿宋_GB2312"/>
                <w:sz w:val="21"/>
                <w:szCs w:val="21"/>
                <w:highlight w:val="none"/>
                <w:lang w:val="en-US" w:eastAsia="zh-CN"/>
              </w:rPr>
            </w:pPr>
          </w:p>
        </w:tc>
        <w:tc>
          <w:tcPr>
            <w:tcW w:w="1050" w:type="dxa"/>
            <w:noWrap w:val="0"/>
            <w:vAlign w:val="center"/>
          </w:tcPr>
          <w:p w14:paraId="1E18119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18351ECF">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3E24F63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3A6A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563" w:type="dxa"/>
            <w:noWrap w:val="0"/>
            <w:vAlign w:val="center"/>
          </w:tcPr>
          <w:p w14:paraId="5D12F089">
            <w:pPr>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2484" w:type="dxa"/>
            <w:noWrap w:val="0"/>
            <w:vAlign w:val="center"/>
          </w:tcPr>
          <w:p w14:paraId="179EF90B">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投标函</w:t>
            </w:r>
          </w:p>
        </w:tc>
        <w:tc>
          <w:tcPr>
            <w:tcW w:w="3015" w:type="dxa"/>
            <w:noWrap w:val="0"/>
            <w:vAlign w:val="center"/>
          </w:tcPr>
          <w:p w14:paraId="6F8EB36D">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1.按给定格式填写</w:t>
            </w:r>
          </w:p>
          <w:p w14:paraId="1A081F76">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6BD20024">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3.按规定签章</w:t>
            </w:r>
          </w:p>
        </w:tc>
        <w:tc>
          <w:tcPr>
            <w:tcW w:w="1050" w:type="dxa"/>
            <w:noWrap w:val="0"/>
            <w:vAlign w:val="center"/>
          </w:tcPr>
          <w:p w14:paraId="59073C9D">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3CCF17CC">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3F5DF64A">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7196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563" w:type="dxa"/>
            <w:noWrap w:val="0"/>
            <w:vAlign w:val="center"/>
          </w:tcPr>
          <w:p w14:paraId="1F8D1FBE">
            <w:pPr>
              <w:jc w:val="center"/>
              <w:rPr>
                <w:rFonts w:hint="eastAsia" w:ascii="仿宋_GB2312" w:hAnsi="仿宋_GB2312" w:eastAsia="仿宋_GB2312" w:cs="仿宋_GB2312"/>
                <w:highlight w:val="none"/>
              </w:rPr>
            </w:pPr>
            <w:r>
              <w:rPr>
                <w:rFonts w:hint="eastAsia" w:ascii="仿宋_GB2312" w:hAnsi="仿宋_GB2312" w:eastAsia="仿宋_GB2312" w:cs="仿宋_GB2312"/>
                <w:kern w:val="0"/>
                <w:szCs w:val="21"/>
                <w:highlight w:val="none"/>
              </w:rPr>
              <w:t>2</w:t>
            </w:r>
          </w:p>
        </w:tc>
        <w:tc>
          <w:tcPr>
            <w:tcW w:w="2484" w:type="dxa"/>
            <w:noWrap w:val="0"/>
            <w:vAlign w:val="center"/>
          </w:tcPr>
          <w:p w14:paraId="48C2E44E">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开标一览表</w:t>
            </w:r>
          </w:p>
        </w:tc>
        <w:tc>
          <w:tcPr>
            <w:tcW w:w="3015" w:type="dxa"/>
            <w:noWrap w:val="0"/>
            <w:vAlign w:val="center"/>
          </w:tcPr>
          <w:p w14:paraId="7EF5F1B8">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1.按给定格式填写</w:t>
            </w:r>
          </w:p>
          <w:p w14:paraId="40962585">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55B91929">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3.按规定签章</w:t>
            </w:r>
          </w:p>
        </w:tc>
        <w:tc>
          <w:tcPr>
            <w:tcW w:w="1050" w:type="dxa"/>
            <w:noWrap w:val="0"/>
            <w:vAlign w:val="center"/>
          </w:tcPr>
          <w:p w14:paraId="516E543B">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2F038282">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7DDDB28E">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4C92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563" w:type="dxa"/>
            <w:noWrap w:val="0"/>
            <w:vAlign w:val="center"/>
          </w:tcPr>
          <w:p w14:paraId="3AB72ED4">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2484" w:type="dxa"/>
            <w:noWrap w:val="0"/>
            <w:vAlign w:val="center"/>
          </w:tcPr>
          <w:p w14:paraId="7864018E">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服务价格明细表</w:t>
            </w:r>
          </w:p>
        </w:tc>
        <w:tc>
          <w:tcPr>
            <w:tcW w:w="3015" w:type="dxa"/>
            <w:noWrap w:val="0"/>
            <w:vAlign w:val="center"/>
          </w:tcPr>
          <w:p w14:paraId="152E5596">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1.按给定格式填写</w:t>
            </w:r>
          </w:p>
          <w:p w14:paraId="247A5938">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27290D28">
            <w:pPr>
              <w:pStyle w:val="3"/>
              <w:adjustRightInd w:val="0"/>
              <w:snapToGrid w:val="0"/>
              <w:spacing w:before="0" w:after="0" w:line="240" w:lineRule="auto"/>
              <w:jc w:val="both"/>
              <w:rPr>
                <w:rFonts w:hint="eastAsia"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3.按规定签章</w:t>
            </w:r>
          </w:p>
        </w:tc>
        <w:tc>
          <w:tcPr>
            <w:tcW w:w="1050" w:type="dxa"/>
            <w:noWrap w:val="0"/>
            <w:vAlign w:val="center"/>
          </w:tcPr>
          <w:p w14:paraId="62C5D9A8">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787A6C7C">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648899B1">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001C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563" w:type="dxa"/>
            <w:noWrap w:val="0"/>
            <w:vAlign w:val="center"/>
          </w:tcPr>
          <w:p w14:paraId="54078126">
            <w:pPr>
              <w:jc w:val="center"/>
              <w:rPr>
                <w:rFonts w:hint="eastAsia" w:ascii="仿宋_GB2312" w:hAnsi="仿宋_GB2312" w:eastAsia="仿宋_GB2312" w:cs="仿宋_GB2312"/>
                <w:highlight w:val="none"/>
              </w:rPr>
            </w:pPr>
            <w:r>
              <w:rPr>
                <w:rFonts w:hint="eastAsia" w:ascii="仿宋_GB2312" w:hAnsi="仿宋_GB2312" w:eastAsia="仿宋_GB2312" w:cs="仿宋_GB2312"/>
                <w:kern w:val="0"/>
                <w:szCs w:val="21"/>
                <w:highlight w:val="none"/>
              </w:rPr>
              <w:t>4</w:t>
            </w:r>
          </w:p>
        </w:tc>
        <w:tc>
          <w:tcPr>
            <w:tcW w:w="2484" w:type="dxa"/>
            <w:noWrap w:val="0"/>
            <w:vAlign w:val="center"/>
          </w:tcPr>
          <w:p w14:paraId="086E5067">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服务需求响应表</w:t>
            </w:r>
          </w:p>
        </w:tc>
        <w:tc>
          <w:tcPr>
            <w:tcW w:w="3015" w:type="dxa"/>
            <w:noWrap w:val="0"/>
            <w:vAlign w:val="center"/>
          </w:tcPr>
          <w:p w14:paraId="2F954CEF">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1.按给定格式及填表要求填写</w:t>
            </w:r>
          </w:p>
          <w:p w14:paraId="7F719D94">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38DCE4B4">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3.按规定签章</w:t>
            </w:r>
          </w:p>
        </w:tc>
        <w:tc>
          <w:tcPr>
            <w:tcW w:w="1050" w:type="dxa"/>
            <w:noWrap w:val="0"/>
            <w:vAlign w:val="center"/>
          </w:tcPr>
          <w:p w14:paraId="0F306DF2">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7A70CA69">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47DCADDC">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06444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563" w:type="dxa"/>
            <w:noWrap w:val="0"/>
            <w:vAlign w:val="center"/>
          </w:tcPr>
          <w:p w14:paraId="0B4955CA">
            <w:pPr>
              <w:jc w:val="center"/>
              <w:rPr>
                <w:rFonts w:hint="eastAsia" w:ascii="仿宋_GB2312" w:hAnsi="仿宋_GB2312" w:eastAsia="仿宋_GB2312" w:cs="仿宋_GB2312"/>
                <w:highlight w:val="none"/>
              </w:rPr>
            </w:pPr>
            <w:r>
              <w:rPr>
                <w:rFonts w:hint="eastAsia" w:ascii="仿宋_GB2312" w:hAnsi="仿宋_GB2312" w:eastAsia="仿宋_GB2312" w:cs="仿宋_GB2312"/>
                <w:kern w:val="0"/>
                <w:szCs w:val="21"/>
                <w:highlight w:val="none"/>
              </w:rPr>
              <w:t>5</w:t>
            </w:r>
          </w:p>
        </w:tc>
        <w:tc>
          <w:tcPr>
            <w:tcW w:w="2484" w:type="dxa"/>
            <w:noWrap w:val="0"/>
            <w:vAlign w:val="center"/>
          </w:tcPr>
          <w:p w14:paraId="35A23DA9">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商务条款偏离表</w:t>
            </w:r>
          </w:p>
        </w:tc>
        <w:tc>
          <w:tcPr>
            <w:tcW w:w="3015" w:type="dxa"/>
            <w:noWrap w:val="0"/>
            <w:vAlign w:val="center"/>
          </w:tcPr>
          <w:p w14:paraId="096E9273">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1.按给定格式及填表要求填写</w:t>
            </w:r>
          </w:p>
          <w:p w14:paraId="0E35BDC0">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737B02F2">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3.按规定签章</w:t>
            </w:r>
          </w:p>
        </w:tc>
        <w:tc>
          <w:tcPr>
            <w:tcW w:w="1050" w:type="dxa"/>
            <w:noWrap w:val="0"/>
            <w:vAlign w:val="center"/>
          </w:tcPr>
          <w:p w14:paraId="25DBE790">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64CDD422">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2916975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3609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63" w:type="dxa"/>
            <w:noWrap w:val="0"/>
            <w:vAlign w:val="center"/>
          </w:tcPr>
          <w:p w14:paraId="0B99AF2B">
            <w:pPr>
              <w:jc w:val="center"/>
              <w:rPr>
                <w:rFonts w:hint="eastAsia" w:ascii="仿宋_GB2312" w:hAnsi="仿宋_GB2312" w:eastAsia="仿宋_GB2312" w:cs="仿宋_GB2312"/>
                <w:highlight w:val="none"/>
              </w:rPr>
            </w:pPr>
            <w:r>
              <w:rPr>
                <w:rFonts w:hint="eastAsia" w:ascii="仿宋_GB2312" w:hAnsi="仿宋_GB2312" w:eastAsia="仿宋_GB2312" w:cs="仿宋_GB2312"/>
                <w:kern w:val="0"/>
                <w:szCs w:val="21"/>
                <w:highlight w:val="none"/>
              </w:rPr>
              <w:t>6</w:t>
            </w:r>
          </w:p>
        </w:tc>
        <w:tc>
          <w:tcPr>
            <w:tcW w:w="2484" w:type="dxa"/>
            <w:noWrap w:val="0"/>
            <w:vAlign w:val="center"/>
          </w:tcPr>
          <w:p w14:paraId="7C808B8B">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投标人关联单位说明</w:t>
            </w:r>
          </w:p>
        </w:tc>
        <w:tc>
          <w:tcPr>
            <w:tcW w:w="3015" w:type="dxa"/>
            <w:noWrap w:val="0"/>
            <w:vAlign w:val="center"/>
          </w:tcPr>
          <w:p w14:paraId="50B64A8C">
            <w:pPr>
              <w:pStyle w:val="3"/>
              <w:adjustRightInd w:val="0"/>
              <w:snapToGrid w:val="0"/>
              <w:spacing w:before="0" w:after="0" w:line="240" w:lineRule="auto"/>
              <w:jc w:val="left"/>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无投标须知1.5所述情形</w:t>
            </w:r>
          </w:p>
        </w:tc>
        <w:tc>
          <w:tcPr>
            <w:tcW w:w="1050" w:type="dxa"/>
            <w:noWrap w:val="0"/>
            <w:vAlign w:val="center"/>
          </w:tcPr>
          <w:p w14:paraId="37E59999">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20F1FA48">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4CA81C5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2500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563" w:type="dxa"/>
            <w:noWrap w:val="0"/>
            <w:vAlign w:val="center"/>
          </w:tcPr>
          <w:p w14:paraId="65CB6933">
            <w:pPr>
              <w:jc w:val="center"/>
              <w:rPr>
                <w:rFonts w:hint="eastAsia" w:ascii="仿宋_GB2312" w:hAnsi="仿宋_GB2312" w:eastAsia="仿宋_GB2312" w:cs="仿宋_GB2312"/>
                <w:highlight w:val="none"/>
              </w:rPr>
            </w:pPr>
            <w:r>
              <w:rPr>
                <w:rFonts w:hint="eastAsia" w:ascii="仿宋_GB2312" w:hAnsi="仿宋_GB2312" w:eastAsia="仿宋_GB2312" w:cs="仿宋_GB2312"/>
                <w:kern w:val="0"/>
                <w:szCs w:val="21"/>
                <w:highlight w:val="none"/>
              </w:rPr>
              <w:t>7</w:t>
            </w:r>
          </w:p>
        </w:tc>
        <w:tc>
          <w:tcPr>
            <w:tcW w:w="2484" w:type="dxa"/>
            <w:noWrap w:val="0"/>
            <w:vAlign w:val="center"/>
          </w:tcPr>
          <w:p w14:paraId="4B582250">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电子投标文件与备份投标文件内容格式一致性承诺函</w:t>
            </w:r>
          </w:p>
        </w:tc>
        <w:tc>
          <w:tcPr>
            <w:tcW w:w="3015" w:type="dxa"/>
            <w:noWrap w:val="0"/>
            <w:vAlign w:val="center"/>
          </w:tcPr>
          <w:p w14:paraId="50DDD00E">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1.按给定格式及填表要求填写</w:t>
            </w:r>
          </w:p>
          <w:p w14:paraId="3D1D0B17">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407846C4">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3.按规定签章</w:t>
            </w:r>
          </w:p>
        </w:tc>
        <w:tc>
          <w:tcPr>
            <w:tcW w:w="1050" w:type="dxa"/>
            <w:noWrap w:val="0"/>
            <w:vAlign w:val="center"/>
          </w:tcPr>
          <w:p w14:paraId="02F72661">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39469051">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70C722B2">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1F3F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63" w:type="dxa"/>
            <w:noWrap w:val="0"/>
            <w:vAlign w:val="center"/>
          </w:tcPr>
          <w:p w14:paraId="6D52418A">
            <w:pPr>
              <w:jc w:val="center"/>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8</w:t>
            </w:r>
          </w:p>
        </w:tc>
        <w:tc>
          <w:tcPr>
            <w:tcW w:w="2484" w:type="dxa"/>
            <w:noWrap w:val="0"/>
            <w:vAlign w:val="center"/>
          </w:tcPr>
          <w:p w14:paraId="45A6A8F2">
            <w:pPr>
              <w:jc w:val="left"/>
              <w:rPr>
                <w:rFonts w:hint="eastAsia"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rPr>
              <w:t>食品安全责任书</w:t>
            </w:r>
          </w:p>
        </w:tc>
        <w:tc>
          <w:tcPr>
            <w:tcW w:w="3015" w:type="dxa"/>
            <w:noWrap w:val="0"/>
            <w:vAlign w:val="center"/>
          </w:tcPr>
          <w:p w14:paraId="47656487">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1.按给定格式及填表要求填写</w:t>
            </w:r>
          </w:p>
          <w:p w14:paraId="40C22379">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281987CC">
            <w:pPr>
              <w:rPr>
                <w:rFonts w:hint="eastAsia" w:ascii="仿宋_GB2312" w:hAnsi="仿宋_GB2312" w:eastAsia="仿宋_GB2312" w:cs="仿宋_GB2312"/>
                <w:kern w:val="2"/>
                <w:sz w:val="21"/>
                <w:szCs w:val="21"/>
                <w:highlight w:val="none"/>
                <w:lang w:val="en-US" w:eastAsia="zh-CN" w:bidi="ar-SA"/>
              </w:rPr>
            </w:pPr>
            <w:r>
              <w:rPr>
                <w:rFonts w:hint="eastAsia" w:ascii="仿宋_GB2312" w:hAnsi="仿宋_GB2312" w:eastAsia="仿宋_GB2312" w:cs="仿宋_GB2312"/>
                <w:szCs w:val="21"/>
                <w:highlight w:val="none"/>
              </w:rPr>
              <w:t>3.按规定签章</w:t>
            </w:r>
          </w:p>
        </w:tc>
        <w:tc>
          <w:tcPr>
            <w:tcW w:w="1050" w:type="dxa"/>
            <w:noWrap w:val="0"/>
            <w:vAlign w:val="center"/>
          </w:tcPr>
          <w:p w14:paraId="4C0DA106">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57F962EE">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0C32C5EF">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1AD4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63" w:type="dxa"/>
            <w:noWrap w:val="0"/>
            <w:vAlign w:val="center"/>
          </w:tcPr>
          <w:p w14:paraId="2D308F2E">
            <w:pPr>
              <w:snapToGrid w:val="0"/>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szCs w:val="21"/>
                <w:highlight w:val="none"/>
                <w:lang w:val="en-US" w:eastAsia="zh-CN"/>
              </w:rPr>
              <w:t>9</w:t>
            </w:r>
          </w:p>
        </w:tc>
        <w:tc>
          <w:tcPr>
            <w:tcW w:w="2484" w:type="dxa"/>
            <w:noWrap w:val="0"/>
            <w:vAlign w:val="center"/>
          </w:tcPr>
          <w:p w14:paraId="5DCD4957">
            <w:pPr>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投标报价</w:t>
            </w:r>
          </w:p>
        </w:tc>
        <w:tc>
          <w:tcPr>
            <w:tcW w:w="3015" w:type="dxa"/>
            <w:noWrap w:val="0"/>
            <w:vAlign w:val="center"/>
          </w:tcPr>
          <w:p w14:paraId="4B157E9B">
            <w:pPr>
              <w:pStyle w:val="3"/>
              <w:adjustRightInd w:val="0"/>
              <w:snapToGrid w:val="0"/>
              <w:spacing w:before="0" w:after="0" w:line="240" w:lineRule="auto"/>
              <w:jc w:val="both"/>
              <w:rPr>
                <w:rFonts w:ascii="仿宋_GB2312" w:hAnsi="仿宋_GB2312" w:eastAsia="仿宋_GB2312" w:cs="仿宋_GB2312"/>
                <w:b w:val="0"/>
                <w:sz w:val="21"/>
                <w:szCs w:val="21"/>
                <w:highlight w:val="none"/>
                <w:lang w:val="en-US" w:eastAsia="zh-CN"/>
              </w:rPr>
            </w:pPr>
            <w:r>
              <w:rPr>
                <w:rFonts w:hint="eastAsia" w:ascii="仿宋_GB2312" w:hAnsi="仿宋_GB2312" w:eastAsia="仿宋_GB2312" w:cs="仿宋_GB2312"/>
                <w:b w:val="0"/>
                <w:sz w:val="21"/>
                <w:szCs w:val="21"/>
                <w:highlight w:val="none"/>
                <w:lang w:val="en-US" w:eastAsia="zh-CN"/>
              </w:rPr>
              <w:t>响应招标文件实质性要求</w:t>
            </w:r>
          </w:p>
        </w:tc>
        <w:tc>
          <w:tcPr>
            <w:tcW w:w="1050" w:type="dxa"/>
            <w:noWrap w:val="0"/>
            <w:vAlign w:val="center"/>
          </w:tcPr>
          <w:p w14:paraId="38AAF0A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77997DAA">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6669B350">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r w14:paraId="68F92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63" w:type="dxa"/>
            <w:noWrap w:val="0"/>
            <w:vAlign w:val="center"/>
          </w:tcPr>
          <w:p w14:paraId="3A8D66F6">
            <w:pPr>
              <w:snapToGrid w:val="0"/>
              <w:jc w:val="center"/>
              <w:rPr>
                <w:rFonts w:ascii="仿宋_GB2312" w:hAnsi="仿宋_GB2312" w:eastAsia="仿宋_GB2312" w:cs="仿宋_GB2312"/>
                <w:highlight w:val="none"/>
              </w:rPr>
            </w:pPr>
          </w:p>
        </w:tc>
        <w:tc>
          <w:tcPr>
            <w:tcW w:w="2484" w:type="dxa"/>
            <w:noWrap w:val="0"/>
            <w:vAlign w:val="center"/>
          </w:tcPr>
          <w:p w14:paraId="03EFFFA2">
            <w:pPr>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结论</w:t>
            </w:r>
          </w:p>
        </w:tc>
        <w:tc>
          <w:tcPr>
            <w:tcW w:w="3015" w:type="dxa"/>
            <w:noWrap w:val="0"/>
            <w:vAlign w:val="center"/>
          </w:tcPr>
          <w:p w14:paraId="7E68513D">
            <w:pPr>
              <w:pStyle w:val="3"/>
              <w:adjustRightInd w:val="0"/>
              <w:snapToGrid w:val="0"/>
              <w:spacing w:before="0" w:after="0" w:line="240" w:lineRule="auto"/>
              <w:jc w:val="both"/>
              <w:rPr>
                <w:rFonts w:ascii="仿宋_GB2312" w:hAnsi="仿宋_GB2312" w:eastAsia="仿宋_GB2312" w:cs="仿宋_GB2312"/>
                <w:sz w:val="21"/>
                <w:szCs w:val="21"/>
                <w:highlight w:val="none"/>
                <w:lang w:val="en-US" w:eastAsia="zh-CN"/>
              </w:rPr>
            </w:pPr>
          </w:p>
        </w:tc>
        <w:tc>
          <w:tcPr>
            <w:tcW w:w="1050" w:type="dxa"/>
            <w:noWrap w:val="0"/>
            <w:vAlign w:val="center"/>
          </w:tcPr>
          <w:p w14:paraId="2E0B6F2F">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1020" w:type="dxa"/>
            <w:noWrap w:val="0"/>
            <w:vAlign w:val="center"/>
          </w:tcPr>
          <w:p w14:paraId="58DFD5F4">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c>
          <w:tcPr>
            <w:tcW w:w="944" w:type="dxa"/>
            <w:noWrap w:val="0"/>
            <w:vAlign w:val="center"/>
          </w:tcPr>
          <w:p w14:paraId="03273D8A">
            <w:pPr>
              <w:pStyle w:val="3"/>
              <w:adjustRightInd w:val="0"/>
              <w:snapToGrid w:val="0"/>
              <w:spacing w:before="0" w:after="0" w:line="240" w:lineRule="auto"/>
              <w:rPr>
                <w:rFonts w:ascii="仿宋_GB2312" w:hAnsi="仿宋_GB2312" w:eastAsia="仿宋_GB2312" w:cs="仿宋_GB2312"/>
                <w:sz w:val="21"/>
                <w:szCs w:val="21"/>
                <w:highlight w:val="none"/>
                <w:lang w:val="en-US" w:eastAsia="zh-CN"/>
              </w:rPr>
            </w:pPr>
          </w:p>
        </w:tc>
      </w:tr>
    </w:tbl>
    <w:p w14:paraId="66BA1033">
      <w:pPr>
        <w:rPr>
          <w:rFonts w:ascii="仿宋_GB2312" w:hAnsi="仿宋_GB2312" w:eastAsia="仿宋_GB2312" w:cs="仿宋_GB2312"/>
          <w:highlight w:val="none"/>
        </w:rPr>
      </w:pPr>
      <w:bookmarkStart w:id="134" w:name="_Toc17433_WPSOffice_Level2"/>
      <w:r>
        <w:rPr>
          <w:rFonts w:hint="eastAsia" w:ascii="仿宋_GB2312" w:hAnsi="仿宋_GB2312" w:eastAsia="仿宋_GB2312" w:cs="仿宋_GB2312"/>
          <w:highlight w:val="none"/>
        </w:rPr>
        <w:t>注：《辽宁省创新产品和服务目录》内产品、服务证明材料（可视具体情况调整至符合性证明材料及符合性审查表中）</w:t>
      </w:r>
    </w:p>
    <w:p w14:paraId="6B4C531A">
      <w:pPr>
        <w:rPr>
          <w:rFonts w:ascii="仿宋_GB2312" w:hAnsi="仿宋_GB2312" w:eastAsia="仿宋_GB2312" w:cs="仿宋_GB2312"/>
          <w:highlight w:val="none"/>
        </w:rPr>
      </w:pPr>
      <w:r>
        <w:rPr>
          <w:rFonts w:hint="eastAsia" w:ascii="仿宋_GB2312" w:hAnsi="仿宋_GB2312" w:eastAsia="仿宋_GB2312" w:cs="仿宋_GB2312"/>
          <w:highlight w:val="none"/>
        </w:rPr>
        <w:t>填表说明：1、每项内容审查合格，在表中填写“√”；不合格填写“×”</w:t>
      </w:r>
    </w:p>
    <w:p w14:paraId="0BAC9DAA">
      <w:pPr>
        <w:rPr>
          <w:rFonts w:ascii="仿宋_GB2312" w:hAnsi="仿宋_GB2312" w:eastAsia="仿宋_GB2312" w:cs="仿宋_GB2312"/>
          <w:highlight w:val="none"/>
        </w:rPr>
      </w:pPr>
      <w:r>
        <w:rPr>
          <w:rFonts w:hint="eastAsia" w:ascii="仿宋_GB2312" w:hAnsi="仿宋_GB2312" w:eastAsia="仿宋_GB2312" w:cs="仿宋_GB2312"/>
          <w:highlight w:val="none"/>
        </w:rPr>
        <w:t xml:space="preserve">          2、审查结论填写“通过”或“不通过”</w:t>
      </w:r>
    </w:p>
    <w:p w14:paraId="4854C420">
      <w:pPr>
        <w:pStyle w:val="17"/>
        <w:widowControl w:val="0"/>
        <w:snapToGrid w:val="0"/>
        <w:spacing w:before="0" w:beforeAutospacing="0" w:after="0" w:afterAutospacing="0"/>
        <w:ind w:left="5903" w:hanging="5880" w:hangingChars="2800"/>
        <w:rPr>
          <w:rFonts w:hint="eastAsia" w:ascii="仿宋_GB2312" w:hAnsi="仿宋_GB2312" w:eastAsia="仿宋_GB2312" w:cs="仿宋_GB2312"/>
          <w:b/>
          <w:sz w:val="21"/>
          <w:szCs w:val="21"/>
          <w:highlight w:val="none"/>
        </w:rPr>
      </w:pPr>
    </w:p>
    <w:p w14:paraId="12D448D9">
      <w:pPr>
        <w:pStyle w:val="17"/>
        <w:widowControl w:val="0"/>
        <w:snapToGrid w:val="0"/>
        <w:spacing w:before="0" w:beforeAutospacing="0" w:after="0" w:afterAutospacing="0"/>
        <w:rPr>
          <w:rFonts w:ascii="仿宋_GB2312" w:hAnsi="仿宋_GB2312" w:eastAsia="仿宋_GB2312" w:cs="仿宋_GB2312"/>
          <w:b/>
          <w:sz w:val="21"/>
          <w:szCs w:val="21"/>
          <w:highlight w:val="none"/>
        </w:rPr>
      </w:pPr>
    </w:p>
    <w:p w14:paraId="693A50D3">
      <w:pPr>
        <w:pStyle w:val="17"/>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xml:space="preserve">审查人签字： </w:t>
      </w:r>
    </w:p>
    <w:p w14:paraId="433BA166">
      <w:pPr>
        <w:pStyle w:val="17"/>
        <w:widowControl w:val="0"/>
        <w:snapToGrid w:val="0"/>
        <w:spacing w:before="0" w:beforeAutospacing="0" w:after="0" w:afterAutospacing="0" w:line="480" w:lineRule="auto"/>
        <w:ind w:left="5880" w:hanging="5880" w:hangingChars="280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日      期：</w:t>
      </w:r>
    </w:p>
    <w:p w14:paraId="74DCDD17">
      <w:pPr>
        <w:pStyle w:val="17"/>
        <w:widowControl w:val="0"/>
        <w:snapToGrid w:val="0"/>
        <w:spacing w:before="0" w:beforeAutospacing="0" w:after="0" w:afterAutospacing="0" w:line="480" w:lineRule="auto"/>
        <w:ind w:left="7871" w:hanging="7840" w:hangingChars="2800"/>
        <w:jc w:val="both"/>
        <w:outlineLvl w:val="1"/>
        <w:rPr>
          <w:rFonts w:ascii="仿宋_GB2312" w:hAnsi="仿宋_GB2312" w:eastAsia="仿宋_GB2312" w:cs="仿宋_GB2312"/>
          <w:sz w:val="21"/>
          <w:szCs w:val="21"/>
          <w:highlight w:val="none"/>
        </w:rPr>
      </w:pPr>
      <w:r>
        <w:rPr>
          <w:rFonts w:hint="eastAsia" w:ascii="仿宋_GB2312" w:hAnsi="仿宋_GB2312" w:eastAsia="仿宋_GB2312" w:cs="仿宋_GB2312"/>
          <w:b/>
          <w:kern w:val="2"/>
          <w:sz w:val="28"/>
          <w:szCs w:val="28"/>
          <w:highlight w:val="none"/>
        </w:rPr>
        <w:br w:type="page"/>
      </w:r>
      <w:r>
        <w:rPr>
          <w:rFonts w:hint="eastAsia" w:ascii="仿宋_GB2312" w:hAnsi="仿宋_GB2312" w:eastAsia="仿宋_GB2312" w:cs="仿宋_GB2312"/>
          <w:b/>
          <w:kern w:val="2"/>
          <w:sz w:val="28"/>
          <w:szCs w:val="28"/>
          <w:highlight w:val="none"/>
        </w:rPr>
        <w:t>附件3</w:t>
      </w:r>
      <w:bookmarkEnd w:id="134"/>
    </w:p>
    <w:p w14:paraId="211CA42E">
      <w:pPr>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评分细则</w:t>
      </w:r>
    </w:p>
    <w:p w14:paraId="5A72A27C">
      <w:pPr>
        <w:jc w:val="center"/>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（综合评分法适用）</w:t>
      </w:r>
    </w:p>
    <w:p w14:paraId="374A37CF">
      <w:pPr>
        <w:jc w:val="left"/>
        <w:rPr>
          <w:rFonts w:ascii="仿宋_GB2312" w:hAnsi="仿宋_GB2312" w:eastAsia="仿宋_GB2312" w:cs="仿宋_GB2312"/>
          <w:b/>
          <w:sz w:val="28"/>
          <w:szCs w:val="28"/>
          <w:highlight w:val="none"/>
        </w:rPr>
      </w:pPr>
      <w:r>
        <w:rPr>
          <w:rFonts w:hint="eastAsia" w:ascii="仿宋_GB2312" w:hAnsi="仿宋_GB2312" w:eastAsia="仿宋_GB2312" w:cs="仿宋_GB2312"/>
          <w:b/>
          <w:szCs w:val="21"/>
          <w:highlight w:val="none"/>
        </w:rPr>
        <w:t>（一）基本评分标准</w:t>
      </w:r>
    </w:p>
    <w:tbl>
      <w:tblPr>
        <w:tblStyle w:val="20"/>
        <w:tblpPr w:leftFromText="180" w:rightFromText="180" w:vertAnchor="text" w:horzAnchor="page" w:tblpX="1508" w:tblpY="10"/>
        <w:tblOverlap w:val="never"/>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1"/>
        <w:gridCol w:w="1377"/>
        <w:gridCol w:w="5917"/>
        <w:gridCol w:w="692"/>
      </w:tblGrid>
      <w:tr w14:paraId="1B14C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21" w:type="dxa"/>
            <w:noWrap w:val="0"/>
            <w:vAlign w:val="center"/>
          </w:tcPr>
          <w:p w14:paraId="454C5ED7">
            <w:pPr>
              <w:pStyle w:val="51"/>
              <w:snapToGrid w:val="0"/>
              <w:spacing w:before="104"/>
              <w:ind w:left="104"/>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包号</w:t>
            </w:r>
          </w:p>
        </w:tc>
        <w:tc>
          <w:tcPr>
            <w:tcW w:w="7986" w:type="dxa"/>
            <w:gridSpan w:val="3"/>
            <w:noWrap w:val="0"/>
            <w:vAlign w:val="center"/>
          </w:tcPr>
          <w:p w14:paraId="2B4B9766">
            <w:pPr>
              <w:pStyle w:val="51"/>
              <w:snapToGrid w:val="0"/>
              <w:spacing w:before="156"/>
              <w:ind w:left="4011"/>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001</w:t>
            </w:r>
          </w:p>
        </w:tc>
      </w:tr>
      <w:tr w14:paraId="5558B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21" w:type="dxa"/>
            <w:tcBorders>
              <w:bottom w:val="single" w:color="auto" w:sz="4" w:space="0"/>
            </w:tcBorders>
            <w:noWrap w:val="0"/>
            <w:vAlign w:val="center"/>
          </w:tcPr>
          <w:p w14:paraId="4AEF2DD6">
            <w:pPr>
              <w:pStyle w:val="51"/>
              <w:snapToGrid w:val="0"/>
              <w:spacing w:before="130"/>
              <w:ind w:left="104"/>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项 目</w:t>
            </w:r>
          </w:p>
        </w:tc>
        <w:tc>
          <w:tcPr>
            <w:tcW w:w="1377" w:type="dxa"/>
            <w:noWrap w:val="0"/>
            <w:vAlign w:val="center"/>
          </w:tcPr>
          <w:p w14:paraId="1AB592A1">
            <w:pPr>
              <w:pStyle w:val="51"/>
              <w:snapToGrid w:val="0"/>
              <w:spacing w:before="130"/>
              <w:ind w:left="151"/>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分项名称</w:t>
            </w:r>
          </w:p>
        </w:tc>
        <w:tc>
          <w:tcPr>
            <w:tcW w:w="5917" w:type="dxa"/>
            <w:noWrap w:val="0"/>
            <w:vAlign w:val="center"/>
          </w:tcPr>
          <w:p w14:paraId="48C95345">
            <w:pPr>
              <w:pStyle w:val="51"/>
              <w:snapToGrid w:val="0"/>
              <w:spacing w:before="130"/>
              <w:ind w:left="2742"/>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评分标准</w:t>
            </w:r>
          </w:p>
        </w:tc>
        <w:tc>
          <w:tcPr>
            <w:tcW w:w="692" w:type="dxa"/>
            <w:noWrap w:val="0"/>
            <w:vAlign w:val="center"/>
          </w:tcPr>
          <w:p w14:paraId="6D82E313">
            <w:pPr>
              <w:pStyle w:val="51"/>
              <w:snapToGrid w:val="0"/>
              <w:spacing w:before="129"/>
              <w:ind w:left="189"/>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满分</w:t>
            </w:r>
          </w:p>
        </w:tc>
      </w:tr>
      <w:tr w14:paraId="535A4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8" w:hRule="atLeast"/>
        </w:trPr>
        <w:tc>
          <w:tcPr>
            <w:tcW w:w="821" w:type="dxa"/>
            <w:vMerge w:val="restart"/>
            <w:tcBorders>
              <w:top w:val="single" w:color="auto" w:sz="4" w:space="0"/>
              <w:left w:val="single" w:color="auto" w:sz="4" w:space="0"/>
              <w:bottom w:val="single" w:color="auto" w:sz="4" w:space="0"/>
              <w:right w:val="single" w:color="auto" w:sz="4" w:space="0"/>
            </w:tcBorders>
            <w:noWrap w:val="0"/>
            <w:vAlign w:val="center"/>
          </w:tcPr>
          <w:p w14:paraId="0B90C511">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技术</w:t>
            </w:r>
          </w:p>
          <w:p w14:paraId="4E90B3A1">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部分</w:t>
            </w:r>
          </w:p>
          <w:p w14:paraId="18208097">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(70分)</w:t>
            </w:r>
          </w:p>
        </w:tc>
        <w:tc>
          <w:tcPr>
            <w:tcW w:w="1377" w:type="dxa"/>
            <w:tcBorders>
              <w:left w:val="single" w:color="auto" w:sz="4" w:space="0"/>
            </w:tcBorders>
            <w:noWrap w:val="0"/>
            <w:vAlign w:val="center"/>
          </w:tcPr>
          <w:p w14:paraId="4B90490E">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总体服务方案</w:t>
            </w:r>
          </w:p>
        </w:tc>
        <w:tc>
          <w:tcPr>
            <w:tcW w:w="5917" w:type="dxa"/>
            <w:noWrap w:val="0"/>
            <w:vAlign w:val="center"/>
          </w:tcPr>
          <w:p w14:paraId="5D7CCD6F">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根据本项目制定总体服务方案，内容包括但不限于总体服务计划、餐饮制作及配送方案、服务理念、服务目标、内部管理的职责分工、服务质量保障措施6项要点；</w:t>
            </w:r>
          </w:p>
          <w:p w14:paraId="26FAB5A5">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所有要点均结合采购需求进行了具体、详细的阐述、条理清晰、且均能够满足项目需求得12分，每有一项要点阐述不全面或不清晰，在12分的基础上减2分，分值减完为止。未提供不得分。</w:t>
            </w:r>
          </w:p>
        </w:tc>
        <w:tc>
          <w:tcPr>
            <w:tcW w:w="692" w:type="dxa"/>
            <w:noWrap w:val="0"/>
            <w:vAlign w:val="center"/>
          </w:tcPr>
          <w:p w14:paraId="117508C9">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12</w:t>
            </w:r>
          </w:p>
        </w:tc>
      </w:tr>
      <w:tr w14:paraId="2FA40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9" w:hRule="atLeast"/>
        </w:trPr>
        <w:tc>
          <w:tcPr>
            <w:tcW w:w="821" w:type="dxa"/>
            <w:vMerge w:val="continue"/>
            <w:tcBorders>
              <w:top w:val="single" w:color="auto" w:sz="4" w:space="0"/>
              <w:left w:val="single" w:color="auto" w:sz="4" w:space="0"/>
              <w:bottom w:val="single" w:color="auto" w:sz="4" w:space="0"/>
              <w:right w:val="single" w:color="auto" w:sz="4" w:space="0"/>
            </w:tcBorders>
            <w:noWrap w:val="0"/>
            <w:vAlign w:val="top"/>
          </w:tcPr>
          <w:p w14:paraId="39D4B836">
            <w:pPr>
              <w:snapToGrid w:val="0"/>
              <w:rPr>
                <w:rFonts w:hint="eastAsia" w:ascii="仿宋_GB2312" w:hAnsi="仿宋_GB2312" w:eastAsia="仿宋_GB2312" w:cs="仿宋_GB2312"/>
                <w:kern w:val="2"/>
                <w:sz w:val="21"/>
                <w:szCs w:val="24"/>
                <w:highlight w:val="none"/>
                <w:lang w:val="en-US" w:eastAsia="zh-CN" w:bidi="ar-SA"/>
              </w:rPr>
            </w:pPr>
          </w:p>
        </w:tc>
        <w:tc>
          <w:tcPr>
            <w:tcW w:w="1377" w:type="dxa"/>
            <w:tcBorders>
              <w:left w:val="single" w:color="auto" w:sz="4" w:space="0"/>
            </w:tcBorders>
            <w:noWrap w:val="0"/>
            <w:vAlign w:val="center"/>
          </w:tcPr>
          <w:p w14:paraId="2A8A98E5">
            <w:pPr>
              <w:shd w:val="clear" w:color="auto" w:fill="FFFFFF"/>
              <w:snapToGrid w:val="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企业管理制度</w:t>
            </w:r>
          </w:p>
        </w:tc>
        <w:tc>
          <w:tcPr>
            <w:tcW w:w="5917" w:type="dxa"/>
            <w:noWrap w:val="0"/>
            <w:vAlign w:val="top"/>
          </w:tcPr>
          <w:p w14:paraId="75CC620C">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根据本项目制定企业管理制度，内容包括但不限于员工管理制度、从业人员健康管理制度、设备维护管理制度、卫生清洁管理制度、投诉管理制度、监督考核制度6项要点；</w:t>
            </w:r>
          </w:p>
          <w:p w14:paraId="49A97537">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所有要点均结合采购需求进行了具体、详细的阐述、条理清晰、且均能够满足项目需求得12分，每有一项要点阐述不全面或不清晰，在12分的基础上减2分，分值减完为止。未提供不得分。</w:t>
            </w:r>
          </w:p>
        </w:tc>
        <w:tc>
          <w:tcPr>
            <w:tcW w:w="692" w:type="dxa"/>
            <w:noWrap w:val="0"/>
            <w:vAlign w:val="center"/>
          </w:tcPr>
          <w:p w14:paraId="52A1D361">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12</w:t>
            </w:r>
          </w:p>
        </w:tc>
      </w:tr>
      <w:tr w14:paraId="23386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trPr>
        <w:tc>
          <w:tcPr>
            <w:tcW w:w="821" w:type="dxa"/>
            <w:vMerge w:val="continue"/>
            <w:tcBorders>
              <w:top w:val="single" w:color="auto" w:sz="4" w:space="0"/>
              <w:left w:val="single" w:color="auto" w:sz="4" w:space="0"/>
              <w:bottom w:val="single" w:color="auto" w:sz="4" w:space="0"/>
              <w:right w:val="single" w:color="auto" w:sz="4" w:space="0"/>
            </w:tcBorders>
            <w:noWrap w:val="0"/>
            <w:vAlign w:val="top"/>
          </w:tcPr>
          <w:p w14:paraId="50459BF5">
            <w:pPr>
              <w:snapToGrid w:val="0"/>
              <w:rPr>
                <w:rFonts w:hint="eastAsia" w:ascii="仿宋_GB2312" w:hAnsi="仿宋_GB2312" w:eastAsia="仿宋_GB2312" w:cs="仿宋_GB2312"/>
                <w:kern w:val="2"/>
                <w:sz w:val="21"/>
                <w:szCs w:val="24"/>
                <w:highlight w:val="none"/>
                <w:lang w:val="en-US" w:eastAsia="zh-CN" w:bidi="ar-SA"/>
              </w:rPr>
            </w:pPr>
          </w:p>
        </w:tc>
        <w:tc>
          <w:tcPr>
            <w:tcW w:w="1377" w:type="dxa"/>
            <w:tcBorders>
              <w:left w:val="single" w:color="auto" w:sz="4" w:space="0"/>
            </w:tcBorders>
            <w:noWrap w:val="0"/>
            <w:vAlign w:val="center"/>
          </w:tcPr>
          <w:p w14:paraId="04A98AA8">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营养及安全配餐方案</w:t>
            </w:r>
          </w:p>
        </w:tc>
        <w:tc>
          <w:tcPr>
            <w:tcW w:w="5917" w:type="dxa"/>
            <w:noWrap w:val="0"/>
            <w:vAlign w:val="center"/>
          </w:tcPr>
          <w:p w14:paraId="14D008E1">
            <w:pPr>
              <w:pStyle w:val="17"/>
              <w:snapToGrid w:val="0"/>
              <w:spacing w:before="0" w:beforeAutospacing="0" w:after="0" w:afterAutospacing="0"/>
              <w:jc w:val="both"/>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根据本项目制定营养安全配餐方案，内容包括但不限于菜谱制定方案、主副食营养搭配机制、营养配餐方案、食品添加剂限制管理方案、食品农药残留物监测机制5项要点；</w:t>
            </w:r>
          </w:p>
          <w:p w14:paraId="493A888E">
            <w:pPr>
              <w:pStyle w:val="17"/>
              <w:snapToGrid w:val="0"/>
              <w:spacing w:before="0" w:beforeAutospacing="0" w:after="0" w:afterAutospacing="0"/>
              <w:jc w:val="both"/>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所有要点均结合采购需求进行了具体、详细的阐述、条理清晰、且均能够满足项目需求得10分，每有一项要点阐述不全面或不清晰，在10分的基础上减2分，分值减完为止。未提供不得分。</w:t>
            </w:r>
          </w:p>
        </w:tc>
        <w:tc>
          <w:tcPr>
            <w:tcW w:w="692" w:type="dxa"/>
            <w:noWrap w:val="0"/>
            <w:vAlign w:val="center"/>
          </w:tcPr>
          <w:p w14:paraId="1515DF6A">
            <w:pPr>
              <w:pStyle w:val="17"/>
              <w:snapToGrid w:val="0"/>
              <w:spacing w:before="0" w:beforeAutospacing="0" w:after="0" w:afterAutospacing="0"/>
              <w:jc w:val="center"/>
              <w:rPr>
                <w:rFonts w:hint="default"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10</w:t>
            </w:r>
          </w:p>
        </w:tc>
      </w:tr>
      <w:tr w14:paraId="40F8D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trPr>
        <w:tc>
          <w:tcPr>
            <w:tcW w:w="821" w:type="dxa"/>
            <w:vMerge w:val="continue"/>
            <w:tcBorders>
              <w:top w:val="single" w:color="auto" w:sz="4" w:space="0"/>
              <w:left w:val="single" w:color="auto" w:sz="4" w:space="0"/>
              <w:bottom w:val="single" w:color="auto" w:sz="4" w:space="0"/>
              <w:right w:val="single" w:color="auto" w:sz="4" w:space="0"/>
            </w:tcBorders>
            <w:noWrap w:val="0"/>
            <w:vAlign w:val="top"/>
          </w:tcPr>
          <w:p w14:paraId="082FB444">
            <w:pPr>
              <w:snapToGrid w:val="0"/>
              <w:rPr>
                <w:rFonts w:hint="eastAsia" w:ascii="仿宋_GB2312" w:hAnsi="仿宋_GB2312" w:eastAsia="仿宋_GB2312" w:cs="仿宋_GB2312"/>
                <w:kern w:val="2"/>
                <w:sz w:val="21"/>
                <w:szCs w:val="24"/>
                <w:highlight w:val="none"/>
                <w:lang w:val="en-US" w:eastAsia="zh-CN" w:bidi="ar-SA"/>
              </w:rPr>
            </w:pPr>
          </w:p>
        </w:tc>
        <w:tc>
          <w:tcPr>
            <w:tcW w:w="1377" w:type="dxa"/>
            <w:tcBorders>
              <w:left w:val="single" w:color="auto" w:sz="4" w:space="0"/>
            </w:tcBorders>
            <w:noWrap w:val="0"/>
            <w:vAlign w:val="center"/>
          </w:tcPr>
          <w:p w14:paraId="10DB873F">
            <w:pPr>
              <w:shd w:val="clear" w:color="auto" w:fill="FFFFFF"/>
              <w:snapToGrid w:val="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原材料采购安全保障措施</w:t>
            </w:r>
          </w:p>
        </w:tc>
        <w:tc>
          <w:tcPr>
            <w:tcW w:w="5917" w:type="dxa"/>
            <w:noWrap w:val="0"/>
            <w:vAlign w:val="center"/>
          </w:tcPr>
          <w:p w14:paraId="2011B136">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根据本项目制定原材料采购安全保障措施，内容包括但不限于食材采购流程、食材采购渠道保障、食材存储方案、食材定期检查方案、食材出入库管理5项要点；</w:t>
            </w:r>
          </w:p>
          <w:p w14:paraId="787BA140">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所有要点均结合采购需求进行了具体、详细的阐述、条理清晰、且均能够满足项目需求得10分，每有一项要点阐述不全面或不清晰，在10分的基础上减2分，分值减完为止。未提供不得分。</w:t>
            </w:r>
          </w:p>
        </w:tc>
        <w:tc>
          <w:tcPr>
            <w:tcW w:w="692" w:type="dxa"/>
            <w:noWrap w:val="0"/>
            <w:vAlign w:val="center"/>
          </w:tcPr>
          <w:p w14:paraId="299F1C4A">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10</w:t>
            </w:r>
          </w:p>
        </w:tc>
      </w:tr>
      <w:tr w14:paraId="783CF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trPr>
        <w:tc>
          <w:tcPr>
            <w:tcW w:w="821" w:type="dxa"/>
            <w:vMerge w:val="continue"/>
            <w:tcBorders>
              <w:top w:val="single" w:color="auto" w:sz="4" w:space="0"/>
              <w:left w:val="single" w:color="auto" w:sz="4" w:space="0"/>
              <w:bottom w:val="single" w:color="auto" w:sz="4" w:space="0"/>
              <w:right w:val="single" w:color="auto" w:sz="4" w:space="0"/>
            </w:tcBorders>
            <w:noWrap w:val="0"/>
            <w:vAlign w:val="top"/>
          </w:tcPr>
          <w:p w14:paraId="59E3F51B">
            <w:pPr>
              <w:snapToGrid w:val="0"/>
              <w:rPr>
                <w:rFonts w:hint="eastAsia" w:ascii="仿宋_GB2312" w:hAnsi="仿宋_GB2312" w:eastAsia="仿宋_GB2312" w:cs="仿宋_GB2312"/>
                <w:kern w:val="2"/>
                <w:sz w:val="21"/>
                <w:szCs w:val="24"/>
                <w:highlight w:val="none"/>
                <w:lang w:val="en-US" w:eastAsia="zh-CN" w:bidi="ar-SA"/>
              </w:rPr>
            </w:pPr>
          </w:p>
        </w:tc>
        <w:tc>
          <w:tcPr>
            <w:tcW w:w="1377" w:type="dxa"/>
            <w:tcBorders>
              <w:left w:val="single" w:color="auto" w:sz="4" w:space="0"/>
            </w:tcBorders>
            <w:noWrap w:val="0"/>
            <w:vAlign w:val="center"/>
          </w:tcPr>
          <w:p w14:paraId="424EAE1E">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食堂安全管理方案</w:t>
            </w:r>
          </w:p>
        </w:tc>
        <w:tc>
          <w:tcPr>
            <w:tcW w:w="5917" w:type="dxa"/>
            <w:noWrap w:val="0"/>
            <w:vAlign w:val="center"/>
          </w:tcPr>
          <w:p w14:paraId="7530D95E">
            <w:pPr>
              <w:pStyle w:val="17"/>
              <w:snapToGrid w:val="0"/>
              <w:spacing w:before="0" w:beforeAutospacing="0" w:after="0" w:afterAutospacing="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针对本项目提供食堂安全管理方案，内容包含但不限于生产安全制度、洗消切配及加工风险控制方案、餐具清洗及消毒方案、食堂节能环保措施、消防安全管理方案10项要点；</w:t>
            </w:r>
          </w:p>
          <w:p w14:paraId="34223336">
            <w:pPr>
              <w:pStyle w:val="17"/>
              <w:snapToGrid w:val="0"/>
              <w:spacing w:before="0" w:beforeAutospacing="0" w:after="0" w:afterAutospacing="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所有要点均结合采购需求进行了具体、详细的阐述、条理清晰、且均能够满足项目需求得10分，每有一项要点阐述不全面或缺乏可操作性，在10分的基础上减2分，分值减完为止。未提供不得分。</w:t>
            </w:r>
          </w:p>
        </w:tc>
        <w:tc>
          <w:tcPr>
            <w:tcW w:w="692" w:type="dxa"/>
            <w:noWrap w:val="0"/>
            <w:vAlign w:val="center"/>
          </w:tcPr>
          <w:p w14:paraId="467C5410">
            <w:pPr>
              <w:pStyle w:val="17"/>
              <w:snapToGrid w:val="0"/>
              <w:spacing w:before="0" w:beforeAutospacing="0" w:after="0" w:afterAutospacing="0"/>
              <w:jc w:val="center"/>
              <w:rPr>
                <w:rFonts w:hint="default"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10</w:t>
            </w:r>
          </w:p>
        </w:tc>
      </w:tr>
      <w:tr w14:paraId="21107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trPr>
        <w:tc>
          <w:tcPr>
            <w:tcW w:w="821" w:type="dxa"/>
            <w:vMerge w:val="continue"/>
            <w:tcBorders>
              <w:top w:val="single" w:color="auto" w:sz="4" w:space="0"/>
              <w:left w:val="single" w:color="auto" w:sz="4" w:space="0"/>
              <w:bottom w:val="single" w:color="auto" w:sz="4" w:space="0"/>
              <w:right w:val="single" w:color="auto" w:sz="4" w:space="0"/>
            </w:tcBorders>
            <w:noWrap w:val="0"/>
            <w:vAlign w:val="top"/>
          </w:tcPr>
          <w:p w14:paraId="29C4C4ED">
            <w:pPr>
              <w:snapToGrid w:val="0"/>
              <w:rPr>
                <w:rFonts w:hint="eastAsia" w:ascii="仿宋_GB2312" w:hAnsi="仿宋_GB2312" w:eastAsia="仿宋_GB2312" w:cs="仿宋_GB2312"/>
                <w:kern w:val="2"/>
                <w:sz w:val="21"/>
                <w:szCs w:val="24"/>
                <w:highlight w:val="none"/>
                <w:lang w:val="en-US" w:eastAsia="zh-CN" w:bidi="ar-SA"/>
              </w:rPr>
            </w:pPr>
          </w:p>
        </w:tc>
        <w:tc>
          <w:tcPr>
            <w:tcW w:w="1377" w:type="dxa"/>
            <w:tcBorders>
              <w:left w:val="single" w:color="auto" w:sz="4" w:space="0"/>
            </w:tcBorders>
            <w:noWrap w:val="0"/>
            <w:vAlign w:val="center"/>
          </w:tcPr>
          <w:p w14:paraId="48D185E2">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食品安全保障方案</w:t>
            </w:r>
          </w:p>
        </w:tc>
        <w:tc>
          <w:tcPr>
            <w:tcW w:w="5917" w:type="dxa"/>
            <w:noWrap w:val="0"/>
            <w:vAlign w:val="center"/>
          </w:tcPr>
          <w:p w14:paraId="63BA13B6">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根据本项目制定食品安全保障方案，内容包括但不限于食品安全管理体系、食品加工制作质控方案、食品留样方案、食品安全检测方案4项要点；</w:t>
            </w:r>
          </w:p>
          <w:p w14:paraId="61461191">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所有要点均结合采购需求进行了具体、详细的阐述、条理清晰、且均能够满足项目需求得8分，每有一项要点阐述不全面或不清晰，在8分的基础上减2分，分值减完为止。未提供不得分。</w:t>
            </w:r>
          </w:p>
        </w:tc>
        <w:tc>
          <w:tcPr>
            <w:tcW w:w="692" w:type="dxa"/>
            <w:noWrap w:val="0"/>
            <w:vAlign w:val="center"/>
          </w:tcPr>
          <w:p w14:paraId="40F5A0B2">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8</w:t>
            </w:r>
          </w:p>
        </w:tc>
      </w:tr>
      <w:tr w14:paraId="6F7CC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8" w:hRule="atLeast"/>
        </w:trPr>
        <w:tc>
          <w:tcPr>
            <w:tcW w:w="821" w:type="dxa"/>
            <w:vMerge w:val="continue"/>
            <w:tcBorders>
              <w:top w:val="single" w:color="auto" w:sz="4" w:space="0"/>
              <w:left w:val="single" w:color="auto" w:sz="4" w:space="0"/>
              <w:bottom w:val="single" w:color="auto" w:sz="4" w:space="0"/>
              <w:right w:val="single" w:color="auto" w:sz="4" w:space="0"/>
            </w:tcBorders>
            <w:noWrap w:val="0"/>
            <w:vAlign w:val="top"/>
          </w:tcPr>
          <w:p w14:paraId="7B0C8129">
            <w:pPr>
              <w:snapToGrid w:val="0"/>
              <w:rPr>
                <w:rFonts w:hint="eastAsia" w:ascii="仿宋_GB2312" w:hAnsi="仿宋_GB2312" w:eastAsia="仿宋_GB2312" w:cs="仿宋_GB2312"/>
                <w:kern w:val="2"/>
                <w:sz w:val="21"/>
                <w:szCs w:val="24"/>
                <w:highlight w:val="none"/>
                <w:lang w:val="en-US" w:eastAsia="zh-CN" w:bidi="ar-SA"/>
              </w:rPr>
            </w:pPr>
          </w:p>
        </w:tc>
        <w:tc>
          <w:tcPr>
            <w:tcW w:w="1377" w:type="dxa"/>
            <w:tcBorders>
              <w:left w:val="single" w:color="auto" w:sz="4" w:space="0"/>
            </w:tcBorders>
            <w:noWrap w:val="0"/>
            <w:vAlign w:val="center"/>
          </w:tcPr>
          <w:p w14:paraId="29BA6AEE">
            <w:pPr>
              <w:shd w:val="clear" w:color="auto" w:fill="FFFFFF"/>
              <w:snapToGrid w:val="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应急</w:t>
            </w:r>
          </w:p>
          <w:p w14:paraId="24CB36D2">
            <w:pPr>
              <w:shd w:val="clear" w:color="auto" w:fill="FFFFFF"/>
              <w:snapToGrid w:val="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预案</w:t>
            </w:r>
          </w:p>
        </w:tc>
        <w:tc>
          <w:tcPr>
            <w:tcW w:w="5917" w:type="dxa"/>
            <w:noWrap w:val="0"/>
            <w:vAlign w:val="center"/>
          </w:tcPr>
          <w:p w14:paraId="642473BF">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根据本项目制定应急响应预案，内容包括但不限于突发事件处理流方案（如停电、停水等）、消防应急方案、安全事故应急预案、食物中毒及意外伤害应急预案4项要点；</w:t>
            </w:r>
          </w:p>
          <w:p w14:paraId="3F3DDDFE">
            <w:pPr>
              <w:snapToGrid w:val="0"/>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所有要点均结合采购需求进行了具体、详细的阐述、条理清晰、且均能够满足项目需求得8分，每有一项要点阐述不全面或不清晰，在8分的基础上减2分，分值减完为止。未提供不得分。</w:t>
            </w:r>
          </w:p>
        </w:tc>
        <w:tc>
          <w:tcPr>
            <w:tcW w:w="692" w:type="dxa"/>
            <w:noWrap w:val="0"/>
            <w:vAlign w:val="center"/>
          </w:tcPr>
          <w:p w14:paraId="7CB072F0">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8</w:t>
            </w:r>
          </w:p>
        </w:tc>
      </w:tr>
      <w:tr w14:paraId="6DB6D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3" w:hRule="atLeast"/>
        </w:trPr>
        <w:tc>
          <w:tcPr>
            <w:tcW w:w="821" w:type="dxa"/>
            <w:vMerge w:val="restart"/>
            <w:tcBorders>
              <w:top w:val="single" w:color="auto" w:sz="4" w:space="0"/>
              <w:bottom w:val="single" w:color="auto" w:sz="4" w:space="0"/>
            </w:tcBorders>
            <w:noWrap w:val="0"/>
            <w:vAlign w:val="center"/>
          </w:tcPr>
          <w:p w14:paraId="2A8F0988">
            <w:pPr>
              <w:snapToGrid w:val="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商务</w:t>
            </w:r>
          </w:p>
          <w:p w14:paraId="0C7588C9">
            <w:pPr>
              <w:snapToGrid w:val="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部分</w:t>
            </w:r>
          </w:p>
          <w:p w14:paraId="11477401">
            <w:pPr>
              <w:snapToGrid w:val="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(30分)</w:t>
            </w:r>
          </w:p>
        </w:tc>
        <w:tc>
          <w:tcPr>
            <w:tcW w:w="1377" w:type="dxa"/>
            <w:vMerge w:val="restart"/>
            <w:noWrap w:val="0"/>
            <w:vAlign w:val="center"/>
          </w:tcPr>
          <w:p w14:paraId="3977E64A">
            <w:pPr>
              <w:shd w:val="clear" w:color="auto" w:fill="FFFFFF"/>
              <w:snapToGrid w:val="0"/>
              <w:jc w:val="center"/>
              <w:rPr>
                <w:rFonts w:hint="eastAsia" w:ascii="仿宋_GB2312" w:hAnsi="仿宋_GB2312" w:eastAsia="仿宋_GB2312" w:cs="仿宋_GB2312"/>
                <w:kern w:val="2"/>
                <w:sz w:val="21"/>
                <w:szCs w:val="24"/>
                <w:highlight w:val="none"/>
                <w:lang w:val="en-US" w:eastAsia="zh-CN" w:bidi="ar-SA"/>
              </w:rPr>
            </w:pPr>
          </w:p>
          <w:p w14:paraId="596EF885">
            <w:pPr>
              <w:shd w:val="clear" w:color="auto" w:fill="FFFFFF"/>
              <w:snapToGrid w:val="0"/>
              <w:jc w:val="center"/>
              <w:rPr>
                <w:rFonts w:hint="eastAsia" w:ascii="仿宋_GB2312" w:hAnsi="仿宋_GB2312" w:eastAsia="仿宋_GB2312" w:cs="仿宋_GB2312"/>
                <w:kern w:val="2"/>
                <w:sz w:val="21"/>
                <w:szCs w:val="24"/>
                <w:highlight w:val="none"/>
                <w:lang w:val="en-US" w:eastAsia="zh-CN" w:bidi="ar-SA"/>
              </w:rPr>
            </w:pPr>
          </w:p>
          <w:p w14:paraId="2106B2C8">
            <w:pPr>
              <w:shd w:val="clear" w:color="auto" w:fill="FFFFFF"/>
              <w:snapToGrid w:val="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人员配备</w:t>
            </w:r>
          </w:p>
        </w:tc>
        <w:tc>
          <w:tcPr>
            <w:tcW w:w="5917" w:type="dxa"/>
            <w:noWrap w:val="0"/>
            <w:vAlign w:val="center"/>
          </w:tcPr>
          <w:p w14:paraId="14D5D864">
            <w:pPr>
              <w:shd w:val="clear" w:color="auto" w:fill="FFFFFF"/>
              <w:snapToGrid w:val="0"/>
              <w:jc w:val="left"/>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1、配备厨师人员具有高级厨师证书（三级或以上）的每有一人得3分，本项最多得9分；未提供不得分。需提供身份证（正反面）、健康证、高级厨师证书扫描件和社保缴纳证明材料(或劳动合同)扫描件并加盖公章，否则不得分。</w:t>
            </w:r>
          </w:p>
        </w:tc>
        <w:tc>
          <w:tcPr>
            <w:tcW w:w="692" w:type="dxa"/>
            <w:noWrap w:val="0"/>
            <w:vAlign w:val="center"/>
          </w:tcPr>
          <w:p w14:paraId="06CE1EE3">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9</w:t>
            </w:r>
          </w:p>
        </w:tc>
      </w:tr>
      <w:tr w14:paraId="74004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821" w:type="dxa"/>
            <w:vMerge w:val="continue"/>
            <w:tcBorders>
              <w:top w:val="single" w:color="auto" w:sz="4" w:space="0"/>
              <w:bottom w:val="single" w:color="auto" w:sz="4" w:space="0"/>
            </w:tcBorders>
            <w:noWrap w:val="0"/>
            <w:vAlign w:val="center"/>
          </w:tcPr>
          <w:p w14:paraId="7EA42A26">
            <w:pPr>
              <w:pStyle w:val="51"/>
              <w:snapToGrid w:val="0"/>
              <w:spacing w:before="68"/>
              <w:ind w:left="350"/>
              <w:rPr>
                <w:rFonts w:hint="eastAsia" w:ascii="仿宋_GB2312" w:hAnsi="仿宋_GB2312" w:eastAsia="仿宋_GB2312" w:cs="仿宋_GB2312"/>
                <w:kern w:val="2"/>
                <w:sz w:val="21"/>
                <w:szCs w:val="24"/>
                <w:highlight w:val="none"/>
                <w:lang w:val="en-US" w:eastAsia="zh-CN" w:bidi="ar-SA"/>
              </w:rPr>
            </w:pPr>
          </w:p>
        </w:tc>
        <w:tc>
          <w:tcPr>
            <w:tcW w:w="1377" w:type="dxa"/>
            <w:vMerge w:val="continue"/>
            <w:noWrap w:val="0"/>
            <w:vAlign w:val="center"/>
          </w:tcPr>
          <w:p w14:paraId="063F31E8">
            <w:pPr>
              <w:pStyle w:val="51"/>
              <w:snapToGrid w:val="0"/>
              <w:spacing w:before="68"/>
              <w:ind w:left="350"/>
              <w:rPr>
                <w:rFonts w:hint="eastAsia" w:ascii="仿宋_GB2312" w:hAnsi="仿宋_GB2312" w:eastAsia="仿宋_GB2312" w:cs="仿宋_GB2312"/>
                <w:kern w:val="2"/>
                <w:sz w:val="21"/>
                <w:szCs w:val="24"/>
                <w:highlight w:val="none"/>
                <w:lang w:val="en-US" w:eastAsia="zh-CN" w:bidi="ar-SA"/>
              </w:rPr>
            </w:pPr>
          </w:p>
        </w:tc>
        <w:tc>
          <w:tcPr>
            <w:tcW w:w="5917" w:type="dxa"/>
            <w:noWrap w:val="0"/>
            <w:vAlign w:val="center"/>
          </w:tcPr>
          <w:p w14:paraId="57CB148E">
            <w:pPr>
              <w:shd w:val="clear" w:color="auto" w:fill="FFFFFF"/>
              <w:snapToGrid w:val="0"/>
              <w:jc w:val="left"/>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2、配备营养师具有高级营养师证书的提供一人得3分，本项最多得3分；未提供不得分。需提供身份证（正反面）、健康证、高级营养师证书扫描件和社保缴纳证明材料(或劳动合同)扫描件并加盖公章，否则不得分。</w:t>
            </w:r>
          </w:p>
        </w:tc>
        <w:tc>
          <w:tcPr>
            <w:tcW w:w="692" w:type="dxa"/>
            <w:noWrap w:val="0"/>
            <w:vAlign w:val="center"/>
          </w:tcPr>
          <w:p w14:paraId="03B4E281">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3</w:t>
            </w:r>
          </w:p>
        </w:tc>
      </w:tr>
      <w:tr w14:paraId="501A0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821" w:type="dxa"/>
            <w:vMerge w:val="continue"/>
            <w:tcBorders>
              <w:top w:val="single" w:color="auto" w:sz="4" w:space="0"/>
              <w:bottom w:val="single" w:color="auto" w:sz="4" w:space="0"/>
            </w:tcBorders>
            <w:noWrap w:val="0"/>
            <w:vAlign w:val="center"/>
          </w:tcPr>
          <w:p w14:paraId="7298175A">
            <w:pPr>
              <w:pStyle w:val="51"/>
              <w:snapToGrid w:val="0"/>
              <w:spacing w:before="68"/>
              <w:ind w:left="350"/>
              <w:rPr>
                <w:rFonts w:hint="eastAsia" w:ascii="仿宋_GB2312" w:hAnsi="仿宋_GB2312" w:eastAsia="仿宋_GB2312" w:cs="仿宋_GB2312"/>
                <w:kern w:val="2"/>
                <w:sz w:val="21"/>
                <w:szCs w:val="24"/>
                <w:highlight w:val="none"/>
                <w:lang w:val="en-US" w:eastAsia="zh-CN" w:bidi="ar-SA"/>
              </w:rPr>
            </w:pPr>
          </w:p>
        </w:tc>
        <w:tc>
          <w:tcPr>
            <w:tcW w:w="1377" w:type="dxa"/>
            <w:vMerge w:val="continue"/>
            <w:noWrap w:val="0"/>
            <w:vAlign w:val="center"/>
          </w:tcPr>
          <w:p w14:paraId="4ADAE42B">
            <w:pPr>
              <w:pStyle w:val="51"/>
              <w:snapToGrid w:val="0"/>
              <w:spacing w:before="68"/>
              <w:ind w:left="350"/>
              <w:rPr>
                <w:rFonts w:hint="eastAsia" w:ascii="仿宋_GB2312" w:hAnsi="仿宋_GB2312" w:eastAsia="仿宋_GB2312" w:cs="仿宋_GB2312"/>
                <w:kern w:val="2"/>
                <w:sz w:val="21"/>
                <w:szCs w:val="24"/>
                <w:highlight w:val="none"/>
                <w:lang w:val="en-US" w:eastAsia="zh-CN" w:bidi="ar-SA"/>
              </w:rPr>
            </w:pPr>
          </w:p>
        </w:tc>
        <w:tc>
          <w:tcPr>
            <w:tcW w:w="5917" w:type="dxa"/>
            <w:noWrap w:val="0"/>
            <w:vAlign w:val="center"/>
          </w:tcPr>
          <w:p w14:paraId="32CEA897">
            <w:pPr>
              <w:shd w:val="clear" w:color="auto" w:fill="FFFFFF"/>
              <w:snapToGrid w:val="0"/>
              <w:jc w:val="left"/>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3、配备面点人员具有高级面点师证书的每有一人得3分，本项最多得6分；未提供不得分。需提供身份证（正反面）、健康证、高级面点师证书扫描件和社保缴纳证明材料(或劳动合同)扫描件并加盖公章，否则不得分。</w:t>
            </w:r>
          </w:p>
        </w:tc>
        <w:tc>
          <w:tcPr>
            <w:tcW w:w="692" w:type="dxa"/>
            <w:noWrap w:val="0"/>
            <w:vAlign w:val="center"/>
          </w:tcPr>
          <w:p w14:paraId="72DF1E8C">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6</w:t>
            </w:r>
          </w:p>
        </w:tc>
      </w:tr>
      <w:tr w14:paraId="07A86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21" w:type="dxa"/>
            <w:vMerge w:val="continue"/>
            <w:tcBorders>
              <w:top w:val="single" w:color="auto" w:sz="4" w:space="0"/>
              <w:bottom w:val="single" w:color="auto" w:sz="4" w:space="0"/>
            </w:tcBorders>
            <w:noWrap w:val="0"/>
            <w:vAlign w:val="center"/>
          </w:tcPr>
          <w:p w14:paraId="7C013A2C">
            <w:pPr>
              <w:pStyle w:val="51"/>
              <w:snapToGrid w:val="0"/>
              <w:spacing w:before="68"/>
              <w:ind w:left="350"/>
              <w:rPr>
                <w:rFonts w:hint="eastAsia" w:ascii="仿宋_GB2312" w:hAnsi="仿宋_GB2312" w:eastAsia="仿宋_GB2312" w:cs="仿宋_GB2312"/>
                <w:kern w:val="2"/>
                <w:sz w:val="21"/>
                <w:szCs w:val="24"/>
                <w:highlight w:val="none"/>
                <w:lang w:val="en-US" w:eastAsia="zh-CN" w:bidi="ar-SA"/>
              </w:rPr>
            </w:pPr>
          </w:p>
        </w:tc>
        <w:tc>
          <w:tcPr>
            <w:tcW w:w="1377" w:type="dxa"/>
            <w:vMerge w:val="continue"/>
            <w:noWrap w:val="0"/>
            <w:vAlign w:val="center"/>
          </w:tcPr>
          <w:p w14:paraId="26671B31">
            <w:pPr>
              <w:pStyle w:val="51"/>
              <w:snapToGrid w:val="0"/>
              <w:spacing w:before="68"/>
              <w:ind w:left="350"/>
              <w:rPr>
                <w:rFonts w:hint="eastAsia" w:ascii="仿宋_GB2312" w:hAnsi="仿宋_GB2312" w:eastAsia="仿宋_GB2312" w:cs="仿宋_GB2312"/>
                <w:kern w:val="2"/>
                <w:sz w:val="21"/>
                <w:szCs w:val="24"/>
                <w:highlight w:val="none"/>
                <w:lang w:val="en-US" w:eastAsia="zh-CN" w:bidi="ar-SA"/>
              </w:rPr>
            </w:pPr>
          </w:p>
        </w:tc>
        <w:tc>
          <w:tcPr>
            <w:tcW w:w="5917" w:type="dxa"/>
            <w:noWrap w:val="0"/>
            <w:vAlign w:val="center"/>
          </w:tcPr>
          <w:p w14:paraId="6E074263">
            <w:pPr>
              <w:shd w:val="clear" w:color="auto" w:fill="FFFFFF"/>
              <w:snapToGrid w:val="0"/>
              <w:jc w:val="left"/>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4、食品安全员具有高级食品安全员证书得3分。需提供身份证（正反面）、健康证、高级食品安全员证书扫描件和社保缴纳证明材料(或劳动合同)扫描件并加盖公章，否则不得分。</w:t>
            </w:r>
          </w:p>
        </w:tc>
        <w:tc>
          <w:tcPr>
            <w:tcW w:w="692" w:type="dxa"/>
            <w:noWrap w:val="0"/>
            <w:vAlign w:val="center"/>
          </w:tcPr>
          <w:p w14:paraId="415C1A8F">
            <w:pPr>
              <w:pStyle w:val="17"/>
              <w:snapToGrid w:val="0"/>
              <w:spacing w:before="0" w:beforeAutospacing="0" w:after="0" w:afterAutospacing="0"/>
              <w:jc w:val="center"/>
              <w:rPr>
                <w:rFonts w:hint="default"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3</w:t>
            </w:r>
          </w:p>
        </w:tc>
      </w:tr>
      <w:tr w14:paraId="132E1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3" w:hRule="atLeast"/>
        </w:trPr>
        <w:tc>
          <w:tcPr>
            <w:tcW w:w="821" w:type="dxa"/>
            <w:vMerge w:val="continue"/>
            <w:tcBorders>
              <w:top w:val="single" w:color="auto" w:sz="4" w:space="0"/>
              <w:bottom w:val="single" w:color="auto" w:sz="4" w:space="0"/>
            </w:tcBorders>
            <w:noWrap w:val="0"/>
            <w:vAlign w:val="top"/>
          </w:tcPr>
          <w:p w14:paraId="3120C1AE">
            <w:pPr>
              <w:pStyle w:val="51"/>
              <w:snapToGrid w:val="0"/>
              <w:spacing w:before="290"/>
              <w:ind w:left="104" w:right="109"/>
              <w:rPr>
                <w:rFonts w:hint="eastAsia" w:ascii="仿宋_GB2312" w:hAnsi="仿宋_GB2312" w:eastAsia="仿宋_GB2312" w:cs="仿宋_GB2312"/>
                <w:kern w:val="2"/>
                <w:sz w:val="21"/>
                <w:szCs w:val="24"/>
                <w:highlight w:val="none"/>
                <w:lang w:val="en-US" w:eastAsia="zh-CN" w:bidi="ar-SA"/>
              </w:rPr>
            </w:pPr>
          </w:p>
        </w:tc>
        <w:tc>
          <w:tcPr>
            <w:tcW w:w="1377" w:type="dxa"/>
            <w:noWrap w:val="0"/>
            <w:vAlign w:val="center"/>
          </w:tcPr>
          <w:p w14:paraId="686E6DCD">
            <w:pPr>
              <w:pStyle w:val="51"/>
              <w:snapToGrid w:val="0"/>
              <w:spacing w:before="68"/>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业绩</w:t>
            </w:r>
          </w:p>
        </w:tc>
        <w:tc>
          <w:tcPr>
            <w:tcW w:w="5917" w:type="dxa"/>
            <w:noWrap w:val="0"/>
            <w:vAlign w:val="center"/>
          </w:tcPr>
          <w:p w14:paraId="45EBE85A">
            <w:pPr>
              <w:pStyle w:val="51"/>
              <w:snapToGrid w:val="0"/>
              <w:spacing w:before="68"/>
              <w:jc w:val="left"/>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投标人自2022年1月1日(以合同签订日期为准)至今具有餐饮服务类业绩，每提供一个得3分，最多得9分。需提供相应业绩的合同扫描件和对应合同期内任意一次结算发票（或结算凭证）扫描件，否则不得分。</w:t>
            </w:r>
          </w:p>
        </w:tc>
        <w:tc>
          <w:tcPr>
            <w:tcW w:w="692" w:type="dxa"/>
            <w:noWrap w:val="0"/>
            <w:vAlign w:val="center"/>
          </w:tcPr>
          <w:p w14:paraId="386A4192">
            <w:pPr>
              <w:pStyle w:val="17"/>
              <w:snapToGrid w:val="0"/>
              <w:spacing w:before="0" w:beforeAutospacing="0" w:after="0" w:afterAutospacing="0"/>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9</w:t>
            </w:r>
          </w:p>
        </w:tc>
      </w:tr>
      <w:tr w14:paraId="2E855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821" w:type="dxa"/>
            <w:tcBorders>
              <w:top w:val="single" w:color="auto" w:sz="4" w:space="0"/>
            </w:tcBorders>
            <w:noWrap w:val="0"/>
            <w:vAlign w:val="top"/>
          </w:tcPr>
          <w:p w14:paraId="4F4FCF5E">
            <w:pPr>
              <w:pStyle w:val="51"/>
              <w:snapToGrid w:val="0"/>
              <w:spacing w:before="19"/>
              <w:ind w:left="130" w:hanging="59"/>
              <w:jc w:val="center"/>
              <w:rPr>
                <w:rFonts w:hint="eastAsia" w:ascii="仿宋_GB2312" w:hAnsi="仿宋_GB2312" w:eastAsia="仿宋_GB2312" w:cs="仿宋_GB2312"/>
                <w:kern w:val="2"/>
                <w:sz w:val="21"/>
                <w:szCs w:val="24"/>
                <w:highlight w:val="none"/>
                <w:lang w:val="en-US" w:eastAsia="zh-CN" w:bidi="ar-SA"/>
              </w:rPr>
            </w:pPr>
            <w:r>
              <w:rPr>
                <w:rFonts w:hint="eastAsia" w:ascii="仿宋_GB2312" w:hAnsi="仿宋_GB2312" w:eastAsia="仿宋_GB2312" w:cs="仿宋_GB2312"/>
                <w:kern w:val="2"/>
                <w:sz w:val="21"/>
                <w:szCs w:val="24"/>
                <w:highlight w:val="none"/>
                <w:lang w:val="en-US" w:eastAsia="zh-CN" w:bidi="ar-SA"/>
              </w:rPr>
              <w:t>合  计</w:t>
            </w:r>
          </w:p>
        </w:tc>
        <w:tc>
          <w:tcPr>
            <w:tcW w:w="7986" w:type="dxa"/>
            <w:gridSpan w:val="3"/>
            <w:noWrap w:val="0"/>
            <w:vAlign w:val="top"/>
          </w:tcPr>
          <w:p w14:paraId="00F102F9">
            <w:pPr>
              <w:pStyle w:val="51"/>
              <w:snapToGrid w:val="0"/>
              <w:spacing w:before="68"/>
              <w:ind w:left="350"/>
              <w:rPr>
                <w:rFonts w:hint="eastAsia" w:ascii="仿宋_GB2312" w:hAnsi="仿宋_GB2312" w:eastAsia="仿宋_GB2312" w:cs="仿宋_GB2312"/>
                <w:kern w:val="2"/>
                <w:sz w:val="21"/>
                <w:szCs w:val="24"/>
                <w:highlight w:val="none"/>
                <w:lang w:val="en-US" w:eastAsia="zh-CN" w:bidi="ar-SA"/>
              </w:rPr>
            </w:pPr>
          </w:p>
        </w:tc>
      </w:tr>
    </w:tbl>
    <w:p w14:paraId="653D94E9">
      <w:pPr>
        <w:widowControl/>
        <w:shd w:val="clear" w:color="auto" w:fill="FFFFFF"/>
        <w:spacing w:line="240" w:lineRule="exact"/>
        <w:jc w:val="left"/>
        <w:rPr>
          <w:rFonts w:hint="eastAsia" w:ascii="仿宋_GB2312" w:hAnsi="仿宋_GB2312" w:eastAsia="仿宋_GB2312" w:cs="仿宋_GB2312"/>
          <w:kern w:val="0"/>
          <w:szCs w:val="21"/>
          <w:highlight w:val="none"/>
        </w:rPr>
      </w:pPr>
    </w:p>
    <w:p w14:paraId="02B3FD0C">
      <w:pPr>
        <w:widowControl/>
        <w:shd w:val="clear" w:color="auto" w:fill="FFFFFF"/>
        <w:spacing w:line="240" w:lineRule="exact"/>
        <w:jc w:val="left"/>
        <w:rPr>
          <w:rFonts w:ascii="仿宋_GB2312" w:hAnsi="仿宋_GB2312" w:eastAsia="仿宋_GB2312" w:cs="仿宋_GB2312"/>
          <w:kern w:val="0"/>
          <w:szCs w:val="21"/>
          <w:highlight w:val="none"/>
        </w:rPr>
      </w:pPr>
    </w:p>
    <w:p w14:paraId="4C3BB3A2">
      <w:pPr>
        <w:numPr>
          <w:ilvl w:val="0"/>
          <w:numId w:val="7"/>
        </w:numPr>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加分项评分标准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89"/>
      </w:tblGrid>
      <w:tr w14:paraId="03179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1A8EFD45">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加分</w:t>
            </w:r>
          </w:p>
          <w:p w14:paraId="5D16DB31">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因素</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37D2489D">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加分说明</w:t>
            </w:r>
          </w:p>
        </w:tc>
      </w:tr>
      <w:tr w14:paraId="7589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2625E2D2">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节能</w:t>
            </w:r>
          </w:p>
          <w:p w14:paraId="1077D01A">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产品</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4F0C18CD">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对于清单中的投标产品价格给予价格部分总分值</w:t>
            </w:r>
            <w:r>
              <w:rPr>
                <w:rFonts w:hint="eastAsia" w:ascii="仿宋_GB2312" w:hAnsi="仿宋_GB2312" w:eastAsia="仿宋_GB2312" w:cs="仿宋_GB2312"/>
                <w:kern w:val="0"/>
                <w:szCs w:val="21"/>
                <w:highlight w:val="none"/>
                <w:u w:val="single"/>
              </w:rPr>
              <w:t xml:space="preserve"> /  </w:t>
            </w:r>
            <w:r>
              <w:rPr>
                <w:rFonts w:hint="eastAsia" w:ascii="仿宋_GB2312" w:hAnsi="仿宋_GB2312" w:eastAsia="仿宋_GB2312" w:cs="仿宋_GB2312"/>
                <w:kern w:val="0"/>
                <w:szCs w:val="21"/>
                <w:highlight w:val="none"/>
              </w:rPr>
              <w:t>%</w:t>
            </w:r>
            <w:r>
              <w:rPr>
                <w:rFonts w:hint="eastAsia" w:ascii="仿宋_GB2312" w:hAnsi="仿宋_GB2312" w:eastAsia="仿宋_GB2312" w:cs="仿宋_GB2312"/>
                <w:szCs w:val="21"/>
                <w:highlight w:val="none"/>
              </w:rPr>
              <w:t>的加分，计算公式如下：</w:t>
            </w:r>
          </w:p>
          <w:p w14:paraId="56F12A21">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节能产品加分＝（节能产品投标报价之和/投标总价）×价格部分总分值</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p>
        </w:tc>
      </w:tr>
      <w:tr w14:paraId="0A69F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5170C274">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环保</w:t>
            </w:r>
          </w:p>
          <w:p w14:paraId="3ABCAFC3">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产品</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34FA1813">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对于清单中的投标产品价格给予价格部分总分值</w:t>
            </w:r>
            <w:r>
              <w:rPr>
                <w:rFonts w:hint="eastAsia" w:ascii="仿宋_GB2312" w:hAnsi="仿宋_GB2312" w:eastAsia="仿宋_GB2312" w:cs="仿宋_GB2312"/>
                <w:szCs w:val="21"/>
                <w:highlight w:val="none"/>
                <w:u w:val="single"/>
              </w:rPr>
              <w:t xml:space="preserve"> / </w:t>
            </w:r>
            <w:r>
              <w:rPr>
                <w:rFonts w:hint="eastAsia" w:ascii="仿宋_GB2312" w:hAnsi="仿宋_GB2312" w:eastAsia="仿宋_GB2312" w:cs="仿宋_GB2312"/>
                <w:szCs w:val="21"/>
                <w:highlight w:val="none"/>
              </w:rPr>
              <w:t>%的加分，计算公式如下：</w:t>
            </w:r>
          </w:p>
          <w:p w14:paraId="159E6564">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环保产品加分＝（环保产品投标报价之和/投标总价）×价格部分总分值</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p>
        </w:tc>
      </w:tr>
    </w:tbl>
    <w:p w14:paraId="16BDF82C">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1A1E8B39">
      <w:pPr>
        <w:rPr>
          <w:rFonts w:ascii="仿宋_GB2312" w:hAnsi="仿宋_GB2312" w:eastAsia="仿宋_GB2312" w:cs="仿宋_GB2312"/>
          <w:highlight w:val="none"/>
        </w:rPr>
      </w:pPr>
      <w:bookmarkStart w:id="135" w:name="_Toc25922_WPSOffice_Level1"/>
    </w:p>
    <w:p w14:paraId="189CBAA8">
      <w:pPr>
        <w:rPr>
          <w:rFonts w:ascii="仿宋_GB2312" w:hAnsi="仿宋_GB2312" w:eastAsia="仿宋_GB2312" w:cs="仿宋_GB2312"/>
          <w:highlight w:val="none"/>
        </w:rPr>
      </w:pPr>
    </w:p>
    <w:p w14:paraId="437D8453">
      <w:pPr>
        <w:rPr>
          <w:rFonts w:ascii="仿宋_GB2312" w:hAnsi="仿宋_GB2312" w:eastAsia="仿宋_GB2312" w:cs="仿宋_GB2312"/>
          <w:highlight w:val="none"/>
        </w:rPr>
      </w:pPr>
    </w:p>
    <w:p w14:paraId="139A95AE">
      <w:pPr>
        <w:rPr>
          <w:rFonts w:ascii="仿宋_GB2312" w:hAnsi="仿宋_GB2312" w:eastAsia="仿宋_GB2312" w:cs="仿宋_GB2312"/>
          <w:highlight w:val="none"/>
        </w:rPr>
      </w:pPr>
    </w:p>
    <w:p w14:paraId="29AC99D4">
      <w:pPr>
        <w:rPr>
          <w:rFonts w:ascii="仿宋_GB2312" w:hAnsi="仿宋_GB2312" w:eastAsia="仿宋_GB2312" w:cs="仿宋_GB2312"/>
          <w:highlight w:val="none"/>
        </w:rPr>
      </w:pPr>
    </w:p>
    <w:p w14:paraId="1396F34C">
      <w:pPr>
        <w:rPr>
          <w:rFonts w:ascii="仿宋_GB2312" w:hAnsi="仿宋_GB2312" w:eastAsia="仿宋_GB2312" w:cs="仿宋_GB2312"/>
          <w:highlight w:val="none"/>
        </w:rPr>
      </w:pPr>
    </w:p>
    <w:p w14:paraId="3DE9D374">
      <w:pPr>
        <w:rPr>
          <w:rFonts w:ascii="仿宋_GB2312" w:hAnsi="仿宋_GB2312" w:eastAsia="仿宋_GB2312" w:cs="仿宋_GB2312"/>
          <w:highlight w:val="none"/>
        </w:rPr>
      </w:pPr>
    </w:p>
    <w:p w14:paraId="5FAE7BC2">
      <w:pPr>
        <w:rPr>
          <w:rFonts w:ascii="仿宋_GB2312" w:hAnsi="仿宋_GB2312" w:eastAsia="仿宋_GB2312" w:cs="仿宋_GB2312"/>
          <w:highlight w:val="none"/>
        </w:rPr>
      </w:pPr>
    </w:p>
    <w:p w14:paraId="28E03EF8">
      <w:pPr>
        <w:rPr>
          <w:rFonts w:ascii="仿宋_GB2312" w:hAnsi="仿宋_GB2312" w:eastAsia="仿宋_GB2312" w:cs="仿宋_GB2312"/>
          <w:highlight w:val="none"/>
        </w:rPr>
      </w:pPr>
    </w:p>
    <w:p w14:paraId="05C94F70">
      <w:pPr>
        <w:rPr>
          <w:rFonts w:ascii="仿宋_GB2312" w:hAnsi="仿宋_GB2312" w:eastAsia="仿宋_GB2312" w:cs="仿宋_GB2312"/>
          <w:highlight w:val="none"/>
        </w:rPr>
      </w:pPr>
    </w:p>
    <w:p w14:paraId="35414084">
      <w:pPr>
        <w:pStyle w:val="2"/>
        <w:snapToGrid w:val="0"/>
        <w:spacing w:before="319" w:beforeLines="100" w:after="319" w:afterLines="100" w:line="360" w:lineRule="auto"/>
        <w:rPr>
          <w:rFonts w:ascii="仿宋_GB2312" w:hAnsi="仿宋_GB2312" w:eastAsia="仿宋_GB2312" w:cs="仿宋_GB2312"/>
          <w:highlight w:val="none"/>
        </w:rPr>
      </w:pPr>
      <w:bookmarkStart w:id="136" w:name="_Toc22690"/>
      <w:bookmarkStart w:id="137" w:name="_Toc24606"/>
      <w:r>
        <w:rPr>
          <w:rFonts w:hint="eastAsia" w:ascii="仿宋_GB2312" w:hAnsi="仿宋_GB2312" w:eastAsia="仿宋_GB2312" w:cs="仿宋_GB2312"/>
          <w:highlight w:val="none"/>
        </w:rPr>
        <w:t>第五章 政府采购合同条款</w:t>
      </w:r>
      <w:bookmarkEnd w:id="135"/>
      <w:r>
        <w:rPr>
          <w:rFonts w:hint="eastAsia" w:ascii="仿宋_GB2312" w:hAnsi="仿宋_GB2312" w:eastAsia="仿宋_GB2312" w:cs="仿宋_GB2312"/>
          <w:highlight w:val="none"/>
        </w:rPr>
        <w:t>及格式</w:t>
      </w:r>
      <w:bookmarkEnd w:id="136"/>
      <w:bookmarkEnd w:id="137"/>
    </w:p>
    <w:p w14:paraId="32A805A2">
      <w:pPr>
        <w:rPr>
          <w:rFonts w:ascii="仿宋_GB2312" w:hAnsi="仿宋_GB2312" w:eastAsia="仿宋_GB2312" w:cs="仿宋_GB2312"/>
          <w:highlight w:val="none"/>
        </w:rPr>
      </w:pPr>
      <w:r>
        <w:rPr>
          <w:rFonts w:hint="eastAsia" w:ascii="仿宋_GB2312" w:hAnsi="仿宋_GB2312" w:eastAsia="仿宋_GB2312" w:cs="仿宋_GB2312"/>
          <w:highlight w:val="none"/>
        </w:rPr>
        <w:br w:type="page"/>
      </w:r>
    </w:p>
    <w:p w14:paraId="0AAEBD19">
      <w:pPr>
        <w:rPr>
          <w:rFonts w:hint="eastAsia" w:ascii="仿宋" w:hAnsi="仿宋" w:eastAsia="仿宋" w:cs="仿宋"/>
          <w:color w:val="auto"/>
          <w:highlight w:val="none"/>
        </w:rPr>
      </w:pPr>
    </w:p>
    <w:p w14:paraId="79207956">
      <w:pPr>
        <w:pStyle w:val="3"/>
        <w:adjustRightInd w:val="0"/>
        <w:snapToGrid w:val="0"/>
        <w:spacing w:line="240" w:lineRule="auto"/>
        <w:jc w:val="left"/>
        <w:rPr>
          <w:rFonts w:hint="eastAsia" w:ascii="仿宋_GB2312" w:hAnsi="仿宋_GB2312" w:eastAsia="仿宋_GB2312" w:cs="仿宋_GB2312"/>
          <w:szCs w:val="28"/>
          <w:highlight w:val="none"/>
        </w:rPr>
      </w:pPr>
      <w:bookmarkStart w:id="138" w:name="_Toc23704_WPSOffice_Level1"/>
      <w:r>
        <w:rPr>
          <w:rFonts w:hint="eastAsia" w:ascii="仿宋_GB2312" w:hAnsi="仿宋_GB2312" w:eastAsia="仿宋_GB2312" w:cs="仿宋_GB2312"/>
          <w:szCs w:val="28"/>
          <w:highlight w:val="none"/>
        </w:rPr>
        <w:t>合同条款</w:t>
      </w:r>
      <w:bookmarkEnd w:id="138"/>
    </w:p>
    <w:p w14:paraId="3F454828">
      <w:pPr>
        <w:spacing w:before="319" w:beforeLines="100" w:after="319" w:afterLines="100" w:line="360" w:lineRule="auto"/>
        <w:jc w:val="center"/>
        <w:rPr>
          <w:rFonts w:hint="eastAsia" w:ascii="仿宋_GB2312" w:hAnsi="仿宋_GB2312" w:eastAsia="仿宋_GB2312" w:cs="仿宋_GB2312"/>
          <w:b/>
          <w:sz w:val="44"/>
          <w:szCs w:val="44"/>
          <w:highlight w:val="none"/>
        </w:rPr>
      </w:pPr>
      <w:r>
        <w:rPr>
          <w:rFonts w:hint="eastAsia" w:ascii="仿宋_GB2312" w:hAnsi="仿宋_GB2312" w:eastAsia="仿宋_GB2312" w:cs="仿宋_GB2312"/>
          <w:b/>
          <w:sz w:val="44"/>
          <w:szCs w:val="44"/>
          <w:highlight w:val="none"/>
        </w:rPr>
        <w:t>政府采购合同条款</w:t>
      </w:r>
    </w:p>
    <w:p w14:paraId="30F77AE6">
      <w:pPr>
        <w:numPr>
          <w:ilvl w:val="0"/>
          <w:numId w:val="8"/>
        </w:numPr>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术语定义</w:t>
      </w:r>
    </w:p>
    <w:p w14:paraId="478812B2">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本政府采购合同下列术语应解释为：</w:t>
      </w:r>
    </w:p>
    <w:p w14:paraId="4C38278A">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1“政府采购合同”指供需双方依照政府采购程序、按照招标文件、投标文件确定的事项所达成的协议，包括附件、附录和上述文件所提到的构成政府采购合同的所有文件。</w:t>
      </w:r>
    </w:p>
    <w:p w14:paraId="638ADA32">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2 “政府采购合同价”指根据合同约定供方在正确地完全履行政府采购合同义务后需方应支付给供方的价格。</w:t>
      </w:r>
    </w:p>
    <w:p w14:paraId="558E53E1">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3 “服务”指政府采购合同服务清单（同投标文件中开标一览表及其附表，下同）所约定的服务内容。</w:t>
      </w:r>
    </w:p>
    <w:p w14:paraId="1F2FDDF7">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5 “需方”指项目基本内容及要求中所述取得产品和服务的采购单位。</w:t>
      </w:r>
    </w:p>
    <w:p w14:paraId="4D7D46A2">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6 “供方”指项目基本内容及要求中所述提供产品和服务的中标供应商。</w:t>
      </w:r>
    </w:p>
    <w:p w14:paraId="57B3ECC4">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7 “检验”指需方按照政府采购合同约定的标准对供方所提供服务进行的检测和查验。</w:t>
      </w:r>
    </w:p>
    <w:p w14:paraId="301F4716">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8 “验收书”指采购单位或采购代理机构根据合同履约验收意见书形成反映采购单位和组织验收机构意见的文件。</w:t>
      </w:r>
    </w:p>
    <w:p w14:paraId="6BA532D1">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1.9“天”指日历天数（如无特别说明）。</w:t>
      </w:r>
    </w:p>
    <w:p w14:paraId="75A7C5E7">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10“第三人”是指本政府采购合同双方以外的任何中国境内外的自然人、法人或其它经济组织。</w:t>
      </w:r>
    </w:p>
    <w:p w14:paraId="5340B127">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11“法律、法规”是指由中国各级政府及有关部门制定的法律、行政法规、地方性法规、规章及其它规范性文件的有关规定。</w:t>
      </w:r>
    </w:p>
    <w:p w14:paraId="362C114A">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12“招标文件”指采购人或采购代理机构发布的招标文件。</w:t>
      </w:r>
    </w:p>
    <w:p w14:paraId="29E99C3B">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b/>
          <w:szCs w:val="21"/>
          <w:highlight w:val="none"/>
        </w:rPr>
        <w:t>.</w:t>
      </w:r>
      <w:r>
        <w:rPr>
          <w:rFonts w:hint="eastAsia" w:ascii="仿宋_GB2312" w:hAnsi="仿宋_GB2312" w:eastAsia="仿宋_GB2312" w:cs="仿宋_GB2312"/>
          <w:szCs w:val="21"/>
          <w:highlight w:val="none"/>
        </w:rPr>
        <w:t>13“投标文件”指供方按照采购代理机构招标文件的要求编制和提交，并最终被评标委员会接受的投标文件。</w:t>
      </w:r>
    </w:p>
    <w:p w14:paraId="7EE81A15">
      <w:pPr>
        <w:adjustRightInd w:val="0"/>
        <w:snapToGrid w:val="0"/>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“投标文件”为电子投标文件和备份投标文件。电子投标文件在辽宁政府采购网提交，备份投标文件以光盘、U盘或移动硬盘存储的可加密介质形式递交到采购代理机构。</w:t>
      </w:r>
    </w:p>
    <w:p w14:paraId="77F3529E">
      <w:pPr>
        <w:spacing w:line="360" w:lineRule="auto"/>
        <w:ind w:firstLine="420" w:firstLineChars="200"/>
        <w:rPr>
          <w:rFonts w:hint="eastAsia" w:ascii="仿宋_GB2312" w:hAnsi="仿宋_GB2312" w:eastAsia="仿宋_GB2312" w:cs="仿宋_GB2312"/>
          <w:szCs w:val="21"/>
          <w:highlight w:val="none"/>
        </w:rPr>
      </w:pPr>
    </w:p>
    <w:p w14:paraId="2E7E2399">
      <w:pPr>
        <w:spacing w:line="360" w:lineRule="auto"/>
        <w:ind w:firstLine="417" w:firstLineChars="199"/>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2.技术规范与服务内容</w:t>
      </w:r>
    </w:p>
    <w:p w14:paraId="14A70372">
      <w:pPr>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2.1投标服务的技术规范应与招标文件规定的技术规范（如果有的话）相一致。若无相应说明，则以国家有关部门最新颁布的相应标准及规范为准。</w:t>
      </w:r>
    </w:p>
    <w:p w14:paraId="01CDE628">
      <w:pPr>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2.2 投标服务的服务内容应与招标文件规定服务内容及投标文件中的项目要求及投标响应表一致。</w:t>
      </w:r>
    </w:p>
    <w:p w14:paraId="0F1A3D8F">
      <w:pPr>
        <w:spacing w:line="360" w:lineRule="auto"/>
        <w:ind w:firstLine="417" w:firstLineChars="199"/>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3.知识产权</w:t>
      </w:r>
    </w:p>
    <w:p w14:paraId="3E3DDB4C">
      <w:pPr>
        <w:spacing w:line="360" w:lineRule="auto"/>
        <w:ind w:firstLine="411" w:firstLineChars="196"/>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22ABC4BD">
      <w:pPr>
        <w:spacing w:line="360" w:lineRule="auto"/>
        <w:ind w:firstLine="411" w:firstLineChars="196"/>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3.2供方应保证所供服务符合国家的有关规定。</w:t>
      </w:r>
    </w:p>
    <w:p w14:paraId="35884807">
      <w:pPr>
        <w:tabs>
          <w:tab w:val="left" w:pos="360"/>
        </w:tabs>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61CD05AE">
      <w:pPr>
        <w:spacing w:line="360" w:lineRule="auto"/>
        <w:ind w:firstLine="417" w:firstLineChars="199"/>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4.完成方式</w:t>
      </w:r>
    </w:p>
    <w:p w14:paraId="587350F3">
      <w:pPr>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供方按照合同约定的时间、地点完成服务。</w:t>
      </w:r>
    </w:p>
    <w:p w14:paraId="5D8746C9">
      <w:pPr>
        <w:spacing w:line="360" w:lineRule="auto"/>
        <w:ind w:firstLine="417" w:firstLineChars="199"/>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5.付款</w:t>
      </w:r>
    </w:p>
    <w:p w14:paraId="59516192">
      <w:pPr>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5.1政府采购合同以人民币付款。</w:t>
      </w:r>
    </w:p>
    <w:p w14:paraId="014970A3">
      <w:pPr>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5.2在供方按照政府采购合同的规定履行服务后，需方按照合同约定的方式和条件付款。</w:t>
      </w:r>
    </w:p>
    <w:p w14:paraId="5068C715">
      <w:pPr>
        <w:spacing w:line="360" w:lineRule="auto"/>
        <w:ind w:firstLine="420" w:firstLineChars="200"/>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6.服务质量</w:t>
      </w:r>
    </w:p>
    <w:p w14:paraId="702AED72">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6.1供方应保证政府采购合同项下所供服务是由供方提供的，并完全符合强制性的国家技术质量规范和政府采购合同规定的质量、性能和技术规范等要求。</w:t>
      </w:r>
    </w:p>
    <w:p w14:paraId="2067C7C8">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6.2供方提供的服务质量应满足行业一般标准，符合合同约定。</w:t>
      </w:r>
    </w:p>
    <w:p w14:paraId="7F8DBED2">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6.3需方有权对供方的服务质量进行监督，发现服务存在不符合合同标准的情形的，可以要求供方改正服务方式、替换服务人员等补救方式，供方应按需方要求改正，并赔偿需方实际损失。</w:t>
      </w:r>
    </w:p>
    <w:p w14:paraId="3541C0AB">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0F29EE64">
      <w:pPr>
        <w:spacing w:line="360" w:lineRule="auto"/>
        <w:ind w:firstLine="411" w:firstLineChars="196"/>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7.技术服务和保修责任</w:t>
      </w:r>
    </w:p>
    <w:p w14:paraId="70115882">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7.1本条适用于委托开发等最终以产品形式交付需方使用的服务。</w:t>
      </w:r>
    </w:p>
    <w:p w14:paraId="5494EF3E">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7.2供方对交付的产品的保修期，以招标文件中的规定为准，如果投标文件中的承诺优于招标文件规定，则以投标文件为准。</w:t>
      </w:r>
    </w:p>
    <w:p w14:paraId="61A9E07A">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7.3供方应按如下内容提供售后服务：</w:t>
      </w:r>
    </w:p>
    <w:p w14:paraId="5DBE6035">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562AC7F4">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0930FBE4">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7.3.3保修期间供方要保修除消耗品以外的所有产品。如果系统、设备等发生故障，供方要调查故障原因并修复直至满足最终验收指标和性能的要求，或者修理、更换整个或部分有缺陷的材料。</w:t>
      </w:r>
    </w:p>
    <w:p w14:paraId="495014C5">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7.3.4保修期内，供方提供电话、电子邮件、Web、现场服务等方式的技术支持，对用户的现场服务要求，供方必须按投标文件做出的承诺进行响应。</w:t>
      </w:r>
    </w:p>
    <w:p w14:paraId="6887DA84">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7.3.5保修期内，供方应对出现故障无法修复的产品或无法正常运行的系统，提供替代产品以保证系统的正常工作。</w:t>
      </w:r>
    </w:p>
    <w:p w14:paraId="7DC2F2C6">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7.3.6保修期内，供方应投标时的承诺提供相关服务。</w:t>
      </w:r>
    </w:p>
    <w:p w14:paraId="3BF233E8">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27137D75">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3BD42A28">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075DD529">
      <w:pPr>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1F050599">
      <w:pPr>
        <w:spacing w:line="360" w:lineRule="auto"/>
        <w:ind w:firstLine="417" w:firstLineChars="199"/>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8.检验和验收</w:t>
      </w:r>
    </w:p>
    <w:p w14:paraId="6D0172B2">
      <w:pPr>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8.1完成服务后，需方或采购代理机构（由具体项目决定）应在政府采购合同规定的时间内组织验收，并在“验收书”上签字。“验收书”将作为申请付款文件的一部分。</w:t>
      </w:r>
    </w:p>
    <w:p w14:paraId="5EC5F0A7">
      <w:pPr>
        <w:spacing w:line="360" w:lineRule="auto"/>
        <w:ind w:firstLine="417" w:firstLineChars="199"/>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8.2对于委托开发等最终以产品形式交付需方使用的服务，保修期自验收书签署之日起计算。</w:t>
      </w:r>
    </w:p>
    <w:p w14:paraId="0B598429">
      <w:pPr>
        <w:tabs>
          <w:tab w:val="left" w:pos="360"/>
        </w:tabs>
        <w:spacing w:line="360" w:lineRule="auto"/>
        <w:ind w:firstLine="457" w:firstLineChars="218"/>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9.违约责任</w:t>
      </w:r>
    </w:p>
    <w:p w14:paraId="2EC51855">
      <w:pPr>
        <w:spacing w:line="360" w:lineRule="auto"/>
        <w:ind w:firstLine="457" w:firstLineChars="218"/>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34BBFEDB">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9.1.1在需方同意延长的期限内提供服务并承担由此给需方造成的一切损失；</w:t>
      </w:r>
    </w:p>
    <w:p w14:paraId="6F1232D6">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9.1.2在需方规定的时间内，用符合政府采购合同规定的服务以达到政府采购合同规定的要求，供方应承担由此发生的一切费用和风险。此时，相关服务的期限也应相应延长；</w:t>
      </w:r>
    </w:p>
    <w:p w14:paraId="422C15A3">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9.1.3需方有权部分或全部解除政府采购合同并要求供方赔偿由此造成的损失。此时需方可采取必要的补救措施，相关费用由供方承担。</w:t>
      </w:r>
    </w:p>
    <w:p w14:paraId="20DCEB00">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6653380D">
      <w:pPr>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9.3延期服务的违约责任</w:t>
      </w:r>
    </w:p>
    <w:p w14:paraId="7A5E2F85">
      <w:pPr>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9.3.1除本合同条款第9条规定外，如果供方没有按照政府采购合同规定的时间提供服务，需方可要求供方支付违约金。违约金按照每周未提供服务费用的0.5%计收，但违约金的最高限额为未提供服务的合同价格的5%。一周按</w:t>
      </w:r>
      <w:r>
        <w:rPr>
          <w:rFonts w:hint="eastAsia" w:ascii="仿宋_GB2312" w:hAnsi="仿宋_GB2312" w:eastAsia="仿宋_GB2312" w:cs="仿宋_GB2312"/>
          <w:color w:val="auto"/>
          <w:szCs w:val="21"/>
          <w:highlight w:val="none"/>
          <w:lang w:val="en-US" w:eastAsia="zh-CN"/>
        </w:rPr>
        <w:t>5个工作日</w:t>
      </w:r>
      <w:r>
        <w:rPr>
          <w:rFonts w:hint="eastAsia" w:ascii="仿宋_GB2312" w:hAnsi="仿宋_GB2312" w:eastAsia="仿宋_GB2312" w:cs="仿宋_GB2312"/>
          <w:color w:val="auto"/>
          <w:szCs w:val="21"/>
          <w:highlight w:val="none"/>
        </w:rPr>
        <w:t>计算，不足</w:t>
      </w:r>
      <w:r>
        <w:rPr>
          <w:rFonts w:hint="eastAsia" w:ascii="仿宋_GB2312" w:hAnsi="仿宋_GB2312" w:eastAsia="仿宋_GB2312" w:cs="仿宋_GB2312"/>
          <w:color w:val="auto"/>
          <w:szCs w:val="21"/>
          <w:highlight w:val="none"/>
          <w:lang w:val="en-US" w:eastAsia="zh-CN"/>
        </w:rPr>
        <w:t>5个工作日</w:t>
      </w:r>
      <w:r>
        <w:rPr>
          <w:rFonts w:hint="eastAsia" w:ascii="仿宋_GB2312" w:hAnsi="仿宋_GB2312" w:eastAsia="仿宋_GB2312" w:cs="仿宋_GB2312"/>
          <w:color w:val="auto"/>
          <w:szCs w:val="21"/>
          <w:highlight w:val="none"/>
        </w:rPr>
        <w:t>按一周计算。如果达到最高限额，需方有权解除政府采购合同。</w:t>
      </w:r>
    </w:p>
    <w:p w14:paraId="6DA92569">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9.4以上各项交付的违约金并不影响违约方履行政府采购合同的各项义务。</w:t>
      </w:r>
    </w:p>
    <w:p w14:paraId="72D1A52B">
      <w:pPr>
        <w:spacing w:line="360" w:lineRule="auto"/>
        <w:ind w:left="420"/>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10.不可抗力</w:t>
      </w:r>
    </w:p>
    <w:p w14:paraId="6D6FAE9D">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1D696663">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10.2本条所述的“不可抗力”系指那些双方无法控制，不可预见的事件，但不包括双方的违约或疏忽。这些事件包括但不限于：战争、严重火灾、洪水、台风、地震。</w:t>
      </w:r>
    </w:p>
    <w:p w14:paraId="165B2170">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185D7A8F">
      <w:pPr>
        <w:spacing w:line="360" w:lineRule="auto"/>
        <w:ind w:firstLine="411" w:firstLineChars="196"/>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11.争端的解决</w:t>
      </w:r>
    </w:p>
    <w:p w14:paraId="7875C026">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11.1需方和供方应通过友好协商，解决在执行本政府采购合同过程中所发生的或与本政府采购合同有关的一切争端。</w:t>
      </w:r>
    </w:p>
    <w:p w14:paraId="57BD51F2">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11.2如果协商不成，双方中的任何一方可向需方所在地的人民法院提起诉讼。</w:t>
      </w:r>
    </w:p>
    <w:p w14:paraId="33F3B385">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11.3因政府采购合同部分履行引发诉讼的，在诉讼期间，除正在进行诉讼的部分外，本政府采购合同的其它部分应继续执行。</w:t>
      </w:r>
    </w:p>
    <w:p w14:paraId="4838D91D">
      <w:pPr>
        <w:spacing w:line="360" w:lineRule="auto"/>
        <w:ind w:firstLine="411" w:firstLineChars="196"/>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12.违约终止政府采购合同</w:t>
      </w:r>
    </w:p>
    <w:p w14:paraId="0C2DE3FC">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12.1在需方因供方违约而按政府采购合同约定采取的任何补救措施不起作用的情况下，需方可在下列情况下向供方发出书面通知，提出终止部分或全部政府采购合同。</w:t>
      </w:r>
    </w:p>
    <w:p w14:paraId="58C7DE22">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12.1.1如果供方未能在政府采购合同规定的限期或需方同意延长的限期内提供部分或全部服务；</w:t>
      </w:r>
    </w:p>
    <w:p w14:paraId="468E32B2">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12.1.2如果供方未能履行政府采购合同规定的其它任何义务。</w:t>
      </w:r>
    </w:p>
    <w:p w14:paraId="6F6722FD">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12.1.3未经需方事先书面同意，供方部分转让和分包或全部转让和分包其应履行的政府采购合同义务。</w:t>
      </w:r>
    </w:p>
    <w:p w14:paraId="13304E83">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5F64BD91">
      <w:pPr>
        <w:spacing w:line="360" w:lineRule="auto"/>
        <w:ind w:firstLine="411" w:firstLineChars="196"/>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13.政府采购法对政府采购合同变更终止的规定</w:t>
      </w:r>
    </w:p>
    <w:p w14:paraId="6FBD8816">
      <w:pPr>
        <w:spacing w:line="360" w:lineRule="auto"/>
        <w:ind w:firstLine="411" w:firstLineChars="196"/>
        <w:rPr>
          <w:rFonts w:hint="eastAsia" w:ascii="仿宋_GB2312" w:hAnsi="仿宋_GB2312" w:eastAsia="仿宋_GB2312" w:cs="仿宋_GB2312"/>
          <w:b/>
          <w:szCs w:val="21"/>
          <w:highlight w:val="none"/>
        </w:rPr>
      </w:pPr>
      <w:r>
        <w:rPr>
          <w:rFonts w:hint="eastAsia" w:ascii="仿宋_GB2312" w:hAnsi="仿宋_GB2312" w:eastAsia="仿宋_GB2312" w:cs="仿宋_GB2312"/>
          <w:szCs w:val="21"/>
          <w:highlight w:val="none"/>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6962BC8E">
      <w:pPr>
        <w:spacing w:line="360" w:lineRule="auto"/>
        <w:ind w:firstLine="411" w:firstLineChars="196"/>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14.政府采购合同转让和分包</w:t>
      </w:r>
    </w:p>
    <w:p w14:paraId="2DCC550F">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除招标文件规定,并经需方事先书面同意外，供方不得部分转让和分包或全部转让和分包其应履行的政府采购合同义务。</w:t>
      </w:r>
    </w:p>
    <w:p w14:paraId="07823D7E">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b/>
          <w:szCs w:val="21"/>
          <w:highlight w:val="none"/>
        </w:rPr>
        <w:t>15.适用法律：</w:t>
      </w:r>
      <w:r>
        <w:rPr>
          <w:rFonts w:hint="eastAsia" w:ascii="仿宋_GB2312" w:hAnsi="仿宋_GB2312" w:eastAsia="仿宋_GB2312" w:cs="仿宋_GB2312"/>
          <w:szCs w:val="21"/>
          <w:highlight w:val="none"/>
        </w:rPr>
        <w:t>本政府采购合同按照中华人民共和国的现行法律进行解释。</w:t>
      </w:r>
    </w:p>
    <w:p w14:paraId="16890754">
      <w:pPr>
        <w:spacing w:line="360" w:lineRule="auto"/>
        <w:ind w:firstLine="411" w:firstLineChars="196"/>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16.政府采购合同生效</w:t>
      </w:r>
    </w:p>
    <w:p w14:paraId="2A57F13D">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16.1本政府采购合同在供需双方法定代表人或其授权代理人签字和加盖公章后生效。</w:t>
      </w:r>
    </w:p>
    <w:p w14:paraId="7ED8323E">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16.2本政府采购合同一式五份，需方执二份，供方、采购代理机构、财政部门各执一份。 </w:t>
      </w:r>
    </w:p>
    <w:p w14:paraId="48FC7CA6">
      <w:pPr>
        <w:spacing w:line="360" w:lineRule="auto"/>
        <w:ind w:firstLine="411" w:firstLineChars="196"/>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17.政府采购合同附件</w:t>
      </w:r>
    </w:p>
    <w:p w14:paraId="116F0329">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下列文件构成本政府采购合同不可分割的组成部分，与本政府采购合同具有同等法律效力：</w:t>
      </w:r>
    </w:p>
    <w:p w14:paraId="6517DA3D">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17.1招标文件；</w:t>
      </w:r>
    </w:p>
    <w:p w14:paraId="5CF881BA">
      <w:pPr>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17.2招标文件的更正公告、变更公告；</w:t>
      </w:r>
    </w:p>
    <w:p w14:paraId="27940B2C">
      <w:pPr>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17.3中标供应商提交的投标文件；        </w:t>
      </w:r>
    </w:p>
    <w:p w14:paraId="5D8CA39F">
      <w:pPr>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17.4政府采购合同条款；</w:t>
      </w:r>
    </w:p>
    <w:p w14:paraId="5806FEA7">
      <w:pPr>
        <w:spacing w:line="360" w:lineRule="auto"/>
        <w:ind w:firstLine="411" w:firstLineChars="196"/>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17.5中标通知书；</w:t>
      </w:r>
    </w:p>
    <w:p w14:paraId="19004D78">
      <w:pPr>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17.6政府采购合同的其它附件。</w:t>
      </w:r>
    </w:p>
    <w:p w14:paraId="64F8D2EF">
      <w:pPr>
        <w:ind w:firstLine="470" w:firstLineChars="196"/>
        <w:rPr>
          <w:rFonts w:hint="eastAsia" w:ascii="仿宋_GB2312" w:hAnsi="仿宋_GB2312" w:eastAsia="仿宋_GB2312" w:cs="仿宋_GB2312"/>
          <w:sz w:val="24"/>
          <w:highlight w:val="none"/>
        </w:rPr>
      </w:pPr>
    </w:p>
    <w:p w14:paraId="7D05890D">
      <w:pPr>
        <w:ind w:firstLine="470" w:firstLineChars="196"/>
        <w:rPr>
          <w:rFonts w:hint="eastAsia" w:ascii="仿宋_GB2312" w:hAnsi="仿宋_GB2312" w:eastAsia="仿宋_GB2312" w:cs="仿宋_GB2312"/>
          <w:sz w:val="24"/>
          <w:highlight w:val="none"/>
        </w:rPr>
      </w:pPr>
    </w:p>
    <w:p w14:paraId="71FB077B">
      <w:pPr>
        <w:pStyle w:val="3"/>
        <w:adjustRightInd w:val="0"/>
        <w:snapToGrid w:val="0"/>
        <w:spacing w:line="240" w:lineRule="auto"/>
        <w:jc w:val="left"/>
        <w:rPr>
          <w:rFonts w:hint="eastAsia" w:ascii="仿宋_GB2312" w:hAnsi="仿宋_GB2312" w:eastAsia="仿宋_GB2312" w:cs="仿宋_GB2312"/>
          <w:szCs w:val="28"/>
          <w:highlight w:val="none"/>
        </w:rPr>
      </w:pPr>
      <w:r>
        <w:rPr>
          <w:rFonts w:hint="eastAsia" w:ascii="仿宋_GB2312" w:hAnsi="仿宋_GB2312" w:eastAsia="仿宋_GB2312" w:cs="仿宋_GB2312"/>
          <w:sz w:val="24"/>
          <w:highlight w:val="none"/>
        </w:rPr>
        <w:br w:type="page"/>
      </w:r>
      <w:bookmarkStart w:id="139" w:name="_Toc533340224"/>
      <w:bookmarkStart w:id="140" w:name="_Toc4485697"/>
      <w:r>
        <w:rPr>
          <w:rFonts w:hint="eastAsia" w:ascii="仿宋_GB2312" w:hAnsi="仿宋_GB2312" w:eastAsia="仿宋_GB2312" w:cs="仿宋_GB2312"/>
          <w:szCs w:val="28"/>
          <w:highlight w:val="none"/>
        </w:rPr>
        <w:t>合同格式</w:t>
      </w:r>
      <w:bookmarkEnd w:id="139"/>
      <w:bookmarkEnd w:id="140"/>
      <w:r>
        <w:rPr>
          <w:rFonts w:hint="eastAsia" w:ascii="仿宋_GB2312" w:hAnsi="仿宋_GB2312" w:eastAsia="仿宋_GB2312" w:cs="仿宋_GB2312"/>
          <w:szCs w:val="28"/>
          <w:highlight w:val="none"/>
        </w:rPr>
        <w:t xml:space="preserve">                    </w:t>
      </w:r>
    </w:p>
    <w:p w14:paraId="56BDC900">
      <w:pPr>
        <w:spacing w:before="319" w:beforeLines="100" w:after="319" w:afterLines="100" w:line="480" w:lineRule="exact"/>
        <w:jc w:val="center"/>
        <w:rPr>
          <w:rFonts w:hint="eastAsia" w:ascii="仿宋_GB2312" w:hAnsi="仿宋_GB2312" w:eastAsia="仿宋_GB2312" w:cs="仿宋_GB2312"/>
          <w:b/>
          <w:sz w:val="44"/>
          <w:szCs w:val="44"/>
          <w:highlight w:val="none"/>
        </w:rPr>
      </w:pPr>
      <w:r>
        <w:rPr>
          <w:rFonts w:hint="eastAsia" w:ascii="仿宋_GB2312" w:hAnsi="仿宋_GB2312" w:eastAsia="仿宋_GB2312" w:cs="仿宋_GB2312"/>
          <w:b/>
          <w:sz w:val="44"/>
          <w:szCs w:val="44"/>
          <w:highlight w:val="none"/>
        </w:rPr>
        <w:t>政府采购合同格式</w:t>
      </w:r>
    </w:p>
    <w:p w14:paraId="4B0BC78A">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政府采购合同编号：</w:t>
      </w:r>
    </w:p>
    <w:p w14:paraId="2D69B87C">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签订地点：</w:t>
      </w:r>
    </w:p>
    <w:p w14:paraId="64433B93">
      <w:pPr>
        <w:adjustRightInd w:val="0"/>
        <w:snapToGrid w:val="0"/>
        <w:spacing w:line="360" w:lineRule="auto"/>
        <w:ind w:firstLine="64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rPr>
        <w:t xml:space="preserve">    (需方名称)            </w:t>
      </w:r>
      <w:r>
        <w:rPr>
          <w:rFonts w:hint="eastAsia" w:ascii="仿宋_GB2312" w:hAnsi="仿宋_GB2312" w:eastAsia="仿宋_GB2312" w:cs="仿宋_GB2312"/>
          <w:szCs w:val="21"/>
          <w:highlight w:val="none"/>
        </w:rPr>
        <w:t xml:space="preserve"> （以下简称需方）和</w:t>
      </w:r>
      <w:r>
        <w:rPr>
          <w:rFonts w:hint="eastAsia" w:ascii="仿宋_GB2312" w:hAnsi="仿宋_GB2312" w:eastAsia="仿宋_GB2312" w:cs="仿宋_GB2312"/>
          <w:szCs w:val="21"/>
          <w:highlight w:val="none"/>
          <w:u w:val="single"/>
        </w:rPr>
        <w:t xml:space="preserve">   (供方名称)    </w:t>
      </w:r>
      <w:r>
        <w:rPr>
          <w:rFonts w:hint="eastAsia" w:ascii="仿宋_GB2312" w:hAnsi="仿宋_GB2312" w:eastAsia="仿宋_GB2312" w:cs="仿宋_GB2312"/>
          <w:szCs w:val="21"/>
          <w:highlight w:val="none"/>
        </w:rPr>
        <w:t xml:space="preserve"> （以下简称供方）根据《中华人民共和国民法典》和有关法律法规，遵循平等、自愿、公平和诚实信用原则，同意按照下面的条款和条件订立本政府采购合同，共同信守。</w:t>
      </w:r>
    </w:p>
    <w:p w14:paraId="09674EB4">
      <w:pPr>
        <w:adjustRightInd w:val="0"/>
        <w:snapToGrid w:val="0"/>
        <w:spacing w:line="360" w:lineRule="auto"/>
        <w:ind w:firstLine="64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一、政府采购合同文件</w:t>
      </w:r>
    </w:p>
    <w:p w14:paraId="0834F87B">
      <w:pPr>
        <w:adjustRightInd w:val="0"/>
        <w:snapToGrid w:val="0"/>
        <w:spacing w:line="360" w:lineRule="auto"/>
        <w:ind w:firstLine="64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本政府采购合同所附下列文件是构成本政府采购合同不可分割的部分：</w:t>
      </w:r>
    </w:p>
    <w:p w14:paraId="5CCC309D">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1.采购文件（采购文件编号</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p>
    <w:p w14:paraId="36E157C0">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2.采购文件的更正公告、变更公告；</w:t>
      </w:r>
    </w:p>
    <w:p w14:paraId="58530E62">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3.成交供应商提交的响应文件；</w:t>
      </w:r>
    </w:p>
    <w:p w14:paraId="22FE0EDE">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4.政府采购合同条款；</w:t>
      </w:r>
    </w:p>
    <w:p w14:paraId="70212F2E">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5.成交通知书；</w:t>
      </w:r>
    </w:p>
    <w:p w14:paraId="1E4885ED">
      <w:pPr>
        <w:adjustRightInd w:val="0"/>
        <w:snapToGrid w:val="0"/>
        <w:spacing w:line="360" w:lineRule="auto"/>
        <w:ind w:firstLine="420" w:firstLineChars="200"/>
        <w:jc w:val="left"/>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6.食品安全责任书</w:t>
      </w:r>
    </w:p>
    <w:p w14:paraId="735B8F70">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7</w:t>
      </w:r>
      <w:r>
        <w:rPr>
          <w:rFonts w:hint="eastAsia" w:ascii="仿宋_GB2312" w:hAnsi="仿宋_GB2312" w:eastAsia="仿宋_GB2312" w:cs="仿宋_GB2312"/>
          <w:szCs w:val="21"/>
          <w:highlight w:val="none"/>
        </w:rPr>
        <w:t>.政府采购合同的其它附件。</w:t>
      </w:r>
    </w:p>
    <w:p w14:paraId="34D4E8C8">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二、政府采购合同范围和条件</w:t>
      </w:r>
    </w:p>
    <w:p w14:paraId="161824CE">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本政府采购合同的范围和条件与上述政府采购合同文件的规定相一致。</w:t>
      </w:r>
    </w:p>
    <w:p w14:paraId="3B9F1CF1">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三、政府采购合同标的</w:t>
      </w:r>
    </w:p>
    <w:p w14:paraId="6801D4B2">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本政府采购合同的标的为采购文件中所列相关服务。</w:t>
      </w:r>
    </w:p>
    <w:p w14:paraId="4E8F0B99">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四、政府采购合同金额</w:t>
      </w:r>
    </w:p>
    <w:p w14:paraId="409F2612">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根据上述政府采购合同文件要求，政府采购合同的总金额为人民币</w:t>
      </w:r>
      <w:r>
        <w:rPr>
          <w:rFonts w:hint="eastAsia" w:ascii="仿宋_GB2312" w:hAnsi="仿宋_GB2312" w:eastAsia="仿宋_GB2312" w:cs="仿宋_GB2312"/>
          <w:szCs w:val="21"/>
          <w:highlight w:val="none"/>
          <w:u w:val="single"/>
        </w:rPr>
        <w:t xml:space="preserve">  （大写）        </w:t>
      </w:r>
      <w:r>
        <w:rPr>
          <w:rFonts w:hint="eastAsia" w:ascii="仿宋_GB2312" w:hAnsi="仿宋_GB2312" w:eastAsia="仿宋_GB2312" w:cs="仿宋_GB2312"/>
          <w:szCs w:val="21"/>
          <w:highlight w:val="none"/>
        </w:rPr>
        <w:t>元。</w:t>
      </w:r>
    </w:p>
    <w:p w14:paraId="13448398">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五、付款方式及条件</w:t>
      </w:r>
    </w:p>
    <w:p w14:paraId="47F36E6E">
      <w:pPr>
        <w:adjustRightInd w:val="0"/>
        <w:snapToGrid w:val="0"/>
        <w:spacing w:line="360" w:lineRule="auto"/>
        <w:jc w:val="left"/>
        <w:rPr>
          <w:rFonts w:hint="eastAsia" w:ascii="仿宋_GB2312" w:hAnsi="仿宋_GB2312" w:eastAsia="仿宋_GB2312" w:cs="仿宋_GB2312"/>
          <w:b/>
          <w:szCs w:val="21"/>
          <w:highlight w:val="none"/>
        </w:rPr>
      </w:pPr>
    </w:p>
    <w:p w14:paraId="2CAAC2E2">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六、服务时间和服务地点</w:t>
      </w:r>
    </w:p>
    <w:p w14:paraId="0D49C359">
      <w:pPr>
        <w:adjustRightInd w:val="0"/>
        <w:snapToGrid w:val="0"/>
        <w:spacing w:line="360" w:lineRule="auto"/>
        <w:ind w:firstLine="420" w:firstLineChars="20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1.服务时间：</w:t>
      </w:r>
      <w:r>
        <w:rPr>
          <w:rFonts w:hint="eastAsia" w:ascii="仿宋_GB2312" w:hAnsi="仿宋_GB2312" w:eastAsia="仿宋_GB2312" w:cs="仿宋_GB2312"/>
          <w:szCs w:val="21"/>
          <w:highlight w:val="none"/>
          <w:u w:val="single"/>
        </w:rPr>
        <w:t xml:space="preserve">        </w:t>
      </w:r>
    </w:p>
    <w:p w14:paraId="0A42E75E">
      <w:pPr>
        <w:adjustRightInd w:val="0"/>
        <w:snapToGrid w:val="0"/>
        <w:spacing w:line="360" w:lineRule="auto"/>
        <w:ind w:firstLine="420" w:firstLineChars="200"/>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2.服务地点：</w:t>
      </w:r>
      <w:r>
        <w:rPr>
          <w:rFonts w:hint="eastAsia" w:ascii="仿宋_GB2312" w:hAnsi="仿宋_GB2312" w:eastAsia="仿宋_GB2312" w:cs="仿宋_GB2312"/>
          <w:szCs w:val="21"/>
          <w:highlight w:val="none"/>
          <w:u w:val="single"/>
        </w:rPr>
        <w:t xml:space="preserve">        </w:t>
      </w:r>
    </w:p>
    <w:p w14:paraId="5A4A0DAD">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七、验收要求</w:t>
      </w:r>
    </w:p>
    <w:p w14:paraId="1A09D655">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供方完全履行合同义务后，需方或需方的最终用户按照上述政府采购合同文件列明的标准进行验收，验收不合格的，供方需按照第八条的约定承担相应违约责任。</w:t>
      </w:r>
    </w:p>
    <w:p w14:paraId="150ADF59">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八、违约责任</w:t>
      </w:r>
    </w:p>
    <w:p w14:paraId="0B77DC14">
      <w:pPr>
        <w:adjustRightInd w:val="0"/>
        <w:snapToGrid w:val="0"/>
        <w:spacing w:line="360" w:lineRule="auto"/>
        <w:ind w:firstLine="420" w:firstLineChars="20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1.供方逾期提供服务的，每逾期一</w:t>
      </w:r>
      <w:r>
        <w:rPr>
          <w:rFonts w:hint="eastAsia" w:ascii="仿宋_GB2312" w:hAnsi="仿宋_GB2312" w:eastAsia="仿宋_GB2312" w:cs="仿宋_GB2312"/>
          <w:color w:val="auto"/>
          <w:szCs w:val="21"/>
          <w:highlight w:val="none"/>
          <w:lang w:val="en-US" w:eastAsia="zh-CN"/>
        </w:rPr>
        <w:t>周</w:t>
      </w:r>
      <w:r>
        <w:rPr>
          <w:rFonts w:hint="eastAsia" w:ascii="仿宋_GB2312" w:hAnsi="仿宋_GB2312" w:eastAsia="仿宋_GB2312" w:cs="仿宋_GB2312"/>
          <w:color w:val="auto"/>
          <w:szCs w:val="21"/>
          <w:highlight w:val="none"/>
        </w:rPr>
        <w:t>向需方支付合同金额</w:t>
      </w:r>
      <w:r>
        <w:rPr>
          <w:rFonts w:hint="eastAsia" w:ascii="仿宋_GB2312" w:hAnsi="仿宋_GB2312" w:eastAsia="仿宋_GB2312" w:cs="仿宋_GB2312"/>
          <w:color w:val="auto"/>
          <w:szCs w:val="21"/>
          <w:highlight w:val="none"/>
          <w:u w:val="single"/>
          <w:lang w:val="en-US" w:eastAsia="zh-CN"/>
        </w:rPr>
        <w:t>0.5</w:t>
      </w:r>
      <w:r>
        <w:rPr>
          <w:rFonts w:hint="eastAsia" w:ascii="仿宋_GB2312" w:hAnsi="仿宋_GB2312" w:eastAsia="仿宋_GB2312" w:cs="仿宋_GB2312"/>
          <w:color w:val="auto"/>
          <w:szCs w:val="21"/>
          <w:highlight w:val="none"/>
        </w:rPr>
        <w:t>%的违约金，逾期</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15个工作</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rPr>
        <w:t>的，需方有权单方面解除本协议。</w:t>
      </w:r>
    </w:p>
    <w:p w14:paraId="183F5999">
      <w:pPr>
        <w:adjustRightInd w:val="0"/>
        <w:snapToGrid w:val="0"/>
        <w:spacing w:line="360" w:lineRule="auto"/>
        <w:ind w:firstLine="420" w:firstLineChars="20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2.供方提供的服务不符合约定的，需方有权向供方书面提出整改意见，供方需无条件整改至符合约定，自需方向供方提出书面意见之日起</w:t>
      </w:r>
      <w:r>
        <w:rPr>
          <w:rFonts w:hint="eastAsia" w:ascii="仿宋_GB2312" w:hAnsi="仿宋_GB2312" w:eastAsia="仿宋_GB2312" w:cs="仿宋_GB2312"/>
          <w:color w:val="auto"/>
          <w:szCs w:val="21"/>
          <w:highlight w:val="none"/>
          <w:u w:val="single"/>
          <w:lang w:val="en-US" w:eastAsia="zh-CN"/>
        </w:rPr>
        <w:t>5个工作</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rPr>
        <w:t>内，供方仍未整改或整改后服务仍不符合约定的，需方有权单方面解除本协议。</w:t>
      </w:r>
    </w:p>
    <w:p w14:paraId="3A09DAE5">
      <w:pPr>
        <w:adjustRightInd w:val="0"/>
        <w:snapToGrid w:val="0"/>
        <w:spacing w:line="360" w:lineRule="auto"/>
        <w:ind w:firstLine="420" w:firstLineChars="20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3.需方逾期付款的，每逾期</w:t>
      </w:r>
      <w:r>
        <w:rPr>
          <w:rFonts w:hint="eastAsia" w:ascii="仿宋_GB2312" w:hAnsi="仿宋_GB2312" w:eastAsia="仿宋_GB2312" w:cs="仿宋_GB2312"/>
          <w:color w:val="auto"/>
          <w:szCs w:val="21"/>
          <w:highlight w:val="none"/>
          <w:lang w:val="en-US" w:eastAsia="zh-CN"/>
        </w:rPr>
        <w:t>一周</w:t>
      </w:r>
      <w:r>
        <w:rPr>
          <w:rFonts w:hint="eastAsia" w:ascii="仿宋_GB2312" w:hAnsi="仿宋_GB2312" w:eastAsia="仿宋_GB2312" w:cs="仿宋_GB2312"/>
          <w:color w:val="auto"/>
          <w:szCs w:val="21"/>
          <w:highlight w:val="none"/>
        </w:rPr>
        <w:t>向供方支付逾期金额</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0.5</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%的违约金，逾期</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30</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日的，供方有权单方面解除本协议。</w:t>
      </w:r>
    </w:p>
    <w:p w14:paraId="1A60664F">
      <w:pPr>
        <w:adjustRightInd w:val="0"/>
        <w:snapToGrid w:val="0"/>
        <w:spacing w:line="360" w:lineRule="auto"/>
        <w:ind w:firstLine="420" w:firstLineChars="200"/>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九、争议解决</w:t>
      </w:r>
    </w:p>
    <w:p w14:paraId="74E58AF5">
      <w:pPr>
        <w:adjustRightInd w:val="0"/>
        <w:snapToGrid w:val="0"/>
        <w:spacing w:line="360" w:lineRule="auto"/>
        <w:ind w:firstLine="405"/>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双方因履行本合同而产生的争议，应友好协商解决，协商不成的，优先提请沈阳仲裁委员会仲裁;当事人解除仲裁协议后，任何-方可向需方所在地的人民法院提起诉讼。</w:t>
      </w:r>
    </w:p>
    <w:p w14:paraId="15DBD065">
      <w:pPr>
        <w:adjustRightInd w:val="0"/>
        <w:snapToGrid w:val="0"/>
        <w:spacing w:line="360" w:lineRule="auto"/>
        <w:ind w:firstLine="405"/>
        <w:jc w:val="left"/>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十、合同生效</w:t>
      </w:r>
    </w:p>
    <w:p w14:paraId="4788717B">
      <w:pPr>
        <w:adjustRightInd w:val="0"/>
        <w:snapToGrid w:val="0"/>
        <w:spacing w:line="360" w:lineRule="auto"/>
        <w:ind w:firstLine="405"/>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本政府采购合同经双方授权代表签字盖章后生效。</w:t>
      </w:r>
    </w:p>
    <w:p w14:paraId="79A6192D">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p>
    <w:p w14:paraId="5FABF402">
      <w:pPr>
        <w:adjustRightInd w:val="0"/>
        <w:snapToGrid w:val="0"/>
        <w:spacing w:line="360" w:lineRule="auto"/>
        <w:ind w:firstLine="420" w:firstLineChars="200"/>
        <w:jc w:val="left"/>
        <w:rPr>
          <w:rFonts w:hint="eastAsia" w:ascii="仿宋_GB2312" w:hAnsi="仿宋_GB2312" w:eastAsia="仿宋_GB2312" w:cs="仿宋_GB2312"/>
          <w:szCs w:val="21"/>
          <w:highlight w:val="none"/>
        </w:rPr>
      </w:pPr>
    </w:p>
    <w:p w14:paraId="1EA902D9">
      <w:pPr>
        <w:adjustRightInd w:val="0"/>
        <w:snapToGrid w:val="0"/>
        <w:spacing w:line="48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需方（公章）:                         供方(公章):</w:t>
      </w:r>
    </w:p>
    <w:p w14:paraId="4AE35145">
      <w:pPr>
        <w:adjustRightInd w:val="0"/>
        <w:snapToGrid w:val="0"/>
        <w:spacing w:line="48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法定代表人或授权代表人(签字):         法定代表人或授权代表人(签字):</w:t>
      </w:r>
    </w:p>
    <w:p w14:paraId="729060D3">
      <w:pPr>
        <w:adjustRightInd w:val="0"/>
        <w:snapToGrid w:val="0"/>
        <w:spacing w:line="48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地址：</w:t>
      </w:r>
      <w:r>
        <w:rPr>
          <w:rFonts w:hint="eastAsia" w:ascii="仿宋_GB2312" w:hAnsi="仿宋_GB2312" w:eastAsia="仿宋_GB2312" w:cs="仿宋_GB2312"/>
          <w:szCs w:val="21"/>
          <w:highlight w:val="none"/>
          <w:u w:val="single"/>
        </w:rPr>
        <w:t xml:space="preserve">                          </w:t>
      </w:r>
    </w:p>
    <w:p w14:paraId="53EFFB79">
      <w:pPr>
        <w:adjustRightInd w:val="0"/>
        <w:snapToGrid w:val="0"/>
        <w:spacing w:line="48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联系人：</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联系人：</w:t>
      </w:r>
      <w:r>
        <w:rPr>
          <w:rFonts w:hint="eastAsia" w:ascii="仿宋_GB2312" w:hAnsi="仿宋_GB2312" w:eastAsia="仿宋_GB2312" w:cs="仿宋_GB2312"/>
          <w:szCs w:val="21"/>
          <w:highlight w:val="none"/>
          <w:u w:val="single"/>
        </w:rPr>
        <w:t xml:space="preserve">                        </w:t>
      </w:r>
    </w:p>
    <w:p w14:paraId="2085D34F">
      <w:pPr>
        <w:adjustRightInd w:val="0"/>
        <w:snapToGrid w:val="0"/>
        <w:spacing w:line="48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电话：</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电话：</w:t>
      </w:r>
      <w:r>
        <w:rPr>
          <w:rFonts w:hint="eastAsia" w:ascii="仿宋_GB2312" w:hAnsi="仿宋_GB2312" w:eastAsia="仿宋_GB2312" w:cs="仿宋_GB2312"/>
          <w:szCs w:val="21"/>
          <w:highlight w:val="none"/>
          <w:u w:val="single"/>
        </w:rPr>
        <w:t xml:space="preserve">                          </w:t>
      </w:r>
    </w:p>
    <w:p w14:paraId="60BE6BFA">
      <w:pPr>
        <w:adjustRightInd w:val="0"/>
        <w:snapToGrid w:val="0"/>
        <w:spacing w:line="480" w:lineRule="auto"/>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t>日期：</w:t>
      </w:r>
      <w:r>
        <w:rPr>
          <w:rFonts w:hint="eastAsia" w:ascii="仿宋_GB2312" w:hAnsi="仿宋_GB2312" w:eastAsia="仿宋_GB2312" w:cs="仿宋_GB2312"/>
          <w:szCs w:val="21"/>
          <w:highlight w:val="none"/>
          <w:u w:val="single"/>
        </w:rPr>
        <w:t xml:space="preserve">      年      月      日</w:t>
      </w:r>
      <w:r>
        <w:rPr>
          <w:rFonts w:hint="eastAsia" w:ascii="仿宋_GB2312" w:hAnsi="仿宋_GB2312" w:eastAsia="仿宋_GB2312" w:cs="仿宋_GB2312"/>
          <w:szCs w:val="21"/>
          <w:highlight w:val="none"/>
        </w:rPr>
        <w:t xml:space="preserve">        日期：</w:t>
      </w:r>
      <w:r>
        <w:rPr>
          <w:rFonts w:hint="eastAsia" w:ascii="仿宋_GB2312" w:hAnsi="仿宋_GB2312" w:eastAsia="仿宋_GB2312" w:cs="仿宋_GB2312"/>
          <w:szCs w:val="21"/>
          <w:highlight w:val="none"/>
          <w:u w:val="single"/>
        </w:rPr>
        <w:t xml:space="preserve">       年      月     日  </w:t>
      </w:r>
    </w:p>
    <w:p w14:paraId="6031A679">
      <w:pPr>
        <w:spacing w:line="480" w:lineRule="exact"/>
        <w:ind w:right="630" w:rightChars="300"/>
        <w:jc w:val="both"/>
        <w:outlineLvl w:val="2"/>
        <w:rPr>
          <w:rFonts w:hint="eastAsia"/>
          <w:color w:val="FF0000"/>
          <w:sz w:val="32"/>
          <w:szCs w:val="40"/>
          <w:highlight w:val="none"/>
          <w:lang w:val="en-US" w:eastAsia="zh-CN"/>
        </w:rPr>
      </w:pPr>
      <w:r>
        <w:rPr>
          <w:rFonts w:hint="eastAsia"/>
          <w:b/>
          <w:bCs/>
          <w:color w:val="auto"/>
          <w:sz w:val="32"/>
          <w:szCs w:val="40"/>
          <w:highlight w:val="none"/>
          <w:lang w:val="en-US" w:eastAsia="zh-CN"/>
        </w:rPr>
        <w:br w:type="page"/>
      </w:r>
      <w:r>
        <w:rPr>
          <w:rFonts w:hint="eastAsia"/>
          <w:b/>
          <w:bCs/>
          <w:color w:val="auto"/>
          <w:sz w:val="32"/>
          <w:szCs w:val="40"/>
          <w:highlight w:val="none"/>
          <w:lang w:val="en-US" w:eastAsia="zh-CN"/>
        </w:rPr>
        <w:t>合同附件</w:t>
      </w:r>
    </w:p>
    <w:p w14:paraId="7C2A5FB5">
      <w:pPr>
        <w:spacing w:line="480" w:lineRule="exact"/>
        <w:ind w:right="630" w:rightChars="300"/>
        <w:jc w:val="center"/>
        <w:rPr>
          <w:rFonts w:hint="eastAsia" w:ascii="仿宋_GB2312" w:hAnsi="仿宋_GB2312" w:eastAsia="仿宋_GB2312"/>
          <w:b/>
          <w:bCs/>
          <w:color w:val="auto"/>
          <w:sz w:val="36"/>
          <w:szCs w:val="36"/>
          <w:highlight w:val="none"/>
          <w:lang w:val="en-US" w:eastAsia="zh-CN"/>
        </w:rPr>
      </w:pPr>
    </w:p>
    <w:p w14:paraId="0F3DEE85">
      <w:pPr>
        <w:spacing w:line="480" w:lineRule="exact"/>
        <w:ind w:right="630" w:rightChars="300"/>
        <w:jc w:val="center"/>
        <w:rPr>
          <w:rFonts w:ascii="仿宋_GB2312" w:hAnsi="仿宋_GB2312" w:eastAsia="仿宋_GB2312"/>
          <w:b/>
          <w:bCs/>
          <w:color w:val="auto"/>
          <w:sz w:val="36"/>
          <w:szCs w:val="36"/>
          <w:highlight w:val="none"/>
        </w:rPr>
      </w:pPr>
      <w:r>
        <w:rPr>
          <w:rFonts w:hint="eastAsia" w:ascii="仿宋_GB2312" w:hAnsi="仿宋_GB2312" w:eastAsia="仿宋_GB2312"/>
          <w:b/>
          <w:bCs/>
          <w:color w:val="auto"/>
          <w:sz w:val="36"/>
          <w:szCs w:val="36"/>
          <w:highlight w:val="none"/>
          <w:lang w:val="en-US" w:eastAsia="zh-CN"/>
        </w:rPr>
        <w:t>食品</w:t>
      </w:r>
      <w:r>
        <w:rPr>
          <w:rFonts w:hint="eastAsia" w:ascii="仿宋_GB2312" w:hAnsi="仿宋_GB2312" w:eastAsia="仿宋_GB2312"/>
          <w:b/>
          <w:bCs/>
          <w:color w:val="auto"/>
          <w:sz w:val="36"/>
          <w:szCs w:val="36"/>
          <w:highlight w:val="none"/>
        </w:rPr>
        <w:t>安全责任书</w:t>
      </w:r>
    </w:p>
    <w:p w14:paraId="7478AC4A">
      <w:pPr>
        <w:adjustRightInd w:val="0"/>
        <w:snapToGrid w:val="0"/>
        <w:spacing w:line="360" w:lineRule="auto"/>
        <w:ind w:right="105" w:rightChars="50"/>
        <w:jc w:val="left"/>
        <w:rPr>
          <w:rFonts w:hint="eastAsia" w:ascii="仿宋_GB2312" w:hAnsi="仿宋_GB2312" w:eastAsia="仿宋_GB2312" w:cs="仿宋_GB2312"/>
          <w:b w:val="0"/>
          <w:bCs w:val="0"/>
          <w:color w:val="auto"/>
          <w:szCs w:val="21"/>
          <w:highlight w:val="none"/>
          <w:lang w:val="en-US" w:eastAsia="zh-CN"/>
        </w:rPr>
      </w:pPr>
    </w:p>
    <w:p w14:paraId="6D7A0E48">
      <w:pPr>
        <w:adjustRightInd w:val="0"/>
        <w:snapToGrid w:val="0"/>
        <w:spacing w:line="360" w:lineRule="auto"/>
        <w:ind w:right="105" w:rightChars="50"/>
        <w:jc w:val="left"/>
        <w:rPr>
          <w:rFonts w:hint="eastAsia" w:ascii="仿宋_GB2312" w:hAnsi="仿宋_GB2312" w:eastAsia="仿宋_GB2312" w:cs="仿宋_GB2312"/>
          <w:b w:val="0"/>
          <w:bCs w:val="0"/>
          <w:color w:val="auto"/>
          <w:szCs w:val="21"/>
          <w:highlight w:val="none"/>
          <w:lang w:val="zh-CN" w:eastAsia="zh-CN"/>
        </w:rPr>
      </w:pPr>
      <w:r>
        <w:rPr>
          <w:rFonts w:hint="eastAsia" w:ascii="仿宋_GB2312" w:hAnsi="仿宋_GB2312" w:eastAsia="仿宋_GB2312" w:cs="仿宋_GB2312"/>
          <w:szCs w:val="21"/>
          <w:highlight w:val="none"/>
          <w:u w:val="single"/>
          <w:lang w:eastAsia="zh-CN"/>
        </w:rPr>
        <w:t>沈阳市第一0七中学</w:t>
      </w:r>
      <w:r>
        <w:rPr>
          <w:rFonts w:hint="eastAsia" w:ascii="仿宋_GB2312" w:hAnsi="仿宋_GB2312" w:eastAsia="仿宋_GB2312" w:cs="仿宋_GB2312"/>
          <w:b w:val="0"/>
          <w:bCs w:val="0"/>
          <w:color w:val="auto"/>
          <w:szCs w:val="21"/>
          <w:highlight w:val="none"/>
          <w:lang w:val="zh-CN" w:eastAsia="zh-CN"/>
        </w:rPr>
        <w:t>：</w:t>
      </w:r>
    </w:p>
    <w:p w14:paraId="3D4F7B0C">
      <w:pPr>
        <w:keepNext w:val="0"/>
        <w:keepLines w:val="0"/>
        <w:pageBreakBefore w:val="0"/>
        <w:widowControl w:val="0"/>
        <w:kinsoku/>
        <w:wordWrap w:val="0"/>
        <w:overflowPunct/>
        <w:topLinePunct w:val="0"/>
        <w:autoSpaceDE/>
        <w:autoSpaceDN/>
        <w:bidi w:val="0"/>
        <w:adjustRightInd w:val="0"/>
        <w:snapToGrid w:val="0"/>
        <w:spacing w:line="360" w:lineRule="auto"/>
        <w:ind w:right="105" w:rightChars="50" w:firstLine="420" w:firstLineChars="200"/>
        <w:jc w:val="left"/>
        <w:textAlignment w:val="center"/>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rPr>
        <w:t>本公司声明</w:t>
      </w:r>
      <w:r>
        <w:rPr>
          <w:rFonts w:hint="eastAsia" w:ascii="仿宋_GB2312" w:hAnsi="仿宋_GB2312" w:eastAsia="仿宋_GB2312" w:cs="仿宋_GB2312"/>
          <w:b w:val="0"/>
          <w:bCs w:val="0"/>
          <w:szCs w:val="21"/>
          <w:highlight w:val="none"/>
          <w:lang w:eastAsia="zh-CN"/>
        </w:rPr>
        <w:t>，</w:t>
      </w:r>
      <w:r>
        <w:rPr>
          <w:rFonts w:hint="eastAsia" w:ascii="仿宋_GB2312" w:hAnsi="仿宋_GB2312" w:eastAsia="仿宋_GB2312" w:cs="仿宋_GB2312"/>
          <w:b w:val="0"/>
          <w:bCs w:val="0"/>
          <w:szCs w:val="21"/>
          <w:highlight w:val="none"/>
          <w:lang w:val="en-US" w:eastAsia="zh-CN"/>
        </w:rPr>
        <w:t>我公司为</w:t>
      </w:r>
      <w:r>
        <w:rPr>
          <w:rFonts w:hint="eastAsia" w:ascii="仿宋_GB2312" w:hAnsi="仿宋_GB2312" w:eastAsia="仿宋_GB2312" w:cs="仿宋_GB2312"/>
          <w:b w:val="0"/>
          <w:bCs w:val="0"/>
          <w:szCs w:val="21"/>
          <w:highlight w:val="none"/>
          <w:u w:val="single"/>
        </w:rPr>
        <w:t>项目名称：沈阳市第一0七中学购买师生餐饮服务</w:t>
      </w:r>
      <w:r>
        <w:rPr>
          <w:rFonts w:hint="eastAsia" w:ascii="仿宋_GB2312" w:hAnsi="仿宋_GB2312" w:eastAsia="仿宋_GB2312" w:cs="仿宋_GB2312"/>
          <w:b w:val="0"/>
          <w:bCs w:val="0"/>
          <w:szCs w:val="21"/>
          <w:highlight w:val="none"/>
          <w:u w:val="single"/>
          <w:lang w:eastAsia="zh-CN"/>
        </w:rPr>
        <w:t>，</w:t>
      </w:r>
      <w:r>
        <w:rPr>
          <w:rFonts w:hint="eastAsia" w:ascii="仿宋_GB2312" w:hAnsi="仿宋_GB2312" w:eastAsia="仿宋_GB2312" w:cs="仿宋_GB2312"/>
          <w:b w:val="0"/>
          <w:bCs w:val="0"/>
          <w:szCs w:val="21"/>
          <w:highlight w:val="none"/>
          <w:u w:val="single"/>
        </w:rPr>
        <w:t>项目编</w:t>
      </w:r>
      <w:r>
        <w:rPr>
          <w:rFonts w:hint="eastAsia" w:ascii="仿宋_GB2312" w:hAnsi="仿宋_GB2312" w:eastAsia="仿宋_GB2312" w:cs="仿宋_GB2312"/>
          <w:b w:val="0"/>
          <w:bCs w:val="0"/>
          <w:szCs w:val="21"/>
          <w:highlight w:val="none"/>
          <w:u w:val="none"/>
        </w:rPr>
        <w:t>号：</w:t>
      </w:r>
      <w:r>
        <w:rPr>
          <w:rFonts w:hint="eastAsia" w:ascii="仿宋_GB2312" w:hAnsi="仿宋_GB2312" w:eastAsia="仿宋_GB2312" w:cs="仿宋_GB2312"/>
          <w:b w:val="0"/>
          <w:bCs w:val="0"/>
          <w:szCs w:val="21"/>
          <w:highlight w:val="none"/>
          <w:u w:val="single"/>
          <w:lang w:val="en-US" w:eastAsia="zh-CN"/>
        </w:rPr>
        <w:t xml:space="preserve">            的中标供应商</w:t>
      </w:r>
      <w:r>
        <w:rPr>
          <w:rFonts w:hint="eastAsia" w:ascii="仿宋_GB2312" w:hAnsi="仿宋_GB2312" w:eastAsia="仿宋_GB2312" w:cs="仿宋_GB2312"/>
          <w:b w:val="0"/>
          <w:bCs w:val="0"/>
          <w:szCs w:val="21"/>
          <w:highlight w:val="none"/>
        </w:rPr>
        <w:t>，</w:t>
      </w:r>
      <w:r>
        <w:rPr>
          <w:rFonts w:hint="eastAsia" w:ascii="仿宋_GB2312" w:hAnsi="仿宋_GB2312" w:eastAsia="仿宋_GB2312" w:cs="仿宋_GB2312"/>
          <w:b w:val="0"/>
          <w:bCs w:val="0"/>
          <w:szCs w:val="21"/>
          <w:highlight w:val="none"/>
          <w:lang w:val="en-US" w:eastAsia="zh-CN"/>
        </w:rPr>
        <w:t>在提供</w:t>
      </w:r>
      <w:r>
        <w:rPr>
          <w:rFonts w:hint="eastAsia" w:ascii="仿宋_GB2312" w:hAnsi="仿宋_GB2312" w:eastAsia="仿宋_GB2312" w:cs="仿宋_GB2312"/>
          <w:b w:val="0"/>
          <w:bCs w:val="0"/>
          <w:szCs w:val="21"/>
          <w:highlight w:val="none"/>
        </w:rPr>
        <w:t>服务期内</w:t>
      </w:r>
      <w:r>
        <w:rPr>
          <w:rFonts w:hint="eastAsia" w:ascii="仿宋_GB2312" w:hAnsi="仿宋_GB2312" w:eastAsia="仿宋_GB2312" w:cs="仿宋_GB2312"/>
          <w:b w:val="0"/>
          <w:bCs w:val="0"/>
          <w:szCs w:val="21"/>
          <w:highlight w:val="none"/>
          <w:lang w:eastAsia="zh-CN"/>
        </w:rPr>
        <w:t>，</w:t>
      </w:r>
      <w:r>
        <w:rPr>
          <w:rFonts w:hint="eastAsia" w:ascii="仿宋_GB2312" w:hAnsi="仿宋_GB2312" w:eastAsia="仿宋_GB2312" w:cs="仿宋_GB2312"/>
          <w:b w:val="0"/>
          <w:bCs w:val="0"/>
          <w:szCs w:val="21"/>
          <w:highlight w:val="none"/>
        </w:rPr>
        <w:t>负责</w:t>
      </w:r>
      <w:r>
        <w:rPr>
          <w:rFonts w:hint="eastAsia" w:ascii="仿宋_GB2312" w:hAnsi="仿宋_GB2312" w:eastAsia="仿宋_GB2312" w:cs="仿宋_GB2312"/>
          <w:b w:val="0"/>
          <w:bCs w:val="0"/>
          <w:szCs w:val="21"/>
          <w:highlight w:val="none"/>
          <w:lang w:val="en-US" w:eastAsia="zh-CN"/>
        </w:rPr>
        <w:t>所供学校餐饮服务</w:t>
      </w:r>
      <w:r>
        <w:rPr>
          <w:rFonts w:hint="eastAsia" w:ascii="仿宋_GB2312" w:hAnsi="仿宋_GB2312" w:eastAsia="仿宋_GB2312" w:cs="仿宋_GB2312"/>
          <w:b w:val="0"/>
          <w:bCs w:val="0"/>
          <w:szCs w:val="21"/>
          <w:highlight w:val="none"/>
        </w:rPr>
        <w:t>的饮食安全，如在服务期内发生食物中毒等重大责任事故，损害就餐师生身体健康，影响学校声誉，愿意承担由此造成的一切责任（包括法律责任）和经济损失。</w:t>
      </w:r>
    </w:p>
    <w:p w14:paraId="414F632D">
      <w:pPr>
        <w:adjustRightInd w:val="0"/>
        <w:snapToGrid w:val="0"/>
        <w:spacing w:line="360" w:lineRule="auto"/>
        <w:ind w:right="105" w:rightChars="50" w:firstLine="420" w:firstLineChars="200"/>
        <w:jc w:val="left"/>
        <w:rPr>
          <w:rFonts w:hint="eastAsia" w:ascii="仿宋_GB2312" w:hAnsi="仿宋_GB2312" w:eastAsia="仿宋_GB2312" w:cs="仿宋_GB2312"/>
          <w:b w:val="0"/>
          <w:bCs w:val="0"/>
          <w:szCs w:val="21"/>
          <w:highlight w:val="none"/>
        </w:rPr>
      </w:pPr>
      <w:r>
        <w:rPr>
          <w:rFonts w:hint="eastAsia" w:ascii="仿宋_GB2312" w:hAnsi="仿宋_GB2312" w:eastAsia="仿宋_GB2312" w:cs="仿宋_GB2312"/>
          <w:b w:val="0"/>
          <w:bCs w:val="0"/>
          <w:szCs w:val="21"/>
          <w:highlight w:val="none"/>
          <w:lang w:val="en-US" w:eastAsia="zh-CN"/>
        </w:rPr>
        <w:t>提供餐饮服务的</w:t>
      </w:r>
      <w:r>
        <w:rPr>
          <w:rFonts w:hint="eastAsia" w:ascii="仿宋_GB2312" w:hAnsi="仿宋_GB2312" w:eastAsia="仿宋_GB2312" w:cs="仿宋_GB2312"/>
          <w:b w:val="0"/>
          <w:bCs w:val="0"/>
          <w:szCs w:val="21"/>
          <w:highlight w:val="none"/>
        </w:rPr>
        <w:t>工作人员属于我公司员工，与学校不存在任何雇佣、委托等劳动、劳务关系，同时工作人员在工作过程中的安全责任由我公司负责。如因电、水、消防</w:t>
      </w:r>
      <w:r>
        <w:rPr>
          <w:rFonts w:hint="eastAsia" w:ascii="仿宋_GB2312" w:hAnsi="仿宋_GB2312" w:eastAsia="仿宋_GB2312" w:cs="仿宋_GB2312"/>
          <w:b w:val="0"/>
          <w:bCs w:val="0"/>
          <w:szCs w:val="21"/>
          <w:highlight w:val="none"/>
          <w:lang w:eastAsia="zh-CN"/>
        </w:rPr>
        <w:t>、</w:t>
      </w:r>
      <w:r>
        <w:rPr>
          <w:rFonts w:hint="eastAsia" w:ascii="仿宋_GB2312" w:hAnsi="仿宋_GB2312" w:eastAsia="仿宋_GB2312" w:cs="仿宋_GB2312"/>
          <w:b w:val="0"/>
          <w:bCs w:val="0"/>
          <w:szCs w:val="21"/>
          <w:highlight w:val="none"/>
          <w:lang w:val="en-US" w:eastAsia="zh-CN"/>
        </w:rPr>
        <w:t>交通</w:t>
      </w:r>
      <w:r>
        <w:rPr>
          <w:rFonts w:hint="eastAsia" w:ascii="仿宋_GB2312" w:hAnsi="仿宋_GB2312" w:eastAsia="仿宋_GB2312" w:cs="仿宋_GB2312"/>
          <w:b w:val="0"/>
          <w:bCs w:val="0"/>
          <w:szCs w:val="21"/>
          <w:highlight w:val="none"/>
        </w:rPr>
        <w:t>等</w:t>
      </w:r>
      <w:r>
        <w:rPr>
          <w:rFonts w:hint="eastAsia" w:ascii="仿宋_GB2312" w:hAnsi="仿宋_GB2312" w:eastAsia="仿宋_GB2312" w:cs="仿宋_GB2312"/>
          <w:b w:val="0"/>
          <w:bCs w:val="0"/>
          <w:szCs w:val="21"/>
          <w:highlight w:val="none"/>
          <w:lang w:val="en-US" w:eastAsia="zh-CN"/>
        </w:rPr>
        <w:t>各</w:t>
      </w:r>
      <w:r>
        <w:rPr>
          <w:rFonts w:hint="eastAsia" w:ascii="仿宋_GB2312" w:hAnsi="仿宋_GB2312" w:eastAsia="仿宋_GB2312" w:cs="仿宋_GB2312"/>
          <w:b w:val="0"/>
          <w:bCs w:val="0"/>
          <w:szCs w:val="21"/>
          <w:highlight w:val="none"/>
        </w:rPr>
        <w:t>方面引起的生产</w:t>
      </w:r>
      <w:r>
        <w:rPr>
          <w:rFonts w:hint="eastAsia" w:ascii="仿宋_GB2312" w:hAnsi="仿宋_GB2312" w:eastAsia="仿宋_GB2312" w:cs="仿宋_GB2312"/>
          <w:b w:val="0"/>
          <w:bCs w:val="0"/>
          <w:szCs w:val="21"/>
          <w:highlight w:val="none"/>
          <w:lang w:val="en-US" w:eastAsia="zh-CN"/>
        </w:rPr>
        <w:t>或服务</w:t>
      </w:r>
      <w:r>
        <w:rPr>
          <w:rFonts w:hint="eastAsia" w:ascii="仿宋_GB2312" w:hAnsi="仿宋_GB2312" w:eastAsia="仿宋_GB2312" w:cs="仿宋_GB2312"/>
          <w:b w:val="0"/>
          <w:bCs w:val="0"/>
          <w:szCs w:val="21"/>
          <w:highlight w:val="none"/>
        </w:rPr>
        <w:t>事故，或发生意外伤亡事故，我公司愿意承担全部责任（包括法律责任）和必要的经济补偿。</w:t>
      </w:r>
    </w:p>
    <w:p w14:paraId="2914D383">
      <w:pPr>
        <w:adjustRightInd w:val="0"/>
        <w:snapToGrid w:val="0"/>
        <w:spacing w:line="360" w:lineRule="auto"/>
        <w:ind w:right="105" w:rightChars="50" w:firstLine="420" w:firstLineChars="200"/>
        <w:jc w:val="left"/>
        <w:rPr>
          <w:rFonts w:hint="eastAsia" w:ascii="仿宋_GB2312" w:hAnsi="仿宋_GB2312" w:eastAsia="仿宋_GB2312" w:cs="仿宋_GB2312"/>
          <w:b w:val="0"/>
          <w:bCs w:val="0"/>
          <w:szCs w:val="21"/>
          <w:highlight w:val="none"/>
        </w:rPr>
      </w:pPr>
    </w:p>
    <w:p w14:paraId="6674D8BC">
      <w:pPr>
        <w:spacing w:line="360" w:lineRule="auto"/>
        <w:ind w:right="630" w:rightChars="300" w:firstLine="420" w:firstLineChars="200"/>
        <w:rPr>
          <w:rFonts w:ascii="仿宋_GB2312" w:hAnsi="仿宋_GB2312" w:eastAsia="仿宋_GB2312"/>
          <w:color w:val="auto"/>
          <w:szCs w:val="21"/>
          <w:highlight w:val="none"/>
        </w:rPr>
      </w:pPr>
    </w:p>
    <w:p w14:paraId="3A2C4CD1">
      <w:pPr>
        <w:snapToGrid w:val="0"/>
        <w:spacing w:line="480" w:lineRule="auto"/>
        <w:rPr>
          <w:rFonts w:hint="eastAsia" w:ascii="仿宋_GB2312" w:hAnsi="仿宋_GB2312" w:eastAsia="仿宋_GB2312"/>
          <w:color w:val="auto"/>
          <w:highlight w:val="none"/>
          <w:lang w:val="en-US" w:eastAsia="zh-CN"/>
        </w:rPr>
      </w:pPr>
      <w:r>
        <w:rPr>
          <w:rFonts w:hint="eastAsia" w:ascii="仿宋_GB2312" w:hAnsi="仿宋_GB2312" w:eastAsia="仿宋_GB2312"/>
          <w:color w:val="auto"/>
          <w:highlight w:val="none"/>
          <w:lang w:val="en-US" w:eastAsia="zh-CN"/>
        </w:rPr>
        <w:t xml:space="preserve">                             单位名称：</w:t>
      </w:r>
      <w:r>
        <w:rPr>
          <w:rFonts w:hint="eastAsia" w:ascii="仿宋_GB2312" w:hAnsi="仿宋_GB2312" w:eastAsia="仿宋_GB2312"/>
          <w:color w:val="auto"/>
          <w:highlight w:val="none"/>
          <w:u w:val="single"/>
          <w:lang w:val="en-US" w:eastAsia="zh-CN"/>
        </w:rPr>
        <w:t xml:space="preserve">                 </w:t>
      </w:r>
      <w:r>
        <w:rPr>
          <w:rFonts w:hint="eastAsia" w:ascii="仿宋_GB2312" w:hAnsi="仿宋_GB2312" w:eastAsia="仿宋_GB2312"/>
          <w:color w:val="auto"/>
          <w:highlight w:val="none"/>
          <w:lang w:val="en-US" w:eastAsia="zh-CN"/>
        </w:rPr>
        <w:t>（加盖公章）</w:t>
      </w:r>
    </w:p>
    <w:p w14:paraId="7BE89A7C">
      <w:pPr>
        <w:snapToGrid w:val="0"/>
        <w:spacing w:line="480" w:lineRule="auto"/>
        <w:ind w:firstLine="3150" w:firstLineChars="1500"/>
        <w:rPr>
          <w:rFonts w:hint="default" w:ascii="仿宋_GB2312" w:hAnsi="仿宋_GB2312" w:eastAsia="仿宋_GB2312"/>
          <w:color w:val="auto"/>
          <w:highlight w:val="none"/>
          <w:lang w:val="en-US" w:eastAsia="zh-CN"/>
        </w:rPr>
      </w:pPr>
      <w:r>
        <w:rPr>
          <w:rFonts w:hint="eastAsia" w:ascii="仿宋_GB2312" w:hAnsi="仿宋_GB2312" w:eastAsia="仿宋_GB2312"/>
          <w:color w:val="auto"/>
          <w:highlight w:val="none"/>
          <w:lang w:val="en-US" w:eastAsia="zh-CN"/>
        </w:rPr>
        <w:t>日   期：</w:t>
      </w:r>
      <w:r>
        <w:rPr>
          <w:rFonts w:hint="eastAsia" w:ascii="仿宋_GB2312" w:hAnsi="仿宋_GB2312" w:eastAsia="仿宋_GB2312"/>
          <w:color w:val="auto"/>
          <w:highlight w:val="none"/>
          <w:u w:val="single"/>
          <w:lang w:val="en-US" w:eastAsia="zh-CN"/>
        </w:rPr>
        <w:t xml:space="preserve">                 </w:t>
      </w:r>
      <w:r>
        <w:rPr>
          <w:rFonts w:hint="eastAsia" w:ascii="仿宋_GB2312" w:hAnsi="仿宋_GB2312" w:eastAsia="仿宋_GB2312"/>
          <w:color w:val="auto"/>
          <w:highlight w:val="none"/>
          <w:lang w:val="en-US" w:eastAsia="zh-CN"/>
        </w:rPr>
        <w:t xml:space="preserve">  </w:t>
      </w:r>
    </w:p>
    <w:p w14:paraId="031E39CC">
      <w:pPr>
        <w:spacing w:line="480" w:lineRule="exact"/>
        <w:ind w:right="630" w:rightChars="300"/>
        <w:jc w:val="center"/>
        <w:rPr>
          <w:rFonts w:ascii="仿宋_GB2312" w:hAnsi="仿宋_GB2312" w:eastAsia="仿宋_GB2312"/>
          <w:color w:val="auto"/>
          <w:sz w:val="28"/>
          <w:szCs w:val="28"/>
          <w:highlight w:val="none"/>
        </w:rPr>
      </w:pPr>
    </w:p>
    <w:p w14:paraId="2DFB0B43">
      <w:pPr>
        <w:spacing w:line="480" w:lineRule="exact"/>
        <w:ind w:right="630" w:rightChars="300"/>
        <w:jc w:val="center"/>
        <w:rPr>
          <w:rFonts w:ascii="仿宋_GB2312" w:hAnsi="仿宋_GB2312" w:eastAsia="仿宋_GB2312"/>
          <w:color w:val="auto"/>
          <w:sz w:val="28"/>
          <w:szCs w:val="28"/>
          <w:highlight w:val="none"/>
        </w:rPr>
      </w:pPr>
    </w:p>
    <w:p w14:paraId="65A53F31">
      <w:pPr>
        <w:wordWrap w:val="0"/>
        <w:adjustRightInd w:val="0"/>
        <w:snapToGrid w:val="0"/>
        <w:spacing w:line="480" w:lineRule="auto"/>
        <w:jc w:val="right"/>
        <w:rPr>
          <w:rFonts w:ascii="仿宋_GB2312" w:hAnsi="仿宋_GB2312" w:eastAsia="仿宋_GB2312" w:cs="仿宋_GB2312"/>
          <w:szCs w:val="21"/>
          <w:highlight w:val="none"/>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中等线简体">
    <w:altName w:val="宋体"/>
    <w:panose1 w:val="03000509000000000000"/>
    <w:charset w:val="86"/>
    <w:family w:val="auto"/>
    <w:pitch w:val="default"/>
    <w:sig w:usb0="00000000" w:usb1="00000000" w:usb2="00000000" w:usb3="00000000" w:csb0="00040000" w:csb1="00000000"/>
  </w:font>
  <w:font w:name="思源黑体 CN Normal">
    <w:altName w:val="黑体"/>
    <w:panose1 w:val="020B0400000000000000"/>
    <w:charset w:val="86"/>
    <w:family w:val="swiss"/>
    <w:pitch w:val="default"/>
    <w:sig w:usb0="00000000" w:usb1="00000000" w:usb2="00000016" w:usb3="00000000" w:csb0="60060107" w:csb1="00000000"/>
  </w:font>
  <w:font w:name="Wingdings 2">
    <w:panose1 w:val="05020102010507070707"/>
    <w:charset w:val="02"/>
    <w:family w:val="roman"/>
    <w:pitch w:val="default"/>
    <w:sig w:usb0="00000000" w:usb1="00000000" w:usb2="00000000" w:usb3="00000000" w:csb0="80000000" w:csb1="00000000"/>
  </w:font>
  <w:font w:name="CESI仿宋-GB2312">
    <w:altName w:val="仿宋"/>
    <w:panose1 w:val="02000500000000000000"/>
    <w:charset w:val="86"/>
    <w:family w:val="auto"/>
    <w:pitch w:val="default"/>
    <w:sig w:usb0="00000000" w:usb1="00000000" w:usb2="00000010"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D0E6A">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DF67D">
    <w:pPr>
      <w:pStyle w:val="13"/>
      <w:jc w:val="center"/>
    </w:pPr>
    <w:r>
      <w:fldChar w:fldCharType="begin"/>
    </w:r>
    <w:r>
      <w:instrText xml:space="preserve">PAGE   \* MERGEFORMAT</w:instrText>
    </w:r>
    <w:r>
      <w:fldChar w:fldCharType="separate"/>
    </w:r>
    <w:r>
      <w:rPr>
        <w:lang w:val="zh-CN"/>
      </w:rPr>
      <w:t>40</w:t>
    </w:r>
    <w:r>
      <w:fldChar w:fldCharType="end"/>
    </w:r>
  </w:p>
  <w:p w14:paraId="0E97ABE4">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A2AE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27E8E525"/>
    <w:multiLevelType w:val="singleLevel"/>
    <w:tmpl w:val="27E8E525"/>
    <w:lvl w:ilvl="0" w:tentative="0">
      <w:start w:val="1"/>
      <w:numFmt w:val="decimal"/>
      <w:suff w:val="nothing"/>
      <w:lvlText w:val="（%1）"/>
      <w:lvlJc w:val="left"/>
    </w:lvl>
  </w:abstractNum>
  <w:abstractNum w:abstractNumId="3">
    <w:nsid w:val="420C153B"/>
    <w:multiLevelType w:val="multilevel"/>
    <w:tmpl w:val="420C153B"/>
    <w:lvl w:ilvl="0" w:tentative="0">
      <w:start w:val="1"/>
      <w:numFmt w:val="decimal"/>
      <w:pStyle w:val="3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5">
    <w:nsid w:val="66F2F7C7"/>
    <w:multiLevelType w:val="singleLevel"/>
    <w:tmpl w:val="66F2F7C7"/>
    <w:lvl w:ilvl="0" w:tentative="0">
      <w:start w:val="2"/>
      <w:numFmt w:val="chineseCounting"/>
      <w:suff w:val="nothing"/>
      <w:lvlText w:val="（%1）"/>
      <w:lvlJc w:val="left"/>
      <w:rPr>
        <w:rFonts w:hint="eastAsia"/>
      </w:rPr>
    </w:lvl>
  </w:abstractNum>
  <w:abstractNum w:abstractNumId="6">
    <w:nsid w:val="7B4156D0"/>
    <w:multiLevelType w:val="singleLevel"/>
    <w:tmpl w:val="7B4156D0"/>
    <w:lvl w:ilvl="0" w:tentative="0">
      <w:start w:val="1"/>
      <w:numFmt w:val="decimal"/>
      <w:suff w:val="nothing"/>
      <w:lvlText w:val="（%1）"/>
      <w:lvlJc w:val="left"/>
    </w:lvl>
  </w:abstractNum>
  <w:abstractNum w:abstractNumId="7">
    <w:nsid w:val="7FCA64AF"/>
    <w:multiLevelType w:val="singleLevel"/>
    <w:tmpl w:val="7FCA64AF"/>
    <w:lvl w:ilvl="0" w:tentative="0">
      <w:start w:val="1"/>
      <w:numFmt w:val="decimal"/>
      <w:suff w:val="nothing"/>
      <w:lvlText w:val="（%1）"/>
      <w:lvlJc w:val="left"/>
    </w:lvl>
  </w:abstractNum>
  <w:num w:numId="1">
    <w:abstractNumId w:val="3"/>
  </w:num>
  <w:num w:numId="2">
    <w:abstractNumId w:val="0"/>
  </w:num>
  <w:num w:numId="3">
    <w:abstractNumId w:val="7"/>
  </w:num>
  <w:num w:numId="4">
    <w:abstractNumId w:val="1"/>
  </w:num>
  <w:num w:numId="5">
    <w:abstractNumId w:val="2"/>
  </w:num>
  <w:num w:numId="6">
    <w:abstractNumId w:val="6"/>
  </w:num>
  <w:num w:numId="7">
    <w:abstractNumId w:val="5"/>
  </w:num>
  <w:num w:numId="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jZGNhOTk5ZTYxNDA0OWQ3OThjM2Y0MGY0ODY3NTMifQ=="/>
    <w:docVar w:name="KSO_WPS_MARK_KEY" w:val="1f9d1032-3cff-416d-8ad5-2915b928de07"/>
  </w:docVars>
  <w:rsids>
    <w:rsidRoot w:val="00172A27"/>
    <w:rsid w:val="000B31FA"/>
    <w:rsid w:val="001835AC"/>
    <w:rsid w:val="0033635D"/>
    <w:rsid w:val="003E753A"/>
    <w:rsid w:val="004B2881"/>
    <w:rsid w:val="004B40FE"/>
    <w:rsid w:val="005D719E"/>
    <w:rsid w:val="00626ADF"/>
    <w:rsid w:val="0076177D"/>
    <w:rsid w:val="00796922"/>
    <w:rsid w:val="009334D3"/>
    <w:rsid w:val="00971549"/>
    <w:rsid w:val="009B02D2"/>
    <w:rsid w:val="00B34677"/>
    <w:rsid w:val="00C47CA1"/>
    <w:rsid w:val="00E324CF"/>
    <w:rsid w:val="00FD3BE7"/>
    <w:rsid w:val="01505F15"/>
    <w:rsid w:val="01FD609D"/>
    <w:rsid w:val="02DE3AF7"/>
    <w:rsid w:val="02E356AE"/>
    <w:rsid w:val="0341545D"/>
    <w:rsid w:val="0373132B"/>
    <w:rsid w:val="053631EA"/>
    <w:rsid w:val="06E6625D"/>
    <w:rsid w:val="07DB340B"/>
    <w:rsid w:val="07F97307"/>
    <w:rsid w:val="08CD4E40"/>
    <w:rsid w:val="09216B15"/>
    <w:rsid w:val="0BB30D22"/>
    <w:rsid w:val="0C4E524C"/>
    <w:rsid w:val="0C567B8F"/>
    <w:rsid w:val="0D02105E"/>
    <w:rsid w:val="0D9C676A"/>
    <w:rsid w:val="0DCF2B89"/>
    <w:rsid w:val="0DEC6831"/>
    <w:rsid w:val="0F8B118C"/>
    <w:rsid w:val="105477D0"/>
    <w:rsid w:val="105F0804"/>
    <w:rsid w:val="10E40379"/>
    <w:rsid w:val="11C66D36"/>
    <w:rsid w:val="122109AE"/>
    <w:rsid w:val="13482068"/>
    <w:rsid w:val="136F45F8"/>
    <w:rsid w:val="14DA401C"/>
    <w:rsid w:val="152F112D"/>
    <w:rsid w:val="165F63FA"/>
    <w:rsid w:val="16C4175E"/>
    <w:rsid w:val="16E6554E"/>
    <w:rsid w:val="16F72C63"/>
    <w:rsid w:val="16FA7D55"/>
    <w:rsid w:val="172C02CF"/>
    <w:rsid w:val="17770E4D"/>
    <w:rsid w:val="17916249"/>
    <w:rsid w:val="18882CBA"/>
    <w:rsid w:val="18DB01AB"/>
    <w:rsid w:val="19622F5E"/>
    <w:rsid w:val="19CA6D19"/>
    <w:rsid w:val="19CB1DBB"/>
    <w:rsid w:val="1A226249"/>
    <w:rsid w:val="1B1C713C"/>
    <w:rsid w:val="1B792569"/>
    <w:rsid w:val="1C236F8E"/>
    <w:rsid w:val="1C3404F1"/>
    <w:rsid w:val="1CAD2807"/>
    <w:rsid w:val="1CB57848"/>
    <w:rsid w:val="1DE9447A"/>
    <w:rsid w:val="1E3E386E"/>
    <w:rsid w:val="1E3E73CA"/>
    <w:rsid w:val="1EA95D3A"/>
    <w:rsid w:val="1EFA7B8B"/>
    <w:rsid w:val="1F106823"/>
    <w:rsid w:val="203528A0"/>
    <w:rsid w:val="20570500"/>
    <w:rsid w:val="21340B4B"/>
    <w:rsid w:val="21B82F0F"/>
    <w:rsid w:val="21CF325B"/>
    <w:rsid w:val="22482F0D"/>
    <w:rsid w:val="22856320"/>
    <w:rsid w:val="22CB048B"/>
    <w:rsid w:val="247B1377"/>
    <w:rsid w:val="24C34933"/>
    <w:rsid w:val="24E72569"/>
    <w:rsid w:val="252C2672"/>
    <w:rsid w:val="258A60C1"/>
    <w:rsid w:val="264E74CD"/>
    <w:rsid w:val="26BC17D1"/>
    <w:rsid w:val="27627A36"/>
    <w:rsid w:val="28D0506B"/>
    <w:rsid w:val="29D66AF8"/>
    <w:rsid w:val="2A06496A"/>
    <w:rsid w:val="2A21557C"/>
    <w:rsid w:val="2A3D50C6"/>
    <w:rsid w:val="2AB47391"/>
    <w:rsid w:val="2B8473E7"/>
    <w:rsid w:val="2C7D5F13"/>
    <w:rsid w:val="2D177764"/>
    <w:rsid w:val="2D894595"/>
    <w:rsid w:val="2E7F5F06"/>
    <w:rsid w:val="2F233128"/>
    <w:rsid w:val="309F72B5"/>
    <w:rsid w:val="31B23EA3"/>
    <w:rsid w:val="32DF0189"/>
    <w:rsid w:val="35040F15"/>
    <w:rsid w:val="354D24B9"/>
    <w:rsid w:val="358B3DF4"/>
    <w:rsid w:val="35912964"/>
    <w:rsid w:val="3660615A"/>
    <w:rsid w:val="367C38B4"/>
    <w:rsid w:val="3837308A"/>
    <w:rsid w:val="3869594F"/>
    <w:rsid w:val="38AB1F87"/>
    <w:rsid w:val="38B00A78"/>
    <w:rsid w:val="38D34E55"/>
    <w:rsid w:val="38DE6063"/>
    <w:rsid w:val="392F1A4A"/>
    <w:rsid w:val="39A42D7C"/>
    <w:rsid w:val="3AA224A8"/>
    <w:rsid w:val="3BB63C93"/>
    <w:rsid w:val="3C292F37"/>
    <w:rsid w:val="3DD96D7D"/>
    <w:rsid w:val="3DEA417E"/>
    <w:rsid w:val="3EA640EC"/>
    <w:rsid w:val="3EC534C3"/>
    <w:rsid w:val="3F3547D2"/>
    <w:rsid w:val="3FC924FB"/>
    <w:rsid w:val="40DB5220"/>
    <w:rsid w:val="42354948"/>
    <w:rsid w:val="449F6001"/>
    <w:rsid w:val="44E64193"/>
    <w:rsid w:val="44F52CCC"/>
    <w:rsid w:val="46030112"/>
    <w:rsid w:val="46274A64"/>
    <w:rsid w:val="46372326"/>
    <w:rsid w:val="46827EEC"/>
    <w:rsid w:val="46C25D8F"/>
    <w:rsid w:val="47613E36"/>
    <w:rsid w:val="48AB769D"/>
    <w:rsid w:val="49225C65"/>
    <w:rsid w:val="49796298"/>
    <w:rsid w:val="4A275AF7"/>
    <w:rsid w:val="4ACB2364"/>
    <w:rsid w:val="4AEE01D3"/>
    <w:rsid w:val="4B0233A9"/>
    <w:rsid w:val="4D4E28D6"/>
    <w:rsid w:val="4DEB2218"/>
    <w:rsid w:val="4E0F270C"/>
    <w:rsid w:val="4E14301A"/>
    <w:rsid w:val="4F9A4682"/>
    <w:rsid w:val="502D15AA"/>
    <w:rsid w:val="51301E50"/>
    <w:rsid w:val="527C278A"/>
    <w:rsid w:val="54113EAD"/>
    <w:rsid w:val="543C273A"/>
    <w:rsid w:val="54B7298F"/>
    <w:rsid w:val="55E60EA6"/>
    <w:rsid w:val="56133180"/>
    <w:rsid w:val="57267B87"/>
    <w:rsid w:val="577279FF"/>
    <w:rsid w:val="577B0367"/>
    <w:rsid w:val="57F46C50"/>
    <w:rsid w:val="583D7F8B"/>
    <w:rsid w:val="59405605"/>
    <w:rsid w:val="59463D94"/>
    <w:rsid w:val="5B3D108E"/>
    <w:rsid w:val="5C245875"/>
    <w:rsid w:val="5C6A0DAE"/>
    <w:rsid w:val="5DA86032"/>
    <w:rsid w:val="5DCE5C95"/>
    <w:rsid w:val="5F4471BA"/>
    <w:rsid w:val="5F742CE7"/>
    <w:rsid w:val="5F956855"/>
    <w:rsid w:val="60EB042B"/>
    <w:rsid w:val="60F76FEA"/>
    <w:rsid w:val="616F4F03"/>
    <w:rsid w:val="625D6C15"/>
    <w:rsid w:val="62BF7373"/>
    <w:rsid w:val="62CA3421"/>
    <w:rsid w:val="63191FE0"/>
    <w:rsid w:val="63B263BF"/>
    <w:rsid w:val="63D7141F"/>
    <w:rsid w:val="64AC28AC"/>
    <w:rsid w:val="665B027F"/>
    <w:rsid w:val="667747F4"/>
    <w:rsid w:val="67401778"/>
    <w:rsid w:val="67556F06"/>
    <w:rsid w:val="67724BFE"/>
    <w:rsid w:val="680127F9"/>
    <w:rsid w:val="685835B4"/>
    <w:rsid w:val="68EE5A29"/>
    <w:rsid w:val="690903B2"/>
    <w:rsid w:val="69B374A4"/>
    <w:rsid w:val="69CF0E99"/>
    <w:rsid w:val="6A101C9B"/>
    <w:rsid w:val="6A846511"/>
    <w:rsid w:val="6B4B6718"/>
    <w:rsid w:val="6B712736"/>
    <w:rsid w:val="6BE87152"/>
    <w:rsid w:val="6C8B0FF9"/>
    <w:rsid w:val="6CA138FA"/>
    <w:rsid w:val="6CCB5899"/>
    <w:rsid w:val="6D867601"/>
    <w:rsid w:val="6E10218B"/>
    <w:rsid w:val="6EB1286D"/>
    <w:rsid w:val="70580AC1"/>
    <w:rsid w:val="709C5F59"/>
    <w:rsid w:val="72290BF1"/>
    <w:rsid w:val="722939E1"/>
    <w:rsid w:val="73AA2A65"/>
    <w:rsid w:val="73F76BF4"/>
    <w:rsid w:val="74B73516"/>
    <w:rsid w:val="74DD5F72"/>
    <w:rsid w:val="751709F4"/>
    <w:rsid w:val="755D4422"/>
    <w:rsid w:val="75DA08FB"/>
    <w:rsid w:val="760E552E"/>
    <w:rsid w:val="763D720A"/>
    <w:rsid w:val="766F1041"/>
    <w:rsid w:val="76766DC7"/>
    <w:rsid w:val="773D7486"/>
    <w:rsid w:val="774447E4"/>
    <w:rsid w:val="777A44DB"/>
    <w:rsid w:val="790D0BD3"/>
    <w:rsid w:val="7919375C"/>
    <w:rsid w:val="79916343"/>
    <w:rsid w:val="7ADE64C3"/>
    <w:rsid w:val="7B236A19"/>
    <w:rsid w:val="7B7122A7"/>
    <w:rsid w:val="7B724A2A"/>
    <w:rsid w:val="7D610DC4"/>
    <w:rsid w:val="7DCC6054"/>
    <w:rsid w:val="7DEE76F3"/>
    <w:rsid w:val="7E464D80"/>
    <w:rsid w:val="7EBC1A3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6"/>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link w:val="27"/>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qFormat/>
    <w:uiPriority w:val="9"/>
    <w:pPr>
      <w:keepNext/>
      <w:keepLines/>
      <w:spacing w:before="260" w:after="260" w:line="416" w:lineRule="auto"/>
      <w:outlineLvl w:val="2"/>
    </w:pPr>
    <w:rPr>
      <w:rFonts w:eastAsia="宋体"/>
      <w:b/>
      <w:bCs/>
      <w:sz w:val="32"/>
      <w:szCs w:val="32"/>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6">
    <w:name w:val="index 8"/>
    <w:basedOn w:val="1"/>
    <w:next w:val="1"/>
    <w:qFormat/>
    <w:uiPriority w:val="0"/>
    <w:pPr>
      <w:spacing w:line="360" w:lineRule="auto"/>
    </w:pPr>
  </w:style>
  <w:style w:type="paragraph" w:styleId="7">
    <w:name w:val="Document Map"/>
    <w:basedOn w:val="1"/>
    <w:link w:val="28"/>
    <w:qFormat/>
    <w:uiPriority w:val="0"/>
    <w:rPr>
      <w:rFonts w:ascii="宋体" w:eastAsia="宋体"/>
      <w:sz w:val="18"/>
      <w:szCs w:val="18"/>
    </w:rPr>
  </w:style>
  <w:style w:type="paragraph" w:styleId="8">
    <w:name w:val="annotation text"/>
    <w:basedOn w:val="1"/>
    <w:link w:val="29"/>
    <w:unhideWhenUsed/>
    <w:qFormat/>
    <w:uiPriority w:val="99"/>
    <w:pPr>
      <w:jc w:val="left"/>
    </w:pPr>
    <w:rPr>
      <w:rFonts w:ascii="Calibri" w:hAnsi="Calibri"/>
    </w:rPr>
  </w:style>
  <w:style w:type="paragraph" w:styleId="9">
    <w:name w:val="Body Text"/>
    <w:basedOn w:val="1"/>
    <w:next w:val="1"/>
    <w:qFormat/>
    <w:uiPriority w:val="0"/>
    <w:pPr>
      <w:widowControl/>
      <w:spacing w:after="120"/>
      <w:jc w:val="left"/>
    </w:pPr>
    <w:rPr>
      <w:rFonts w:eastAsia="仿宋_GB2312"/>
      <w:kern w:val="0"/>
      <w:sz w:val="32"/>
      <w:szCs w:val="32"/>
    </w:rPr>
  </w:style>
  <w:style w:type="paragraph" w:styleId="10">
    <w:name w:val="Body Text Indent"/>
    <w:basedOn w:val="1"/>
    <w:qFormat/>
    <w:uiPriority w:val="0"/>
    <w:pPr>
      <w:spacing w:after="120"/>
      <w:ind w:left="420" w:leftChars="200"/>
    </w:pPr>
  </w:style>
  <w:style w:type="paragraph" w:styleId="11">
    <w:name w:val="Plain Text"/>
    <w:basedOn w:val="1"/>
    <w:next w:val="6"/>
    <w:qFormat/>
    <w:uiPriority w:val="99"/>
    <w:rPr>
      <w:rFonts w:ascii="宋体" w:hAnsi="Courier New" w:cs="Courier New"/>
      <w:szCs w:val="21"/>
    </w:rPr>
  </w:style>
  <w:style w:type="paragraph" w:styleId="12">
    <w:name w:val="Balloon Text"/>
    <w:basedOn w:val="1"/>
    <w:link w:val="30"/>
    <w:qFormat/>
    <w:uiPriority w:val="0"/>
    <w:rPr>
      <w:rFonts w:ascii="Calibri" w:hAnsi="Calibri"/>
      <w:sz w:val="18"/>
      <w:szCs w:val="18"/>
    </w:rPr>
  </w:style>
  <w:style w:type="paragraph" w:styleId="13">
    <w:name w:val="footer"/>
    <w:basedOn w:val="1"/>
    <w:link w:val="31"/>
    <w:qFormat/>
    <w:uiPriority w:val="99"/>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style>
  <w:style w:type="paragraph" w:styleId="16">
    <w:name w:val="Body Text 2"/>
    <w:basedOn w:val="1"/>
    <w:unhideWhenUsed/>
    <w:qFormat/>
    <w:uiPriority w:val="99"/>
    <w:pPr>
      <w:spacing w:after="120" w:line="480" w:lineRule="auto"/>
    </w:pPr>
  </w:style>
  <w:style w:type="paragraph" w:styleId="17">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8">
    <w:name w:val="annotation subject"/>
    <w:basedOn w:val="8"/>
    <w:next w:val="8"/>
    <w:link w:val="32"/>
    <w:qFormat/>
    <w:uiPriority w:val="0"/>
    <w:rPr>
      <w:b/>
      <w:bCs/>
    </w:rPr>
  </w:style>
  <w:style w:type="paragraph" w:styleId="19">
    <w:name w:val="Body Text First Indent 2"/>
    <w:basedOn w:val="10"/>
    <w:unhideWhenUsed/>
    <w:qFormat/>
    <w:uiPriority w:val="99"/>
    <w:pPr>
      <w:widowControl/>
      <w:spacing w:after="0"/>
      <w:ind w:left="0" w:leftChars="0" w:firstLine="200" w:firstLineChars="200"/>
      <w:jc w:val="left"/>
    </w:pPr>
    <w:rPr>
      <w:rFonts w:ascii="宋体" w:hAnsi="宋体"/>
      <w:kern w:val="1"/>
      <w:sz w:val="30"/>
      <w:szCs w:val="30"/>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0"/>
    <w:rPr>
      <w:b/>
    </w:rPr>
  </w:style>
  <w:style w:type="character" w:styleId="24">
    <w:name w:val="Hyperlink"/>
    <w:qFormat/>
    <w:uiPriority w:val="0"/>
    <w:rPr>
      <w:color w:val="0000FF"/>
      <w:u w:val="single"/>
    </w:rPr>
  </w:style>
  <w:style w:type="character" w:styleId="25">
    <w:name w:val="annotation reference"/>
    <w:unhideWhenUsed/>
    <w:qFormat/>
    <w:uiPriority w:val="99"/>
    <w:rPr>
      <w:sz w:val="21"/>
      <w:szCs w:val="21"/>
    </w:rPr>
  </w:style>
  <w:style w:type="character" w:customStyle="1" w:styleId="26">
    <w:name w:val="标题 1 Char"/>
    <w:link w:val="2"/>
    <w:qFormat/>
    <w:uiPriority w:val="0"/>
    <w:rPr>
      <w:rFonts w:ascii="Calibri" w:hAnsi="Calibri" w:eastAsia="仿宋" w:cs="Times New Roman"/>
      <w:b/>
      <w:kern w:val="44"/>
      <w:sz w:val="44"/>
      <w:szCs w:val="24"/>
    </w:rPr>
  </w:style>
  <w:style w:type="character" w:customStyle="1" w:styleId="27">
    <w:name w:val="标题 2 Char"/>
    <w:link w:val="3"/>
    <w:qFormat/>
    <w:uiPriority w:val="0"/>
    <w:rPr>
      <w:rFonts w:ascii="Arial" w:hAnsi="Arial" w:eastAsia="仿宋"/>
      <w:b/>
      <w:kern w:val="2"/>
      <w:sz w:val="28"/>
      <w:szCs w:val="24"/>
    </w:rPr>
  </w:style>
  <w:style w:type="character" w:customStyle="1" w:styleId="28">
    <w:name w:val="文档结构图 Char"/>
    <w:basedOn w:val="22"/>
    <w:link w:val="7"/>
    <w:qFormat/>
    <w:uiPriority w:val="0"/>
    <w:rPr>
      <w:rFonts w:ascii="宋体"/>
      <w:kern w:val="2"/>
      <w:sz w:val="18"/>
      <w:szCs w:val="18"/>
    </w:rPr>
  </w:style>
  <w:style w:type="character" w:customStyle="1" w:styleId="29">
    <w:name w:val="批注文字 Char"/>
    <w:link w:val="8"/>
    <w:qFormat/>
    <w:uiPriority w:val="99"/>
    <w:rPr>
      <w:rFonts w:ascii="Calibri" w:hAnsi="Calibri" w:eastAsia="仿宋" w:cs="Times New Roman"/>
      <w:kern w:val="2"/>
      <w:sz w:val="21"/>
      <w:szCs w:val="24"/>
    </w:rPr>
  </w:style>
  <w:style w:type="character" w:customStyle="1" w:styleId="30">
    <w:name w:val="批注框文本 Char"/>
    <w:link w:val="12"/>
    <w:qFormat/>
    <w:uiPriority w:val="0"/>
    <w:rPr>
      <w:rFonts w:ascii="Calibri" w:hAnsi="Calibri" w:eastAsia="仿宋" w:cs="Times New Roman"/>
      <w:kern w:val="2"/>
      <w:sz w:val="18"/>
      <w:szCs w:val="18"/>
    </w:rPr>
  </w:style>
  <w:style w:type="character" w:customStyle="1" w:styleId="31">
    <w:name w:val="页脚 Char"/>
    <w:link w:val="13"/>
    <w:qFormat/>
    <w:uiPriority w:val="99"/>
    <w:rPr>
      <w:rFonts w:eastAsia="仿宋"/>
      <w:kern w:val="2"/>
      <w:sz w:val="18"/>
      <w:szCs w:val="24"/>
    </w:rPr>
  </w:style>
  <w:style w:type="character" w:customStyle="1" w:styleId="32">
    <w:name w:val="批注主题 Char"/>
    <w:link w:val="18"/>
    <w:qFormat/>
    <w:uiPriority w:val="0"/>
    <w:rPr>
      <w:rFonts w:ascii="Calibri" w:hAnsi="Calibri" w:eastAsia="仿宋" w:cs="Times New Roman"/>
      <w:b/>
      <w:bCs/>
      <w:kern w:val="2"/>
      <w:sz w:val="21"/>
      <w:szCs w:val="24"/>
    </w:rPr>
  </w:style>
  <w:style w:type="paragraph" w:customStyle="1" w:styleId="33">
    <w:name w:val="正文文本首行缩进1"/>
    <w:basedOn w:val="9"/>
    <w:qFormat/>
    <w:uiPriority w:val="0"/>
    <w:pPr>
      <w:ind w:firstLine="420" w:firstLineChars="100"/>
    </w:pPr>
    <w:rPr>
      <w:kern w:val="2"/>
      <w:sz w:val="21"/>
    </w:rPr>
  </w:style>
  <w:style w:type="paragraph" w:customStyle="1" w:styleId="34">
    <w:name w:val="首行缩进"/>
    <w:basedOn w:val="1"/>
    <w:qFormat/>
    <w:uiPriority w:val="0"/>
    <w:pPr>
      <w:spacing w:line="360" w:lineRule="auto"/>
      <w:ind w:firstLine="480" w:firstLineChars="200"/>
    </w:pPr>
    <w:rPr>
      <w:rFonts w:ascii="Calibri" w:hAnsi="Calibri"/>
      <w:sz w:val="24"/>
      <w:szCs w:val="22"/>
      <w:lang w:val="zh-CN"/>
    </w:rPr>
  </w:style>
  <w:style w:type="paragraph" w:customStyle="1" w:styleId="35">
    <w:name w:val="_Style 3"/>
    <w:next w:val="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6">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3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9">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0">
    <w:name w:val="段"/>
    <w:next w:val="1"/>
    <w:qFormat/>
    <w:uiPriority w:val="99"/>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41">
    <w:name w:val="样式H"/>
    <w:basedOn w:val="2"/>
    <w:next w:val="1"/>
    <w:qFormat/>
    <w:uiPriority w:val="0"/>
    <w:pPr>
      <w:spacing w:before="100" w:line="500" w:lineRule="exact"/>
    </w:pPr>
  </w:style>
  <w:style w:type="paragraph" w:customStyle="1" w:styleId="42">
    <w:name w:val="样式N"/>
    <w:basedOn w:val="41"/>
    <w:qFormat/>
    <w:uiPriority w:val="0"/>
    <w:rPr>
      <w:sz w:val="30"/>
    </w:rPr>
  </w:style>
  <w:style w:type="paragraph" w:customStyle="1" w:styleId="43">
    <w:name w:val="段落大意"/>
    <w:qFormat/>
    <w:uiPriority w:val="0"/>
    <w:pPr>
      <w:snapToGrid w:val="0"/>
      <w:spacing w:line="300" w:lineRule="auto"/>
      <w:ind w:firstLine="200" w:firstLineChars="200"/>
      <w:jc w:val="both"/>
    </w:pPr>
    <w:rPr>
      <w:rFonts w:ascii="方正中等线简体" w:hAnsi="方正中等线简体" w:eastAsia="方正中等线简体" w:cs="方正中等线简体"/>
      <w:kern w:val="2"/>
      <w:sz w:val="21"/>
      <w:szCs w:val="22"/>
      <w:lang w:val="en-US" w:eastAsia="zh-CN" w:bidi="ar-SA"/>
    </w:rPr>
  </w:style>
  <w:style w:type="paragraph" w:customStyle="1" w:styleId="44">
    <w:name w:val="列出段落11"/>
    <w:basedOn w:val="1"/>
    <w:qFormat/>
    <w:uiPriority w:val="34"/>
    <w:pPr>
      <w:ind w:firstLine="420" w:firstLineChars="200"/>
    </w:pPr>
    <w:rPr>
      <w:rFonts w:ascii="Calibri" w:hAnsi="Calibri" w:eastAsia="宋体" w:cs="Times New Roman"/>
      <w:szCs w:val="22"/>
      <w:lang w:val="zh-CN"/>
    </w:rPr>
  </w:style>
  <w:style w:type="paragraph" w:customStyle="1" w:styleId="45">
    <w:name w:val="biao"/>
    <w:basedOn w:val="1"/>
    <w:qFormat/>
    <w:uiPriority w:val="0"/>
    <w:pPr>
      <w:overflowPunct w:val="0"/>
      <w:adjustRightInd w:val="0"/>
      <w:snapToGrid w:val="0"/>
      <w:spacing w:beforeLines="15" w:afterLines="15"/>
      <w:jc w:val="center"/>
    </w:pPr>
    <w:rPr>
      <w:rFonts w:eastAsia="思源黑体 CN Normal" w:cs="方正中等线简体"/>
      <w:color w:val="000000"/>
      <w:kern w:val="0"/>
      <w:sz w:val="18"/>
    </w:rPr>
  </w:style>
  <w:style w:type="paragraph" w:customStyle="1" w:styleId="46">
    <w:name w:val="四级标题"/>
    <w:qFormat/>
    <w:uiPriority w:val="0"/>
    <w:pPr>
      <w:spacing w:line="360" w:lineRule="auto"/>
      <w:ind w:left="100" w:leftChars="2500"/>
      <w:jc w:val="both"/>
    </w:pPr>
    <w:rPr>
      <w:rFonts w:ascii="Times New Roman" w:hAnsi="Times New Roman" w:eastAsia="黑体" w:cs="Times New Roman"/>
      <w:sz w:val="21"/>
      <w:szCs w:val="24"/>
      <w:lang w:val="en-US" w:eastAsia="zh-CN" w:bidi="ar-SA"/>
    </w:rPr>
  </w:style>
  <w:style w:type="paragraph" w:customStyle="1" w:styleId="47">
    <w:name w:val="WPSOffice手动目录 1"/>
    <w:qFormat/>
    <w:uiPriority w:val="0"/>
    <w:rPr>
      <w:rFonts w:ascii="Times New Roman" w:hAnsi="Times New Roman" w:eastAsia="宋体" w:cs="Times New Roman"/>
      <w:lang w:val="en-US" w:eastAsia="zh-CN" w:bidi="ar-SA"/>
    </w:rPr>
  </w:style>
  <w:style w:type="paragraph" w:styleId="48">
    <w:name w:val="List Paragraph"/>
    <w:basedOn w:val="1"/>
    <w:qFormat/>
    <w:uiPriority w:val="34"/>
    <w:pPr>
      <w:ind w:firstLine="420" w:firstLineChars="200"/>
    </w:pPr>
  </w:style>
  <w:style w:type="table" w:customStyle="1" w:styleId="49">
    <w:name w:val="Table Normal"/>
    <w:semiHidden/>
    <w:qFormat/>
    <w:uiPriority w:val="0"/>
    <w:pPr>
      <w:snapToGrid w:val="0"/>
    </w:pPr>
    <w:rPr>
      <w:rFonts w:ascii="Arial" w:hAnsi="Arial" w:eastAsia="Times New Roman" w:cs="Arial"/>
      <w:color w:val="000000"/>
      <w:szCs w:val="21"/>
      <w:lang w:val="en-US" w:eastAsia="zh-CN" w:bidi="ar-SA"/>
    </w:rPr>
    <w:tblPr>
      <w:tblCellMar>
        <w:top w:w="0" w:type="dxa"/>
        <w:left w:w="0" w:type="dxa"/>
        <w:bottom w:w="0" w:type="dxa"/>
        <w:right w:w="0" w:type="dxa"/>
      </w:tblCellMar>
    </w:tblPr>
  </w:style>
  <w:style w:type="paragraph" w:customStyle="1" w:styleId="50">
    <w:name w:val="正文首行缩进 21"/>
    <w:qFormat/>
    <w:uiPriority w:val="2457"/>
    <w:pPr>
      <w:spacing w:line="520" w:lineRule="exact"/>
      <w:ind w:firstLine="210"/>
      <w:textAlignment w:val="baseline"/>
    </w:pPr>
    <w:rPr>
      <w:rFonts w:ascii="黑体" w:hAnsi="黑体" w:eastAsia="黑体" w:cs="Arial"/>
      <w:lang w:val="en-US" w:eastAsia="zh-CN" w:bidi="ar-SA"/>
    </w:rPr>
  </w:style>
  <w:style w:type="paragraph" w:customStyle="1" w:styleId="51">
    <w:name w:val="Table Text"/>
    <w:basedOn w:val="1"/>
    <w:semiHidden/>
    <w:qFormat/>
    <w:uiPriority w:val="0"/>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xp</Company>
  <Pages>85</Pages>
  <Words>15941</Words>
  <Characters>16972</Characters>
  <Lines>317</Lines>
  <Paragraphs>89</Paragraphs>
  <TotalTime>23</TotalTime>
  <ScaleCrop>false</ScaleCrop>
  <LinksUpToDate>false</LinksUpToDate>
  <CharactersWithSpaces>17570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2018-11-01T08:31:00Z</dcterms:created>
  <dc:creator>meimei</dc:creator>
  <cp:lastModifiedBy>喜乐</cp:lastModifiedBy>
  <cp:lastPrinted>2023-05-05T05:04:00Z</cp:lastPrinted>
  <dcterms:modified xsi:type="dcterms:W3CDTF">2025-04-14T10:42:53Z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007AA4ECE7A846D9941493DDC726662A_13</vt:lpwstr>
  </property>
  <property fmtid="{D5CDD505-2E9C-101B-9397-08002B2CF9AE}" pid="4" name="KSOTemplateDocerSaveRecord">
    <vt:lpwstr>eyJoZGlkIjoiYjE2NmNlNThhNjkyYzlmY2YzMTIzNGU5YTIyZWIzMmQiLCJ1c2VySWQiOiI4ODM4Njg4NTQifQ==</vt:lpwstr>
  </property>
</Properties>
</file>