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442000-2026-01028</w:t>
      </w:r>
    </w:p>
    <w:p>
      <w:pPr>
        <w:pStyle w:val="null3"/>
        <w:jc w:val="center"/>
        <w:outlineLvl w:val="3"/>
      </w:pPr>
      <w:r>
        <w:rPr>
          <w:sz w:val="24"/>
          <w:b/>
        </w:rPr>
        <w:t>采购项目编号：</w:t>
      </w:r>
      <w:r>
        <w:rPr>
          <w:sz w:val="24"/>
          <w:b/>
        </w:rPr>
        <w:t>YXZB202602AJG106</w:t>
      </w:r>
    </w:p>
    <w:p>
      <w:pPr>
        <w:pStyle w:val="null3"/>
        <w:jc w:val="center"/>
        <w:outlineLvl w:val="3"/>
      </w:pPr>
      <w:r>
        <w:rPr>
          <w:sz w:val="24"/>
          <w:b/>
        </w:rPr>
        <w:t>项目名称：</w:t>
      </w:r>
      <w:r>
        <w:rPr>
          <w:sz w:val="24"/>
          <w:b/>
        </w:rPr>
        <w:t>中山市公路事务中心2026年养护材料（道路石油沥青）采购项目(四次)</w:t>
      </w:r>
    </w:p>
    <w:p>
      <w:pPr>
        <w:pStyle w:val="null3"/>
        <w:jc w:val="center"/>
        <w:outlineLvl w:val="3"/>
      </w:pPr>
      <w:r>
        <w:rPr>
          <w:sz w:val="24"/>
          <w:b/>
        </w:rPr>
        <w:t>采购人：</w:t>
      </w:r>
      <w:r>
        <w:rPr>
          <w:sz w:val="24"/>
          <w:b/>
        </w:rPr>
        <w:t>中山市公路事务中心</w:t>
      </w:r>
    </w:p>
    <w:p>
      <w:pPr>
        <w:pStyle w:val="null3"/>
        <w:jc w:val="center"/>
        <w:outlineLvl w:val="3"/>
      </w:pPr>
      <w:r>
        <w:rPr>
          <w:sz w:val="24"/>
          <w:b/>
        </w:rPr>
        <w:t>采购代理机构：</w:t>
      </w:r>
      <w:r>
        <w:rPr>
          <w:sz w:val="24"/>
          <w:b/>
        </w:rPr>
        <w:t>广东盈信项目管理有限公司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广东盈信项目管理有限公司</w:t>
      </w:r>
      <w:r>
        <w:rPr/>
        <w:t>受</w:t>
      </w:r>
      <w:r>
        <w:rPr/>
        <w:t>中山市公路事务中心</w:t>
      </w:r>
      <w:r>
        <w:rPr/>
        <w:t>的委托，采用</w:t>
      </w:r>
      <w:r>
        <w:rPr/>
        <w:t>公开招标</w:t>
      </w:r>
      <w:r>
        <w:rPr/>
        <w:t>方式组织采购</w:t>
      </w:r>
      <w:r>
        <w:rPr/>
        <w:t>中山市公路事务中心2026年养护材料（道路石油沥青）采购项目(四次)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中山市公路事务中心2026年养护材料（道路石油沥青）采购项目(四次)</w:t>
      </w:r>
    </w:p>
    <w:p>
      <w:pPr>
        <w:pStyle w:val="null3"/>
        <w:ind w:firstLine="480"/>
      </w:pPr>
      <w:r>
        <w:rPr/>
        <w:t>采购计划编号：</w:t>
      </w:r>
      <w:r>
        <w:rPr/>
        <w:t>442000-2026-01028</w:t>
      </w:r>
    </w:p>
    <w:p>
      <w:pPr>
        <w:pStyle w:val="null3"/>
        <w:ind w:firstLine="480"/>
      </w:pPr>
      <w:r>
        <w:rPr/>
        <w:t>采购项目编号：</w:t>
      </w:r>
      <w:r>
        <w:rPr/>
        <w:t>YXZB202602AJG106</w:t>
      </w:r>
    </w:p>
    <w:p>
      <w:pPr>
        <w:pStyle w:val="null3"/>
        <w:ind w:firstLine="480"/>
      </w:pPr>
      <w:r>
        <w:rPr/>
        <w:t>采购方式：</w:t>
      </w:r>
      <w:r>
        <w:rPr/>
        <w:t>公开招标</w:t>
      </w:r>
    </w:p>
    <w:p>
      <w:pPr>
        <w:pStyle w:val="null3"/>
        <w:ind w:firstLine="480"/>
      </w:pPr>
      <w:r>
        <w:rPr/>
        <w:t>预算金额：</w:t>
      </w:r>
      <w:r>
        <w:rPr/>
        <w:t>2,010,590.90</w:t>
      </w:r>
      <w:r>
        <w:rPr/>
        <w:t>元</w:t>
      </w:r>
    </w:p>
    <w:p>
      <w:pPr>
        <w:pStyle w:val="null3"/>
        <w:outlineLvl w:val="3"/>
      </w:pPr>
      <w:r>
        <w:rPr>
          <w:sz w:val="24"/>
          <w:b/>
        </w:rPr>
        <w:t>2.项目内容及需求情况（采购项目技术规格、参数及要求）</w:t>
      </w:r>
    </w:p>
    <w:p>
      <w:pPr>
        <w:pStyle w:val="null3"/>
      </w:pPr>
      <w:r>
        <w:rPr/>
        <w:t>采购包1(中山市公路事务中心2026年养护材料（道路石油沥青）采购项目):</w:t>
      </w:r>
    </w:p>
    <w:p>
      <w:pPr>
        <w:pStyle w:val="null3"/>
      </w:pPr>
      <w:r>
        <w:rPr/>
        <w:t>采购包预算金额：2,010,590.90元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沥青混合物</w:t>
            </w:r>
          </w:p>
        </w:tc>
        <w:tc>
          <w:tcPr>
            <w:tcW w:type="dxa" w:w="2052"/>
          </w:tcPr>
          <w:p>
            <w:pPr>
              <w:pStyle w:val="null3"/>
            </w:pPr>
            <w:r>
              <w:rPr/>
              <w:t>重交70#-A沥青(罐车运输散装）</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682,699.05</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沥青混合物</w:t>
            </w:r>
          </w:p>
        </w:tc>
        <w:tc>
          <w:tcPr>
            <w:tcW w:type="dxa" w:w="2052"/>
          </w:tcPr>
          <w:p>
            <w:pPr>
              <w:pStyle w:val="null3"/>
            </w:pPr>
            <w:r>
              <w:rPr/>
              <w:t>重交70#-A沥青(袋装）</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248,254.20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沥青混合物</w:t>
            </w:r>
          </w:p>
        </w:tc>
        <w:tc>
          <w:tcPr>
            <w:tcW w:type="dxa" w:w="2052"/>
          </w:tcPr>
          <w:p>
            <w:pPr>
              <w:pStyle w:val="null3"/>
            </w:pPr>
            <w:r>
              <w:rPr/>
              <w:t>10#沥青（灌缝用）</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7,091.30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沥青混合物</w:t>
            </w:r>
          </w:p>
        </w:tc>
        <w:tc>
          <w:tcPr>
            <w:tcW w:type="dxa" w:w="2052"/>
          </w:tcPr>
          <w:p>
            <w:pPr>
              <w:pStyle w:val="null3"/>
            </w:pPr>
            <w:r>
              <w:rPr/>
              <w:t>乳化沥青</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606,177.25</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沥青混合物</w:t>
            </w:r>
          </w:p>
        </w:tc>
        <w:tc>
          <w:tcPr>
            <w:tcW w:type="dxa" w:w="2052"/>
          </w:tcPr>
          <w:p>
            <w:pPr>
              <w:pStyle w:val="null3"/>
            </w:pPr>
            <w:r>
              <w:rPr/>
              <w:t>冷料</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206,832.20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沥青混合物</w:t>
            </w:r>
          </w:p>
        </w:tc>
        <w:tc>
          <w:tcPr>
            <w:tcW w:type="dxa" w:w="2052"/>
          </w:tcPr>
          <w:p>
            <w:pPr>
              <w:pStyle w:val="null3"/>
            </w:pPr>
            <w:r>
              <w:rPr/>
              <w:t>灌缝胶</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259,536.90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合同履行期限：1年，具体时间以合同约定期限为准。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复印件。</w:t>
      </w:r>
    </w:p>
    <w:p>
      <w:pPr>
        <w:pStyle w:val="null3"/>
      </w:pPr>
      <w:r>
        <w:rPr/>
        <w:t>2）有依法缴纳税收和社会保障资金的良好记录：投标（响应）时提供近12个月内任意1个月依法缴纳税收和社会保障资金的缴费凭证等相关材料（如依法免税或不需要缴纳社会保障资金的，提供相应证明材料）；或提供《政府采购供应商资格信用承诺函》（格式详见公告附件）。若供应商同时提供承诺函和证明材料的，资格审查时以证明材料为准。</w:t>
      </w:r>
    </w:p>
    <w:p>
      <w:pPr>
        <w:pStyle w:val="null3"/>
      </w:pPr>
      <w:r>
        <w:rPr/>
        <w:t>3）具有良好的商业信誉和健全的财务会计制度：提供2024年（或2025年）经审计的财务报告或近12个月内任意1个月编制的财务报表或基本开户行出具的资信证明或政府采购专业担保机构出具的投标担保函；或提供《政府采购供应商资格信用承诺函》（格式详见公告附件）。若供应商同时提供承诺函和证明材料的，资格审查时以证明材料为准。</w:t>
      </w:r>
    </w:p>
    <w:p>
      <w:pPr>
        <w:pStyle w:val="null3"/>
      </w:pPr>
      <w:r>
        <w:rPr/>
        <w:t>4）履行合同所必需的设备和专业技术能力：提供承诺函（格式自拟），或按投标（响应）文件格式填报设备和专业技术能力情况。</w:t>
      </w:r>
    </w:p>
    <w:p>
      <w:pPr>
        <w:pStyle w:val="null3"/>
      </w:pPr>
      <w:r>
        <w:rPr/>
        <w:t>5）参加采购活动前3年内，在经营活动中没有重大违法记录：提供《政府采购供应商资格信用承诺函》（格式详见公告附件）或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采购包1（中山市公路事务中心2026年养护材料（道路石油沥青）采购项目）：</w:t>
      </w:r>
      <w:r>
        <w:rPr/>
        <w:t>1)本项目属于专门面向小微企业采购项目，供应商提供的所有产品须全部由小微企业生产且使用该小微企业商号或注册商标。供应商根据《中小企业划型标准规定》《广东省财政厅关于进一步规范政府采购活动中落实促进中小企业发展政策的通知》要求自行判定是否属于工业的小微企业，符合小微类型的方可参与本项目的投标； 2)本项目属于货物类项目，采购标的对应的中小企业划分标准所属行业为：工业； 3)《中小企业声明函》按《广东省财政厅关于进一步规范政府采购活动中落实促进中小企业发展政策的通知》要求进行填写，此项将作为资格审查的必要项，如未按要求提供将视为无效投标。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采购包1（中山市公路事务中心2026年养护材料（道路石油沥青）采购项目）：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广东盈信项目管理有限公司（http://www.gdyxpm.cn）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中山市公路事务中心</w:t>
      </w:r>
    </w:p>
    <w:p>
      <w:pPr>
        <w:pStyle w:val="null3"/>
        <w:ind w:firstLine="480"/>
      </w:pPr>
      <w:r>
        <w:rPr/>
        <w:t xml:space="preserve"> 地址：</w:t>
      </w:r>
      <w:r>
        <w:rPr/>
        <w:t>中山市中山三路2号</w:t>
      </w:r>
    </w:p>
    <w:p>
      <w:pPr>
        <w:pStyle w:val="null3"/>
        <w:ind w:firstLine="480"/>
      </w:pPr>
      <w:r>
        <w:rPr/>
        <w:t xml:space="preserve"> 联系方式：</w:t>
      </w:r>
      <w:r>
        <w:rPr/>
        <w:t>0760- 28365312</w:t>
      </w:r>
    </w:p>
    <w:p>
      <w:pPr>
        <w:pStyle w:val="null3"/>
        <w:outlineLvl w:val="3"/>
      </w:pPr>
      <w:r>
        <w:rPr>
          <w:sz w:val="24"/>
          <w:b/>
        </w:rPr>
        <w:t xml:space="preserve"> 2.采购代理机构信息</w:t>
      </w:r>
    </w:p>
    <w:p>
      <w:pPr>
        <w:pStyle w:val="null3"/>
        <w:ind w:firstLine="480"/>
      </w:pPr>
      <w:r>
        <w:rPr/>
        <w:t xml:space="preserve"> 名称：</w:t>
      </w:r>
      <w:r>
        <w:rPr/>
        <w:t>广东盈信项目管理有限公司</w:t>
      </w:r>
    </w:p>
    <w:p>
      <w:pPr>
        <w:pStyle w:val="null3"/>
        <w:ind w:firstLine="480"/>
      </w:pPr>
      <w:r>
        <w:rPr/>
        <w:t xml:space="preserve"> 地址：</w:t>
      </w:r>
      <w:r>
        <w:rPr/>
        <w:t>中山市东区街道新村新华街十号二楼</w:t>
      </w:r>
    </w:p>
    <w:p>
      <w:pPr>
        <w:pStyle w:val="null3"/>
        <w:ind w:firstLine="480"/>
      </w:pPr>
      <w:r>
        <w:rPr/>
        <w:t xml:space="preserve"> 联系方式：</w:t>
      </w:r>
      <w:r>
        <w:rPr/>
        <w:t>0760-86121889</w:t>
      </w:r>
    </w:p>
    <w:p>
      <w:pPr>
        <w:pStyle w:val="null3"/>
        <w:outlineLvl w:val="3"/>
      </w:pPr>
      <w:r>
        <w:rPr>
          <w:sz w:val="24"/>
          <w:b/>
        </w:rPr>
        <w:t xml:space="preserve"> 3.项目联系方式</w:t>
      </w:r>
    </w:p>
    <w:p>
      <w:pPr>
        <w:pStyle w:val="null3"/>
        <w:ind w:firstLine="480"/>
      </w:pPr>
      <w:r>
        <w:rPr/>
        <w:t xml:space="preserve"> 项目联系人：</w:t>
      </w:r>
      <w:r>
        <w:rPr/>
        <w:t>李先生、张小姐、陈小姐</w:t>
      </w:r>
    </w:p>
    <w:p>
      <w:pPr>
        <w:pStyle w:val="null3"/>
        <w:ind w:firstLine="480"/>
      </w:pPr>
      <w:r>
        <w:rPr/>
        <w:t xml:space="preserve"> 电话：</w:t>
      </w:r>
      <w:r>
        <w:rPr/>
        <w:t>0760-86121889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广东盈信项目管理有限公司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（一）总则</w:t>
      </w:r>
    </w:p>
    <w:p>
      <w:pPr>
        <w:pStyle w:val="null3"/>
        <w:ind w:firstLine="420"/>
        <w:jc w:val="both"/>
      </w:pPr>
      <w:r>
        <w:rPr>
          <w:sz w:val="21"/>
        </w:rPr>
        <w:t>1.项目名称：中山市公路事务中心2026年养护材料(道路石油沥青)采购项目。</w:t>
      </w:r>
    </w:p>
    <w:p>
      <w:pPr>
        <w:pStyle w:val="null3"/>
        <w:ind w:firstLine="420"/>
        <w:jc w:val="both"/>
      </w:pPr>
      <w:r>
        <w:rPr>
          <w:sz w:val="21"/>
        </w:rPr>
        <w:t>2.本项目属性为货物类，本次采购标的对应的中小企业划分标准所属行业为工业。</w:t>
      </w:r>
    </w:p>
    <w:p>
      <w:pPr>
        <w:pStyle w:val="null3"/>
        <w:ind w:firstLine="420"/>
        <w:jc w:val="both"/>
      </w:pPr>
      <w:r>
        <w:rPr>
          <w:sz w:val="21"/>
        </w:rPr>
        <w:t>3.本项目确定1家单位作为中山市公路事务中心2026年养护材料(道路石油沥青)采购项目的协议供应商。</w:t>
      </w:r>
    </w:p>
    <w:p>
      <w:pPr>
        <w:pStyle w:val="null3"/>
        <w:ind w:firstLine="420"/>
        <w:jc w:val="both"/>
      </w:pPr>
      <w:r>
        <w:rPr>
          <w:sz w:val="21"/>
        </w:rPr>
        <w:t>4.本次采购货物必须是产自中华人民共和国境内的货物，投标人必须对项目内全部内容进行报价，不允许只对项目内部分内容进行报价。</w:t>
      </w:r>
    </w:p>
    <w:p>
      <w:pPr>
        <w:pStyle w:val="null3"/>
        <w:ind w:firstLine="420"/>
        <w:jc w:val="both"/>
      </w:pPr>
      <w:r>
        <w:rPr>
          <w:sz w:val="21"/>
        </w:rPr>
        <w:t>5.投标人应结合相关文件及现场情况，充分考虑影响因素后进行报价。</w:t>
      </w:r>
    </w:p>
    <w:p>
      <w:pPr>
        <w:pStyle w:val="null3"/>
        <w:ind w:firstLine="420"/>
      </w:pPr>
      <w:r>
        <w:rPr>
          <w:sz w:val="21"/>
        </w:rPr>
        <w:t>6.若采购需求中没列出的，但项目实施过程需用到的设备及辅材，投标人须补充列出且该费用已包含在投标报价中。</w:t>
      </w:r>
    </w:p>
    <w:p>
      <w:pPr>
        <w:pStyle w:val="null3"/>
        <w:ind w:firstLine="420"/>
      </w:pPr>
      <w:r>
        <w:rPr>
          <w:sz w:val="21"/>
        </w:rPr>
        <w:t>7.投标人应注意本采购需求质量要求中所列技术指标的值仅列出了最低限度。投标人在《技术和服务要求响应表》中必须列出具体数值。当投标文件中技术参数与招标文件中技术参数有偏离时，须在“偏离情况说明”栏内如实注明是“正偏离”或“无偏离”或“负偏离”，“正偏离”指报价货物的技术参数优于招标文件中要求，“负偏离”指报价货物的技术参数低于招标文件中要求。如果投标人只注明“符合”或“满足”，将被视为放弃抗辩的权利，完全满足采购人的要求（包括延伸意义）。</w:t>
      </w:r>
    </w:p>
    <w:p>
      <w:pPr>
        <w:pStyle w:val="null3"/>
        <w:ind w:firstLine="420"/>
        <w:jc w:val="both"/>
      </w:pPr>
      <w:r>
        <w:rPr>
          <w:sz w:val="21"/>
        </w:rPr>
        <w:t>8.采购人有权在签订合同时对项目方案作适当修改调整，中标人须无条件配合。</w:t>
      </w:r>
    </w:p>
    <w:p>
      <w:pPr>
        <w:pStyle w:val="null3"/>
        <w:ind w:firstLine="422"/>
        <w:jc w:val="both"/>
      </w:pPr>
      <w:r>
        <w:rPr>
          <w:sz w:val="21"/>
          <w:b/>
        </w:rPr>
        <w:t>★9.本项目按采购人的实际需求分批进行采购，具体供货数量以采购人实际需求为准，采购人有权在合同实施过程中对项目方案及计划用量作适当修改调整或对货物数量作适量增加或减少，但结算金额不得超出合同总金额（合同总金额为本项目预算金额）。在合同履行期间，如采购人对中标人服务不满意，有权终止合同。</w:t>
      </w:r>
    </w:p>
    <w:p>
      <w:pPr>
        <w:pStyle w:val="null3"/>
        <w:ind w:firstLine="420"/>
        <w:jc w:val="both"/>
      </w:pPr>
      <w:r>
        <w:rPr>
          <w:sz w:val="21"/>
        </w:rPr>
        <w:t>10.未经采购人同意，中标人不得以任何方式转包或分包本项目。</w:t>
      </w:r>
    </w:p>
    <w:p>
      <w:pPr>
        <w:pStyle w:val="null3"/>
        <w:ind w:firstLine="420"/>
        <w:jc w:val="both"/>
      </w:pPr>
      <w:r>
        <w:rPr>
          <w:sz w:val="21"/>
        </w:rPr>
        <w:t>11.本项目由中标人承包及负责招标文件对中标人要求的一切事宜及责任。</w:t>
      </w:r>
    </w:p>
    <w:p>
      <w:pPr>
        <w:pStyle w:val="null3"/>
        <w:ind w:firstLine="420"/>
        <w:jc w:val="both"/>
      </w:pPr>
      <w:r>
        <w:rPr>
          <w:sz w:val="21"/>
        </w:rPr>
        <w:t>12.本项目的核心产品为</w:t>
      </w:r>
      <w:r>
        <w:rPr>
          <w:u w:val="single"/>
        </w:rPr>
        <w:t xml:space="preserve"> </w:t>
      </w:r>
      <w:r>
        <w:rPr>
          <w:sz w:val="21"/>
          <w:b/>
          <w:u w:val="single"/>
        </w:rPr>
        <w:t>重交</w:t>
      </w:r>
      <w:r>
        <w:rPr>
          <w:sz w:val="21"/>
          <w:b/>
          <w:u w:val="single"/>
        </w:rPr>
        <w:t>70#-A沥青(罐车运输散装）</w:t>
      </w:r>
      <w:r>
        <w:rPr>
          <w:sz w:val="21"/>
        </w:rPr>
        <w:t xml:space="preserve"> </w:t>
      </w:r>
      <w:r>
        <w:rPr>
          <w:sz w:val="21"/>
        </w:rPr>
        <w:t>。根据相关规定提供相同品牌产品且通过资格审查、符合性审查的不同投标人参加同一合同项下投标的，按一家投标人计算。评审后得分最高的同品牌供应商获得中标人推荐资格；评审得分相同的，由采购人或者采购人委托评标委员会按照招标文件规定的方式确定一个投标人获得中标人推荐资格，招标文件未规定的采取随机抽取方式确定，其他同品牌投标人不作为中标候选人。投标人必须在投标文件中填写所投核心产品的品牌，</w:t>
      </w:r>
      <w:r>
        <w:rPr>
          <w:sz w:val="21"/>
          <w:b/>
        </w:rPr>
        <w:t>否则按无效投标处理。</w:t>
      </w:r>
    </w:p>
    <w:p>
      <w:pPr>
        <w:pStyle w:val="null3"/>
        <w:ind w:firstLine="422"/>
        <w:jc w:val="both"/>
      </w:pPr>
      <w:r>
        <w:rPr>
          <w:sz w:val="21"/>
          <w:b/>
        </w:rPr>
        <w:t>（二）合同履行期限</w:t>
      </w:r>
    </w:p>
    <w:p>
      <w:pPr>
        <w:pStyle w:val="null3"/>
        <w:ind w:firstLine="420"/>
      </w:pPr>
      <w:r>
        <w:rPr>
          <w:sz w:val="21"/>
        </w:rPr>
        <w:t>1年，具体时间以合同约定期限为准。合同未到期但采购金额达到合同总额（人民币2010590.90元）时，合同终止。如因政府政策调整及采购人所需货物的需求量原因，导致采购人无法继续履行合同，经采购人通知，无论合同时间或金额是否达到要求，则合同自中标人收到通知之日自动终止。</w:t>
      </w:r>
    </w:p>
    <w:p>
      <w:pPr>
        <w:pStyle w:val="null3"/>
        <w:ind w:firstLine="422"/>
        <w:jc w:val="both"/>
      </w:pPr>
      <w:r>
        <w:rPr>
          <w:sz w:val="21"/>
          <w:b/>
        </w:rPr>
        <w:t>（三）采购内容及要求</w:t>
      </w:r>
    </w:p>
    <w:p>
      <w:pPr>
        <w:pStyle w:val="null3"/>
        <w:ind w:firstLine="420"/>
      </w:pPr>
      <w:r>
        <w:rPr>
          <w:sz w:val="21"/>
        </w:rPr>
        <w:t>1.采购清单</w:t>
      </w:r>
    </w:p>
    <w:tbl>
      <w:tblPr>
        <w:tblW w:w="0" w:type="auto"/>
        <w:tblBorders>
          <w:top w:val="none" w:color="000000" w:sz="4"/>
          <w:left w:val="none" w:color="000000" w:sz="4"/>
          <w:bottom w:val="none" w:color="000000" w:sz="4"/>
          <w:right w:val="none" w:color="000000" w:sz="4"/>
          <w:insideH w:val="none"/>
          <w:insideV w:val="none"/>
        </w:tblBorders>
      </w:tblPr>
      <w:tblGrid>
        <w:gridCol w:w="784"/>
        <w:gridCol w:w="2578"/>
        <w:gridCol w:w="1146"/>
        <w:gridCol w:w="1899"/>
        <w:gridCol w:w="1899"/>
      </w:tblGrid>
      <w:tr>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标的名称</w:t>
            </w:r>
          </w:p>
        </w:tc>
        <w:tc>
          <w:tcPr>
            <w:tcW w:type="dxa" w:w="1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单位</w:t>
            </w:r>
          </w:p>
        </w:tc>
        <w:tc>
          <w:tcPr>
            <w:tcW w:type="dxa" w:w="1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最高单价限价（元）</w:t>
            </w:r>
          </w:p>
        </w:tc>
        <w:tc>
          <w:tcPr>
            <w:tcW w:type="dxa" w:w="1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备注</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重交</w:t>
            </w:r>
            <w:r>
              <w:rPr>
                <w:sz w:val="21"/>
              </w:rPr>
              <w:t>70#-A 沥青 （罐车运输散装 ）</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4137.57</w:t>
            </w:r>
          </w:p>
        </w:tc>
        <w:tc>
          <w:tcPr>
            <w:tcW w:type="dxa" w:w="18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供货次数及供货量以采购人通知为准。</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重交</w:t>
            </w:r>
            <w:r>
              <w:rPr>
                <w:sz w:val="21"/>
              </w:rPr>
              <w:t>70#-A 沥青 （袋装）</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4137.57</w:t>
            </w:r>
          </w:p>
        </w:tc>
        <w:tc>
          <w:tcPr>
            <w:tcW w:type="dxa" w:w="1899"/>
            <w:vMerge/>
            <w:tcBorders>
              <w:top w:val="none" w:color="000000" w:sz="4"/>
              <w:left w:val="none" w:color="000000" w:sz="4"/>
              <w:bottom w:val="single" w:color="000000" w:sz="4"/>
              <w:right w:val="single" w:color="000000" w:sz="4"/>
            </w:tcBorders>
          </w:tcP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10#沥青(灌缝用)</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3545.65</w:t>
            </w:r>
          </w:p>
        </w:tc>
        <w:tc>
          <w:tcPr>
            <w:tcW w:type="dxa" w:w="1899"/>
            <w:vMerge/>
            <w:tcBorders>
              <w:top w:val="none" w:color="000000" w:sz="4"/>
              <w:left w:val="none" w:color="000000" w:sz="4"/>
              <w:bottom w:val="single" w:color="000000" w:sz="4"/>
              <w:right w:val="single" w:color="000000" w:sz="4"/>
            </w:tcBorders>
          </w:tcP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乳化沥青</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3463.87</w:t>
            </w:r>
          </w:p>
        </w:tc>
        <w:tc>
          <w:tcPr>
            <w:tcW w:type="dxa" w:w="1899"/>
            <w:vMerge/>
            <w:tcBorders>
              <w:top w:val="none" w:color="000000" w:sz="4"/>
              <w:left w:val="none" w:color="000000" w:sz="4"/>
              <w:bottom w:val="single" w:color="000000" w:sz="4"/>
              <w:right w:val="single" w:color="000000" w:sz="4"/>
            </w:tcBorders>
          </w:tcP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冷料</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608.33</w:t>
            </w:r>
          </w:p>
        </w:tc>
        <w:tc>
          <w:tcPr>
            <w:tcW w:type="dxa" w:w="1899"/>
            <w:vMerge/>
            <w:tcBorders>
              <w:top w:val="none" w:color="000000" w:sz="4"/>
              <w:left w:val="none" w:color="000000" w:sz="4"/>
              <w:bottom w:val="single" w:color="000000" w:sz="4"/>
              <w:right w:val="single" w:color="000000" w:sz="4"/>
            </w:tcBorders>
          </w:tcP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灌缝胶</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3707.67</w:t>
            </w:r>
          </w:p>
        </w:tc>
        <w:tc>
          <w:tcPr>
            <w:tcW w:type="dxa" w:w="1899"/>
            <w:vMerge/>
            <w:tcBorders>
              <w:top w:val="none" w:color="000000" w:sz="4"/>
              <w:left w:val="none" w:color="000000" w:sz="4"/>
              <w:bottom w:val="single" w:color="000000" w:sz="4"/>
              <w:right w:val="single" w:color="000000" w:sz="4"/>
            </w:tcBorders>
          </w:tcPr>
          <w:p/>
        </w:tc>
      </w:tr>
    </w:tbl>
    <w:p>
      <w:pPr>
        <w:pStyle w:val="null3"/>
        <w:ind w:firstLine="420"/>
      </w:pPr>
      <w:r>
        <w:rPr>
          <w:sz w:val="21"/>
        </w:rPr>
        <w:t>2.本项目需供货的地点：</w:t>
      </w:r>
    </w:p>
    <w:p>
      <w:pPr>
        <w:pStyle w:val="null3"/>
        <w:ind w:firstLine="420"/>
      </w:pPr>
      <w:r>
        <w:rPr>
          <w:sz w:val="21"/>
        </w:rPr>
        <w:t>中山市三乡公路养护所：中山市三乡镇白石村文华西路</w:t>
      </w:r>
      <w:r>
        <w:rPr>
          <w:sz w:val="21"/>
        </w:rPr>
        <w:t>167号。</w:t>
      </w:r>
    </w:p>
    <w:p>
      <w:pPr>
        <w:pStyle w:val="null3"/>
        <w:ind w:firstLine="420"/>
      </w:pPr>
      <w:r>
        <w:rPr>
          <w:sz w:val="21"/>
        </w:rPr>
        <w:t>中山市东凤公路养护所：中山市东凤镇东凤大道北</w:t>
      </w:r>
      <w:r>
        <w:rPr>
          <w:sz w:val="21"/>
        </w:rPr>
        <w:t>36号。</w:t>
      </w:r>
    </w:p>
    <w:p>
      <w:pPr>
        <w:pStyle w:val="null3"/>
        <w:ind w:firstLine="420"/>
      </w:pPr>
      <w:r>
        <w:rPr>
          <w:sz w:val="21"/>
        </w:rPr>
        <w:t>中山市东升公路养护所：中山市小榄镇裕民大道</w:t>
      </w:r>
      <w:r>
        <w:rPr>
          <w:sz w:val="21"/>
        </w:rPr>
        <w:t>95号。</w:t>
      </w:r>
    </w:p>
    <w:p>
      <w:pPr>
        <w:pStyle w:val="null3"/>
        <w:ind w:firstLine="420"/>
      </w:pPr>
      <w:r>
        <w:rPr>
          <w:sz w:val="21"/>
        </w:rPr>
        <w:t>中山市中山港公路养护所：中山市火炬开发区逸仙路</w:t>
      </w:r>
      <w:r>
        <w:rPr>
          <w:sz w:val="21"/>
        </w:rPr>
        <w:t>6号。</w:t>
      </w:r>
    </w:p>
    <w:p>
      <w:pPr>
        <w:pStyle w:val="null3"/>
        <w:ind w:firstLine="420"/>
      </w:pPr>
      <w:r>
        <w:rPr>
          <w:sz w:val="21"/>
        </w:rPr>
        <w:t>中山市公路事务中心省级公路交通应急装备物资储备保障中心：中山市南区双龙路马岭沥青拌和中心。</w:t>
      </w:r>
    </w:p>
    <w:p>
      <w:pPr>
        <w:pStyle w:val="null3"/>
        <w:ind w:firstLine="420"/>
      </w:pPr>
      <w:r>
        <w:rPr>
          <w:sz w:val="21"/>
        </w:rPr>
        <w:t>3.技术要求</w:t>
      </w:r>
    </w:p>
    <w:p>
      <w:pPr>
        <w:pStyle w:val="null3"/>
        <w:ind w:firstLine="422"/>
        <w:jc w:val="left"/>
      </w:pPr>
      <w:r>
        <w:rPr>
          <w:sz w:val="21"/>
          <w:b/>
        </w:rPr>
        <w:t>附表</w:t>
      </w:r>
      <w:r>
        <w:rPr>
          <w:sz w:val="21"/>
          <w:b/>
        </w:rPr>
        <w:t>1 重交 70#-A 沥青 （罐车运输散装 ）及重交70#-A 沥青 （袋装）</w:t>
      </w:r>
    </w:p>
    <w:p>
      <w:pPr>
        <w:pStyle w:val="null3"/>
        <w:ind w:firstLine="420"/>
        <w:jc w:val="left"/>
      </w:pPr>
      <w:r>
        <w:rPr>
          <w:sz w:val="21"/>
        </w:rPr>
        <w:t>主要技术要求根据《公路沥青路面施工技术规范》（</w:t>
      </w:r>
      <w:r>
        <w:rPr>
          <w:sz w:val="21"/>
        </w:rPr>
        <w:t>JTGF40-2004）制定。第一批次需委托有资质的检测单位，根据交通部发布的相关规范进行检测，满足以下技术要求。</w:t>
      </w:r>
    </w:p>
    <w:tbl>
      <w:tblPr>
        <w:tblW w:w="0" w:type="auto"/>
        <w:tblInd w:type="dxa" w:w="285"/>
        <w:tblBorders>
          <w:top w:val="none" w:color="000000" w:sz="4"/>
          <w:left w:val="none" w:color="000000" w:sz="4"/>
          <w:bottom w:val="none" w:color="000000" w:sz="4"/>
          <w:right w:val="none" w:color="000000" w:sz="4"/>
          <w:insideH w:val="none"/>
          <w:insideV w:val="none"/>
        </w:tblBorders>
      </w:tblPr>
      <w:tblGrid>
        <w:gridCol w:w="1204"/>
        <w:gridCol w:w="4379"/>
        <w:gridCol w:w="1264"/>
        <w:gridCol w:w="1460"/>
      </w:tblGrid>
      <w:tr>
        <w:tc>
          <w:tcPr>
            <w:tcW w:type="dxa" w:w="1204"/>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420"/>
              <w:jc w:val="left"/>
            </w:pPr>
            <w:r>
              <w:rPr>
                <w:sz w:val="21"/>
              </w:rPr>
              <w:t>序号</w:t>
            </w:r>
          </w:p>
        </w:tc>
        <w:tc>
          <w:tcPr>
            <w:tcW w:type="dxa" w:w="4379"/>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420"/>
              <w:jc w:val="center"/>
            </w:pPr>
            <w:r>
              <w:rPr>
                <w:sz w:val="21"/>
              </w:rPr>
              <w:t>指标</w:t>
            </w:r>
          </w:p>
        </w:tc>
        <w:tc>
          <w:tcPr>
            <w:tcW w:type="dxa" w:w="1264"/>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420"/>
              <w:jc w:val="center"/>
            </w:pPr>
            <w:r>
              <w:rPr>
                <w:sz w:val="21"/>
              </w:rPr>
              <w:t>单位</w:t>
            </w:r>
          </w:p>
        </w:tc>
        <w:tc>
          <w:tcPr>
            <w:tcW w:type="dxa" w:w="1460"/>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420"/>
              <w:jc w:val="center"/>
            </w:pPr>
            <w:r>
              <w:rPr>
                <w:sz w:val="21"/>
              </w:rPr>
              <w:t>标准要求</w:t>
            </w:r>
          </w:p>
        </w:tc>
      </w:tr>
      <w:tr>
        <w:tc>
          <w:tcPr>
            <w:tcW w:type="dxa" w:w="120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420"/>
              <w:jc w:val="both"/>
            </w:pPr>
            <w:r>
              <w:rPr>
                <w:sz w:val="21"/>
              </w:rPr>
              <w:t>1</w:t>
            </w:r>
          </w:p>
        </w:tc>
        <w:tc>
          <w:tcPr>
            <w:tcW w:type="dxa" w:w="437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针入度</w:t>
            </w:r>
            <w:r>
              <w:rPr>
                <w:sz w:val="21"/>
              </w:rPr>
              <w:t>(1/10mm)</w:t>
            </w:r>
          </w:p>
        </w:tc>
        <w:tc>
          <w:tcPr>
            <w:tcW w:type="dxa" w:w="126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1/10mm</w:t>
            </w:r>
          </w:p>
        </w:tc>
        <w:tc>
          <w:tcPr>
            <w:tcW w:type="dxa" w:w="14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60〜80</w:t>
            </w:r>
          </w:p>
        </w:tc>
      </w:tr>
      <w:tr>
        <w:tc>
          <w:tcPr>
            <w:tcW w:type="dxa" w:w="120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420"/>
              <w:jc w:val="both"/>
            </w:pPr>
            <w:r>
              <w:rPr>
                <w:sz w:val="21"/>
              </w:rPr>
              <w:t>2</w:t>
            </w:r>
          </w:p>
        </w:tc>
        <w:tc>
          <w:tcPr>
            <w:tcW w:type="dxa" w:w="437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针入度指数</w:t>
            </w:r>
            <w:r>
              <w:rPr>
                <w:sz w:val="21"/>
              </w:rPr>
              <w:t>PI</w:t>
            </w:r>
          </w:p>
        </w:tc>
        <w:tc>
          <w:tcPr>
            <w:tcW w:type="dxa" w:w="126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left"/>
            </w:pPr>
            <w:r>
              <w:rPr>
                <w:sz w:val="21"/>
              </w:rPr>
              <w:t>/</w:t>
            </w:r>
          </w:p>
        </w:tc>
        <w:tc>
          <w:tcPr>
            <w:tcW w:type="dxa" w:w="14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-1.5~+1.0</w:t>
            </w:r>
          </w:p>
        </w:tc>
      </w:tr>
      <w:tr>
        <w:tc>
          <w:tcPr>
            <w:tcW w:type="dxa" w:w="120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3</w:t>
            </w:r>
          </w:p>
        </w:tc>
        <w:tc>
          <w:tcPr>
            <w:tcW w:type="dxa" w:w="437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软化点（</w:t>
            </w:r>
            <w:r>
              <w:rPr>
                <w:sz w:val="21"/>
              </w:rPr>
              <w:t>R&amp;B）</w:t>
            </w:r>
          </w:p>
        </w:tc>
        <w:tc>
          <w:tcPr>
            <w:tcW w:type="dxa" w:w="126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left"/>
            </w:pPr>
            <w:r>
              <w:rPr>
                <w:sz w:val="21"/>
              </w:rPr>
              <w:t>°C</w:t>
            </w:r>
          </w:p>
        </w:tc>
        <w:tc>
          <w:tcPr>
            <w:tcW w:type="dxa" w:w="14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≥46</w:t>
            </w:r>
          </w:p>
        </w:tc>
      </w:tr>
      <w:tr>
        <w:tc>
          <w:tcPr>
            <w:tcW w:type="dxa" w:w="120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4</w:t>
            </w:r>
          </w:p>
        </w:tc>
        <w:tc>
          <w:tcPr>
            <w:tcW w:type="dxa" w:w="437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延度（</w:t>
            </w:r>
            <w:r>
              <w:rPr>
                <w:sz w:val="21"/>
              </w:rPr>
              <w:t>15°C）</w:t>
            </w:r>
          </w:p>
        </w:tc>
        <w:tc>
          <w:tcPr>
            <w:tcW w:type="dxa" w:w="126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left"/>
            </w:pPr>
            <w:r>
              <w:rPr>
                <w:sz w:val="21"/>
              </w:rPr>
              <w:t>cm</w:t>
            </w:r>
          </w:p>
        </w:tc>
        <w:tc>
          <w:tcPr>
            <w:tcW w:type="dxa" w:w="14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≥100</w:t>
            </w:r>
          </w:p>
        </w:tc>
      </w:tr>
      <w:tr>
        <w:tc>
          <w:tcPr>
            <w:tcW w:type="dxa" w:w="120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5</w:t>
            </w:r>
          </w:p>
        </w:tc>
        <w:tc>
          <w:tcPr>
            <w:tcW w:type="dxa" w:w="437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left="1230" w:firstLine="420"/>
              <w:jc w:val="both"/>
            </w:pPr>
            <w:r>
              <w:rPr>
                <w:sz w:val="21"/>
              </w:rPr>
              <w:t>延度（</w:t>
            </w:r>
            <w:r>
              <w:rPr>
                <w:sz w:val="21"/>
              </w:rPr>
              <w:t>10°C）</w:t>
            </w:r>
          </w:p>
        </w:tc>
        <w:tc>
          <w:tcPr>
            <w:tcW w:type="dxa" w:w="126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left"/>
            </w:pPr>
            <w:r>
              <w:rPr>
                <w:sz w:val="21"/>
              </w:rPr>
              <w:t>cm</w:t>
            </w:r>
          </w:p>
        </w:tc>
        <w:tc>
          <w:tcPr>
            <w:tcW w:type="dxa" w:w="14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≥25</w:t>
            </w:r>
          </w:p>
        </w:tc>
      </w:tr>
      <w:tr>
        <w:tc>
          <w:tcPr>
            <w:tcW w:type="dxa" w:w="120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420"/>
              <w:jc w:val="both"/>
            </w:pPr>
            <w:r>
              <w:rPr>
                <w:sz w:val="21"/>
              </w:rPr>
              <w:t>6</w:t>
            </w:r>
          </w:p>
        </w:tc>
        <w:tc>
          <w:tcPr>
            <w:tcW w:type="dxa" w:w="437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动力粘度（</w:t>
            </w:r>
            <w:r>
              <w:rPr>
                <w:sz w:val="21"/>
              </w:rPr>
              <w:t>60°C）</w:t>
            </w:r>
          </w:p>
        </w:tc>
        <w:tc>
          <w:tcPr>
            <w:tcW w:type="dxa" w:w="126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Pa. s</w:t>
            </w:r>
          </w:p>
        </w:tc>
        <w:tc>
          <w:tcPr>
            <w:tcW w:type="dxa" w:w="14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≥180</w:t>
            </w:r>
          </w:p>
        </w:tc>
      </w:tr>
      <w:tr>
        <w:tc>
          <w:tcPr>
            <w:tcW w:type="dxa" w:w="120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7</w:t>
            </w:r>
          </w:p>
        </w:tc>
        <w:tc>
          <w:tcPr>
            <w:tcW w:type="dxa" w:w="437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闪点（开口）</w:t>
            </w:r>
          </w:p>
        </w:tc>
        <w:tc>
          <w:tcPr>
            <w:tcW w:type="dxa" w:w="126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left"/>
            </w:pPr>
            <w:r>
              <w:rPr>
                <w:sz w:val="21"/>
              </w:rPr>
              <w:t>°C</w:t>
            </w:r>
          </w:p>
        </w:tc>
        <w:tc>
          <w:tcPr>
            <w:tcW w:type="dxa" w:w="14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≥260</w:t>
            </w:r>
          </w:p>
        </w:tc>
      </w:tr>
      <w:tr>
        <w:tc>
          <w:tcPr>
            <w:tcW w:type="dxa" w:w="120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8</w:t>
            </w:r>
          </w:p>
        </w:tc>
        <w:tc>
          <w:tcPr>
            <w:tcW w:type="dxa" w:w="437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left="1230" w:firstLine="420"/>
              <w:jc w:val="both"/>
            </w:pPr>
            <w:r>
              <w:rPr>
                <w:sz w:val="21"/>
              </w:rPr>
              <w:t>密度（</w:t>
            </w:r>
            <w:r>
              <w:rPr>
                <w:sz w:val="21"/>
              </w:rPr>
              <w:t>15°C）</w:t>
            </w:r>
          </w:p>
        </w:tc>
        <w:tc>
          <w:tcPr>
            <w:tcW w:type="dxa" w:w="126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Kg/</w:t>
            </w:r>
          </w:p>
        </w:tc>
        <w:tc>
          <w:tcPr>
            <w:tcW w:type="dxa" w:w="14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实测记录</w:t>
            </w:r>
          </w:p>
        </w:tc>
      </w:tr>
      <w:tr>
        <w:tc>
          <w:tcPr>
            <w:tcW w:type="dxa" w:w="120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9</w:t>
            </w:r>
          </w:p>
        </w:tc>
        <w:tc>
          <w:tcPr>
            <w:tcW w:type="dxa" w:w="437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溶解度（三氯乙烯）</w:t>
            </w:r>
          </w:p>
        </w:tc>
        <w:tc>
          <w:tcPr>
            <w:tcW w:type="dxa" w:w="126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left"/>
            </w:pPr>
            <w:r>
              <w:rPr>
                <w:sz w:val="21"/>
              </w:rPr>
              <w:t>%</w:t>
            </w:r>
          </w:p>
        </w:tc>
        <w:tc>
          <w:tcPr>
            <w:tcW w:type="dxa" w:w="14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≥99.5</w:t>
            </w:r>
          </w:p>
        </w:tc>
      </w:tr>
      <w:tr>
        <w:tc>
          <w:tcPr>
            <w:tcW w:type="dxa" w:w="120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420"/>
              <w:jc w:val="both"/>
            </w:pPr>
            <w:r>
              <w:rPr>
                <w:sz w:val="21"/>
              </w:rPr>
              <w:t>10</w:t>
            </w:r>
          </w:p>
        </w:tc>
        <w:tc>
          <w:tcPr>
            <w:tcW w:type="dxa" w:w="437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蜡含量</w:t>
            </w:r>
          </w:p>
        </w:tc>
        <w:tc>
          <w:tcPr>
            <w:tcW w:type="dxa" w:w="126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left"/>
            </w:pPr>
            <w:r>
              <w:rPr>
                <w:sz w:val="21"/>
              </w:rPr>
              <w:t>%</w:t>
            </w:r>
          </w:p>
        </w:tc>
        <w:tc>
          <w:tcPr>
            <w:tcW w:type="dxa" w:w="14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≤2. 2</w:t>
            </w:r>
          </w:p>
        </w:tc>
      </w:tr>
      <w:tr>
        <w:tc>
          <w:tcPr>
            <w:tcW w:type="dxa" w:w="120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420"/>
              <w:jc w:val="both"/>
            </w:pPr>
            <w:r>
              <w:rPr>
                <w:sz w:val="21"/>
              </w:rPr>
              <w:t>11</w:t>
            </w:r>
          </w:p>
        </w:tc>
        <w:tc>
          <w:tcPr>
            <w:tcW w:type="dxa" w:w="437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薄膜烘箱试验（</w:t>
            </w:r>
            <w:r>
              <w:rPr>
                <w:sz w:val="21"/>
              </w:rPr>
              <w:t>163°C, 5h）,质量变化</w:t>
            </w:r>
          </w:p>
        </w:tc>
        <w:tc>
          <w:tcPr>
            <w:tcW w:type="dxa" w:w="126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left"/>
            </w:pPr>
            <w:r>
              <w:rPr>
                <w:sz w:val="21"/>
              </w:rPr>
              <w:t>%</w:t>
            </w:r>
          </w:p>
        </w:tc>
        <w:tc>
          <w:tcPr>
            <w:tcW w:type="dxa" w:w="14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±0.8</w:t>
            </w:r>
          </w:p>
        </w:tc>
      </w:tr>
      <w:tr>
        <w:tc>
          <w:tcPr>
            <w:tcW w:type="dxa" w:w="120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420"/>
              <w:jc w:val="both"/>
            </w:pPr>
            <w:r>
              <w:rPr>
                <w:sz w:val="21"/>
              </w:rPr>
              <w:t>12</w:t>
            </w:r>
          </w:p>
        </w:tc>
        <w:tc>
          <w:tcPr>
            <w:tcW w:type="dxa" w:w="437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420"/>
              <w:jc w:val="center"/>
            </w:pPr>
            <w:r>
              <w:rPr>
                <w:sz w:val="21"/>
              </w:rPr>
              <w:t>薄膜烘箱试验（</w:t>
            </w:r>
            <w:r>
              <w:rPr>
                <w:sz w:val="21"/>
              </w:rPr>
              <w:t>163°C, 5h）,针入度比1</w:t>
            </w:r>
          </w:p>
        </w:tc>
        <w:tc>
          <w:tcPr>
            <w:tcW w:type="dxa" w:w="126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left"/>
            </w:pPr>
            <w:r>
              <w:rPr>
                <w:sz w:val="21"/>
              </w:rPr>
              <w:t>%</w:t>
            </w:r>
          </w:p>
        </w:tc>
        <w:tc>
          <w:tcPr>
            <w:tcW w:type="dxa" w:w="14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420"/>
              <w:jc w:val="both"/>
            </w:pPr>
            <w:r>
              <w:rPr>
                <w:sz w:val="21"/>
              </w:rPr>
              <w:t>≥61</w:t>
            </w:r>
          </w:p>
        </w:tc>
      </w:tr>
      <w:tr>
        <w:tc>
          <w:tcPr>
            <w:tcW w:type="dxa" w:w="120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13</w:t>
            </w:r>
          </w:p>
        </w:tc>
        <w:tc>
          <w:tcPr>
            <w:tcW w:type="dxa" w:w="437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薄膜烘箱试验（</w:t>
            </w:r>
            <w:r>
              <w:rPr>
                <w:sz w:val="21"/>
              </w:rPr>
              <w:t>163°C, 5h）,延度10°C</w:t>
            </w:r>
          </w:p>
        </w:tc>
        <w:tc>
          <w:tcPr>
            <w:tcW w:type="dxa" w:w="126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left"/>
            </w:pPr>
            <w:r>
              <w:rPr>
                <w:sz w:val="21"/>
              </w:rPr>
              <w:t>cm</w:t>
            </w:r>
          </w:p>
        </w:tc>
        <w:tc>
          <w:tcPr>
            <w:tcW w:type="dxa" w:w="14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≥6</w:t>
            </w:r>
          </w:p>
        </w:tc>
      </w:tr>
    </w:tbl>
    <w:p>
      <w:pPr>
        <w:pStyle w:val="null3"/>
        <w:ind w:firstLine="422"/>
      </w:pPr>
      <w:r>
        <w:rPr>
          <w:sz w:val="21"/>
          <w:b/>
        </w:rPr>
        <w:t>附表</w:t>
      </w:r>
      <w:r>
        <w:rPr>
          <w:sz w:val="21"/>
          <w:b/>
        </w:rPr>
        <w:t>2 乳化沥青</w:t>
      </w:r>
    </w:p>
    <w:p>
      <w:pPr>
        <w:pStyle w:val="null3"/>
        <w:ind w:firstLine="420"/>
        <w:jc w:val="left"/>
      </w:pPr>
      <w:r>
        <w:rPr>
          <w:sz w:val="21"/>
        </w:rPr>
        <w:t>主要技术要求根据《公路沥青路面施工技术规范》（</w:t>
      </w:r>
      <w:r>
        <w:rPr>
          <w:sz w:val="21"/>
        </w:rPr>
        <w:t>JTGF40-2004）制定。第一批次需委托有资质的检测单位，根据交通部发布的相关规范进行检测，满足以下技术要求。</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17"/>
        <w:gridCol w:w="396"/>
        <w:gridCol w:w="660"/>
        <w:gridCol w:w="698"/>
        <w:gridCol w:w="698"/>
        <w:gridCol w:w="580"/>
        <w:gridCol w:w="638"/>
        <w:gridCol w:w="698"/>
        <w:gridCol w:w="698"/>
        <w:gridCol w:w="580"/>
        <w:gridCol w:w="638"/>
        <w:gridCol w:w="698"/>
        <w:gridCol w:w="700"/>
      </w:tblGrid>
      <w:tr>
        <w:tc>
          <w:tcPr>
            <w:tcW w:type="dxa" w:w="1013"/>
            <w:gridSpan w:val="2"/>
            <w:vMerge w:val="restart"/>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实验项目</w:t>
            </w:r>
          </w:p>
        </w:tc>
        <w:tc>
          <w:tcPr>
            <w:tcW w:type="dxa" w:w="660"/>
            <w:vMerge w:val="restart"/>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right="120"/>
              <w:jc w:val="center"/>
            </w:pPr>
            <w:r>
              <w:rPr>
                <w:sz w:val="21"/>
              </w:rPr>
              <w:t>单位</w:t>
            </w:r>
          </w:p>
        </w:tc>
        <w:tc>
          <w:tcPr>
            <w:tcW w:type="dxa" w:w="2614"/>
            <w:gridSpan w:val="4"/>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阳离子</w:t>
            </w:r>
          </w:p>
        </w:tc>
        <w:tc>
          <w:tcPr>
            <w:tcW w:type="dxa" w:w="2614"/>
            <w:gridSpan w:val="4"/>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阴离子</w:t>
            </w:r>
          </w:p>
        </w:tc>
        <w:tc>
          <w:tcPr>
            <w:tcW w:type="dxa" w:w="1398"/>
            <w:gridSpan w:val="2"/>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非离子</w:t>
            </w:r>
          </w:p>
        </w:tc>
      </w:tr>
      <w:tr>
        <w:tc>
          <w:tcPr>
            <w:tcW w:type="dxa" w:w="1013"/>
            <w:gridSpan w:val="2"/>
            <w:vMerge/>
            <w:tcBorders>
              <w:top w:val="single" w:color="000000" w:sz="4"/>
              <w:left w:val="single" w:color="000000" w:sz="4"/>
              <w:bottom w:val="single" w:color="000000" w:sz="4"/>
              <w:right w:val="single" w:color="000000" w:sz="4"/>
            </w:tcBorders>
          </w:tcPr>
          <w:p/>
        </w:tc>
        <w:tc>
          <w:tcPr>
            <w:tcW w:type="dxa" w:w="660"/>
            <w:vMerge/>
            <w:tcBorders>
              <w:top w:val="single" w:color="000000" w:sz="4"/>
              <w:left w:val="none" w:color="000000" w:sz="4"/>
              <w:bottom w:val="single" w:color="000000" w:sz="4"/>
              <w:right w:val="single" w:color="000000" w:sz="4"/>
            </w:tcBorders>
          </w:tcPr>
          <w:p/>
        </w:tc>
        <w:tc>
          <w:tcPr>
            <w:tcW w:type="dxa" w:w="1976"/>
            <w:gridSpan w:val="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喷洒用</w:t>
            </w:r>
          </w:p>
        </w:tc>
        <w:tc>
          <w:tcPr>
            <w:tcW w:type="dxa" w:w="63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拌和用</w:t>
            </w:r>
          </w:p>
        </w:tc>
        <w:tc>
          <w:tcPr>
            <w:tcW w:type="dxa" w:w="1976"/>
            <w:gridSpan w:val="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喷洒用</w:t>
            </w:r>
          </w:p>
        </w:tc>
        <w:tc>
          <w:tcPr>
            <w:tcW w:type="dxa" w:w="638"/>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拌和用</w:t>
            </w:r>
          </w:p>
        </w:tc>
        <w:tc>
          <w:tcPr>
            <w:tcW w:type="dxa" w:w="698"/>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喷洒用</w:t>
            </w:r>
          </w:p>
        </w:tc>
        <w:tc>
          <w:tcPr>
            <w:tcW w:type="dxa" w:w="700"/>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喷洒用</w:t>
            </w:r>
          </w:p>
        </w:tc>
      </w:tr>
      <w:tr>
        <w:tc>
          <w:tcPr>
            <w:tcW w:type="dxa" w:w="1013"/>
            <w:gridSpan w:val="2"/>
            <w:vMerge/>
            <w:tcBorders>
              <w:top w:val="single" w:color="000000" w:sz="4"/>
              <w:left w:val="single" w:color="000000" w:sz="4"/>
              <w:bottom w:val="single" w:color="000000" w:sz="4"/>
              <w:right w:val="single" w:color="000000" w:sz="4"/>
            </w:tcBorders>
          </w:tcPr>
          <w:p/>
        </w:tc>
        <w:tc>
          <w:tcPr>
            <w:tcW w:type="dxa" w:w="660"/>
            <w:vMerge/>
            <w:tcBorders>
              <w:top w:val="single" w:color="000000" w:sz="4"/>
              <w:left w:val="none" w:color="000000" w:sz="4"/>
              <w:bottom w:val="single" w:color="000000" w:sz="4"/>
              <w:right w:val="single" w:color="000000" w:sz="4"/>
            </w:tcBorders>
          </w:tcP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PC-1</w:t>
            </w: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PC-2</w:t>
            </w:r>
          </w:p>
        </w:tc>
        <w:tc>
          <w:tcPr>
            <w:tcW w:type="dxa" w:w="58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PC-3</w:t>
            </w:r>
          </w:p>
        </w:tc>
        <w:tc>
          <w:tcPr>
            <w:tcW w:type="dxa" w:w="63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BC-1</w:t>
            </w: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PA-1</w:t>
            </w: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PA-2</w:t>
            </w:r>
          </w:p>
        </w:tc>
        <w:tc>
          <w:tcPr>
            <w:tcW w:type="dxa" w:w="580"/>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PA-3</w:t>
            </w:r>
          </w:p>
        </w:tc>
        <w:tc>
          <w:tcPr>
            <w:tcW w:type="dxa" w:w="638"/>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BA-1</w:t>
            </w:r>
          </w:p>
        </w:tc>
        <w:tc>
          <w:tcPr>
            <w:tcW w:type="dxa" w:w="698"/>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PN-2</w:t>
            </w:r>
          </w:p>
        </w:tc>
        <w:tc>
          <w:tcPr>
            <w:tcW w:type="dxa" w:w="700"/>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BN-1</w:t>
            </w:r>
          </w:p>
        </w:tc>
      </w:tr>
      <w:tr>
        <w:tc>
          <w:tcPr>
            <w:tcW w:type="dxa" w:w="1013"/>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破乳速度</w:t>
            </w:r>
          </w:p>
        </w:tc>
        <w:tc>
          <w:tcPr>
            <w:tcW w:type="dxa" w:w="6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bottom"/>
          </w:tcPr>
          <w:p>
            <w:pPr>
              <w:pStyle w:val="null3"/>
              <w:jc w:val="center"/>
            </w:pP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快裂</w:t>
            </w: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慢裂</w:t>
            </w:r>
          </w:p>
        </w:tc>
        <w:tc>
          <w:tcPr>
            <w:tcW w:type="dxa" w:w="58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快裂或中裂</w:t>
            </w:r>
          </w:p>
        </w:tc>
        <w:tc>
          <w:tcPr>
            <w:tcW w:type="dxa" w:w="63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慢裂或中裂</w:t>
            </w: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快裂</w:t>
            </w: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慢裂</w:t>
            </w:r>
          </w:p>
        </w:tc>
        <w:tc>
          <w:tcPr>
            <w:tcW w:type="dxa" w:w="58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快裂或中裂</w:t>
            </w:r>
          </w:p>
        </w:tc>
        <w:tc>
          <w:tcPr>
            <w:tcW w:type="dxa" w:w="63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慢裂或中裂</w:t>
            </w: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慢裂</w:t>
            </w:r>
          </w:p>
        </w:tc>
        <w:tc>
          <w:tcPr>
            <w:tcW w:type="dxa" w:w="70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慢裂</w:t>
            </w:r>
          </w:p>
        </w:tc>
      </w:tr>
      <w:tr>
        <w:tc>
          <w:tcPr>
            <w:tcW w:type="dxa" w:w="1013"/>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粒子电荷</w:t>
            </w:r>
          </w:p>
        </w:tc>
        <w:tc>
          <w:tcPr>
            <w:tcW w:type="dxa" w:w="6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bottom"/>
          </w:tcPr>
          <w:p>
            <w:pPr>
              <w:pStyle w:val="null3"/>
              <w:jc w:val="center"/>
            </w:pPr>
          </w:p>
        </w:tc>
        <w:tc>
          <w:tcPr>
            <w:tcW w:type="dxa" w:w="2614"/>
            <w:gridSpan w:val="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阳离子</w:t>
            </w:r>
            <w:r>
              <w:rPr>
                <w:sz w:val="21"/>
              </w:rPr>
              <w:t>(+)</w:t>
            </w:r>
          </w:p>
        </w:tc>
        <w:tc>
          <w:tcPr>
            <w:tcW w:type="dxa" w:w="2614"/>
            <w:gridSpan w:val="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阴离子</w:t>
            </w:r>
            <w:r>
              <w:rPr>
                <w:sz w:val="21"/>
              </w:rPr>
              <w:t>(-)</w:t>
            </w:r>
          </w:p>
        </w:tc>
        <w:tc>
          <w:tcPr>
            <w:tcW w:type="dxa" w:w="1398"/>
            <w:gridSpan w:val="2"/>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非离子</w:t>
            </w:r>
          </w:p>
        </w:tc>
      </w:tr>
      <w:tr>
        <w:tc>
          <w:tcPr>
            <w:tcW w:type="dxa" w:w="1013"/>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筛上剩余量</w:t>
            </w:r>
          </w:p>
        </w:tc>
        <w:tc>
          <w:tcPr>
            <w:tcW w:type="dxa" w:w="6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bottom"/>
          </w:tcPr>
          <w:p>
            <w:pPr>
              <w:pStyle w:val="null3"/>
              <w:jc w:val="center"/>
            </w:pPr>
            <w:r>
              <w:rPr>
                <w:sz w:val="21"/>
              </w:rPr>
              <w:t>%</w:t>
            </w:r>
          </w:p>
        </w:tc>
        <w:tc>
          <w:tcPr>
            <w:tcW w:type="dxa" w:w="2614"/>
            <w:gridSpan w:val="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0.1</w:t>
            </w:r>
          </w:p>
        </w:tc>
        <w:tc>
          <w:tcPr>
            <w:tcW w:type="dxa" w:w="2614"/>
            <w:gridSpan w:val="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0.1</w:t>
            </w:r>
          </w:p>
        </w:tc>
        <w:tc>
          <w:tcPr>
            <w:tcW w:type="dxa" w:w="1398"/>
            <w:gridSpan w:val="2"/>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0.1</w:t>
            </w:r>
          </w:p>
        </w:tc>
      </w:tr>
      <w:tr>
        <w:tc>
          <w:tcPr>
            <w:tcW w:type="dxa" w:w="617"/>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left="120" w:right="120"/>
              <w:jc w:val="center"/>
            </w:pPr>
            <w:r>
              <w:rPr>
                <w:sz w:val="21"/>
              </w:rPr>
              <w:t>粘度</w:t>
            </w:r>
          </w:p>
        </w:tc>
        <w:tc>
          <w:tcPr>
            <w:tcW w:type="dxa" w:w="39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恩格拉粘度</w:t>
            </w:r>
            <w:r>
              <w:rPr>
                <w:sz w:val="21"/>
              </w:rPr>
              <w:t>E25</w:t>
            </w:r>
          </w:p>
        </w:tc>
        <w:tc>
          <w:tcPr>
            <w:tcW w:type="dxa" w:w="6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bottom"/>
          </w:tcPr>
          <w:p>
            <w:pPr>
              <w:pStyle w:val="null3"/>
              <w:jc w:val="center"/>
            </w:pP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2〜10</w:t>
            </w: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1〜6</w:t>
            </w:r>
          </w:p>
        </w:tc>
        <w:tc>
          <w:tcPr>
            <w:tcW w:type="dxa" w:w="580"/>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1〜6</w:t>
            </w:r>
          </w:p>
        </w:tc>
        <w:tc>
          <w:tcPr>
            <w:tcW w:type="dxa" w:w="638"/>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2〜30</w:t>
            </w:r>
          </w:p>
        </w:tc>
        <w:tc>
          <w:tcPr>
            <w:tcW w:type="dxa" w:w="698"/>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2〜10</w:t>
            </w:r>
          </w:p>
        </w:tc>
        <w:tc>
          <w:tcPr>
            <w:tcW w:type="dxa" w:w="698"/>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1〜6</w:t>
            </w:r>
          </w:p>
        </w:tc>
        <w:tc>
          <w:tcPr>
            <w:tcW w:type="dxa" w:w="580"/>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1〜6</w:t>
            </w:r>
          </w:p>
        </w:tc>
        <w:tc>
          <w:tcPr>
            <w:tcW w:type="dxa" w:w="638"/>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2〜30</w:t>
            </w:r>
          </w:p>
        </w:tc>
        <w:tc>
          <w:tcPr>
            <w:tcW w:type="dxa" w:w="698"/>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1〜6</w:t>
            </w:r>
          </w:p>
        </w:tc>
        <w:tc>
          <w:tcPr>
            <w:tcW w:type="dxa" w:w="700"/>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2〜30</w:t>
            </w:r>
          </w:p>
        </w:tc>
      </w:tr>
      <w:tr>
        <w:tc>
          <w:tcPr>
            <w:tcW w:type="dxa" w:w="617"/>
            <w:vMerge/>
            <w:tcBorders>
              <w:top w:val="none" w:color="000000" w:sz="4"/>
              <w:left w:val="singl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沥青标准粘度</w:t>
            </w:r>
            <w:r>
              <w:rPr>
                <w:sz w:val="21"/>
              </w:rPr>
              <w:t>C25.3</w:t>
            </w:r>
          </w:p>
        </w:tc>
        <w:tc>
          <w:tcPr>
            <w:tcW w:type="dxa" w:w="6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bottom"/>
          </w:tcPr>
          <w:p>
            <w:pPr>
              <w:pStyle w:val="null3"/>
              <w:jc w:val="center"/>
            </w:pPr>
            <w:r>
              <w:rPr>
                <w:sz w:val="21"/>
              </w:rPr>
              <w:t>S</w:t>
            </w: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10〜25</w:t>
            </w: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8〜20</w:t>
            </w:r>
          </w:p>
        </w:tc>
        <w:tc>
          <w:tcPr>
            <w:tcW w:type="dxa" w:w="58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8〜20</w:t>
            </w:r>
          </w:p>
        </w:tc>
        <w:tc>
          <w:tcPr>
            <w:tcW w:type="dxa" w:w="63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10〜60</w:t>
            </w: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10〜25</w:t>
            </w: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8〜20</w:t>
            </w:r>
          </w:p>
        </w:tc>
        <w:tc>
          <w:tcPr>
            <w:tcW w:type="dxa" w:w="58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8〜20</w:t>
            </w:r>
          </w:p>
        </w:tc>
        <w:tc>
          <w:tcPr>
            <w:tcW w:type="dxa" w:w="63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10〜60</w:t>
            </w: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8〜20</w:t>
            </w:r>
          </w:p>
        </w:tc>
        <w:tc>
          <w:tcPr>
            <w:tcW w:type="dxa" w:w="70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10〜60</w:t>
            </w:r>
          </w:p>
        </w:tc>
      </w:tr>
      <w:tr>
        <w:tc>
          <w:tcPr>
            <w:tcW w:type="dxa" w:w="617"/>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蒸发残留物</w:t>
            </w:r>
          </w:p>
        </w:tc>
        <w:tc>
          <w:tcPr>
            <w:tcW w:type="dxa" w:w="39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含量不少于</w:t>
            </w:r>
          </w:p>
        </w:tc>
        <w:tc>
          <w:tcPr>
            <w:tcW w:type="dxa" w:w="6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bottom"/>
          </w:tcPr>
          <w:p>
            <w:pPr>
              <w:pStyle w:val="null3"/>
              <w:jc w:val="center"/>
            </w:pPr>
            <w:r>
              <w:rPr>
                <w:sz w:val="21"/>
              </w:rPr>
              <w:t>%</w:t>
            </w: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50</w:t>
            </w: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50</w:t>
            </w:r>
          </w:p>
        </w:tc>
        <w:tc>
          <w:tcPr>
            <w:tcW w:type="dxa" w:w="58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50</w:t>
            </w:r>
          </w:p>
        </w:tc>
        <w:tc>
          <w:tcPr>
            <w:tcW w:type="dxa" w:w="63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55</w:t>
            </w: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50</w:t>
            </w: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50</w:t>
            </w:r>
          </w:p>
        </w:tc>
        <w:tc>
          <w:tcPr>
            <w:tcW w:type="dxa" w:w="58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50</w:t>
            </w:r>
          </w:p>
        </w:tc>
        <w:tc>
          <w:tcPr>
            <w:tcW w:type="dxa" w:w="63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55</w:t>
            </w: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50</w:t>
            </w:r>
          </w:p>
        </w:tc>
        <w:tc>
          <w:tcPr>
            <w:tcW w:type="dxa" w:w="70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55</w:t>
            </w:r>
          </w:p>
        </w:tc>
      </w:tr>
      <w:tr>
        <w:tc>
          <w:tcPr>
            <w:tcW w:type="dxa" w:w="617"/>
            <w:vMerge/>
            <w:tcBorders>
              <w:top w:val="none" w:color="000000" w:sz="4"/>
              <w:left w:val="singl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溶解度不少于</w:t>
            </w:r>
          </w:p>
        </w:tc>
        <w:tc>
          <w:tcPr>
            <w:tcW w:type="dxa" w:w="6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bottom"/>
          </w:tcPr>
          <w:p>
            <w:pPr>
              <w:pStyle w:val="null3"/>
              <w:jc w:val="center"/>
            </w:pPr>
            <w:r>
              <w:rPr>
                <w:sz w:val="21"/>
              </w:rPr>
              <w:t>%</w:t>
            </w:r>
          </w:p>
        </w:tc>
        <w:tc>
          <w:tcPr>
            <w:tcW w:type="dxa" w:w="2614"/>
            <w:gridSpan w:val="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97.5</w:t>
            </w:r>
          </w:p>
        </w:tc>
        <w:tc>
          <w:tcPr>
            <w:tcW w:type="dxa" w:w="2614"/>
            <w:gridSpan w:val="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97.5</w:t>
            </w:r>
          </w:p>
        </w:tc>
        <w:tc>
          <w:tcPr>
            <w:tcW w:type="dxa" w:w="1398"/>
            <w:gridSpan w:val="2"/>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97.5</w:t>
            </w:r>
          </w:p>
        </w:tc>
      </w:tr>
      <w:tr>
        <w:tc>
          <w:tcPr>
            <w:tcW w:type="dxa" w:w="617"/>
            <w:vMerge/>
            <w:tcBorders>
              <w:top w:val="none" w:color="000000" w:sz="4"/>
              <w:left w:val="singl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针入度</w:t>
            </w:r>
            <w:r>
              <w:rPr>
                <w:sz w:val="21"/>
              </w:rPr>
              <w:t>(25℃)</w:t>
            </w:r>
          </w:p>
        </w:tc>
        <w:tc>
          <w:tcPr>
            <w:tcW w:type="dxa" w:w="6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0.1mm</w:t>
            </w: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50〜200</w:t>
            </w: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50〜300</w:t>
            </w:r>
          </w:p>
        </w:tc>
        <w:tc>
          <w:tcPr>
            <w:tcW w:type="dxa" w:w="1218"/>
            <w:gridSpan w:val="2"/>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45~150</w:t>
            </w:r>
          </w:p>
        </w:tc>
        <w:tc>
          <w:tcPr>
            <w:tcW w:type="dxa" w:w="698"/>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50〜200</w:t>
            </w:r>
          </w:p>
        </w:tc>
        <w:tc>
          <w:tcPr>
            <w:tcW w:type="dxa" w:w="698"/>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50〜300</w:t>
            </w:r>
          </w:p>
        </w:tc>
        <w:tc>
          <w:tcPr>
            <w:tcW w:type="dxa" w:w="1218"/>
            <w:gridSpan w:val="2"/>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45~150</w:t>
            </w:r>
          </w:p>
        </w:tc>
        <w:tc>
          <w:tcPr>
            <w:tcW w:type="dxa" w:w="698"/>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50〜300</w:t>
            </w:r>
          </w:p>
        </w:tc>
        <w:tc>
          <w:tcPr>
            <w:tcW w:type="dxa" w:w="700"/>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60〜300</w:t>
            </w:r>
          </w:p>
        </w:tc>
      </w:tr>
      <w:tr>
        <w:tc>
          <w:tcPr>
            <w:tcW w:type="dxa" w:w="617"/>
            <w:vMerge/>
            <w:tcBorders>
              <w:top w:val="none" w:color="000000" w:sz="4"/>
              <w:left w:val="singl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延度</w:t>
            </w:r>
            <w:r>
              <w:rPr>
                <w:sz w:val="21"/>
              </w:rPr>
              <w:t>(15℃)不小于</w:t>
            </w:r>
          </w:p>
        </w:tc>
        <w:tc>
          <w:tcPr>
            <w:tcW w:type="dxa" w:w="6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cm</w:t>
            </w:r>
          </w:p>
        </w:tc>
        <w:tc>
          <w:tcPr>
            <w:tcW w:type="dxa" w:w="2614"/>
            <w:gridSpan w:val="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40</w:t>
            </w:r>
          </w:p>
        </w:tc>
        <w:tc>
          <w:tcPr>
            <w:tcW w:type="dxa" w:w="2614"/>
            <w:gridSpan w:val="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40</w:t>
            </w:r>
          </w:p>
        </w:tc>
        <w:tc>
          <w:tcPr>
            <w:tcW w:type="dxa" w:w="1398"/>
            <w:gridSpan w:val="2"/>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40</w:t>
            </w:r>
          </w:p>
        </w:tc>
      </w:tr>
      <w:tr>
        <w:tc>
          <w:tcPr>
            <w:tcW w:type="dxa" w:w="1013"/>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与粗集料的粘附性</w:t>
            </w:r>
          </w:p>
          <w:p>
            <w:pPr>
              <w:pStyle w:val="null3"/>
              <w:jc w:val="center"/>
            </w:pPr>
            <w:r>
              <w:rPr>
                <w:sz w:val="21"/>
              </w:rPr>
              <w:t>裹覆面积不小于</w:t>
            </w:r>
          </w:p>
        </w:tc>
        <w:tc>
          <w:tcPr>
            <w:tcW w:type="dxa" w:w="6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c>
          <w:tcPr>
            <w:tcW w:type="dxa" w:w="1976"/>
            <w:gridSpan w:val="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≥2/3</w:t>
            </w:r>
          </w:p>
        </w:tc>
        <w:tc>
          <w:tcPr>
            <w:tcW w:type="dxa" w:w="63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w:t>
            </w:r>
          </w:p>
        </w:tc>
        <w:tc>
          <w:tcPr>
            <w:tcW w:type="dxa" w:w="1976"/>
            <w:gridSpan w:val="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≥2/3</w:t>
            </w:r>
          </w:p>
        </w:tc>
        <w:tc>
          <w:tcPr>
            <w:tcW w:type="dxa" w:w="63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w:t>
            </w:r>
          </w:p>
        </w:tc>
        <w:tc>
          <w:tcPr>
            <w:tcW w:type="dxa" w:w="698"/>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≥2/3</w:t>
            </w:r>
          </w:p>
        </w:tc>
        <w:tc>
          <w:tcPr>
            <w:tcW w:type="dxa" w:w="700"/>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w:t>
            </w:r>
          </w:p>
        </w:tc>
      </w:tr>
      <w:tr>
        <w:tc>
          <w:tcPr>
            <w:tcW w:type="dxa" w:w="1013"/>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与粗、细粒式集料</w:t>
            </w:r>
          </w:p>
          <w:p>
            <w:pPr>
              <w:pStyle w:val="null3"/>
              <w:jc w:val="center"/>
            </w:pPr>
            <w:r>
              <w:rPr>
                <w:sz w:val="21"/>
              </w:rPr>
              <w:t>拌和试验</w:t>
            </w:r>
          </w:p>
        </w:tc>
        <w:tc>
          <w:tcPr>
            <w:tcW w:type="dxa" w:w="6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c>
          <w:tcPr>
            <w:tcW w:type="dxa" w:w="1976"/>
            <w:gridSpan w:val="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w:t>
            </w:r>
          </w:p>
        </w:tc>
        <w:tc>
          <w:tcPr>
            <w:tcW w:type="dxa" w:w="63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均匀</w:t>
            </w:r>
          </w:p>
        </w:tc>
        <w:tc>
          <w:tcPr>
            <w:tcW w:type="dxa" w:w="1976"/>
            <w:gridSpan w:val="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w:t>
            </w:r>
          </w:p>
        </w:tc>
        <w:tc>
          <w:tcPr>
            <w:tcW w:type="dxa" w:w="63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均匀</w:t>
            </w:r>
          </w:p>
        </w:tc>
        <w:tc>
          <w:tcPr>
            <w:tcW w:type="dxa" w:w="1398"/>
            <w:gridSpan w:val="2"/>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w:t>
            </w:r>
          </w:p>
        </w:tc>
      </w:tr>
      <w:tr>
        <w:tc>
          <w:tcPr>
            <w:tcW w:type="dxa" w:w="1013"/>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水泥拌和试验的</w:t>
            </w:r>
          </w:p>
          <w:p>
            <w:pPr>
              <w:pStyle w:val="null3"/>
              <w:jc w:val="center"/>
            </w:pPr>
            <w:r>
              <w:rPr>
                <w:sz w:val="21"/>
              </w:rPr>
              <w:t>筛上剩余不大于</w:t>
            </w:r>
          </w:p>
        </w:tc>
        <w:tc>
          <w:tcPr>
            <w:tcW w:type="dxa" w:w="6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w:t>
            </w:r>
          </w:p>
        </w:tc>
        <w:tc>
          <w:tcPr>
            <w:tcW w:type="dxa" w:w="2614"/>
            <w:gridSpan w:val="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w:t>
            </w:r>
          </w:p>
        </w:tc>
        <w:tc>
          <w:tcPr>
            <w:tcW w:type="dxa" w:w="2614"/>
            <w:gridSpan w:val="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w:t>
            </w:r>
          </w:p>
        </w:tc>
        <w:tc>
          <w:tcPr>
            <w:tcW w:type="dxa" w:w="698"/>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w:t>
            </w:r>
          </w:p>
        </w:tc>
        <w:tc>
          <w:tcPr>
            <w:tcW w:type="dxa" w:w="70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3</w:t>
            </w:r>
          </w:p>
        </w:tc>
      </w:tr>
      <w:tr>
        <w:tc>
          <w:tcPr>
            <w:tcW w:type="dxa" w:w="617"/>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储存稳定</w:t>
            </w:r>
          </w:p>
        </w:tc>
        <w:tc>
          <w:tcPr>
            <w:tcW w:type="dxa" w:w="39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ld不大于</w:t>
            </w:r>
          </w:p>
        </w:tc>
        <w:tc>
          <w:tcPr>
            <w:tcW w:type="dxa" w:w="6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w:t>
            </w:r>
          </w:p>
        </w:tc>
        <w:tc>
          <w:tcPr>
            <w:tcW w:type="dxa" w:w="2614"/>
            <w:gridSpan w:val="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1</w:t>
            </w:r>
          </w:p>
        </w:tc>
        <w:tc>
          <w:tcPr>
            <w:tcW w:type="dxa" w:w="2614"/>
            <w:gridSpan w:val="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1</w:t>
            </w:r>
          </w:p>
        </w:tc>
        <w:tc>
          <w:tcPr>
            <w:tcW w:type="dxa" w:w="1398"/>
            <w:gridSpan w:val="2"/>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1</w:t>
            </w:r>
          </w:p>
        </w:tc>
      </w:tr>
      <w:tr>
        <w:tc>
          <w:tcPr>
            <w:tcW w:type="dxa" w:w="617"/>
            <w:vMerge/>
            <w:tcBorders>
              <w:top w:val="none" w:color="000000" w:sz="4"/>
              <w:left w:val="singl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5d不大于</w:t>
            </w:r>
          </w:p>
        </w:tc>
        <w:tc>
          <w:tcPr>
            <w:tcW w:type="dxa" w:w="660"/>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w:t>
            </w:r>
          </w:p>
        </w:tc>
        <w:tc>
          <w:tcPr>
            <w:tcW w:type="dxa" w:w="2614"/>
            <w:gridSpan w:val="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5</w:t>
            </w:r>
          </w:p>
        </w:tc>
        <w:tc>
          <w:tcPr>
            <w:tcW w:type="dxa" w:w="2614"/>
            <w:gridSpan w:val="4"/>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5</w:t>
            </w:r>
          </w:p>
        </w:tc>
        <w:tc>
          <w:tcPr>
            <w:tcW w:type="dxa" w:w="1398"/>
            <w:gridSpan w:val="2"/>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5</w:t>
            </w:r>
          </w:p>
        </w:tc>
      </w:tr>
    </w:tbl>
    <w:p>
      <w:pPr>
        <w:pStyle w:val="null3"/>
        <w:ind w:firstLine="422"/>
      </w:pPr>
      <w:r>
        <w:rPr>
          <w:sz w:val="21"/>
          <w:b/>
        </w:rPr>
        <w:t>附表</w:t>
      </w:r>
      <w:r>
        <w:rPr>
          <w:sz w:val="21"/>
          <w:b/>
        </w:rPr>
        <w:t>3 10#沥青(灌缝用)</w:t>
      </w:r>
    </w:p>
    <w:p>
      <w:pPr>
        <w:pStyle w:val="null3"/>
        <w:ind w:firstLine="420"/>
      </w:pPr>
      <w:r>
        <w:rPr>
          <w:sz w:val="21"/>
        </w:rPr>
        <w:t xml:space="preserve">    </w:t>
      </w:r>
      <w:r>
        <w:rPr>
          <w:sz w:val="21"/>
        </w:rPr>
        <w:t>主要技术要求根据《建筑石油沥青》（</w:t>
      </w:r>
      <w:r>
        <w:rPr>
          <w:sz w:val="21"/>
        </w:rPr>
        <w:t>GBT+494-2025）制定。第一批次需委托有资质的检测单位，根据国家市场监督管理总局国家标准化管理委员会发布的相关规范进行检测，满足以下技术要求。</w:t>
      </w:r>
    </w:p>
    <w:tbl>
      <w:tblPr>
        <w:tblW w:w="0" w:type="auto"/>
        <w:tblBorders>
          <w:top w:val="none" w:color="000000" w:sz="4"/>
          <w:left w:val="none" w:color="000000" w:sz="4"/>
          <w:bottom w:val="none" w:color="000000" w:sz="4"/>
          <w:right w:val="none" w:color="000000" w:sz="4"/>
          <w:insideH w:val="none"/>
          <w:insideV w:val="none"/>
        </w:tblBorders>
      </w:tblPr>
      <w:tblGrid>
        <w:gridCol w:w="1625"/>
        <w:gridCol w:w="4153"/>
        <w:gridCol w:w="2528"/>
      </w:tblGrid>
      <w:tr>
        <w:tc>
          <w:tcPr>
            <w:tcW w:type="dxa" w:w="577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项目</w:t>
            </w:r>
          </w:p>
        </w:tc>
        <w:tc>
          <w:tcPr>
            <w:tcW w:type="dxa" w:w="2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技术要求</w:t>
            </w:r>
          </w:p>
        </w:tc>
      </w:tr>
      <w:tr>
        <w:tc>
          <w:tcPr>
            <w:tcW w:type="dxa" w:w="57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针入度</w:t>
            </w:r>
            <w:r>
              <w:rPr>
                <w:sz w:val="21"/>
              </w:rPr>
              <w:t>(25 ℃,100g,5s)/(1/10mm)</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10~25</w:t>
            </w:r>
          </w:p>
        </w:tc>
      </w:tr>
      <w:tr>
        <w:tc>
          <w:tcPr>
            <w:tcW w:type="dxa" w:w="57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针入度</w:t>
            </w:r>
            <w:r>
              <w:rPr>
                <w:sz w:val="21"/>
              </w:rPr>
              <w:t>(46 ℃,100g,5s)/(1/10mm)</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报告</w:t>
            </w:r>
            <w:r>
              <w:rPr>
                <w:sz w:val="21"/>
                <w:vertAlign w:val="superscript"/>
              </w:rPr>
              <w:t>a</w:t>
            </w:r>
          </w:p>
        </w:tc>
      </w:tr>
      <w:tr>
        <w:tc>
          <w:tcPr>
            <w:tcW w:type="dxa" w:w="57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针入度</w:t>
            </w:r>
            <w:r>
              <w:rPr>
                <w:sz w:val="21"/>
              </w:rPr>
              <w:t>(0 ℃,200g,5s)/(1/10mm)不小于</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3</w:t>
            </w:r>
          </w:p>
        </w:tc>
      </w:tr>
      <w:tr>
        <w:tc>
          <w:tcPr>
            <w:tcW w:type="dxa" w:w="57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延度</w:t>
            </w:r>
            <w:r>
              <w:rPr>
                <w:sz w:val="21"/>
              </w:rPr>
              <w:t>(25 ℃,5cm/min)/cm    不小于</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1.5</w:t>
            </w:r>
          </w:p>
        </w:tc>
      </w:tr>
      <w:tr>
        <w:tc>
          <w:tcPr>
            <w:tcW w:type="dxa" w:w="57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软化点</w:t>
            </w:r>
            <w:r>
              <w:rPr>
                <w:sz w:val="21"/>
              </w:rPr>
              <w:t>(环球法)/℃ 不低于</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95</w:t>
            </w:r>
          </w:p>
        </w:tc>
      </w:tr>
      <w:tr>
        <w:tc>
          <w:tcPr>
            <w:tcW w:type="dxa" w:w="57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溶解度</w:t>
            </w:r>
            <w:r>
              <w:rPr>
                <w:sz w:val="21"/>
                <w:vertAlign w:val="superscript"/>
              </w:rPr>
              <w:t>b</w:t>
            </w:r>
            <w:r>
              <w:rPr>
                <w:sz w:val="21"/>
              </w:rPr>
              <w:t xml:space="preserve"> </w:t>
            </w:r>
            <w:r>
              <w:rPr>
                <w:sz w:val="21"/>
              </w:rPr>
              <w:t>/%                 不小于</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99</w:t>
            </w:r>
          </w:p>
        </w:tc>
      </w:tr>
      <w:tr>
        <w:tc>
          <w:tcPr>
            <w:tcW w:type="dxa" w:w="57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蒸发后质量变化的绝对值</w:t>
            </w:r>
            <w:r>
              <w:rPr>
                <w:sz w:val="21"/>
              </w:rPr>
              <w:t>(163 ℃,5h)/%   不大于</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1.0</w:t>
            </w:r>
          </w:p>
        </w:tc>
      </w:tr>
      <w:tr>
        <w:tc>
          <w:tcPr>
            <w:tcW w:type="dxa" w:w="57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蒸发后</w:t>
            </w:r>
            <w:r>
              <w:rPr>
                <w:sz w:val="21"/>
              </w:rPr>
              <w:t>25 ℃针入度比/%       不小于</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65</w:t>
            </w:r>
          </w:p>
        </w:tc>
      </w:tr>
      <w:tr>
        <w:tc>
          <w:tcPr>
            <w:tcW w:type="dxa" w:w="57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闪点</w:t>
            </w:r>
            <w:r>
              <w:rPr>
                <w:sz w:val="21"/>
              </w:rPr>
              <w:t>(开口杯法)/℃           不低于</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260</w:t>
            </w:r>
          </w:p>
        </w:tc>
      </w:tr>
      <w:tr>
        <w:tc>
          <w:tcPr>
            <w:tcW w:type="dxa" w:w="16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等黏温度</w:t>
            </w:r>
            <w:r>
              <w:rPr>
                <w:sz w:val="21"/>
              </w:rPr>
              <w:t>/℃</w:t>
            </w:r>
          </w:p>
          <w:p>
            <w:pPr>
              <w:pStyle w:val="null3"/>
              <w:ind w:firstLine="420"/>
              <w:jc w:val="left"/>
            </w:pP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125mPa·s   不大于</w:t>
            </w:r>
          </w:p>
        </w:tc>
        <w:tc>
          <w:tcPr>
            <w:tcW w:type="dxa" w:w="2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235</w:t>
            </w:r>
          </w:p>
        </w:tc>
      </w:tr>
      <w:tr>
        <w:tc>
          <w:tcPr>
            <w:tcW w:type="dxa" w:w="1625"/>
            <w:vMerge/>
            <w:tcBorders>
              <w:top w:val="none" w:color="000000" w:sz="4"/>
              <w:left w:val="single" w:color="000000" w:sz="4"/>
              <w:bottom w:val="single" w:color="000000" w:sz="4"/>
              <w:right w:val="single" w:color="000000" w:sz="4"/>
            </w:tcBorders>
          </w:tcP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75mPa·s    不大于</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250</w:t>
            </w:r>
          </w:p>
        </w:tc>
      </w:tr>
    </w:tbl>
    <w:p>
      <w:pPr>
        <w:pStyle w:val="null3"/>
        <w:ind w:firstLine="422"/>
      </w:pPr>
      <w:r>
        <w:rPr>
          <w:sz w:val="21"/>
          <w:b/>
        </w:rPr>
        <w:t>附表</w:t>
      </w:r>
      <w:r>
        <w:rPr>
          <w:sz w:val="21"/>
          <w:b/>
        </w:rPr>
        <w:t>4 冷料</w:t>
      </w:r>
    </w:p>
    <w:p>
      <w:pPr>
        <w:pStyle w:val="null3"/>
        <w:ind w:firstLine="420"/>
        <w:jc w:val="left"/>
      </w:pPr>
      <w:r>
        <w:rPr>
          <w:sz w:val="21"/>
        </w:rPr>
        <w:t>主要技术要求根据《公路沥青路面施工技术规范》（</w:t>
      </w:r>
      <w:r>
        <w:rPr>
          <w:sz w:val="21"/>
        </w:rPr>
        <w:t>JTGF40-2004）制定。第一批次需委托有资质的检测单位，根据交通部发布的相关规范进行检测，满足以下技术要求。</w:t>
      </w:r>
    </w:p>
    <w:tbl>
      <w:tblPr>
        <w:tblW w:w="0" w:type="auto"/>
        <w:tblBorders>
          <w:top w:val="none" w:color="000000" w:sz="4"/>
          <w:left w:val="none" w:color="000000" w:sz="4"/>
          <w:bottom w:val="none" w:color="000000" w:sz="4"/>
          <w:right w:val="none" w:color="000000" w:sz="4"/>
          <w:insideH w:val="none"/>
          <w:insideV w:val="none"/>
        </w:tblBorders>
      </w:tblPr>
      <w:tblGrid>
        <w:gridCol w:w="1685"/>
        <w:gridCol w:w="3024"/>
        <w:gridCol w:w="3596"/>
      </w:tblGrid>
      <w:tr>
        <w:tc>
          <w:tcPr>
            <w:tcW w:type="dxa" w:w="1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序号</w:t>
            </w:r>
          </w:p>
        </w:tc>
        <w:tc>
          <w:tcPr>
            <w:tcW w:type="dxa" w:w="30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指标</w:t>
            </w:r>
          </w:p>
        </w:tc>
        <w:tc>
          <w:tcPr>
            <w:tcW w:type="dxa" w:w="3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技术要求</w:t>
            </w:r>
          </w:p>
        </w:tc>
      </w:tr>
      <w:tr>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沥青含量</w:t>
            </w:r>
            <w:r>
              <w:rPr>
                <w:sz w:val="21"/>
              </w:rPr>
              <w:t>(%)</w:t>
            </w:r>
          </w:p>
        </w:tc>
        <w:tc>
          <w:tcPr>
            <w:tcW w:type="dxa" w:w="3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4~6</w:t>
            </w:r>
          </w:p>
        </w:tc>
      </w:tr>
      <w:tr>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粘聚性</w:t>
            </w:r>
            <w:r>
              <w:rPr>
                <w:sz w:val="21"/>
              </w:rPr>
              <w:t>(%)</w:t>
            </w:r>
          </w:p>
        </w:tc>
        <w:tc>
          <w:tcPr>
            <w:tcW w:type="dxa" w:w="3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破损率</w:t>
            </w:r>
            <w:r>
              <w:rPr>
                <w:sz w:val="21"/>
              </w:rPr>
              <w:t>≤40%</w:t>
            </w:r>
          </w:p>
        </w:tc>
      </w:tr>
      <w:tr>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灌入强度</w:t>
            </w:r>
            <w:r>
              <w:rPr>
                <w:sz w:val="21"/>
              </w:rPr>
              <w:t>(kg/cm²)</w:t>
            </w:r>
          </w:p>
        </w:tc>
        <w:tc>
          <w:tcPr>
            <w:tcW w:type="dxa" w:w="3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0.5-4</w:t>
            </w:r>
          </w:p>
        </w:tc>
      </w:tr>
      <w:tr>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马歇尔稳定度</w:t>
            </w:r>
            <w:r>
              <w:rPr>
                <w:sz w:val="21"/>
              </w:rPr>
              <w:t>(KN)</w:t>
            </w:r>
          </w:p>
        </w:tc>
        <w:tc>
          <w:tcPr>
            <w:tcW w:type="dxa" w:w="3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≥3</w:t>
            </w:r>
          </w:p>
        </w:tc>
      </w:tr>
      <w:tr>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马歇尔残留稳定度</w:t>
            </w:r>
            <w:r>
              <w:rPr>
                <w:sz w:val="21"/>
              </w:rPr>
              <w:t>(%)</w:t>
            </w:r>
          </w:p>
        </w:tc>
        <w:tc>
          <w:tcPr>
            <w:tcW w:type="dxa" w:w="3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≥85</w:t>
            </w:r>
          </w:p>
        </w:tc>
      </w:tr>
      <w:tr>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低温操作和易性</w:t>
            </w:r>
          </w:p>
        </w:tc>
        <w:tc>
          <w:tcPr>
            <w:tcW w:type="dxa" w:w="3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24小时-10℃恒温无凝聚结块现象，方便拌和。</w:t>
            </w:r>
          </w:p>
        </w:tc>
      </w:tr>
    </w:tbl>
    <w:p>
      <w:pPr>
        <w:pStyle w:val="null3"/>
        <w:ind w:firstLine="422"/>
      </w:pPr>
      <w:r>
        <w:rPr>
          <w:sz w:val="21"/>
          <w:b/>
        </w:rPr>
        <w:t>附表</w:t>
      </w:r>
      <w:r>
        <w:rPr>
          <w:sz w:val="21"/>
          <w:b/>
        </w:rPr>
        <w:t>5 灌缝胶</w:t>
      </w:r>
    </w:p>
    <w:p>
      <w:pPr>
        <w:pStyle w:val="null3"/>
        <w:ind w:firstLine="420"/>
        <w:jc w:val="left"/>
      </w:pPr>
      <w:r>
        <w:rPr>
          <w:sz w:val="21"/>
        </w:rPr>
        <w:t>主要技术要求根据《路面加热型灌缝胶》（</w:t>
      </w:r>
      <w:r>
        <w:rPr>
          <w:sz w:val="21"/>
        </w:rPr>
        <w:t>UTT740-2024）制定。第一批次需委托有资质的检测单位，根据交通部发布的相关规范进行检测，满足以下技术要求。</w:t>
      </w:r>
    </w:p>
    <w:tbl>
      <w:tblPr>
        <w:tblW w:w="0" w:type="auto"/>
        <w:tblInd w:type="dxa" w:w="180"/>
        <w:tblBorders>
          <w:top w:val="none" w:color="000000" w:sz="4"/>
          <w:left w:val="none" w:color="000000" w:sz="4"/>
          <w:bottom w:val="none" w:color="000000" w:sz="4"/>
          <w:right w:val="none" w:color="000000" w:sz="4"/>
          <w:insideH w:val="none"/>
          <w:insideV w:val="none"/>
        </w:tblBorders>
      </w:tblPr>
      <w:tblGrid>
        <w:gridCol w:w="1262"/>
        <w:gridCol w:w="3199"/>
        <w:gridCol w:w="3845"/>
      </w:tblGrid>
      <w:tr>
        <w:tc>
          <w:tcPr>
            <w:tcW w:type="dxa" w:w="1262"/>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序号</w:t>
            </w:r>
          </w:p>
        </w:tc>
        <w:tc>
          <w:tcPr>
            <w:tcW w:type="dxa" w:w="3199"/>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指标</w:t>
            </w:r>
          </w:p>
        </w:tc>
        <w:tc>
          <w:tcPr>
            <w:tcW w:type="dxa" w:w="3845"/>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标准要求</w:t>
            </w:r>
          </w:p>
        </w:tc>
      </w:tr>
      <w:tr>
        <w:tc>
          <w:tcPr>
            <w:tcW w:type="dxa" w:w="126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1</w:t>
            </w:r>
          </w:p>
        </w:tc>
        <w:tc>
          <w:tcPr>
            <w:tcW w:type="dxa" w:w="319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针入度</w:t>
            </w:r>
            <w:r>
              <w:rPr>
                <w:sz w:val="21"/>
              </w:rPr>
              <w:t>(0. 1mm)</w:t>
            </w:r>
          </w:p>
        </w:tc>
        <w:tc>
          <w:tcPr>
            <w:tcW w:type="dxa" w:w="3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50~90</w:t>
            </w:r>
          </w:p>
        </w:tc>
      </w:tr>
      <w:tr>
        <w:tc>
          <w:tcPr>
            <w:tcW w:type="dxa" w:w="126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2</w:t>
            </w:r>
          </w:p>
        </w:tc>
        <w:tc>
          <w:tcPr>
            <w:tcW w:type="dxa" w:w="319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软化点（</w:t>
            </w:r>
            <w:r>
              <w:rPr>
                <w:sz w:val="21"/>
              </w:rPr>
              <w:t>°C）</w:t>
            </w:r>
          </w:p>
        </w:tc>
        <w:tc>
          <w:tcPr>
            <w:tcW w:type="dxa" w:w="3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≥80</w:t>
            </w:r>
          </w:p>
        </w:tc>
      </w:tr>
      <w:tr>
        <w:tc>
          <w:tcPr>
            <w:tcW w:type="dxa" w:w="126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3</w:t>
            </w:r>
          </w:p>
        </w:tc>
        <w:tc>
          <w:tcPr>
            <w:tcW w:type="dxa" w:w="319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流动值（</w:t>
            </w:r>
            <w:r>
              <w:rPr>
                <w:sz w:val="21"/>
              </w:rPr>
              <w:t>mm）</w:t>
            </w:r>
          </w:p>
        </w:tc>
        <w:tc>
          <w:tcPr>
            <w:tcW w:type="dxa" w:w="3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≤5</w:t>
            </w:r>
          </w:p>
        </w:tc>
      </w:tr>
      <w:tr>
        <w:tc>
          <w:tcPr>
            <w:tcW w:type="dxa" w:w="126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4</w:t>
            </w:r>
          </w:p>
        </w:tc>
        <w:tc>
          <w:tcPr>
            <w:tcW w:type="dxa" w:w="319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弹性恢复率（％）</w:t>
            </w:r>
          </w:p>
        </w:tc>
        <w:tc>
          <w:tcPr>
            <w:tcW w:type="dxa" w:w="3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30~70</w:t>
            </w:r>
          </w:p>
        </w:tc>
      </w:tr>
      <w:tr>
        <w:tc>
          <w:tcPr>
            <w:tcW w:type="dxa" w:w="126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5</w:t>
            </w:r>
          </w:p>
        </w:tc>
        <w:tc>
          <w:tcPr>
            <w:tcW w:type="dxa" w:w="319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低温拉伸（</w:t>
            </w:r>
            <w:r>
              <w:rPr>
                <w:sz w:val="21"/>
              </w:rPr>
              <w:t>mm）</w:t>
            </w:r>
          </w:p>
        </w:tc>
        <w:tc>
          <w:tcPr>
            <w:tcW w:type="dxa" w:w="3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-10°C, 50%, 3次循环，通过</w:t>
            </w:r>
          </w:p>
        </w:tc>
      </w:tr>
      <w:tr>
        <w:tc>
          <w:tcPr>
            <w:tcW w:type="dxa" w:w="126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6</w:t>
            </w:r>
          </w:p>
        </w:tc>
        <w:tc>
          <w:tcPr>
            <w:tcW w:type="dxa" w:w="3199"/>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灌注温度（</w:t>
            </w:r>
            <w:r>
              <w:rPr>
                <w:sz w:val="21"/>
              </w:rPr>
              <w:t>°C）</w:t>
            </w:r>
          </w:p>
        </w:tc>
        <w:tc>
          <w:tcPr>
            <w:tcW w:type="dxa" w:w="3845"/>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center"/>
            </w:pPr>
            <w:r>
              <w:rPr>
                <w:sz w:val="21"/>
              </w:rPr>
              <w:t>150~180</w:t>
            </w:r>
          </w:p>
        </w:tc>
      </w:tr>
    </w:tbl>
    <w:p>
      <w:pPr>
        <w:pStyle w:val="null3"/>
        <w:ind w:firstLine="422"/>
        <w:jc w:val="both"/>
      </w:pPr>
      <w:r>
        <w:rPr>
          <w:sz w:val="21"/>
          <w:b/>
        </w:rPr>
        <w:t>（四）供货要求</w:t>
      </w:r>
    </w:p>
    <w:p>
      <w:pPr>
        <w:pStyle w:val="null3"/>
        <w:ind w:firstLine="420"/>
        <w:jc w:val="both"/>
      </w:pPr>
      <w:r>
        <w:rPr>
          <w:sz w:val="21"/>
        </w:rPr>
        <w:t>1.送货要求：按用户的实际需求分批送货，中标人在收到采购人的订货通知后2小时内响应并48小时内送到采购人指定地点完成货物交货及验收（如遇天气恶劣情况可向采购人申请延迟）。</w:t>
      </w:r>
    </w:p>
    <w:p>
      <w:pPr>
        <w:pStyle w:val="null3"/>
        <w:ind w:firstLine="420"/>
        <w:jc w:val="both"/>
      </w:pPr>
      <w:r>
        <w:rPr>
          <w:sz w:val="21"/>
        </w:rPr>
        <w:t>2.合同签订后7个工作日内，中标人须提供所有货物近三个月的第三方检测报告。</w:t>
      </w:r>
    </w:p>
    <w:p>
      <w:pPr>
        <w:pStyle w:val="null3"/>
        <w:ind w:firstLine="420"/>
        <w:jc w:val="both"/>
      </w:pPr>
      <w:r>
        <w:rPr>
          <w:sz w:val="21"/>
        </w:rPr>
        <w:t>3.本项目材料采购过程中，中标人需严格按照以下要求执行运输、称重及卸货流程，相关费用由中标人自行承担，具体规定如下：</w:t>
      </w:r>
    </w:p>
    <w:p>
      <w:pPr>
        <w:pStyle w:val="null3"/>
        <w:ind w:firstLine="420"/>
        <w:jc w:val="both"/>
      </w:pPr>
      <w:r>
        <w:rPr>
          <w:sz w:val="21"/>
        </w:rPr>
        <w:t>（</w:t>
      </w:r>
      <w:r>
        <w:rPr>
          <w:sz w:val="21"/>
        </w:rPr>
        <w:t>1）中标人需先将采购材料运输至指定过磅站进行首次称重，指定过磅站为：中山市公路事务中心省级公路交通应急装备物资储备保障中心（地址：中山市南区双龙路马岭沥青拌和中心）；若上述指定过磅站出现故障、检修等特殊情况导致无法正常称重的，由采购人另行指定其他过磅站，中标人需按采购人指定地点执行称重。</w:t>
      </w:r>
    </w:p>
    <w:p>
      <w:pPr>
        <w:pStyle w:val="null3"/>
        <w:ind w:firstLine="420"/>
        <w:jc w:val="both"/>
      </w:pPr>
      <w:r>
        <w:rPr>
          <w:sz w:val="21"/>
        </w:rPr>
        <w:t>（</w:t>
      </w:r>
      <w:r>
        <w:rPr>
          <w:sz w:val="21"/>
        </w:rPr>
        <w:t>2）首次称重完成后，中标人需将材料运输至采购人指定的供货地点完成卸货作业，卸货完毕后，需返回原指定过磅站（或采购人另行指定的过磅站）进行再次称重，确保材料数量准确。</w:t>
      </w:r>
    </w:p>
    <w:p>
      <w:pPr>
        <w:pStyle w:val="null3"/>
        <w:ind w:firstLine="420"/>
        <w:jc w:val="both"/>
      </w:pPr>
      <w:r>
        <w:rPr>
          <w:sz w:val="21"/>
        </w:rPr>
        <w:t>（</w:t>
      </w:r>
      <w:r>
        <w:rPr>
          <w:sz w:val="21"/>
        </w:rPr>
        <w:t>3）上述全部流程（包括材料从中标人仓储点至过磅站、过磅站至供货地点、供货地点返回过磅站的全程运输，以及材料装卸、两次称重相关的辅助作业）所产生的所有运输费用、装卸费用、过磅费用（如有），均由中标人自行承担，采购人不再另行支付任何与上述流程相关的费用。</w:t>
      </w:r>
    </w:p>
    <w:p>
      <w:pPr>
        <w:pStyle w:val="null3"/>
        <w:ind w:firstLine="420"/>
        <w:jc w:val="both"/>
      </w:pPr>
      <w:r>
        <w:rPr>
          <w:sz w:val="21"/>
        </w:rPr>
        <w:t>4.货物在运输过程中所产生的相关费用由中标人自行承担。</w:t>
      </w:r>
    </w:p>
    <w:p>
      <w:pPr>
        <w:pStyle w:val="null3"/>
        <w:ind w:firstLine="420"/>
        <w:jc w:val="both"/>
      </w:pPr>
      <w:r>
        <w:rPr>
          <w:sz w:val="21"/>
        </w:rPr>
        <w:t>5.货物在现场的装卸、搬运、堆放等保管工作由中标人负责，直至验收完毕。货物在验收合格前的保险由中标人负责。</w:t>
      </w:r>
    </w:p>
    <w:p>
      <w:pPr>
        <w:pStyle w:val="null3"/>
        <w:ind w:firstLine="420"/>
        <w:jc w:val="both"/>
      </w:pPr>
      <w:r>
        <w:rPr>
          <w:sz w:val="21"/>
        </w:rPr>
        <w:t>6.合同期限内，中标人若发生人身伤亡、财物或其它损失，无论何种原因所致，由中标人自行承担，与采购人无关。中标人应为其服务人员购买人身意外保险。</w:t>
      </w:r>
    </w:p>
    <w:p>
      <w:pPr>
        <w:pStyle w:val="null3"/>
        <w:ind w:firstLine="420"/>
        <w:jc w:val="both"/>
      </w:pPr>
      <w:r>
        <w:rPr>
          <w:sz w:val="21"/>
        </w:rPr>
        <w:t>7.中标人根据供货合同向采购人进行货物供货（含运输、包装、装卸、过磅、保险等相关服务），中标人应充分考虑运输途中的各种情况（如暴露于恶劣气候等）和中山地区的气候特点，以及露天存放的需要。</w:t>
      </w:r>
    </w:p>
    <w:p>
      <w:pPr>
        <w:pStyle w:val="null3"/>
        <w:ind w:firstLine="420"/>
      </w:pPr>
      <w:r>
        <w:rPr>
          <w:sz w:val="21"/>
        </w:rPr>
        <w:t>8.中标人完成供货及相关服务后，由采购人组织验收工作。</w:t>
      </w:r>
    </w:p>
    <w:p>
      <w:pPr>
        <w:pStyle w:val="null3"/>
        <w:ind w:firstLine="422"/>
      </w:pPr>
      <w:r>
        <w:rPr>
          <w:sz w:val="21"/>
          <w:b/>
        </w:rPr>
        <w:t>（五）投标报价说明：</w:t>
      </w:r>
    </w:p>
    <w:p>
      <w:pPr>
        <w:pStyle w:val="null3"/>
        <w:ind w:firstLine="420"/>
        <w:jc w:val="both"/>
      </w:pPr>
      <w:r>
        <w:rPr>
          <w:sz w:val="21"/>
        </w:rPr>
        <w:t>1.本项目以折扣率进行报价，投标人根据货物清单中所有货物的单价上限价填报一个统一的折扣率，折扣率报价范围：0%≤折扣率≤100%，否则按无效投标处理。</w:t>
      </w:r>
    </w:p>
    <w:p>
      <w:pPr>
        <w:pStyle w:val="null3"/>
        <w:ind w:firstLine="420"/>
        <w:jc w:val="both"/>
      </w:pPr>
      <w:r>
        <w:rPr>
          <w:sz w:val="21"/>
        </w:rPr>
        <w:t>2.投标人所报的投标报价均为包含了货物、包装、运输、保险、税费（印花税等）、装卸、过磅、转场、损耗、人工、仓储、验收及其他所有相关服务费用。中标人在实际供应过程中不得以任何理由调整价格，投标人应充分考虑在采购周期内由于市场波动而引致的风险。</w:t>
      </w:r>
    </w:p>
    <w:p>
      <w:pPr>
        <w:pStyle w:val="null3"/>
        <w:ind w:firstLine="420"/>
      </w:pPr>
      <w:r>
        <w:rPr>
          <w:sz w:val="21"/>
        </w:rPr>
        <w:t>3.中标人在分批供货时的货物单价以中标单价为准，不作调整。</w:t>
      </w:r>
      <w:r>
        <w:rPr>
          <w:sz w:val="21"/>
          <w:b/>
        </w:rPr>
        <w:t>中标单价</w:t>
      </w:r>
      <w:r>
        <w:rPr>
          <w:sz w:val="21"/>
          <w:b/>
        </w:rPr>
        <w:t>=最高单价限价×中标折扣率。</w:t>
      </w:r>
    </w:p>
    <w:p>
      <w:pPr>
        <w:pStyle w:val="null3"/>
        <w:ind w:firstLine="422"/>
        <w:jc w:val="both"/>
      </w:pPr>
      <w:r>
        <w:rPr>
          <w:sz w:val="21"/>
          <w:b/>
        </w:rPr>
        <w:t>(六)</w:t>
      </w:r>
      <w:r>
        <w:rPr>
          <w:sz w:val="21"/>
          <w:b/>
        </w:rPr>
        <w:t>结算与涨幅说明</w:t>
      </w:r>
    </w:p>
    <w:p>
      <w:pPr>
        <w:pStyle w:val="null3"/>
        <w:ind w:firstLine="420"/>
      </w:pPr>
      <w:r>
        <w:rPr>
          <w:sz w:val="21"/>
        </w:rPr>
        <w:t>1、所供标的在造价通可查询到信息价的，按以下方式计算：</w:t>
      </w:r>
    </w:p>
    <w:p>
      <w:pPr>
        <w:pStyle w:val="null3"/>
        <w:ind w:firstLine="420"/>
      </w:pPr>
      <w:r>
        <w:rPr>
          <w:sz w:val="21"/>
        </w:rPr>
        <w:t>设定</w:t>
      </w:r>
      <w:r>
        <w:rPr>
          <w:sz w:val="21"/>
        </w:rPr>
        <w:t>N为涨幅，a为供货当天造价通已发布最新的最低信息价[最低信息价即为中山市及周边6座城市（深圳、东莞、广州、佛山、江门、珠海）的信息价最低价]，b为招标时最高单价限价，D为中标单价。N的计算公式为[（a-b）/b]×100%，供货结算单价计算如下：</w:t>
      </w:r>
    </w:p>
    <w:p>
      <w:pPr>
        <w:pStyle w:val="null3"/>
        <w:ind w:firstLine="420"/>
      </w:pPr>
      <w:r>
        <w:rPr>
          <w:sz w:val="21"/>
        </w:rPr>
        <w:t>①当-5%≦N≤5%以内不作调整，即以中标单价作为该批次供货结算单价；</w:t>
      </w:r>
    </w:p>
    <w:p>
      <w:pPr>
        <w:pStyle w:val="null3"/>
        <w:ind w:firstLine="420"/>
      </w:pPr>
      <w:r>
        <w:rPr>
          <w:sz w:val="21"/>
        </w:rPr>
        <w:t>②当5%＜N≦10%时，该批次结算单价=D+D×5%；</w:t>
      </w:r>
    </w:p>
    <w:p>
      <w:pPr>
        <w:pStyle w:val="null3"/>
        <w:ind w:firstLine="420"/>
      </w:pPr>
      <w:r>
        <w:rPr>
          <w:sz w:val="21"/>
        </w:rPr>
        <w:t>③当10%＜N≦15%时，该批次结算单价=D+D×10%；</w:t>
      </w:r>
    </w:p>
    <w:p>
      <w:pPr>
        <w:pStyle w:val="null3"/>
        <w:ind w:firstLine="420"/>
      </w:pPr>
      <w:r>
        <w:rPr>
          <w:sz w:val="21"/>
        </w:rPr>
        <w:t>④当15%＜N≦20%时，该批次结算单价=D+D×15%；</w:t>
      </w:r>
    </w:p>
    <w:p>
      <w:pPr>
        <w:pStyle w:val="null3"/>
        <w:ind w:firstLine="420"/>
      </w:pPr>
      <w:r>
        <w:rPr>
          <w:sz w:val="21"/>
        </w:rPr>
        <w:t>⑤当N＞20%时，该批次结算单价=D+D×20%；</w:t>
      </w:r>
    </w:p>
    <w:p>
      <w:pPr>
        <w:pStyle w:val="null3"/>
        <w:ind w:firstLine="420"/>
      </w:pPr>
      <w:r>
        <w:rPr>
          <w:sz w:val="21"/>
        </w:rPr>
        <w:t>⑥当-10%≦N＜-5%时，该批次结算单价=D-D×5%；</w:t>
      </w:r>
    </w:p>
    <w:p>
      <w:pPr>
        <w:pStyle w:val="null3"/>
        <w:ind w:firstLine="420"/>
      </w:pPr>
      <w:r>
        <w:rPr>
          <w:sz w:val="21"/>
        </w:rPr>
        <w:t>⑦当-15%≦N＜-10%时，该批次结算单价=D-D×10%；</w:t>
      </w:r>
    </w:p>
    <w:p>
      <w:pPr>
        <w:pStyle w:val="null3"/>
        <w:ind w:firstLine="420"/>
      </w:pPr>
      <w:r>
        <w:rPr>
          <w:sz w:val="21"/>
        </w:rPr>
        <w:t>⑧当-20%≦N＜-15%时，该批次结算单价=D-D×15%；</w:t>
      </w:r>
    </w:p>
    <w:p>
      <w:pPr>
        <w:pStyle w:val="null3"/>
        <w:ind w:firstLine="420"/>
      </w:pPr>
      <w:r>
        <w:rPr>
          <w:sz w:val="21"/>
        </w:rPr>
        <w:t>⑨当N＜-20%时，该批次结算单价=D-D×20%。</w:t>
      </w:r>
    </w:p>
    <w:p>
      <w:pPr>
        <w:pStyle w:val="null3"/>
        <w:ind w:firstLine="420"/>
      </w:pPr>
      <w:r>
        <w:rPr>
          <w:sz w:val="21"/>
        </w:rPr>
        <w:t>例如：乳化沥青招标时最高单价限价为</w:t>
      </w:r>
      <w:r>
        <w:rPr>
          <w:sz w:val="21"/>
        </w:rPr>
        <w:t>1000元，中标单价为900元；</w:t>
      </w:r>
    </w:p>
    <w:p>
      <w:pPr>
        <w:pStyle w:val="null3"/>
        <w:ind w:firstLine="420"/>
      </w:pPr>
      <w:r>
        <w:rPr>
          <w:sz w:val="21"/>
        </w:rPr>
        <w:t>（</w:t>
      </w:r>
      <w:r>
        <w:rPr>
          <w:sz w:val="21"/>
        </w:rPr>
        <w:t xml:space="preserve">1）若当天供货时最低信息价在1020元，则（1020-1000）/1000×100%=2%，即N=2%属于上述①情形，该批次供货结算单价为中标单价900元。  </w:t>
      </w:r>
    </w:p>
    <w:p>
      <w:pPr>
        <w:pStyle w:val="null3"/>
        <w:ind w:firstLine="420"/>
      </w:pPr>
      <w:r>
        <w:rPr>
          <w:sz w:val="21"/>
        </w:rPr>
        <w:t>（</w:t>
      </w:r>
      <w:r>
        <w:rPr>
          <w:sz w:val="21"/>
        </w:rPr>
        <w:t>2）若当天供货时最低信息价为1080元，则（1080-1000）/1000×100%=8%，即N=8%属于上述②情形，该批次供货结算单价=900+900×5%=945元。</w:t>
      </w:r>
    </w:p>
    <w:p>
      <w:pPr>
        <w:pStyle w:val="null3"/>
        <w:ind w:firstLine="420"/>
      </w:pPr>
      <w:r>
        <w:rPr>
          <w:sz w:val="21"/>
        </w:rPr>
        <w:t>（</w:t>
      </w:r>
      <w:r>
        <w:rPr>
          <w:sz w:val="21"/>
        </w:rPr>
        <w:t>3）若当天供货时最低信息价为1120元，则（1120-1000）/1000×100%=12%，即N=12%属于上述③情形，该批次供货结算单价=900+900×10%=990元。</w:t>
      </w:r>
    </w:p>
    <w:p>
      <w:pPr>
        <w:pStyle w:val="null3"/>
        <w:ind w:firstLine="420"/>
      </w:pPr>
      <w:r>
        <w:rPr>
          <w:sz w:val="21"/>
        </w:rPr>
        <w:t>（</w:t>
      </w:r>
      <w:r>
        <w:rPr>
          <w:sz w:val="21"/>
        </w:rPr>
        <w:t>4）若当天供货时最低信息价为1200元，则（1200-1000）/1000×100%=20%，即N=20%属于上述④情形，该批次供货结算单价=900+900×15%=1035元。</w:t>
      </w:r>
    </w:p>
    <w:p>
      <w:pPr>
        <w:pStyle w:val="null3"/>
        <w:ind w:firstLine="420"/>
      </w:pPr>
      <w:r>
        <w:rPr>
          <w:sz w:val="21"/>
        </w:rPr>
        <w:t>（</w:t>
      </w:r>
      <w:r>
        <w:rPr>
          <w:sz w:val="21"/>
        </w:rPr>
        <w:t>5）若当天供货时最低信息价为1400元，则（1400-1000）/1000×100%=40%，即N=40%属于上述⑤情形，该批次供货结算单价=900+900×20%=1080元。</w:t>
      </w:r>
    </w:p>
    <w:p>
      <w:pPr>
        <w:pStyle w:val="null3"/>
        <w:ind w:firstLine="420"/>
      </w:pPr>
      <w:r>
        <w:rPr>
          <w:sz w:val="21"/>
        </w:rPr>
        <w:t>（</w:t>
      </w:r>
      <w:r>
        <w:rPr>
          <w:sz w:val="21"/>
        </w:rPr>
        <w:t>6）若当天供货时最低信息价为940元，则（940-1000）/1000×100%=-6%，即N=-6%属于上述⑥情形，该批次供货结算单价=900-900×5%=855元。</w:t>
      </w:r>
    </w:p>
    <w:p>
      <w:pPr>
        <w:pStyle w:val="null3"/>
        <w:ind w:firstLine="420"/>
      </w:pPr>
      <w:r>
        <w:rPr>
          <w:sz w:val="21"/>
        </w:rPr>
        <w:t>（</w:t>
      </w:r>
      <w:r>
        <w:rPr>
          <w:sz w:val="21"/>
        </w:rPr>
        <w:t>7）若当天供货时最低信息价为880元，则（880-1000）/1000×100%=-12%，即N=-12%属于上述⑦情形，该批次供货结算单价=900-900×10%=810元。</w:t>
      </w:r>
    </w:p>
    <w:p>
      <w:pPr>
        <w:pStyle w:val="null3"/>
        <w:ind w:firstLine="420"/>
      </w:pPr>
      <w:r>
        <w:rPr>
          <w:sz w:val="21"/>
        </w:rPr>
        <w:t>（</w:t>
      </w:r>
      <w:r>
        <w:rPr>
          <w:sz w:val="21"/>
        </w:rPr>
        <w:t>8）若当天供货时最低信息价为840元，则（840-1000）/1000×100%=-16%，即N=-16%属于上述⑧情形，该批次供货结算单价=900-900×15%=765元。</w:t>
      </w:r>
    </w:p>
    <w:p>
      <w:pPr>
        <w:pStyle w:val="null3"/>
        <w:ind w:firstLine="420"/>
      </w:pPr>
      <w:r>
        <w:rPr>
          <w:sz w:val="21"/>
        </w:rPr>
        <w:t>（</w:t>
      </w:r>
      <w:r>
        <w:rPr>
          <w:sz w:val="21"/>
        </w:rPr>
        <w:t>9）若当天供货时最低信息价为790元，则（790-1000）/1000×100%=-21%，即N=-21%属于上述⑨情形，该批次供货结算单价=900-900×20%=720元。</w:t>
      </w:r>
    </w:p>
    <w:p>
      <w:pPr>
        <w:pStyle w:val="null3"/>
        <w:ind w:firstLine="420"/>
      </w:pPr>
      <w:r>
        <w:rPr>
          <w:sz w:val="21"/>
        </w:rPr>
        <w:t>2、所供标的在造价通未能查询到信息价的，以中标单价（最高单价限价×中标折扣率）作为供货结算单价。</w:t>
      </w:r>
    </w:p>
    <w:p>
      <w:pPr>
        <w:pStyle w:val="null3"/>
        <w:ind w:firstLine="422"/>
      </w:pPr>
      <w:r>
        <w:rPr>
          <w:sz w:val="21"/>
          <w:b/>
        </w:rPr>
        <w:t>（</w:t>
      </w:r>
      <w:r>
        <w:rPr>
          <w:sz w:val="21"/>
          <w:b/>
        </w:rPr>
        <w:t>七</w:t>
      </w:r>
      <w:r>
        <w:rPr>
          <w:sz w:val="21"/>
          <w:b/>
        </w:rPr>
        <w:t>）异常低价投标审查</w:t>
      </w:r>
    </w:p>
    <w:p>
      <w:pPr>
        <w:pStyle w:val="null3"/>
        <w:ind w:firstLine="420"/>
      </w:pPr>
      <w:r>
        <w:rPr>
          <w:sz w:val="21"/>
        </w:rPr>
        <w:t>根据《关于推动解决政府采购异常低价问题的通知》（财库〔</w:t>
      </w:r>
      <w:r>
        <w:rPr>
          <w:sz w:val="21"/>
        </w:rPr>
        <w:t>2026〕2号）规定，本项目在评审过程中将严格执行异常低价投标审查程序，具体如下：</w:t>
      </w:r>
    </w:p>
    <w:p>
      <w:pPr>
        <w:pStyle w:val="null3"/>
        <w:ind w:firstLine="420"/>
      </w:pPr>
      <w:r>
        <w:rPr>
          <w:sz w:val="21"/>
        </w:rPr>
        <w:t>1.审查启动情形</w:t>
      </w:r>
    </w:p>
    <w:p>
      <w:pPr>
        <w:pStyle w:val="null3"/>
        <w:ind w:firstLine="420"/>
      </w:pPr>
      <w:r>
        <w:rPr>
          <w:sz w:val="21"/>
        </w:rPr>
        <w:t>评审委员会在评审中出现下列情形之一的，应当启动异常低价投标（响应）审查程序：</w:t>
      </w:r>
    </w:p>
    <w:p>
      <w:pPr>
        <w:pStyle w:val="null3"/>
        <w:ind w:firstLine="420"/>
      </w:pPr>
      <w:r>
        <w:rPr>
          <w:sz w:val="21"/>
        </w:rPr>
        <w:t>（</w:t>
      </w:r>
      <w:r>
        <w:rPr>
          <w:sz w:val="21"/>
        </w:rPr>
        <w:t>1）投标报价低于全部通过符合性审查供应商投标报价平均值50%的，即：</w:t>
      </w:r>
    </w:p>
    <w:p>
      <w:pPr>
        <w:pStyle w:val="null3"/>
        <w:ind w:firstLine="420"/>
      </w:pPr>
      <w:r>
        <w:rPr>
          <w:sz w:val="21"/>
        </w:rPr>
        <w:t>投标报价＜全部通过符合性审查供应商投标报价平均值</w:t>
      </w:r>
      <w:r>
        <w:rPr>
          <w:sz w:val="21"/>
        </w:rPr>
        <w:t>× 50%</w:t>
      </w:r>
    </w:p>
    <w:p>
      <w:pPr>
        <w:pStyle w:val="null3"/>
        <w:ind w:firstLine="420"/>
      </w:pPr>
      <w:r>
        <w:rPr>
          <w:sz w:val="21"/>
        </w:rPr>
        <w:t>（</w:t>
      </w:r>
      <w:r>
        <w:rPr>
          <w:sz w:val="21"/>
        </w:rPr>
        <w:t>2）投标报价低于通过符合性审查的次低报价供应商投标报价50%的，即：</w:t>
      </w:r>
    </w:p>
    <w:p>
      <w:pPr>
        <w:pStyle w:val="null3"/>
        <w:ind w:firstLine="420"/>
      </w:pPr>
      <w:r>
        <w:rPr>
          <w:sz w:val="21"/>
        </w:rPr>
        <w:t>投标报价＜通过符合性审查的次低报价供应商投标报价</w:t>
      </w:r>
      <w:r>
        <w:rPr>
          <w:sz w:val="21"/>
        </w:rPr>
        <w:t>× 50%</w:t>
      </w:r>
    </w:p>
    <w:p>
      <w:pPr>
        <w:pStyle w:val="null3"/>
        <w:ind w:firstLine="420"/>
      </w:pPr>
      <w:r>
        <w:rPr>
          <w:sz w:val="21"/>
        </w:rPr>
        <w:t>（</w:t>
      </w:r>
      <w:r>
        <w:rPr>
          <w:sz w:val="21"/>
        </w:rPr>
        <w:t>3）投标报价低于采购项目最高限价45%的，即：</w:t>
      </w:r>
    </w:p>
    <w:p>
      <w:pPr>
        <w:pStyle w:val="null3"/>
        <w:ind w:firstLine="420"/>
      </w:pPr>
      <w:r>
        <w:rPr>
          <w:sz w:val="21"/>
        </w:rPr>
        <w:t>投标报价＜采购项目最高限价</w:t>
      </w:r>
      <w:r>
        <w:rPr>
          <w:sz w:val="21"/>
        </w:rPr>
        <w:t>× 45%</w:t>
      </w:r>
    </w:p>
    <w:p>
      <w:pPr>
        <w:pStyle w:val="null3"/>
        <w:ind w:firstLine="420"/>
      </w:pPr>
      <w:r>
        <w:rPr>
          <w:sz w:val="21"/>
        </w:rPr>
        <w:t>（</w:t>
      </w:r>
      <w:r>
        <w:rPr>
          <w:sz w:val="21"/>
        </w:rPr>
        <w:t>4）评审委员会基于专业判断，认为供应商报价过低，有可能影响产品质量或者不能诚信履约的其他情形。</w:t>
      </w:r>
    </w:p>
    <w:p>
      <w:pPr>
        <w:pStyle w:val="null3"/>
        <w:ind w:firstLine="420"/>
      </w:pPr>
      <w:r>
        <w:rPr>
          <w:sz w:val="21"/>
        </w:rPr>
        <w:t>2.审查程序与要求</w:t>
      </w:r>
    </w:p>
    <w:p>
      <w:pPr>
        <w:pStyle w:val="null3"/>
        <w:ind w:firstLine="420"/>
      </w:pPr>
      <w:r>
        <w:rPr>
          <w:sz w:val="21"/>
        </w:rPr>
        <w:t>（</w:t>
      </w:r>
      <w:r>
        <w:rPr>
          <w:sz w:val="21"/>
        </w:rPr>
        <w:t>1）评审委员会启动异常低价投标审查后，应当要求相关投标人在评审现场合理的时间内对投标价格作出解释，提供项目具体成本测算等与报价合理性相关的书面说明及必要的证明材料，包括但不限于原材料成本、人工成本、制造费用等。</w:t>
      </w:r>
    </w:p>
    <w:p>
      <w:pPr>
        <w:pStyle w:val="null3"/>
        <w:ind w:firstLine="420"/>
      </w:pPr>
      <w:r>
        <w:rPr>
          <w:sz w:val="21"/>
        </w:rPr>
        <w:t>（</w:t>
      </w:r>
      <w:r>
        <w:rPr>
          <w:sz w:val="21"/>
        </w:rPr>
        <w:t>2）给予相关投标人的合理时间一般不少于30分钟。</w:t>
      </w:r>
    </w:p>
    <w:p>
      <w:pPr>
        <w:pStyle w:val="null3"/>
        <w:ind w:firstLine="420"/>
      </w:pPr>
      <w:r>
        <w:rPr>
          <w:sz w:val="21"/>
        </w:rPr>
        <w:t>（</w:t>
      </w:r>
      <w:r>
        <w:rPr>
          <w:sz w:val="21"/>
        </w:rPr>
        <w:t>3）属于上述第（3）款情形（投标报价低于最高限价45%）的投标人，如已在投标文件中一并提交相关书面说明及必要的证明材料，在评审现场可不再重复提交。</w:t>
      </w:r>
    </w:p>
    <w:p>
      <w:pPr>
        <w:pStyle w:val="null3"/>
        <w:ind w:firstLine="420"/>
      </w:pPr>
      <w:r>
        <w:rPr>
          <w:sz w:val="21"/>
        </w:rPr>
        <w:t>3.审查判断与处理</w:t>
      </w:r>
    </w:p>
    <w:p>
      <w:pPr>
        <w:pStyle w:val="null3"/>
        <w:ind w:firstLine="420"/>
      </w:pPr>
      <w:r>
        <w:rPr>
          <w:sz w:val="21"/>
        </w:rPr>
        <w:t>（</w:t>
      </w:r>
      <w:r>
        <w:rPr>
          <w:sz w:val="21"/>
        </w:rPr>
        <w:t>1）评审委员会依据专业经验，参考同类项目中标价格、类似产品市场价格水平、行业人工费用标准、国家有关部门或指导行业协会发布的行业平均成本等情况，对报价合理性进行综合判断。</w:t>
      </w:r>
    </w:p>
    <w:p>
      <w:pPr>
        <w:pStyle w:val="null3"/>
        <w:ind w:firstLine="420"/>
      </w:pPr>
      <w:r>
        <w:rPr>
          <w:sz w:val="21"/>
        </w:rPr>
        <w:t>（</w:t>
      </w:r>
      <w:r>
        <w:rPr>
          <w:sz w:val="21"/>
        </w:rPr>
        <w:t>2）投标人存在下列情形之一的，评审委员会应当将其作为无效投标处理：</w:t>
      </w:r>
    </w:p>
    <w:p>
      <w:pPr>
        <w:pStyle w:val="null3"/>
        <w:ind w:firstLine="420"/>
      </w:pPr>
      <w:r>
        <w:rPr>
          <w:sz w:val="21"/>
        </w:rPr>
        <w:t>不能提供书面说明或证明材料的；</w:t>
      </w:r>
    </w:p>
    <w:p>
      <w:pPr>
        <w:pStyle w:val="null3"/>
        <w:ind w:firstLine="420"/>
      </w:pPr>
      <w:r>
        <w:rPr>
          <w:sz w:val="21"/>
        </w:rPr>
        <w:t>提供的书面说明或证明材料不能证明其报价合理性的。</w:t>
      </w:r>
    </w:p>
    <w:p>
      <w:pPr>
        <w:pStyle w:val="null3"/>
        <w:ind w:firstLine="422"/>
      </w:pPr>
      <w:r>
        <w:rPr>
          <w:sz w:val="21"/>
          <w:b/>
        </w:rPr>
        <w:t>（</w:t>
      </w:r>
      <w:r>
        <w:rPr>
          <w:sz w:val="21"/>
          <w:b/>
        </w:rPr>
        <w:t>八</w:t>
      </w:r>
      <w:r>
        <w:rPr>
          <w:sz w:val="21"/>
          <w:b/>
        </w:rPr>
        <w:t>）售后服务：</w:t>
      </w:r>
    </w:p>
    <w:p>
      <w:pPr>
        <w:pStyle w:val="null3"/>
        <w:ind w:firstLine="420"/>
      </w:pPr>
      <w:r>
        <w:rPr>
          <w:sz w:val="21"/>
        </w:rPr>
        <w:t>1.中标人必须提供符合国家以及该产品出厂标准的货物。</w:t>
      </w:r>
    </w:p>
    <w:p>
      <w:pPr>
        <w:pStyle w:val="null3"/>
        <w:ind w:firstLine="420"/>
      </w:pPr>
      <w:r>
        <w:rPr>
          <w:sz w:val="21"/>
        </w:rPr>
        <w:t>2.货物在供应期内如有质量问题时，中标人必须立即响应。</w:t>
      </w:r>
    </w:p>
    <w:p>
      <w:pPr>
        <w:pStyle w:val="null3"/>
        <w:ind w:firstLine="420"/>
      </w:pPr>
      <w:r>
        <w:rPr>
          <w:sz w:val="21"/>
        </w:rPr>
        <w:t>3.中标人提供的货物和相应的服务须符合招标文件要求。</w:t>
      </w:r>
    </w:p>
    <w:p>
      <w:pPr>
        <w:pStyle w:val="null3"/>
        <w:ind w:firstLine="420"/>
      </w:pPr>
      <w:r>
        <w:rPr>
          <w:sz w:val="21"/>
        </w:rPr>
        <w:t>4.在项目合同履行过程中，如采购人遇到项目审查、巡察等工作要求，中标人有义务配合，并提供必要的协助与支持。</w:t>
      </w:r>
    </w:p>
    <w:p>
      <w:pPr>
        <w:pStyle w:val="null3"/>
        <w:ind w:firstLine="422"/>
      </w:pPr>
      <w:r>
        <w:rPr>
          <w:sz w:val="21"/>
          <w:b/>
        </w:rPr>
        <w:t>（</w:t>
      </w:r>
      <w:r>
        <w:rPr>
          <w:sz w:val="21"/>
          <w:b/>
        </w:rPr>
        <w:t>九</w:t>
      </w:r>
      <w:r>
        <w:rPr>
          <w:sz w:val="21"/>
          <w:b/>
        </w:rPr>
        <w:t>）其他要求：</w:t>
      </w:r>
    </w:p>
    <w:p>
      <w:pPr>
        <w:pStyle w:val="null3"/>
        <w:ind w:firstLine="420"/>
      </w:pPr>
      <w:r>
        <w:rPr>
          <w:sz w:val="21"/>
        </w:rPr>
        <w:t>1.投标人在投标文件中要列明在项目实施过程中要求采购人提供的配合条件，采购人视实际情况给予协助提供。</w:t>
      </w:r>
    </w:p>
    <w:p>
      <w:pPr>
        <w:pStyle w:val="null3"/>
        <w:ind w:firstLine="420"/>
      </w:pPr>
      <w:r>
        <w:rPr>
          <w:sz w:val="21"/>
        </w:rPr>
        <w:t>2.投标人需针对本项目提供出项目实施方案（包括但不限于货物的生产安排、货物运输保障与温控服务、供货计划及进度保障、货物的安置、货物检验、人员安排等内容）、售后服务方案（包括但不限于服务措施、响应速度、质量保障与技术服务、回访与追踪机制等内容）、应急方案（包括但不限于出现产品质量问题的补救措施、供应保障应急措施、运输保障应急措施等内容），以保证满足本项目服务要求。</w:t>
      </w:r>
    </w:p>
    <w:p>
      <w:pPr>
        <w:pStyle w:val="null3"/>
        <w:ind w:firstLine="420"/>
      </w:pPr>
      <w:r>
        <w:rPr>
          <w:sz w:val="21"/>
        </w:rPr>
        <w:t>3.中标人应具有配备相应功能的设备，保证本项目实施过程的服务质量。</w:t>
      </w:r>
    </w:p>
    <w:p>
      <w:pPr>
        <w:pStyle w:val="null3"/>
        <w:ind w:firstLine="420"/>
      </w:pPr>
      <w:r>
        <w:rPr>
          <w:sz w:val="21"/>
        </w:rPr>
        <w:t>4.若与本项目相关的国家标准更新，或采购人对采购物资质量标准或技术指标进行调整，中标人应按更新后国家标准和采购人调整后的质量标准或技术指标进行供应，合同单价不变。</w:t>
      </w:r>
    </w:p>
    <w:p>
      <w:pPr>
        <w:pStyle w:val="null3"/>
        <w:ind w:firstLine="420"/>
        <w:jc w:val="left"/>
      </w:pPr>
      <w:r>
        <w:rPr>
          <w:sz w:val="21"/>
        </w:rPr>
        <w:t>5.投标人所投报的沥青产品应当是在中国境内合法销售或生产，且符合国家有关部门规定的相应技术、节能、安全和环保标准；国家有关部门对供应商所投报的产品有强制性规定或要求的，投标人所投报的货物应当符合相应规定或要求。供货时，中标人向采购人出具产品合法来源及产品合格等佐证材料。</w:t>
      </w:r>
    </w:p>
    <w:p>
      <w:pPr>
        <w:pStyle w:val="null3"/>
        <w:ind w:firstLine="422"/>
        <w:jc w:val="left"/>
      </w:pPr>
      <w:r>
        <w:rPr>
          <w:sz w:val="21"/>
          <w:b/>
        </w:rPr>
        <w:t>（</w:t>
      </w:r>
      <w:r>
        <w:rPr>
          <w:sz w:val="21"/>
          <w:b/>
        </w:rPr>
        <w:t>十</w:t>
      </w:r>
      <w:r>
        <w:rPr>
          <w:sz w:val="21"/>
          <w:b/>
        </w:rPr>
        <w:t>）违约责任</w:t>
      </w:r>
    </w:p>
    <w:p>
      <w:pPr>
        <w:pStyle w:val="null3"/>
        <w:ind w:firstLine="420"/>
        <w:jc w:val="left"/>
      </w:pPr>
      <w:r>
        <w:rPr>
          <w:sz w:val="21"/>
        </w:rPr>
        <w:t>1.中标人提供的货物不符合招标文件、投标文件或合同规定的，采购人有权拒收，中标人应赔偿采购人由此产生的一切经济损失，并且中标人须向采购人支付本批次货款的20%违约金。</w:t>
      </w:r>
    </w:p>
    <w:p>
      <w:pPr>
        <w:pStyle w:val="null3"/>
        <w:ind w:firstLine="420"/>
        <w:jc w:val="left"/>
      </w:pPr>
      <w:r>
        <w:rPr>
          <w:sz w:val="21"/>
        </w:rPr>
        <w:t>2.中标人未能按合同规定的时间和地点提供货物，采购人有权从逾期之日起每日按该批次货款总价的2%向中标人收取违约金；逾期15 天以上（含 15 天）的，采购人有权终止合同，要求中标人支付违约金，违约金为合同总价20%。并且给采购人造成的经济损失由中标人承担赔偿责任。</w:t>
      </w:r>
    </w:p>
    <w:p>
      <w:pPr>
        <w:pStyle w:val="null3"/>
        <w:ind w:firstLine="420"/>
        <w:jc w:val="left"/>
      </w:pPr>
      <w:r>
        <w:rPr>
          <w:sz w:val="21"/>
        </w:rPr>
        <w:t>3.本项目所列中标人违约金，采购人有权在本合同项下应支付未支付给中标人的款项中进行扣减，不足部分，采购人有权追偿。</w:t>
      </w:r>
    </w:p>
    <w:p>
      <w:pPr>
        <w:pStyle w:val="null3"/>
        <w:ind w:firstLine="420"/>
      </w:pPr>
      <w:r>
        <w:rPr>
          <w:sz w:val="21"/>
        </w:rPr>
        <w:t>4.其它违约责任按《中华人民共和国民法典》处理。</w:t>
      </w:r>
    </w:p>
    <w:p>
      <w:pPr>
        <w:pStyle w:val="null3"/>
      </w:pPr>
      <w:r>
        <w:rPr/>
        <w:t>采购包1（中山市公路事务中心2026年养护材料（道路石油沥青）采购项目）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按采购人的实际需求分批送货，中标人在收到采购人的订货通知后2小时内响应并48小时内送到采购人指定地点完成货物交货及验收（如遇天气恶劣情况可向采购人申请延迟）。</w:t>
            </w:r>
          </w:p>
        </w:tc>
      </w:tr>
      <w:tr>
        <w:tc>
          <w:tcPr>
            <w:tcW w:type="dxa" w:w="4153"/>
          </w:tcPr>
          <w:p>
            <w:pPr>
              <w:pStyle w:val="null3"/>
            </w:pPr>
            <w:r>
              <w:rPr/>
              <w:t>标的提供的地点</w:t>
            </w:r>
          </w:p>
        </w:tc>
        <w:tc>
          <w:tcPr>
            <w:tcW w:type="dxa" w:w="4153"/>
          </w:tcPr>
          <w:p>
            <w:pPr>
              <w:pStyle w:val="null3"/>
            </w:pPr>
            <w:r>
              <w:rPr/>
              <w:t>按采购人要求送货到本项目需供货的指定地点。</w:t>
            </w:r>
          </w:p>
        </w:tc>
      </w:tr>
      <w:tr>
        <w:tc>
          <w:tcPr>
            <w:tcW w:type="dxa" w:w="4153"/>
          </w:tcPr>
          <w:p>
            <w:pPr>
              <w:pStyle w:val="null3"/>
            </w:pPr>
            <w:r>
              <w:rPr/>
              <w:t>付款方式</w:t>
            </w:r>
          </w:p>
        </w:tc>
        <w:tc>
          <w:tcPr>
            <w:tcW w:type="dxa" w:w="4153"/>
          </w:tcPr>
          <w:p>
            <w:pPr>
              <w:pStyle w:val="null3"/>
            </w:pPr>
            <w:r>
              <w:rPr/>
              <w:t>1期：支付比例100%,1.支付方式：支付金额=合同单价×实际供货数量。且最终累计支付金额不超过合同金额。材料的合同单价以本章“采购清单”的最高单价限价计算，根据中标人在投标文件中的折扣率计算取得合同单价，合同单价=最高单价限价×中标折扣率。 2.支付时间：按月结算支付，采购人可根据供货情况实际调整。 （1）本项目按照分批送货分批付款，中标人在收到采购人以书面方式提出的订货要求后2小时内响应，并按要求完成供货； （2）中标人根据供货合同向采购人进行货物供货（含运输、包装、装卸、过磅、保险等相关服务）； （3）中标人完成供货及相关服务后，由采购人组织开展验收工作，在货物验收合格，收到中标人开具的正规发票后，由采购人向财政部门提交请款申请。采购人向财政部门提交请款申请即视为已向中标人履行支付义务。如因财政部门审查或政策影响使拨款未能及时到位，不视为采购人违约，中标人不得以此为由而不履行（或不完全履行）合同规定的义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1期：★1.验收的基本要求： a.在每批次供货时，中标人按照参数标准，提供该批次货物的检验合格证书； b.在每批次供货时，采购人可按需抽取样本封存备检（在双方见证下进行）； c.采购人可按需从每批次供货中任意抽取样品，由中标人提供三次抽取样品的送检服务（不包含第一次供货时的检测），送检服务需在采购人见证下进行。2.样品抽检送检在三次（含）以下且检测合格的，检测费用由中标人支付。检测不合格的货物，采购人不予支付本批次货款，中标人应赔偿采购人由此产生的一切经济损失，并支付该批次货款的20%违约金，且需给采购人更换合格的货物。3.样品抽检送检在三次（不含）以上且检测合格的，检测费用由采购人支付；检测不合格的，检测费用由中标人全部承担，采购人不予支付该批次货款并有权解除合同，中标人应赔偿采购人由此产生的一切经济损失，并支付该批次货款的20%违约金，且需给采购人更换合格的货物。 4.抽检送检的检测内容需符合《公路沥青路面施工技术规范》（JTG F40-2004）、《建筑石油沥青》（GBT+494-2025）、《路面加热型灌缝胶》（UTT740-2024）等要求。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pPr>
              <w:pStyle w:val="null3"/>
              <w:jc w:val="center"/>
            </w:pPr>
            <w:r>
              <w:rPr/>
              <w:t>△</w:t>
            </w:r>
          </w:p>
        </w:tc>
        <w:tc>
          <w:tcPr>
            <w:tcW w:type="dxa" w:w="748"/>
          </w:tcPr>
          <w:p>
            <w:pPr>
              <w:pStyle w:val="null3"/>
              <w:jc w:val="left"/>
            </w:pPr>
            <w:r>
              <w:rPr/>
              <w:t>沥青混合物</w:t>
            </w:r>
          </w:p>
        </w:tc>
        <w:tc>
          <w:tcPr>
            <w:tcW w:type="dxa" w:w="748"/>
          </w:tcPr>
          <w:p>
            <w:pPr>
              <w:pStyle w:val="null3"/>
              <w:jc w:val="left"/>
            </w:pPr>
            <w:r>
              <w:rPr/>
              <w:t>重交70#-A沥青(罐车运输散装）</w:t>
            </w:r>
          </w:p>
        </w:tc>
        <w:tc>
          <w:tcPr>
            <w:tcW w:type="dxa" w:w="748"/>
          </w:tcPr>
          <w:p>
            <w:pPr>
              <w:pStyle w:val="null3"/>
              <w:jc w:val="left"/>
            </w:pPr>
            <w:r>
              <w:rPr/>
              <w:t>项</w:t>
            </w:r>
          </w:p>
        </w:tc>
        <w:tc>
          <w:tcPr>
            <w:tcW w:type="dxa" w:w="748"/>
          </w:tcPr>
          <w:p>
            <w:pPr>
              <w:pStyle w:val="null3"/>
              <w:jc w:val="right"/>
            </w:pPr>
            <w:r>
              <w:rPr/>
              <w:t>1.00</w:t>
            </w:r>
          </w:p>
        </w:tc>
        <w:tc>
          <w:tcPr>
            <w:tcW w:type="dxa" w:w="748"/>
          </w:tcPr>
          <w:p>
            <w:pPr>
              <w:pStyle w:val="null3"/>
              <w:jc w:val="right"/>
            </w:pPr>
            <w:r>
              <w:rPr/>
              <w:t>682,699.05</w:t>
            </w:r>
          </w:p>
        </w:tc>
        <w:tc>
          <w:tcPr>
            <w:tcW w:type="dxa" w:w="748"/>
          </w:tcPr>
          <w:p>
            <w:pPr>
              <w:pStyle w:val="null3"/>
              <w:jc w:val="right"/>
            </w:pPr>
            <w:r>
              <w:rPr/>
              <w:t>682,699.05</w:t>
            </w:r>
          </w:p>
        </w:tc>
        <w:tc>
          <w:tcPr>
            <w:tcW w:type="dxa" w:w="748"/>
          </w:tcPr>
          <w:p>
            <w:pPr>
              <w:pStyle w:val="null3"/>
            </w:pPr>
            <w:r>
              <w:rPr/>
              <w:t>33.96</w:t>
            </w:r>
          </w:p>
        </w:tc>
        <w:tc>
          <w:tcPr>
            <w:tcW w:type="dxa" w:w="823"/>
          </w:tcPr>
          <w:p>
            <w:pPr>
              <w:pStyle w:val="null3"/>
            </w:pPr>
            <w:r>
              <w:rPr/>
              <w:t>工业</w:t>
            </w:r>
          </w:p>
        </w:tc>
        <w:tc>
          <w:tcPr>
            <w:tcW w:type="dxa" w:w="748"/>
          </w:tcPr>
          <w:p>
            <w:pPr>
              <w:pStyle w:val="null3"/>
            </w:pPr>
            <w:r>
              <w:rPr/>
              <w:t>详见附表一</w:t>
            </w:r>
          </w:p>
        </w:tc>
      </w:tr>
      <w:tr>
        <w:tc>
          <w:tcPr>
            <w:tcW w:type="dxa" w:w="748"/>
          </w:tcPr>
          <w:p>
            <w:pPr>
              <w:pStyle w:val="null3"/>
              <w:jc w:val="center"/>
            </w:pPr>
            <w:r>
              <w:rPr/>
              <w:t>2</w:t>
            </w:r>
          </w:p>
        </w:tc>
        <w:tc>
          <w:tcPr>
            <w:tcW w:type="dxa" w:w="748"/>
          </w:tcPr>
          <w:p/>
        </w:tc>
        <w:tc>
          <w:tcPr>
            <w:tcW w:type="dxa" w:w="748"/>
          </w:tcPr>
          <w:p>
            <w:pPr>
              <w:pStyle w:val="null3"/>
              <w:jc w:val="left"/>
            </w:pPr>
            <w:r>
              <w:rPr/>
              <w:t>沥青混合物</w:t>
            </w:r>
          </w:p>
        </w:tc>
        <w:tc>
          <w:tcPr>
            <w:tcW w:type="dxa" w:w="748"/>
          </w:tcPr>
          <w:p>
            <w:pPr>
              <w:pStyle w:val="null3"/>
              <w:jc w:val="left"/>
            </w:pPr>
            <w:r>
              <w:rPr/>
              <w:t>重交70#-A沥青(袋装）</w:t>
            </w:r>
          </w:p>
        </w:tc>
        <w:tc>
          <w:tcPr>
            <w:tcW w:type="dxa" w:w="748"/>
          </w:tcPr>
          <w:p>
            <w:pPr>
              <w:pStyle w:val="null3"/>
              <w:jc w:val="left"/>
            </w:pPr>
            <w:r>
              <w:rPr/>
              <w:t>项</w:t>
            </w:r>
          </w:p>
        </w:tc>
        <w:tc>
          <w:tcPr>
            <w:tcW w:type="dxa" w:w="748"/>
          </w:tcPr>
          <w:p>
            <w:pPr>
              <w:pStyle w:val="null3"/>
              <w:jc w:val="right"/>
            </w:pPr>
            <w:r>
              <w:rPr/>
              <w:t>1.00</w:t>
            </w:r>
          </w:p>
        </w:tc>
        <w:tc>
          <w:tcPr>
            <w:tcW w:type="dxa" w:w="748"/>
          </w:tcPr>
          <w:p>
            <w:pPr>
              <w:pStyle w:val="null3"/>
              <w:jc w:val="right"/>
            </w:pPr>
            <w:r>
              <w:rPr/>
              <w:t>248,254.20</w:t>
            </w:r>
          </w:p>
        </w:tc>
        <w:tc>
          <w:tcPr>
            <w:tcW w:type="dxa" w:w="748"/>
          </w:tcPr>
          <w:p>
            <w:pPr>
              <w:pStyle w:val="null3"/>
              <w:jc w:val="right"/>
            </w:pPr>
            <w:r>
              <w:rPr/>
              <w:t>248,254.20</w:t>
            </w:r>
          </w:p>
        </w:tc>
        <w:tc>
          <w:tcPr>
            <w:tcW w:type="dxa" w:w="748"/>
          </w:tcPr>
          <w:p>
            <w:pPr>
              <w:pStyle w:val="null3"/>
            </w:pPr>
            <w:r>
              <w:rPr/>
              <w:t>12.35</w:t>
            </w:r>
          </w:p>
        </w:tc>
        <w:tc>
          <w:tcPr>
            <w:tcW w:type="dxa" w:w="823"/>
          </w:tcPr>
          <w:p>
            <w:pPr>
              <w:pStyle w:val="null3"/>
            </w:pPr>
            <w:r>
              <w:rPr/>
              <w:t>工业</w:t>
            </w:r>
          </w:p>
        </w:tc>
        <w:tc>
          <w:tcPr>
            <w:tcW w:type="dxa" w:w="748"/>
          </w:tcPr>
          <w:p>
            <w:pPr>
              <w:pStyle w:val="null3"/>
            </w:pPr>
            <w:r>
              <w:rPr/>
              <w:t>详见附表二</w:t>
            </w:r>
          </w:p>
        </w:tc>
      </w:tr>
      <w:tr>
        <w:tc>
          <w:tcPr>
            <w:tcW w:type="dxa" w:w="748"/>
          </w:tcPr>
          <w:p>
            <w:pPr>
              <w:pStyle w:val="null3"/>
              <w:jc w:val="center"/>
            </w:pPr>
            <w:r>
              <w:rPr/>
              <w:t>3</w:t>
            </w:r>
          </w:p>
        </w:tc>
        <w:tc>
          <w:tcPr>
            <w:tcW w:type="dxa" w:w="748"/>
          </w:tcPr>
          <w:p/>
        </w:tc>
        <w:tc>
          <w:tcPr>
            <w:tcW w:type="dxa" w:w="748"/>
          </w:tcPr>
          <w:p>
            <w:pPr>
              <w:pStyle w:val="null3"/>
              <w:jc w:val="left"/>
            </w:pPr>
            <w:r>
              <w:rPr/>
              <w:t>沥青混合物</w:t>
            </w:r>
          </w:p>
        </w:tc>
        <w:tc>
          <w:tcPr>
            <w:tcW w:type="dxa" w:w="748"/>
          </w:tcPr>
          <w:p>
            <w:pPr>
              <w:pStyle w:val="null3"/>
              <w:jc w:val="left"/>
            </w:pPr>
            <w:r>
              <w:rPr/>
              <w:t>10#沥青（灌缝用）</w:t>
            </w:r>
          </w:p>
        </w:tc>
        <w:tc>
          <w:tcPr>
            <w:tcW w:type="dxa" w:w="748"/>
          </w:tcPr>
          <w:p>
            <w:pPr>
              <w:pStyle w:val="null3"/>
              <w:jc w:val="left"/>
            </w:pPr>
            <w:r>
              <w:rPr/>
              <w:t>项</w:t>
            </w:r>
          </w:p>
        </w:tc>
        <w:tc>
          <w:tcPr>
            <w:tcW w:type="dxa" w:w="748"/>
          </w:tcPr>
          <w:p>
            <w:pPr>
              <w:pStyle w:val="null3"/>
              <w:jc w:val="right"/>
            </w:pPr>
            <w:r>
              <w:rPr/>
              <w:t>1.00</w:t>
            </w:r>
          </w:p>
        </w:tc>
        <w:tc>
          <w:tcPr>
            <w:tcW w:type="dxa" w:w="748"/>
          </w:tcPr>
          <w:p>
            <w:pPr>
              <w:pStyle w:val="null3"/>
              <w:jc w:val="right"/>
            </w:pPr>
            <w:r>
              <w:rPr/>
              <w:t>7,091.30</w:t>
            </w:r>
          </w:p>
        </w:tc>
        <w:tc>
          <w:tcPr>
            <w:tcW w:type="dxa" w:w="748"/>
          </w:tcPr>
          <w:p>
            <w:pPr>
              <w:pStyle w:val="null3"/>
              <w:jc w:val="right"/>
            </w:pPr>
            <w:r>
              <w:rPr/>
              <w:t>7,091.30</w:t>
            </w:r>
          </w:p>
        </w:tc>
        <w:tc>
          <w:tcPr>
            <w:tcW w:type="dxa" w:w="748"/>
          </w:tcPr>
          <w:p>
            <w:pPr>
              <w:pStyle w:val="null3"/>
            </w:pPr>
            <w:r>
              <w:rPr/>
              <w:t>0.35</w:t>
            </w:r>
          </w:p>
        </w:tc>
        <w:tc>
          <w:tcPr>
            <w:tcW w:type="dxa" w:w="823"/>
          </w:tcPr>
          <w:p>
            <w:pPr>
              <w:pStyle w:val="null3"/>
            </w:pPr>
            <w:r>
              <w:rPr/>
              <w:t>工业</w:t>
            </w:r>
          </w:p>
        </w:tc>
        <w:tc>
          <w:tcPr>
            <w:tcW w:type="dxa" w:w="748"/>
          </w:tcPr>
          <w:p>
            <w:pPr>
              <w:pStyle w:val="null3"/>
            </w:pPr>
            <w:r>
              <w:rPr/>
              <w:t>详见附表三</w:t>
            </w:r>
          </w:p>
        </w:tc>
      </w:tr>
      <w:tr>
        <w:tc>
          <w:tcPr>
            <w:tcW w:type="dxa" w:w="748"/>
          </w:tcPr>
          <w:p>
            <w:pPr>
              <w:pStyle w:val="null3"/>
              <w:jc w:val="center"/>
            </w:pPr>
            <w:r>
              <w:rPr/>
              <w:t>4</w:t>
            </w:r>
          </w:p>
        </w:tc>
        <w:tc>
          <w:tcPr>
            <w:tcW w:type="dxa" w:w="748"/>
          </w:tcPr>
          <w:p/>
        </w:tc>
        <w:tc>
          <w:tcPr>
            <w:tcW w:type="dxa" w:w="748"/>
          </w:tcPr>
          <w:p>
            <w:pPr>
              <w:pStyle w:val="null3"/>
              <w:jc w:val="left"/>
            </w:pPr>
            <w:r>
              <w:rPr/>
              <w:t>沥青混合物</w:t>
            </w:r>
          </w:p>
        </w:tc>
        <w:tc>
          <w:tcPr>
            <w:tcW w:type="dxa" w:w="748"/>
          </w:tcPr>
          <w:p>
            <w:pPr>
              <w:pStyle w:val="null3"/>
              <w:jc w:val="left"/>
            </w:pPr>
            <w:r>
              <w:rPr/>
              <w:t>乳化沥青</w:t>
            </w:r>
          </w:p>
        </w:tc>
        <w:tc>
          <w:tcPr>
            <w:tcW w:type="dxa" w:w="748"/>
          </w:tcPr>
          <w:p>
            <w:pPr>
              <w:pStyle w:val="null3"/>
              <w:jc w:val="left"/>
            </w:pPr>
            <w:r>
              <w:rPr/>
              <w:t>项</w:t>
            </w:r>
          </w:p>
        </w:tc>
        <w:tc>
          <w:tcPr>
            <w:tcW w:type="dxa" w:w="748"/>
          </w:tcPr>
          <w:p>
            <w:pPr>
              <w:pStyle w:val="null3"/>
              <w:jc w:val="right"/>
            </w:pPr>
            <w:r>
              <w:rPr/>
              <w:t>1.00</w:t>
            </w:r>
          </w:p>
        </w:tc>
        <w:tc>
          <w:tcPr>
            <w:tcW w:type="dxa" w:w="748"/>
          </w:tcPr>
          <w:p>
            <w:pPr>
              <w:pStyle w:val="null3"/>
              <w:jc w:val="right"/>
            </w:pPr>
            <w:r>
              <w:rPr/>
              <w:t>606,177.25</w:t>
            </w:r>
          </w:p>
        </w:tc>
        <w:tc>
          <w:tcPr>
            <w:tcW w:type="dxa" w:w="748"/>
          </w:tcPr>
          <w:p>
            <w:pPr>
              <w:pStyle w:val="null3"/>
              <w:jc w:val="right"/>
            </w:pPr>
            <w:r>
              <w:rPr/>
              <w:t>606,177.25</w:t>
            </w:r>
          </w:p>
        </w:tc>
        <w:tc>
          <w:tcPr>
            <w:tcW w:type="dxa" w:w="748"/>
          </w:tcPr>
          <w:p>
            <w:pPr>
              <w:pStyle w:val="null3"/>
            </w:pPr>
            <w:r>
              <w:rPr/>
              <w:t>30.15</w:t>
            </w:r>
          </w:p>
        </w:tc>
        <w:tc>
          <w:tcPr>
            <w:tcW w:type="dxa" w:w="823"/>
          </w:tcPr>
          <w:p>
            <w:pPr>
              <w:pStyle w:val="null3"/>
            </w:pPr>
            <w:r>
              <w:rPr/>
              <w:t>工业</w:t>
            </w:r>
          </w:p>
        </w:tc>
        <w:tc>
          <w:tcPr>
            <w:tcW w:type="dxa" w:w="748"/>
          </w:tcPr>
          <w:p>
            <w:pPr>
              <w:pStyle w:val="null3"/>
            </w:pPr>
            <w:r>
              <w:rPr/>
              <w:t>详见附表四</w:t>
            </w:r>
          </w:p>
        </w:tc>
      </w:tr>
      <w:tr>
        <w:tc>
          <w:tcPr>
            <w:tcW w:type="dxa" w:w="748"/>
          </w:tcPr>
          <w:p>
            <w:pPr>
              <w:pStyle w:val="null3"/>
              <w:jc w:val="center"/>
            </w:pPr>
            <w:r>
              <w:rPr/>
              <w:t>5</w:t>
            </w:r>
          </w:p>
        </w:tc>
        <w:tc>
          <w:tcPr>
            <w:tcW w:type="dxa" w:w="748"/>
          </w:tcPr>
          <w:p/>
        </w:tc>
        <w:tc>
          <w:tcPr>
            <w:tcW w:type="dxa" w:w="748"/>
          </w:tcPr>
          <w:p>
            <w:pPr>
              <w:pStyle w:val="null3"/>
              <w:jc w:val="left"/>
            </w:pPr>
            <w:r>
              <w:rPr/>
              <w:t>沥青混合物</w:t>
            </w:r>
          </w:p>
        </w:tc>
        <w:tc>
          <w:tcPr>
            <w:tcW w:type="dxa" w:w="748"/>
          </w:tcPr>
          <w:p>
            <w:pPr>
              <w:pStyle w:val="null3"/>
              <w:jc w:val="left"/>
            </w:pPr>
            <w:r>
              <w:rPr/>
              <w:t>冷料</w:t>
            </w:r>
          </w:p>
        </w:tc>
        <w:tc>
          <w:tcPr>
            <w:tcW w:type="dxa" w:w="748"/>
          </w:tcPr>
          <w:p>
            <w:pPr>
              <w:pStyle w:val="null3"/>
              <w:jc w:val="left"/>
            </w:pPr>
            <w:r>
              <w:rPr/>
              <w:t>项</w:t>
            </w:r>
          </w:p>
        </w:tc>
        <w:tc>
          <w:tcPr>
            <w:tcW w:type="dxa" w:w="748"/>
          </w:tcPr>
          <w:p>
            <w:pPr>
              <w:pStyle w:val="null3"/>
              <w:jc w:val="right"/>
            </w:pPr>
            <w:r>
              <w:rPr/>
              <w:t>1.00</w:t>
            </w:r>
          </w:p>
        </w:tc>
        <w:tc>
          <w:tcPr>
            <w:tcW w:type="dxa" w:w="748"/>
          </w:tcPr>
          <w:p>
            <w:pPr>
              <w:pStyle w:val="null3"/>
              <w:jc w:val="right"/>
            </w:pPr>
            <w:r>
              <w:rPr/>
              <w:t>206,832.20</w:t>
            </w:r>
          </w:p>
        </w:tc>
        <w:tc>
          <w:tcPr>
            <w:tcW w:type="dxa" w:w="748"/>
          </w:tcPr>
          <w:p>
            <w:pPr>
              <w:pStyle w:val="null3"/>
              <w:jc w:val="right"/>
            </w:pPr>
            <w:r>
              <w:rPr/>
              <w:t>206,832.20</w:t>
            </w:r>
          </w:p>
        </w:tc>
        <w:tc>
          <w:tcPr>
            <w:tcW w:type="dxa" w:w="748"/>
          </w:tcPr>
          <w:p>
            <w:pPr>
              <w:pStyle w:val="null3"/>
            </w:pPr>
            <w:r>
              <w:rPr/>
              <w:t>10.29</w:t>
            </w:r>
          </w:p>
        </w:tc>
        <w:tc>
          <w:tcPr>
            <w:tcW w:type="dxa" w:w="823"/>
          </w:tcPr>
          <w:p>
            <w:pPr>
              <w:pStyle w:val="null3"/>
            </w:pPr>
            <w:r>
              <w:rPr/>
              <w:t>工业</w:t>
            </w:r>
          </w:p>
        </w:tc>
        <w:tc>
          <w:tcPr>
            <w:tcW w:type="dxa" w:w="748"/>
          </w:tcPr>
          <w:p>
            <w:pPr>
              <w:pStyle w:val="null3"/>
            </w:pPr>
            <w:r>
              <w:rPr/>
              <w:t>详见附表五</w:t>
            </w:r>
          </w:p>
        </w:tc>
      </w:tr>
      <w:tr>
        <w:tc>
          <w:tcPr>
            <w:tcW w:type="dxa" w:w="748"/>
          </w:tcPr>
          <w:p>
            <w:pPr>
              <w:pStyle w:val="null3"/>
              <w:jc w:val="center"/>
            </w:pPr>
            <w:r>
              <w:rPr/>
              <w:t>6</w:t>
            </w:r>
          </w:p>
        </w:tc>
        <w:tc>
          <w:tcPr>
            <w:tcW w:type="dxa" w:w="748"/>
          </w:tcPr>
          <w:p/>
        </w:tc>
        <w:tc>
          <w:tcPr>
            <w:tcW w:type="dxa" w:w="748"/>
          </w:tcPr>
          <w:p>
            <w:pPr>
              <w:pStyle w:val="null3"/>
              <w:jc w:val="left"/>
            </w:pPr>
            <w:r>
              <w:rPr/>
              <w:t>沥青混合物</w:t>
            </w:r>
          </w:p>
        </w:tc>
        <w:tc>
          <w:tcPr>
            <w:tcW w:type="dxa" w:w="748"/>
          </w:tcPr>
          <w:p>
            <w:pPr>
              <w:pStyle w:val="null3"/>
              <w:jc w:val="left"/>
            </w:pPr>
            <w:r>
              <w:rPr/>
              <w:t>灌缝胶</w:t>
            </w:r>
          </w:p>
        </w:tc>
        <w:tc>
          <w:tcPr>
            <w:tcW w:type="dxa" w:w="748"/>
          </w:tcPr>
          <w:p>
            <w:pPr>
              <w:pStyle w:val="null3"/>
              <w:jc w:val="left"/>
            </w:pPr>
            <w:r>
              <w:rPr/>
              <w:t>项</w:t>
            </w:r>
          </w:p>
        </w:tc>
        <w:tc>
          <w:tcPr>
            <w:tcW w:type="dxa" w:w="748"/>
          </w:tcPr>
          <w:p>
            <w:pPr>
              <w:pStyle w:val="null3"/>
              <w:jc w:val="right"/>
            </w:pPr>
            <w:r>
              <w:rPr/>
              <w:t>1.00</w:t>
            </w:r>
          </w:p>
        </w:tc>
        <w:tc>
          <w:tcPr>
            <w:tcW w:type="dxa" w:w="748"/>
          </w:tcPr>
          <w:p>
            <w:pPr>
              <w:pStyle w:val="null3"/>
              <w:jc w:val="right"/>
            </w:pPr>
            <w:r>
              <w:rPr/>
              <w:t>259,536.90</w:t>
            </w:r>
          </w:p>
        </w:tc>
        <w:tc>
          <w:tcPr>
            <w:tcW w:type="dxa" w:w="748"/>
          </w:tcPr>
          <w:p>
            <w:pPr>
              <w:pStyle w:val="null3"/>
              <w:jc w:val="right"/>
            </w:pPr>
            <w:r>
              <w:rPr/>
              <w:t>259,536.90</w:t>
            </w:r>
          </w:p>
        </w:tc>
        <w:tc>
          <w:tcPr>
            <w:tcW w:type="dxa" w:w="748"/>
          </w:tcPr>
          <w:p>
            <w:pPr>
              <w:pStyle w:val="null3"/>
            </w:pPr>
            <w:r>
              <w:rPr/>
              <w:t>12.9</w:t>
            </w:r>
          </w:p>
        </w:tc>
        <w:tc>
          <w:tcPr>
            <w:tcW w:type="dxa" w:w="823"/>
          </w:tcPr>
          <w:p>
            <w:pPr>
              <w:pStyle w:val="null3"/>
            </w:pPr>
            <w:r>
              <w:rPr/>
              <w:t>工业</w:t>
            </w:r>
          </w:p>
        </w:tc>
        <w:tc>
          <w:tcPr>
            <w:tcW w:type="dxa" w:w="748"/>
          </w:tcPr>
          <w:p>
            <w:pPr>
              <w:pStyle w:val="null3"/>
            </w:pPr>
            <w:r>
              <w:rPr/>
              <w:t>详见附表六</w:t>
            </w:r>
          </w:p>
        </w:tc>
      </w:tr>
    </w:tbl>
    <w:p>
      <w:pPr>
        <w:pStyle w:val="null3"/>
      </w:pPr>
      <w:r>
        <w:rPr/>
        <w:t>备注：最终综合总报价=（各产品报价×各项产品权重）的相加值</w:t>
      </w:r>
    </w:p>
    <w:p>
      <w:pPr>
        <w:pStyle w:val="null3"/>
      </w:pPr>
      <w:r>
        <w:rPr>
          <w:b/>
        </w:rPr>
        <w:t>附表</w:t>
      </w:r>
      <w:r>
        <w:rPr>
          <w:b/>
        </w:rPr>
        <w:t>一</w:t>
      </w:r>
      <w:r>
        <w:rPr>
          <w:b/>
        </w:rPr>
        <w:t>：</w:t>
      </w:r>
      <w:r>
        <w:rPr>
          <w:b/>
        </w:rPr>
        <w:t>重交70#-A沥青(罐车运输散装）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具体技术（参数</w:t>
            </w:r>
            <w:r>
              <w:rPr>
                <w:sz w:val="21"/>
              </w:rPr>
              <w:t>)</w:t>
            </w:r>
            <w:r>
              <w:rPr>
                <w:sz w:val="21"/>
              </w:rPr>
              <w:t>要求详见</w:t>
            </w:r>
            <w:r>
              <w:rPr>
                <w:sz w:val="21"/>
              </w:rPr>
              <w:t>“</w:t>
            </w:r>
            <w:r>
              <w:rPr>
                <w:sz w:val="21"/>
              </w:rPr>
              <w:t xml:space="preserve">第二章 </w:t>
            </w:r>
            <w:r>
              <w:rPr>
                <w:sz w:val="21"/>
              </w:rPr>
              <w:t>采购</w:t>
            </w:r>
            <w:r>
              <w:rPr>
                <w:sz w:val="21"/>
              </w:rPr>
              <w:t>需求</w:t>
            </w:r>
            <w:r>
              <w:rPr>
                <w:sz w:val="21"/>
              </w:rPr>
              <w:t>”</w:t>
            </w:r>
            <w:r>
              <w:rPr>
                <w:sz w:val="21"/>
              </w:rPr>
              <w:t>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重交70#-A沥青(袋装）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具体技术（参数</w:t>
            </w:r>
            <w:r>
              <w:rPr>
                <w:sz w:val="21"/>
              </w:rPr>
              <w:t>)</w:t>
            </w:r>
            <w:r>
              <w:rPr>
                <w:sz w:val="21"/>
              </w:rPr>
              <w:t>要求详见</w:t>
            </w:r>
            <w:r>
              <w:rPr>
                <w:sz w:val="21"/>
              </w:rPr>
              <w:t>“</w:t>
            </w:r>
            <w:r>
              <w:rPr>
                <w:sz w:val="21"/>
              </w:rPr>
              <w:t xml:space="preserve">第二章 </w:t>
            </w:r>
            <w:r>
              <w:rPr>
                <w:sz w:val="21"/>
              </w:rPr>
              <w:t>采购</w:t>
            </w:r>
            <w:r>
              <w:rPr>
                <w:sz w:val="21"/>
              </w:rPr>
              <w:t>需求</w:t>
            </w:r>
            <w:r>
              <w:rPr>
                <w:sz w:val="21"/>
              </w:rPr>
              <w:t>”</w:t>
            </w:r>
            <w:r>
              <w:rPr>
                <w:sz w:val="21"/>
              </w:rPr>
              <w:t>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10#沥青（灌缝用）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具体技术（参数)要求详见“第二章 采购需求”内容。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乳化沥青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具体技术（参数)要求详见“第二章 采购需求”内容。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冷料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具体技术（参数)要求详见“第二章 采购需求”内容。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灌缝胶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具体技术（参数)要求详见“第二章 采购需求”内容。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1.采购代理机构：本项目是指广东盈信项目管理有限公司，负责整个采购活动的组织，依法负责编制和发布招标文件，对招标文件拥有最终的解释权，不以任何身份出任评标委员会成员。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中山市公路事务中心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采购项目预算金额作为代理服务费的计算基数，参照《招标代理服务收费管理暂行办法》（计价格【2002】1980号）中“货物类”计费标准收取。服务费的货币为人民币，向中标供应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需要落实的政府采购政策：《政府采购促进中小企业发展暂行办法》（财库（2020）46号）、《关于政府采购支持监狱企业发展有关问题的通知》(财库〔2014〕68号)、《关于促进残疾人就业政府采购政策的通知》（财库〔2017〕141号)、《关于建立政府强制采购节能产品制度的通知》（国办发〔2007〕51号）、《转发财政部发展改革委生态环境部市场监管总局关于调整优化节能产品环境标志产品政府采购执行机制的通知》（粤财采购函〔2019〕1号）、关于转发《广东省财政厅关于落实2022年政府采购脱贫地区农副产品工作的通知》的通知（中财采购〔2022〕5号）等。 二、项目开标方式为“远程开标”，请投标人在开标时间截止前，将加密投标文件上传至云平台项目采购系统中，逾期上传或错误方式投递送达将导致投标无效。本项目将在云平台进行在线签到及在线解密，远程开标操作指南（供应商版）：https://gdgpo.czt.gd.gov.cn/help/transaction/gongyinshan.html。 三、在评审过程中（包括资格性审查、符合性审查），评标委员会（评审小组）对需要共同认定的事项存在争议的，应当按照少数服从多数的原则作出结论（持不同意见的评委可以在评审系统中填写意见或在报告上签署不同意见及理由）；同时，评委应在统一结论的情况下，配合完成评审系统的操作，确保评审流程顺利开展。 四、投标文件格式中法定代表人证明书及法定代表人授权书为参考格式，由投标人根据需要选用。 五、关于纸质投标文件的提交，投标文件提交截止时间前无须提供纸质投标文件，中标人在中标通知书发出后五个工作日内向采购代理提供与电子投标文件一致的纸质投标文件（正本1份，副本3份）。 六、政府采购合同融资：参与政府采购的中小微企业供应商，凭借中标（成交）通知书或政府采购合同向金融机构申请融资，金融机构以供应商信用审查和政府采购信誉为基础，按便捷贷款程序和优惠利率，为其发放无财产抵押贷款。详见《中山市财政局 中山市金融工作局 中国人民银行中山市中心支行关于开展中山市 政府采购合同融资工作的通知》，网址：https://gdgpo.czt.gd.gov.cn/freecms/site/guangdong/tzggzlm/info/2021/5738699.html。 七、根据《关于印发〈中山市政府采购支持中小微企业质押融资的实施意见〉的通知》规定： 1、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政府采购质押融资业务的银行机构联系人名单（1）中国农业发展银行中山市分行（客户业务部：邹可仕18802598981、信贷与风险管理部：陈小龙15889891688）。（2）中国工商银行中山分行（普惠金融事业部：陈炳菁18928108782、普惠金融事业部：杨培鹏15900085352）。（3）中国农业银行中山分行（普惠金融事业部：赖思韵22644682）。（4）广发银行中山分行（普惠金融部：林光宇88862643）。（5）中国邮政储蓄银行中山市分行（小企业金融部：黄嘉霖13824720741）。（6）中山农村商业银行（总行公司业务部：杜保森88884181）。（7）平安银行中山分行（普惠金融部：林晓冰13823931817）。（8）兴业银行中山分行（企业金融部：刘中芳0760-88368666-203172）。（9）招商银行中山分行（公司金融事业部：唐庆颖13924998608）。（10）中国光大银行中山分行（公司业务管理部：张梓颖0760-88858067）。（11）广州银行中山分行（公司金融部：杨顺龙88776919）。（12）中信银行中山分行（普惠金融部：陈廷忠15113386853、普惠金融部：余超贤15918291829）。（13）渤海银行中山分行（公司金融部：李建夏13631124024/0760-87911816、分行营业部：徐艺：13928142042/0760-87911808）。（14）华夏银行中山分行（营销管理部：叶怡28137855）。（15）东莞银行中山分行（业务部：赵荣耀13042854636/86939959）。（16）东亚银行（中国）有限公司中山支行（中山支行：王涛89986282/18926998881）。（17）浦发银行中山分行（交易银行部：付涛0760-89982303）</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广东盈信项目管理有限公司</w:t>
      </w:r>
      <w:r>
        <w:rPr/>
        <w:t>代收。具体操作要求详见</w:t>
      </w:r>
      <w:r>
        <w:rPr/>
        <w:t>广东盈信项目管理有限公司</w:t>
      </w:r>
      <w:r>
        <w:rPr/>
        <w:t>有关指引，递交事宜请自行咨询</w:t>
      </w:r>
      <w:r>
        <w:rPr/>
        <w:t>广东盈信项目管理有限公司</w:t>
      </w:r>
      <w:r>
        <w:rPr/>
        <w:t>；请各投标人在投标文件递交截止时间前按须知前附表规定的金额递交至</w:t>
      </w:r>
      <w:r>
        <w:rPr/>
        <w:t>广东盈信项目管理有限公司</w:t>
      </w:r>
      <w:r>
        <w:rPr/>
        <w:t>，到账情况以开标时</w:t>
      </w:r>
      <w:r>
        <w:rPr/>
        <w:t>广东盈信项目管理有限公司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广东盈信项目管理有限公司（http://www.gdyxpm.cn）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广东盈信项目管理有限公司（http://www.gdyxpm.cn）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李先生、张小姐、陈小姐</w:t>
      </w:r>
    </w:p>
    <w:p>
      <w:pPr>
        <w:pStyle w:val="null3"/>
        <w:ind w:firstLine="480"/>
      </w:pPr>
      <w:r>
        <w:rPr/>
        <w:t>电话：</w:t>
      </w:r>
      <w:r>
        <w:rPr/>
        <w:t>0760-86121889</w:t>
      </w:r>
    </w:p>
    <w:p>
      <w:pPr>
        <w:pStyle w:val="null3"/>
        <w:ind w:firstLine="480"/>
      </w:pPr>
      <w:r>
        <w:rPr/>
        <w:t>传真：</w:t>
      </w:r>
      <w:r>
        <w:rPr/>
        <w:t>86121898</w:t>
      </w:r>
    </w:p>
    <w:p>
      <w:pPr>
        <w:pStyle w:val="null3"/>
        <w:ind w:firstLine="480"/>
      </w:pPr>
      <w:r>
        <w:rPr/>
        <w:t>邮箱：</w:t>
      </w:r>
      <w:r>
        <w:rPr/>
        <w:t>gdyxgl@126.com</w:t>
      </w:r>
    </w:p>
    <w:p>
      <w:pPr>
        <w:pStyle w:val="null3"/>
        <w:ind w:firstLine="480"/>
      </w:pPr>
      <w:r>
        <w:rPr/>
        <w:t>地址：</w:t>
      </w:r>
      <w:r>
        <w:rPr/>
        <w:t>中山市东区街道新村新华街十号二楼</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公路事务中心2026年养护材料（道路石油沥青）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广东盈信项目管理有限公司</w:t>
      </w:r>
      <w:r>
        <w:rPr/>
        <w:t>统一对外发布。</w:t>
      </w:r>
    </w:p>
    <w:p>
      <w:pPr>
        <w:pStyle w:val="null3"/>
        <w:ind w:firstLine="480"/>
      </w:pPr>
      <w:r>
        <w:rPr/>
        <w:t>（2）对</w:t>
      </w:r>
      <w:r>
        <w:rPr/>
        <w:t>广东盈信项目管理有限公司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采购包1（中山市公路事务中心2026年养护材料（道路石油沥青）采购项目）：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采购包1（中山市公路事务中心2026年养护材料（道路石油沥青）采购项目）：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时提供近12个月内任意1个月依法缴纳税收和社会保障资金的缴费凭证等相关材料（如依法免税或不需要缴纳社会保障资金的，提供相应证明材料）；或提供《政府采购供应商资格信用承诺函》（格式详见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经审计的财务报告或近12个月内任意1个月编制的财务报表或基本开户行出具的资信证明或政府采购专业担保机构出具的投标担保函；或提供《政府采购供应商资格信用承诺函》（格式详见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提供承诺函（格式自拟），或按投标（响应）文件格式填报设备和专业技术能力情况。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格式详见公告附件）或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项目属于专门面向小微企业采购项目，供应商提供的所有产品须全部由小微企业生产且使用该小微企业商号或注册商标。供应商根据《中小企业划型标准规定》《广东省财政厅关于进一步规范政府采购活动中落实促进中小企业发展政策的通知》要求自行判定是否属于工业的小微企业，符合小微类型的方可参与本项目的投标； 2)本项目属于货物类项目，采购标的对应的中小企业划分标准所属行业为：工业； 3)《中小企业声明函》按《广东省财政厅关于进一步规范政府采购活动中落实促进中小企业发展政策的通知》要求进行填写，此项将作为资格审查的必要项，如未按要求提供将视为无效投标。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采购包1（中山市公路事务中心2026年养护材料（道路石油沥青）采购项目）：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投标函及投标有效期</w:t>
            </w:r>
          </w:p>
        </w:tc>
        <w:tc>
          <w:tcPr>
            <w:tcW w:type="dxa" w:w="4238"/>
          </w:tcPr>
          <w:p>
            <w:pPr>
              <w:pStyle w:val="null3"/>
            </w:pPr>
            <w:r>
              <w:rPr/>
              <w:t>提供《投标函》，投标有效期符合招标文件要求。</w:t>
            </w:r>
          </w:p>
        </w:tc>
      </w:tr>
      <w:tr>
        <w:tc>
          <w:tcPr>
            <w:tcW w:type="dxa" w:w="890"/>
          </w:tcPr>
          <w:p>
            <w:pPr>
              <w:pStyle w:val="null3"/>
            </w:pPr>
            <w:r>
              <w:rPr/>
              <w:t>2</w:t>
            </w:r>
          </w:p>
        </w:tc>
        <w:tc>
          <w:tcPr>
            <w:tcW w:type="dxa" w:w="3178"/>
          </w:tcPr>
          <w:p>
            <w:pPr>
              <w:pStyle w:val="null3"/>
            </w:pPr>
            <w:r>
              <w:rPr/>
              <w:t>法定代表人及授权委托书</w:t>
            </w:r>
          </w:p>
        </w:tc>
        <w:tc>
          <w:tcPr>
            <w:tcW w:type="dxa" w:w="4238"/>
          </w:tcPr>
          <w:p>
            <w:pPr>
              <w:pStyle w:val="null3"/>
            </w:pPr>
            <w:r>
              <w:rPr/>
              <w:t>提供有效的法定代表人证明书及法定代表人授权书（如为法定代表人投标，则无须提供法定代表人授权书）。</w:t>
            </w:r>
          </w:p>
        </w:tc>
      </w:tr>
      <w:tr>
        <w:tc>
          <w:tcPr>
            <w:tcW w:type="dxa" w:w="890"/>
          </w:tcPr>
          <w:p>
            <w:pPr>
              <w:pStyle w:val="null3"/>
            </w:pPr>
            <w:r>
              <w:rPr/>
              <w:t>3</w:t>
            </w:r>
          </w:p>
        </w:tc>
        <w:tc>
          <w:tcPr>
            <w:tcW w:type="dxa" w:w="3178"/>
          </w:tcPr>
          <w:p>
            <w:pPr>
              <w:pStyle w:val="null3"/>
            </w:pPr>
            <w:r>
              <w:rPr/>
              <w:t>投标文件的签署、盖章</w:t>
            </w:r>
          </w:p>
        </w:tc>
        <w:tc>
          <w:tcPr>
            <w:tcW w:type="dxa" w:w="4238"/>
          </w:tcPr>
          <w:p>
            <w:pPr>
              <w:pStyle w:val="null3"/>
            </w:pPr>
            <w:r>
              <w:rPr/>
              <w:t>按照招标文件规定加盖公章和签署。</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投标报价符合招标文件要求且无重大不合理，且是固定唯一值的。</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满足招标文件中所有带“★”标识的实质性条款。</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无招标文件或法律法规明确规定可以废标的其他情形。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采购包1(中山市公路事务中心2026年养护材料（道路石油沥青）采购项目):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技术部分20.0分</w:t>
            </w:r>
          </w:p>
          <w:p>
            <w:pPr>
              <w:pStyle w:val="null3"/>
            </w:pPr>
            <w:r>
              <w:rPr/>
              <w:t>报价得分50.0分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(8.0分)</w:t>
            </w:r>
          </w:p>
        </w:tc>
        <w:tc>
          <w:tcPr>
            <w:tcW w:type="dxa" w:w="5076"/>
          </w:tcPr>
          <w:p>
            <w:pPr>
              <w:pStyle w:val="null3"/>
              <w:jc w:val="left"/>
            </w:pPr>
            <w:r>
              <w:rPr/>
              <w:t>根据各投标人提供的项目实施方案(包括但不限于货物的生产安排、货物运输保障、供货计划及进度保障、货物的安置、货物检验、人员安排等内容）进行评审: （1）方案完整（涵盖上述所有内容），内容有针对性和可操作性强，围绕采购需求目标展开，完全满足并优于采购需求的，得8分； （2）方案完整（涵盖上述所有内容），内容具有可操作性，满足采购需求的，得7分； （3）方案有缺漏（缺少上述内容任意一项），不完全满足采购需求的，得6分； （4）未提供项目实施方案的，得0分。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根据投标人提供的售后服务方案（包括但不限于服务措施、响应速度、质量保障与技术服务、回访与追踪机制等内容）进行评审： （1）方案完整（涵盖上述所有内容），内容有针对性和可操作性强，围绕采购需求目标展开，完全满足并优于采购需求的，得6分； （2）方案完整（涵盖上述所有内容），内容具有可操作性，满足采购需求的，得5分； （3）方案有缺漏（缺少上述内容任意一项），不完全满足采购需求的，得4分； （4）未提供售后服务方案的，得0分。</w:t>
            </w:r>
          </w:p>
        </w:tc>
      </w:tr>
      <w:tr>
        <w:tc>
          <w:tcPr>
            <w:tcW w:type="dxa" w:w="922"/>
            <w:gridSpan w:val="2"/>
            <w:vMerge/>
          </w:tcPr>
          <w:p/>
        </w:tc>
        <w:tc>
          <w:tcPr>
            <w:tcW w:type="dxa" w:w="2307"/>
          </w:tcPr>
          <w:p>
            <w:pPr>
              <w:pStyle w:val="null3"/>
              <w:jc w:val="left"/>
            </w:pPr>
            <w:r>
              <w:rPr/>
              <w:t>应急保障措施方案 (6.0分)</w:t>
            </w:r>
          </w:p>
        </w:tc>
        <w:tc>
          <w:tcPr>
            <w:tcW w:type="dxa" w:w="5076"/>
          </w:tcPr>
          <w:p>
            <w:pPr>
              <w:pStyle w:val="null3"/>
              <w:jc w:val="left"/>
            </w:pPr>
            <w:r>
              <w:rPr/>
              <w:t>根据各投标人针对本项目提供的应急保障措施方案(包括但不限于配备应急设备情况、应急方法及应急措施等)进行评审: （1）方案完整（涵盖上述所有内容），内容有针对性和可操作性强，围绕采购需求目标展开，完全满足并优于采购需求的，得6分； （2）方案完整（涵盖上述所有内容），内容具有可操作性，满足采购需求的，得5分； （3）方案有缺漏（缺少上述内容任意一项），不完全满足采购需求的，得4分； （4）未提供应急方案的，得0分。</w:t>
            </w:r>
          </w:p>
        </w:tc>
      </w:tr>
      <w:tr>
        <w:tc>
          <w:tcPr>
            <w:tcW w:type="dxa" w:w="922"/>
            <w:gridSpan w:val="2"/>
          </w:tcPr>
          <w:p>
            <w:pPr>
              <w:pStyle w:val="null3"/>
              <w:jc w:val="center"/>
            </w:pPr>
            <w:r>
              <w:rPr/>
              <w:t>商务部分</w:t>
            </w:r>
          </w:p>
        </w:tc>
        <w:tc>
          <w:tcPr>
            <w:tcW w:type="dxa" w:w="2307"/>
          </w:tcPr>
          <w:p>
            <w:pPr>
              <w:pStyle w:val="null3"/>
              <w:jc w:val="left"/>
            </w:pPr>
            <w:r>
              <w:rPr/>
              <w:t>同类项目业绩 (30.0分)</w:t>
            </w:r>
          </w:p>
        </w:tc>
        <w:tc>
          <w:tcPr>
            <w:tcW w:type="dxa" w:w="5076"/>
          </w:tcPr>
          <w:p>
            <w:pPr>
              <w:pStyle w:val="null3"/>
              <w:jc w:val="left"/>
            </w:pPr>
            <w:r>
              <w:rPr/>
              <w:t>（1）投标人2023年1月1日至今承接过同类项目业绩，每提供1个业绩得2分，本项最高得20分。 注：a、同类项目业绩指合同内容包含本项目采购标的中的任一项产品；b、投标文件中提供合同或协议书复印件并加盖投标人公章，业绩时间以合同签订时间为准，同一采购单位的业绩不累计得分，未按要求提供的不得分。 （2）提供上述有效业绩的评价，对采购单位出具的评价进行评审，评价结果为“好评”或“优秀”或相同含义，每提供一个得1分，本小项最高得10分。 注：投标文件中提供采购单位出具的评价证明文件（评价证明文件上加盖采购人公章）复印件并加盖投标人公章，且项目内容、项目名称、采购人名称及评价文件的公章须与对应合同相符，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(50.0分)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广东省政府采购</w:t>
      </w:r>
    </w:p>
    <w:p>
      <w:pPr>
        <w:pStyle w:val="null3"/>
        <w:jc w:val="both"/>
      </w:pPr>
      <w:r>
        <w:rPr/>
        <w:t xml:space="preserve"> </w:t>
      </w:r>
    </w:p>
    <w:p>
      <w:pPr>
        <w:pStyle w:val="null3"/>
        <w:jc w:val="center"/>
      </w:pPr>
      <w:r>
        <w:rPr>
          <w:sz w:val="28"/>
          <w:b/>
        </w:rPr>
        <w:t>合　同　书</w:t>
      </w:r>
    </w:p>
    <w:p>
      <w:pPr>
        <w:pStyle w:val="null3"/>
        <w:jc w:val="center"/>
      </w:pPr>
      <w:r>
        <w:br/>
      </w:r>
      <w:r>
        <w:br/>
      </w:r>
      <w:r>
        <w:br/>
      </w:r>
      <w:r>
        <w:br/>
      </w:r>
      <w:r>
        <w:br/>
      </w:r>
      <w:r>
        <w:br/>
      </w:r>
      <w:r>
        <w:br/>
      </w:r>
      <w:r>
        <w:br/>
      </w:r>
      <w:r>
        <w:rPr/>
        <w:t xml:space="preserve">     </w:t>
      </w:r>
    </w:p>
    <w:p>
      <w:pPr>
        <w:pStyle w:val="null3"/>
        <w:jc w:val="both"/>
      </w:pPr>
      <w:r>
        <w:rPr>
          <w:sz w:val="28"/>
        </w:rPr>
        <w:t>采购计划编号：</w:t>
      </w:r>
      <w:r>
        <w:rPr>
          <w:u w:val="single"/>
        </w:rPr>
        <w:t xml:space="preserve">                          </w:t>
      </w:r>
    </w:p>
    <w:p>
      <w:pPr>
        <w:pStyle w:val="null3"/>
        <w:jc w:val="both"/>
      </w:pPr>
      <w:r>
        <w:rPr/>
        <w:t xml:space="preserve"> </w:t>
      </w:r>
    </w:p>
    <w:p>
      <w:pPr>
        <w:pStyle w:val="null3"/>
        <w:jc w:val="both"/>
      </w:pPr>
      <w:r>
        <w:rPr>
          <w:sz w:val="28"/>
        </w:rPr>
        <w:t>项目编号：</w:t>
      </w:r>
      <w:r>
        <w:rPr>
          <w:u w:val="single"/>
        </w:rPr>
        <w:t xml:space="preserve">                              </w:t>
      </w:r>
    </w:p>
    <w:p>
      <w:pPr>
        <w:pStyle w:val="null3"/>
        <w:jc w:val="both"/>
      </w:pPr>
      <w:r>
        <w:rPr/>
        <w:t xml:space="preserve"> </w:t>
      </w:r>
    </w:p>
    <w:p>
      <w:pPr>
        <w:pStyle w:val="null3"/>
        <w:jc w:val="both"/>
      </w:pPr>
      <w:r>
        <w:rPr>
          <w:sz w:val="28"/>
        </w:rPr>
        <w:t>项目名称：</w:t>
      </w:r>
      <w:r>
        <w:rPr>
          <w:sz w:val="28"/>
          <w:u w:val="single"/>
        </w:rPr>
        <w:t>中山市公路事务中心</w:t>
      </w:r>
      <w:r>
        <w:rPr>
          <w:sz w:val="28"/>
          <w:u w:val="single"/>
        </w:rPr>
        <w:t>2026</w:t>
      </w:r>
      <w:r>
        <w:rPr>
          <w:sz w:val="28"/>
          <w:u w:val="single"/>
        </w:rPr>
        <w:t>年养护材料</w:t>
      </w:r>
      <w:r>
        <w:rPr>
          <w:sz w:val="28"/>
          <w:u w:val="single"/>
        </w:rPr>
        <w:t>(</w:t>
      </w:r>
      <w:r>
        <w:rPr>
          <w:sz w:val="28"/>
          <w:u w:val="single"/>
        </w:rPr>
        <w:t>道路石油沥青</w:t>
      </w:r>
      <w:r>
        <w:rPr>
          <w:sz w:val="28"/>
          <w:u w:val="single"/>
        </w:rPr>
        <w:t>)</w:t>
      </w:r>
      <w:r>
        <w:rPr>
          <w:sz w:val="28"/>
          <w:u w:val="single"/>
        </w:rPr>
        <w:t>采购项目</w:t>
      </w:r>
      <w:r>
        <w:rPr>
          <w:u w:val="single"/>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br/>
      </w:r>
      <w:r>
        <w:rPr/>
        <w:t xml:space="preserve">     </w:t>
      </w:r>
    </w:p>
    <w:p>
      <w:pPr>
        <w:pStyle w:val="null3"/>
        <w:jc w:val="both"/>
      </w:pPr>
      <w:r>
        <w:rPr/>
        <w:t xml:space="preserve"> </w:t>
      </w:r>
    </w:p>
    <w:p>
      <w:pPr>
        <w:pStyle w:val="null3"/>
        <w:jc w:val="both"/>
      </w:pPr>
      <w:r>
        <w:rPr/>
        <w:t xml:space="preserve"> </w:t>
      </w:r>
    </w:p>
    <w:p>
      <w:pPr>
        <w:pStyle w:val="null3"/>
      </w:pPr>
      <w:r>
        <w:rPr/>
        <w:t xml:space="preserve">  </w:t>
      </w:r>
    </w:p>
    <w:p>
      <w:pPr>
        <w:pStyle w:val="null3"/>
        <w:jc w:val="both"/>
      </w:pPr>
      <w:r>
        <w:rPr/>
        <w:t xml:space="preserve"> </w:t>
      </w:r>
    </w:p>
    <w:p>
      <w:pPr>
        <w:pStyle w:val="null3"/>
      </w:pPr>
      <w:r>
        <w:rPr>
          <w:sz w:val="21"/>
        </w:rPr>
        <w:t xml:space="preserve"> </w:t>
      </w:r>
      <w:r>
        <w:rPr>
          <w:sz w:val="21"/>
        </w:rPr>
        <w:t>根据</w:t>
      </w:r>
      <w:r>
        <w:rPr>
          <w:sz w:val="21"/>
          <w:u w:val="single"/>
          <w:shd w:fill="FFFFFF" w:val="clear"/>
        </w:rPr>
        <w:t>中山市公路事务中心</w:t>
      </w:r>
      <w:r>
        <w:rPr>
          <w:sz w:val="21"/>
          <w:u w:val="single"/>
          <w:shd w:fill="FFFFFF" w:val="clear"/>
        </w:rPr>
        <w:t>2026</w:t>
      </w:r>
      <w:r>
        <w:rPr>
          <w:sz w:val="21"/>
          <w:u w:val="single"/>
          <w:shd w:fill="FFFFFF" w:val="clear"/>
        </w:rPr>
        <w:t>年养护材料</w:t>
      </w:r>
      <w:r>
        <w:rPr>
          <w:sz w:val="21"/>
          <w:u w:val="single"/>
          <w:shd w:fill="FFFFFF" w:val="clear"/>
        </w:rPr>
        <w:t>(</w:t>
      </w:r>
      <w:r>
        <w:rPr>
          <w:sz w:val="21"/>
          <w:u w:val="single"/>
          <w:shd w:fill="FFFFFF" w:val="clear"/>
        </w:rPr>
        <w:t>道路石油沥青</w:t>
      </w:r>
      <w:r>
        <w:rPr>
          <w:sz w:val="21"/>
          <w:u w:val="single"/>
          <w:shd w:fill="FFFFFF" w:val="clear"/>
        </w:rPr>
        <w:t>)</w:t>
      </w:r>
      <w:r>
        <w:rPr>
          <w:sz w:val="21"/>
          <w:u w:val="single"/>
          <w:shd w:fill="FFFFFF" w:val="clear"/>
        </w:rPr>
        <w:t>采购项目</w:t>
      </w:r>
      <w:r>
        <w:rPr>
          <w:sz w:val="21"/>
        </w:rPr>
        <w:t>的招标结果，按照《中华人民共和国政府采购法》，《中华人民共和国民法典》的规定，经双方协商，本着平等互利和诚实信用的原则，一致同意遵守本合同如下。</w:t>
      </w:r>
    </w:p>
    <w:p>
      <w:pPr>
        <w:pStyle w:val="null3"/>
        <w:ind w:firstLine="422"/>
      </w:pPr>
      <w:r>
        <w:rPr>
          <w:sz w:val="21"/>
          <w:b/>
        </w:rPr>
        <w:t>一、合同标的</w:t>
      </w:r>
    </w:p>
    <w:p>
      <w:pPr>
        <w:pStyle w:val="null3"/>
        <w:ind w:firstLine="420"/>
      </w:pPr>
      <w:r>
        <w:rPr>
          <w:sz w:val="21"/>
        </w:rPr>
        <w:t>（一）本合同标的为</w:t>
      </w:r>
      <w:r>
        <w:rPr>
          <w:sz w:val="21"/>
          <w:u w:val="single"/>
          <w:shd w:fill="FFFFFF" w:val="clear"/>
        </w:rPr>
        <w:t>中山市公路事务中心</w:t>
      </w:r>
      <w:r>
        <w:rPr>
          <w:sz w:val="21"/>
          <w:u w:val="single"/>
          <w:shd w:fill="FFFFFF" w:val="clear"/>
        </w:rPr>
        <w:t>2026</w:t>
      </w:r>
      <w:r>
        <w:rPr>
          <w:sz w:val="21"/>
          <w:u w:val="single"/>
          <w:shd w:fill="FFFFFF" w:val="clear"/>
        </w:rPr>
        <w:t>年养护材料</w:t>
      </w:r>
      <w:r>
        <w:rPr>
          <w:sz w:val="21"/>
          <w:u w:val="single"/>
          <w:shd w:fill="FFFFFF" w:val="clear"/>
        </w:rPr>
        <w:t>(</w:t>
      </w:r>
      <w:r>
        <w:rPr>
          <w:sz w:val="21"/>
          <w:u w:val="single"/>
          <w:shd w:fill="FFFFFF" w:val="clear"/>
        </w:rPr>
        <w:t>道路石油沥青</w:t>
      </w:r>
      <w:r>
        <w:rPr>
          <w:sz w:val="21"/>
          <w:u w:val="single"/>
          <w:shd w:fill="FFFFFF" w:val="clear"/>
        </w:rPr>
        <w:t>)</w:t>
      </w:r>
      <w:r>
        <w:rPr>
          <w:sz w:val="21"/>
          <w:u w:val="single"/>
          <w:shd w:fill="FFFFFF" w:val="clear"/>
        </w:rPr>
        <w:t>采购项目</w:t>
      </w:r>
      <w:r>
        <w:rPr>
          <w:sz w:val="21"/>
        </w:rPr>
        <w:t>，合同内容包括货物、包装费、运输费、保险费、税费（印花税等）、装卸费、过磅费、转场费、损耗费、人工费、仓储费、验收及其他所有相关服务费用（币种：人民币）。</w:t>
      </w:r>
    </w:p>
    <w:p>
      <w:pPr>
        <w:pStyle w:val="null3"/>
        <w:ind w:firstLine="420"/>
      </w:pPr>
      <w:r>
        <w:rPr>
          <w:sz w:val="21"/>
        </w:rPr>
        <w:t>（二）标的名称、型号规格、单位、制造商、单价</w:t>
      </w:r>
    </w:p>
    <w:tbl>
      <w:tblPr>
        <w:tblW w:w="0" w:type="auto"/>
        <w:tblBorders>
          <w:top w:val="none" w:color="000000" w:sz="4"/>
          <w:left w:val="none" w:color="000000" w:sz="4"/>
          <w:bottom w:val="none" w:color="000000" w:sz="4"/>
          <w:right w:val="none" w:color="000000" w:sz="4"/>
          <w:insideH w:val="none"/>
          <w:insideV w:val="none"/>
        </w:tblBorders>
      </w:tblPr>
      <w:tblGrid>
        <w:gridCol w:w="422"/>
        <w:gridCol w:w="2065"/>
        <w:gridCol w:w="1131"/>
        <w:gridCol w:w="663"/>
        <w:gridCol w:w="1673"/>
        <w:gridCol w:w="1658"/>
        <w:gridCol w:w="693"/>
      </w:tblGrid>
      <w:tr>
        <w:tc>
          <w:tcPr>
            <w:tcW w:type="dxa" w:w="4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1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型号规格</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制造商</w:t>
            </w:r>
          </w:p>
          <w:p>
            <w:pPr>
              <w:pStyle w:val="null3"/>
              <w:jc w:val="center"/>
            </w:pPr>
            <w:r>
              <w:rPr>
                <w:sz w:val="21"/>
              </w:rPr>
              <w:t>（供应商）</w:t>
            </w:r>
          </w:p>
        </w:tc>
        <w:tc>
          <w:tcPr>
            <w:tcW w:type="dxa" w:w="1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最高单价限价（元）</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重交</w:t>
            </w:r>
            <w:r>
              <w:rPr>
                <w:sz w:val="21"/>
              </w:rPr>
              <w:t xml:space="preserve">70#-A </w:t>
            </w:r>
            <w:r>
              <w:rPr>
                <w:sz w:val="21"/>
              </w:rPr>
              <w:t>沥青 （罐车运输散装 ）</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吨</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重交</w:t>
            </w:r>
            <w:r>
              <w:rPr>
                <w:sz w:val="21"/>
              </w:rPr>
              <w:t xml:space="preserve">70#-A </w:t>
            </w:r>
            <w:r>
              <w:rPr>
                <w:sz w:val="21"/>
              </w:rPr>
              <w:t>沥青 （袋装）</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吨</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沥青</w:t>
            </w:r>
            <w:r>
              <w:rPr>
                <w:sz w:val="21"/>
              </w:rPr>
              <w:t>(</w:t>
            </w:r>
            <w:r>
              <w:rPr>
                <w:sz w:val="21"/>
              </w:rPr>
              <w:t>灌缝用</w:t>
            </w:r>
            <w:r>
              <w:rPr>
                <w:sz w:val="21"/>
              </w:rPr>
              <w:t>)</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吨</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乳化沥青</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吨</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冷料</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吨</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灌缝胶</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吨</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项目配置要求、供货范围、技术规格详见合同附件（如有）</w:t>
            </w:r>
            <w:r>
              <w:rPr>
                <w:sz w:val="21"/>
              </w:rPr>
              <w:t xml:space="preserve">      </w:t>
            </w:r>
          </w:p>
        </w:tc>
      </w:tr>
    </w:tbl>
    <w:p>
      <w:pPr>
        <w:pStyle w:val="null3"/>
        <w:ind w:firstLine="422"/>
      </w:pPr>
      <w:r>
        <w:rPr>
          <w:sz w:val="21"/>
          <w:b/>
        </w:rPr>
        <w:t>二、价格</w:t>
      </w:r>
    </w:p>
    <w:p>
      <w:pPr>
        <w:pStyle w:val="null3"/>
        <w:ind w:firstLine="420"/>
      </w:pPr>
      <w:r>
        <w:rPr>
          <w:sz w:val="21"/>
        </w:rPr>
        <w:t>（一）合同总价：（人民币）大写：</w:t>
      </w:r>
      <w:r>
        <w:rPr>
          <w:sz w:val="21"/>
          <w:u w:val="single"/>
        </w:rPr>
        <w:t xml:space="preserve"> </w:t>
      </w:r>
      <w:r>
        <w:rPr>
          <w:sz w:val="21"/>
          <w:u w:val="single"/>
        </w:rPr>
        <w:t>贰佰零壹万零伍佰玖拾元玖角整</w:t>
      </w:r>
      <w:r>
        <w:rPr>
          <w:sz w:val="21"/>
        </w:rPr>
        <w:t>（</w:t>
      </w:r>
      <w:r>
        <w:rPr>
          <w:sz w:val="21"/>
        </w:rPr>
        <w:t>2010590.90</w:t>
      </w:r>
      <w:r>
        <w:rPr>
          <w:sz w:val="21"/>
        </w:rPr>
        <w:t>元），中标折扣率：</w:t>
      </w:r>
      <w:r>
        <w:rPr>
          <w:sz w:val="21"/>
          <w:u w:val="single"/>
        </w:rPr>
        <w:t xml:space="preserve">     </w:t>
      </w:r>
      <w:r>
        <w:rPr>
          <w:sz w:val="21"/>
          <w:u w:val="single"/>
        </w:rPr>
        <w:t>%</w:t>
      </w:r>
      <w:r>
        <w:rPr>
          <w:sz w:val="21"/>
        </w:rPr>
        <w:t>。</w:t>
      </w:r>
    </w:p>
    <w:p>
      <w:pPr>
        <w:pStyle w:val="null3"/>
        <w:ind w:firstLine="420"/>
      </w:pPr>
      <w:r>
        <w:rPr>
          <w:sz w:val="21"/>
        </w:rPr>
        <w:t>（二）本项目合同履行期为</w:t>
      </w:r>
      <w:r>
        <w:rPr>
          <w:sz w:val="21"/>
          <w:u w:val="single"/>
        </w:rPr>
        <w:t xml:space="preserve"> </w:t>
      </w:r>
      <w:r>
        <w:rPr>
          <w:sz w:val="21"/>
          <w:u w:val="single"/>
        </w:rPr>
        <w:t xml:space="preserve">1 </w:t>
      </w:r>
      <w:r>
        <w:rPr>
          <w:sz w:val="21"/>
        </w:rPr>
        <w:t>年，期限为</w:t>
      </w:r>
      <w:r>
        <w:rPr>
          <w:sz w:val="21"/>
          <w:u w:val="single"/>
        </w:rPr>
        <w:t>2026</w:t>
      </w:r>
      <w:r>
        <w:rPr>
          <w:sz w:val="21"/>
          <w:u w:val="single"/>
        </w:rPr>
        <w:t>年 月 日至</w:t>
      </w:r>
      <w:r>
        <w:rPr>
          <w:sz w:val="21"/>
          <w:u w:val="single"/>
        </w:rPr>
        <w:t>2027</w:t>
      </w:r>
      <w:r>
        <w:rPr>
          <w:sz w:val="21"/>
          <w:u w:val="single"/>
        </w:rPr>
        <w:t>年 月 日</w:t>
      </w:r>
      <w:r>
        <w:rPr>
          <w:sz w:val="21"/>
        </w:rPr>
        <w:t>。合同未到期但采购金额达到合同总额（人民币（</w:t>
      </w:r>
      <w:r>
        <w:rPr>
          <w:sz w:val="21"/>
        </w:rPr>
        <w:t>2010590.90</w:t>
      </w:r>
      <w:r>
        <w:rPr>
          <w:sz w:val="21"/>
        </w:rPr>
        <w:t>元）时，合同终止。（如因政府政策调整及甲方所需货物的需求量原因，导致甲方无法继续履行合同，经甲方通知，无论合同时间或金额是否达到要求，则合同自乙方收到通知之日自动终止）。</w:t>
      </w:r>
    </w:p>
    <w:p>
      <w:pPr>
        <w:pStyle w:val="null3"/>
        <w:ind w:firstLine="420"/>
      </w:pPr>
      <w:r>
        <w:rPr>
          <w:sz w:val="21"/>
        </w:rPr>
        <w:t>（三）总价包含了货物、包装费、运输费、保险费、税费（印花税等）、装卸费、过磅费、转场费、损耗费、人工费、仓储费、验收及其他所有相关服务费用。乙方不能因为开发票等手续再向甲方申请款项。</w:t>
      </w:r>
    </w:p>
    <w:p>
      <w:pPr>
        <w:pStyle w:val="null3"/>
        <w:ind w:firstLine="480"/>
        <w:jc w:val="left"/>
      </w:pPr>
      <w:r>
        <w:rPr>
          <w:sz w:val="21"/>
        </w:rPr>
        <w:t>（四）合同履行地点</w:t>
      </w:r>
    </w:p>
    <w:p>
      <w:pPr>
        <w:pStyle w:val="null3"/>
        <w:ind w:firstLine="420"/>
        <w:jc w:val="left"/>
      </w:pPr>
      <w:r>
        <w:rPr>
          <w:sz w:val="21"/>
        </w:rPr>
        <w:t>（</w:t>
      </w:r>
      <w:r>
        <w:rPr>
          <w:sz w:val="21"/>
        </w:rPr>
        <w:t>1</w:t>
      </w:r>
      <w:r>
        <w:rPr>
          <w:sz w:val="21"/>
        </w:rPr>
        <w:t>）中山市东升公路养护所 地址：中山市东升镇裕民大道</w:t>
      </w:r>
      <w:r>
        <w:rPr>
          <w:sz w:val="21"/>
        </w:rPr>
        <w:t>95</w:t>
      </w:r>
      <w:r>
        <w:rPr>
          <w:sz w:val="21"/>
        </w:rPr>
        <w:t xml:space="preserve">号。   </w:t>
      </w:r>
    </w:p>
    <w:p>
      <w:pPr>
        <w:pStyle w:val="null3"/>
        <w:ind w:firstLine="420"/>
        <w:jc w:val="left"/>
      </w:pPr>
      <w:r>
        <w:rPr>
          <w:sz w:val="21"/>
        </w:rPr>
        <w:t>（</w:t>
      </w:r>
      <w:r>
        <w:rPr>
          <w:sz w:val="21"/>
        </w:rPr>
        <w:t>2</w:t>
      </w:r>
      <w:r>
        <w:rPr>
          <w:sz w:val="21"/>
        </w:rPr>
        <w:t>）中山市三乡公路养护所 地址：中山市三乡镇白石村文华西路</w:t>
      </w:r>
      <w:r>
        <w:rPr>
          <w:sz w:val="21"/>
        </w:rPr>
        <w:t>167</w:t>
      </w:r>
      <w:r>
        <w:rPr>
          <w:sz w:val="21"/>
        </w:rPr>
        <w:t xml:space="preserve">号。  </w:t>
      </w:r>
    </w:p>
    <w:p>
      <w:pPr>
        <w:pStyle w:val="null3"/>
        <w:ind w:firstLine="420"/>
        <w:jc w:val="left"/>
      </w:pPr>
      <w:r>
        <w:rPr>
          <w:sz w:val="21"/>
        </w:rPr>
        <w:t>（</w:t>
      </w:r>
      <w:r>
        <w:rPr>
          <w:sz w:val="21"/>
        </w:rPr>
        <w:t>3</w:t>
      </w:r>
      <w:r>
        <w:rPr>
          <w:sz w:val="21"/>
        </w:rPr>
        <w:t>）中山市中山港公路养护所 地址：中山市逸仙路</w:t>
      </w:r>
      <w:r>
        <w:rPr>
          <w:sz w:val="21"/>
        </w:rPr>
        <w:t>6</w:t>
      </w:r>
      <w:r>
        <w:rPr>
          <w:sz w:val="21"/>
        </w:rPr>
        <w:t xml:space="preserve">号。  </w:t>
      </w:r>
    </w:p>
    <w:p>
      <w:pPr>
        <w:pStyle w:val="null3"/>
        <w:ind w:firstLine="420"/>
        <w:jc w:val="left"/>
      </w:pPr>
      <w:r>
        <w:rPr>
          <w:sz w:val="21"/>
        </w:rPr>
        <w:t>（</w:t>
      </w:r>
      <w:r>
        <w:rPr>
          <w:sz w:val="21"/>
        </w:rPr>
        <w:t>4</w:t>
      </w:r>
      <w:r>
        <w:rPr>
          <w:sz w:val="21"/>
        </w:rPr>
        <w:t>）中山市东凤公路养护所 地址：中山市东凤镇大道北</w:t>
      </w:r>
      <w:r>
        <w:rPr>
          <w:sz w:val="21"/>
        </w:rPr>
        <w:t>36</w:t>
      </w:r>
      <w:r>
        <w:rPr>
          <w:sz w:val="21"/>
        </w:rPr>
        <w:t xml:space="preserve">号。   </w:t>
      </w:r>
    </w:p>
    <w:p>
      <w:pPr>
        <w:pStyle w:val="null3"/>
        <w:ind w:firstLine="420"/>
        <w:jc w:val="left"/>
      </w:pPr>
      <w:r>
        <w:rPr>
          <w:sz w:val="21"/>
        </w:rPr>
        <w:t>（</w:t>
      </w:r>
      <w:r>
        <w:rPr>
          <w:sz w:val="21"/>
        </w:rPr>
        <w:t>5</w:t>
      </w:r>
      <w:r>
        <w:rPr>
          <w:sz w:val="21"/>
        </w:rPr>
        <w:t>）中山市公路事务中心省级公路交通应急装备物资储备保障中心  地址：中山市南区双龙路马岭沥青拌和中心。</w:t>
      </w:r>
    </w:p>
    <w:p>
      <w:pPr>
        <w:pStyle w:val="null3"/>
        <w:ind w:firstLine="422"/>
      </w:pPr>
      <w:r>
        <w:rPr>
          <w:sz w:val="21"/>
          <w:b/>
        </w:rPr>
        <w:t>三、供货要求</w:t>
      </w:r>
    </w:p>
    <w:p>
      <w:pPr>
        <w:pStyle w:val="null3"/>
        <w:ind w:firstLine="420"/>
        <w:jc w:val="both"/>
      </w:pPr>
      <w:r>
        <w:rPr>
          <w:sz w:val="21"/>
        </w:rPr>
        <w:t>1.</w:t>
      </w:r>
      <w:r>
        <w:rPr>
          <w:sz w:val="21"/>
        </w:rPr>
        <w:t>送货要求：按用户的实际需求分批送货，乙方在收到甲方的订货通知后</w:t>
      </w:r>
      <w:r>
        <w:rPr>
          <w:sz w:val="21"/>
        </w:rPr>
        <w:t>2</w:t>
      </w:r>
      <w:r>
        <w:rPr>
          <w:sz w:val="21"/>
        </w:rPr>
        <w:t>小时内响应并</w:t>
      </w:r>
      <w:r>
        <w:rPr>
          <w:sz w:val="21"/>
        </w:rPr>
        <w:t>48</w:t>
      </w:r>
      <w:r>
        <w:rPr>
          <w:sz w:val="21"/>
        </w:rPr>
        <w:t>小时内送到甲方指定地点完成货物交货及验收（如遇天气恶劣情况可向甲方申请延迟）。</w:t>
      </w:r>
    </w:p>
    <w:p>
      <w:pPr>
        <w:pStyle w:val="null3"/>
        <w:ind w:firstLine="420"/>
        <w:jc w:val="both"/>
      </w:pPr>
      <w:r>
        <w:rPr>
          <w:sz w:val="21"/>
        </w:rPr>
        <w:t>2.</w:t>
      </w:r>
      <w:r>
        <w:rPr>
          <w:sz w:val="21"/>
        </w:rPr>
        <w:t>合同签订后</w:t>
      </w:r>
      <w:r>
        <w:rPr>
          <w:sz w:val="21"/>
        </w:rPr>
        <w:t>7</w:t>
      </w:r>
      <w:r>
        <w:rPr>
          <w:sz w:val="21"/>
        </w:rPr>
        <w:t>个工作日内，乙方须提供所有货物近三个月的第三方检测报告。</w:t>
      </w:r>
    </w:p>
    <w:p>
      <w:pPr>
        <w:pStyle w:val="null3"/>
        <w:ind w:firstLine="420"/>
        <w:jc w:val="both"/>
      </w:pPr>
      <w:r>
        <w:rPr>
          <w:sz w:val="21"/>
        </w:rPr>
        <w:t>3.</w:t>
      </w:r>
      <w:r>
        <w:rPr>
          <w:sz w:val="21"/>
        </w:rPr>
        <w:t>本项目材料采购过程中，乙方需严格按照以下要求执行运输、称重及卸货流程，相关费用由乙方自行承担，具体规定如下：</w:t>
      </w:r>
    </w:p>
    <w:p>
      <w:pPr>
        <w:pStyle w:val="null3"/>
        <w:ind w:firstLine="420"/>
        <w:jc w:val="both"/>
      </w:pPr>
      <w:r>
        <w:rPr>
          <w:sz w:val="21"/>
        </w:rPr>
        <w:t>（</w:t>
      </w:r>
      <w:r>
        <w:rPr>
          <w:sz w:val="21"/>
        </w:rPr>
        <w:t>1</w:t>
      </w:r>
      <w:r>
        <w:rPr>
          <w:sz w:val="21"/>
        </w:rPr>
        <w:t>）乙方需先将采购材料运输至指定过磅站进行首次称重，指定过磅站为：中山市公路事务中心省级公路交通应急装备物资储备保障中心（地址：中山市南区双龙路马岭沥青拌和中心）；若上述指定过磅站出现故障、检修等特殊情况导致无法正常称重的，由甲方另行指定其他过磅站，乙方需按采购人指定地点执行称重。</w:t>
      </w:r>
    </w:p>
    <w:p>
      <w:pPr>
        <w:pStyle w:val="null3"/>
        <w:ind w:firstLine="420"/>
        <w:jc w:val="both"/>
      </w:pPr>
      <w:r>
        <w:rPr>
          <w:sz w:val="21"/>
        </w:rPr>
        <w:t>（</w:t>
      </w:r>
      <w:r>
        <w:rPr>
          <w:sz w:val="21"/>
        </w:rPr>
        <w:t>2</w:t>
      </w:r>
      <w:r>
        <w:rPr>
          <w:sz w:val="21"/>
        </w:rPr>
        <w:t>）首次称重完成后，乙方需将材料运输至采购人指定的供货地点完成卸货作业，卸货完毕后，需返回原指定过磅站（或甲方另行指定的过磅站）进行再次称重，确保材料数量准确。</w:t>
      </w:r>
    </w:p>
    <w:p>
      <w:pPr>
        <w:pStyle w:val="null3"/>
        <w:ind w:firstLine="420"/>
        <w:jc w:val="both"/>
      </w:pPr>
      <w:r>
        <w:rPr>
          <w:sz w:val="21"/>
        </w:rPr>
        <w:t>（</w:t>
      </w:r>
      <w:r>
        <w:rPr>
          <w:sz w:val="21"/>
        </w:rPr>
        <w:t>3</w:t>
      </w:r>
      <w:r>
        <w:rPr>
          <w:sz w:val="21"/>
        </w:rPr>
        <w:t>）上述全部流程（包括材料从乙方仓储点至过磅站、过磅站至供货地点、供货地点返回过磅站的全程运输，以及材料装卸、两次称重相关的辅助作业）所产生的所有运输费用、装卸费用、过磅费用（如有），均由乙方自行承担，甲方不再另行支付任何与上述流程相关的费用。</w:t>
      </w:r>
    </w:p>
    <w:p>
      <w:pPr>
        <w:pStyle w:val="null3"/>
        <w:ind w:firstLine="420"/>
        <w:jc w:val="both"/>
      </w:pPr>
      <w:r>
        <w:rPr>
          <w:sz w:val="21"/>
        </w:rPr>
        <w:t>4.</w:t>
      </w:r>
      <w:r>
        <w:rPr>
          <w:sz w:val="21"/>
        </w:rPr>
        <w:t>货物在运输过程中所产生的相关费用由乙方自行承担。</w:t>
      </w:r>
    </w:p>
    <w:p>
      <w:pPr>
        <w:pStyle w:val="null3"/>
        <w:ind w:firstLine="420"/>
        <w:jc w:val="both"/>
      </w:pPr>
      <w:r>
        <w:rPr>
          <w:sz w:val="21"/>
        </w:rPr>
        <w:t>5.</w:t>
      </w:r>
      <w:r>
        <w:rPr>
          <w:sz w:val="21"/>
        </w:rPr>
        <w:t>货物在现场的装卸、搬运、堆放等保管工作由乙方负责，直至验收完毕。货物在验收合格前的保险由乙方负责。</w:t>
      </w:r>
    </w:p>
    <w:p>
      <w:pPr>
        <w:pStyle w:val="null3"/>
        <w:ind w:firstLine="420"/>
        <w:jc w:val="both"/>
      </w:pPr>
      <w:r>
        <w:rPr>
          <w:sz w:val="21"/>
        </w:rPr>
        <w:t>6.</w:t>
      </w:r>
      <w:r>
        <w:rPr>
          <w:sz w:val="21"/>
        </w:rPr>
        <w:t>合同期限内，乙方若发生人身伤亡、财物或其它损失，无论何种原因所致，由乙方自行承担，与甲方无关，乙方应为其服务人员购买人身意外保险。</w:t>
      </w:r>
    </w:p>
    <w:p>
      <w:pPr>
        <w:pStyle w:val="null3"/>
        <w:ind w:firstLine="420"/>
        <w:jc w:val="both"/>
      </w:pPr>
      <w:r>
        <w:rPr>
          <w:sz w:val="21"/>
        </w:rPr>
        <w:t>7.</w:t>
      </w:r>
      <w:r>
        <w:rPr>
          <w:sz w:val="21"/>
        </w:rPr>
        <w:t>乙方根据供货合同向甲方进行货物供货（含运输、包装、装卸、过磅、保险等相关服务），中标人应充分考虑运输途中的各种情况（如暴露于恶劣气候等）和中山地区的气候特点，以及露天存放的需要。</w:t>
      </w:r>
    </w:p>
    <w:p>
      <w:pPr>
        <w:pStyle w:val="null3"/>
        <w:ind w:firstLine="420"/>
      </w:pPr>
      <w:r>
        <w:rPr>
          <w:sz w:val="21"/>
        </w:rPr>
        <w:t>8.</w:t>
      </w:r>
      <w:r>
        <w:rPr>
          <w:sz w:val="21"/>
        </w:rPr>
        <w:t>乙方完成供货及相关服务后，由甲方组织验收工作。</w:t>
      </w:r>
    </w:p>
    <w:p>
      <w:pPr>
        <w:pStyle w:val="null3"/>
        <w:ind w:firstLine="422"/>
      </w:pPr>
      <w:r>
        <w:rPr>
          <w:sz w:val="21"/>
          <w:b/>
        </w:rPr>
        <w:t>四、付款方式</w:t>
      </w:r>
    </w:p>
    <w:p>
      <w:pPr>
        <w:pStyle w:val="null3"/>
        <w:ind w:firstLine="420"/>
      </w:pPr>
      <w:r>
        <w:rPr>
          <w:sz w:val="21"/>
        </w:rPr>
        <w:t>（一）支付方式：支付金额</w:t>
      </w:r>
      <w:r>
        <w:rPr>
          <w:sz w:val="21"/>
        </w:rPr>
        <w:t>=</w:t>
      </w:r>
      <w:r>
        <w:rPr>
          <w:sz w:val="21"/>
        </w:rPr>
        <w:t>合同单价×实际供货数量，且最终累计支付金额不超过合同金额。</w:t>
      </w:r>
    </w:p>
    <w:p>
      <w:pPr>
        <w:pStyle w:val="null3"/>
        <w:ind w:firstLine="330"/>
      </w:pPr>
      <w:r>
        <w:rPr>
          <w:sz w:val="21"/>
        </w:rPr>
        <w:t>材料的合同单价以本合同</w:t>
      </w:r>
      <w:r>
        <w:rPr>
          <w:sz w:val="21"/>
        </w:rPr>
        <w:t>“一、合同标的”的最高单价限价计算，根据乙方在投标文件中的折扣率计算取得合同单价，合同单价</w:t>
      </w:r>
      <w:r>
        <w:rPr>
          <w:sz w:val="21"/>
        </w:rPr>
        <w:t>=</w:t>
      </w:r>
      <w:r>
        <w:rPr>
          <w:sz w:val="21"/>
        </w:rPr>
        <w:t>最高单价限价×中标折扣率。</w:t>
      </w:r>
    </w:p>
    <w:p>
      <w:pPr>
        <w:pStyle w:val="null3"/>
        <w:ind w:firstLine="420"/>
      </w:pPr>
      <w:r>
        <w:rPr>
          <w:sz w:val="21"/>
        </w:rPr>
        <w:t>（二）支付时间：按月结算支付，甲方可根据供货情况实际调整。</w:t>
      </w:r>
    </w:p>
    <w:p>
      <w:pPr>
        <w:pStyle w:val="null3"/>
        <w:ind w:firstLine="420"/>
      </w:pPr>
      <w:r>
        <w:rPr>
          <w:sz w:val="21"/>
        </w:rPr>
        <w:t>1.</w:t>
      </w:r>
      <w:r>
        <w:rPr>
          <w:sz w:val="21"/>
        </w:rPr>
        <w:t>本项目按照分批送货分批付款，乙方在收到甲方以书面方式提出的订货要求后</w:t>
      </w:r>
      <w:r>
        <w:rPr>
          <w:sz w:val="21"/>
        </w:rPr>
        <w:t>2</w:t>
      </w:r>
      <w:r>
        <w:rPr>
          <w:sz w:val="21"/>
        </w:rPr>
        <w:t>小时内响应，并按要求完成供货；</w:t>
      </w:r>
    </w:p>
    <w:p>
      <w:pPr>
        <w:pStyle w:val="null3"/>
        <w:ind w:firstLine="420"/>
      </w:pPr>
      <w:r>
        <w:rPr>
          <w:sz w:val="21"/>
        </w:rPr>
        <w:t>2.</w:t>
      </w:r>
      <w:r>
        <w:rPr>
          <w:sz w:val="21"/>
        </w:rPr>
        <w:t>乙方根据供货合同向甲方进行货物供货</w:t>
      </w:r>
      <w:r>
        <w:rPr>
          <w:sz w:val="21"/>
        </w:rPr>
        <w:t>(</w:t>
      </w:r>
      <w:r>
        <w:rPr>
          <w:sz w:val="21"/>
        </w:rPr>
        <w:t>含运输、包装、装卸、过磅、保险等相关服务</w:t>
      </w:r>
      <w:r>
        <w:rPr>
          <w:sz w:val="21"/>
        </w:rPr>
        <w:t xml:space="preserve">) </w:t>
      </w:r>
      <w:r>
        <w:rPr>
          <w:sz w:val="21"/>
        </w:rPr>
        <w:t>；</w:t>
      </w:r>
    </w:p>
    <w:p>
      <w:pPr>
        <w:pStyle w:val="null3"/>
        <w:ind w:firstLine="420"/>
      </w:pPr>
      <w:r>
        <w:rPr>
          <w:sz w:val="21"/>
        </w:rPr>
        <w:t>3.</w:t>
      </w:r>
      <w:r>
        <w:rPr>
          <w:sz w:val="21"/>
        </w:rPr>
        <w:t>乙方完成供货及相关服务后，由甲方组织开展验收工作，在货物验收合格，收到乙方开具的正规发票后，由甲方向财政部门提交请款申请。甲方向财政部门提交请款申请即视为已向乙方履行支付义务。如因财政部门审查或政策影响使拨款未能及时到位，不视为甲方违约，乙方不得以此为由而不履行（或不完全履行）合同规定的义务。</w:t>
      </w:r>
    </w:p>
    <w:p>
      <w:pPr>
        <w:pStyle w:val="null3"/>
        <w:ind w:firstLine="422"/>
      </w:pPr>
      <w:r>
        <w:rPr>
          <w:sz w:val="21"/>
          <w:b/>
        </w:rPr>
        <w:t>五、验收方式</w:t>
      </w:r>
    </w:p>
    <w:p>
      <w:pPr>
        <w:pStyle w:val="null3"/>
        <w:ind w:firstLine="422"/>
      </w:pPr>
      <w:r>
        <w:rPr>
          <w:sz w:val="21"/>
        </w:rPr>
        <w:t>（一）验收的基本要求：</w:t>
      </w:r>
    </w:p>
    <w:p>
      <w:pPr>
        <w:pStyle w:val="null3"/>
        <w:ind w:firstLine="422"/>
      </w:pPr>
      <w:r>
        <w:rPr>
          <w:sz w:val="21"/>
        </w:rPr>
        <w:t>a.</w:t>
      </w:r>
      <w:r>
        <w:rPr>
          <w:sz w:val="21"/>
        </w:rPr>
        <w:t>在每批次供货时，乙方按照参数标准，提供该批次货物的检验合格证书；</w:t>
      </w:r>
    </w:p>
    <w:p>
      <w:pPr>
        <w:pStyle w:val="null3"/>
        <w:ind w:firstLine="422"/>
      </w:pPr>
      <w:r>
        <w:rPr>
          <w:sz w:val="21"/>
        </w:rPr>
        <w:t>b.</w:t>
      </w:r>
      <w:r>
        <w:rPr>
          <w:sz w:val="21"/>
        </w:rPr>
        <w:t>在每批次供货时，甲方可按需抽取样本封存备检（在双方见证下进行）；</w:t>
      </w:r>
    </w:p>
    <w:p>
      <w:pPr>
        <w:pStyle w:val="null3"/>
        <w:ind w:firstLine="422"/>
      </w:pPr>
      <w:r>
        <w:rPr>
          <w:sz w:val="21"/>
        </w:rPr>
        <w:t>c.</w:t>
      </w:r>
      <w:r>
        <w:rPr>
          <w:sz w:val="21"/>
        </w:rPr>
        <w:t>甲方可按需从每批次供货中任意抽取样品，由乙方提供三次抽取样品的送检服务（不包含第一次供货时的检测），送检服务需在甲方见证下进行。</w:t>
      </w:r>
    </w:p>
    <w:p>
      <w:pPr>
        <w:pStyle w:val="null3"/>
        <w:ind w:firstLine="210"/>
      </w:pPr>
      <w:r>
        <w:rPr>
          <w:sz w:val="21"/>
        </w:rPr>
        <w:t>（二）样品抽检送检在三次（含）以下且检测合格的，检测费用由乙方支付。检测不合格的货物，甲方不予支付本批次货款，乙方应赔偿甲方由此产生的一切经济损失，并支付该批次货款的</w:t>
      </w:r>
      <w:r>
        <w:rPr>
          <w:sz w:val="21"/>
        </w:rPr>
        <w:t>20%</w:t>
      </w:r>
      <w:r>
        <w:rPr>
          <w:sz w:val="21"/>
        </w:rPr>
        <w:t>违约金，且需给甲方更换合格的货物。</w:t>
      </w:r>
    </w:p>
    <w:p>
      <w:pPr>
        <w:pStyle w:val="null3"/>
        <w:ind w:firstLine="210"/>
      </w:pPr>
      <w:r>
        <w:rPr>
          <w:sz w:val="21"/>
        </w:rPr>
        <w:t>（三）样品抽检送检在三次（不含）以上且检测合格的，检测费用由甲方支付；检测不合格的，检测费用由乙方全部承担，甲方不予支付该批次货款并有权解除合同，乙方应赔偿甲方由此产生的一切经济损失，并支付该批次货款的</w:t>
      </w:r>
      <w:r>
        <w:rPr>
          <w:sz w:val="21"/>
        </w:rPr>
        <w:t>20%</w:t>
      </w:r>
      <w:r>
        <w:rPr>
          <w:sz w:val="21"/>
        </w:rPr>
        <w:t>违约金，且需给甲方更换合格的货物。</w:t>
      </w:r>
    </w:p>
    <w:p>
      <w:pPr>
        <w:pStyle w:val="null3"/>
        <w:ind w:firstLine="210"/>
      </w:pPr>
      <w:r>
        <w:rPr>
          <w:sz w:val="21"/>
        </w:rPr>
        <w:t>（四）抽检送检的检测内容需符合《公路沥青路面施工技术规范》（</w:t>
      </w:r>
      <w:r>
        <w:rPr>
          <w:sz w:val="21"/>
        </w:rPr>
        <w:t>JTG F40-2004</w:t>
      </w:r>
      <w:r>
        <w:rPr>
          <w:sz w:val="21"/>
        </w:rPr>
        <w:t>）、《建筑石油沥青》（</w:t>
      </w:r>
      <w:r>
        <w:rPr>
          <w:sz w:val="21"/>
        </w:rPr>
        <w:t>GBT+494-2025</w:t>
      </w:r>
      <w:r>
        <w:rPr>
          <w:sz w:val="21"/>
        </w:rPr>
        <w:t>）、《路面加热型灌缝胶》（</w:t>
      </w:r>
      <w:r>
        <w:rPr>
          <w:sz w:val="21"/>
        </w:rPr>
        <w:t>UTT740-2024</w:t>
      </w:r>
      <w:r>
        <w:rPr>
          <w:sz w:val="21"/>
        </w:rPr>
        <w:t>）等要求。</w:t>
      </w:r>
    </w:p>
    <w:p>
      <w:pPr>
        <w:pStyle w:val="null3"/>
        <w:ind w:firstLine="422"/>
      </w:pPr>
      <w:r>
        <w:rPr>
          <w:sz w:val="21"/>
          <w:b/>
        </w:rPr>
        <w:t>六、售后服务</w:t>
      </w:r>
    </w:p>
    <w:p>
      <w:pPr>
        <w:pStyle w:val="null3"/>
        <w:ind w:firstLine="420"/>
      </w:pPr>
      <w:r>
        <w:rPr>
          <w:sz w:val="21"/>
        </w:rPr>
        <w:t>（一）乙方必须提供符合国家以及该产品出厂标准的货物。</w:t>
      </w:r>
    </w:p>
    <w:p>
      <w:pPr>
        <w:pStyle w:val="null3"/>
        <w:ind w:firstLine="420"/>
      </w:pPr>
      <w:r>
        <w:rPr>
          <w:sz w:val="21"/>
        </w:rPr>
        <w:t>（二）货物在供应期内如有质量问题时，乙方必须立即响应。</w:t>
      </w:r>
    </w:p>
    <w:p>
      <w:pPr>
        <w:pStyle w:val="null3"/>
        <w:ind w:firstLine="420"/>
      </w:pPr>
      <w:r>
        <w:rPr>
          <w:sz w:val="21"/>
        </w:rPr>
        <w:t>（三）乙方提供的货物和相应的服务须符合招标文件要求。</w:t>
      </w:r>
    </w:p>
    <w:p>
      <w:pPr>
        <w:pStyle w:val="null3"/>
        <w:ind w:firstLine="420"/>
      </w:pPr>
      <w:r>
        <w:rPr>
          <w:sz w:val="21"/>
        </w:rPr>
        <w:t>（四）在项目合同履行过程中，如甲方遇到项目审查、巡察等工作要求，乙方有义务配合，并提供必要的协助与支持。</w:t>
      </w:r>
    </w:p>
    <w:p>
      <w:pPr>
        <w:pStyle w:val="null3"/>
        <w:ind w:firstLine="420"/>
      </w:pPr>
      <w:r>
        <w:rPr>
          <w:sz w:val="21"/>
          <w:b/>
        </w:rPr>
        <w:t>七、其他要求</w:t>
      </w:r>
    </w:p>
    <w:p>
      <w:pPr>
        <w:pStyle w:val="null3"/>
        <w:ind w:firstLine="420"/>
      </w:pPr>
      <w:r>
        <w:rPr>
          <w:sz w:val="21"/>
        </w:rPr>
        <w:t>（一）乙方应具有配备相应功能的设备，保证本项目实施过程的服务质量。</w:t>
      </w:r>
    </w:p>
    <w:p>
      <w:pPr>
        <w:pStyle w:val="null3"/>
        <w:ind w:firstLine="420"/>
      </w:pPr>
      <w:r>
        <w:rPr>
          <w:sz w:val="21"/>
        </w:rPr>
        <w:t>（二）若与本项目相关的国家标准更新，或甲方对采购物资质量标准或技术指标进行调整，乙方应按更新后国家标准和采购人调整后的质量标准或技术指标进行供应，合同单价不变。</w:t>
      </w:r>
    </w:p>
    <w:p>
      <w:pPr>
        <w:pStyle w:val="null3"/>
        <w:ind w:firstLine="396"/>
        <w:jc w:val="left"/>
      </w:pPr>
      <w:r>
        <w:rPr>
          <w:sz w:val="21"/>
        </w:rPr>
        <w:t>（三）</w:t>
      </w:r>
      <w:r>
        <w:rPr>
          <w:sz w:val="21"/>
        </w:rPr>
        <w:t>供货时，乙方向甲方出具产品合法来源及产品合格等佐证材料。</w:t>
      </w:r>
    </w:p>
    <w:p>
      <w:pPr>
        <w:pStyle w:val="null3"/>
        <w:ind w:firstLine="422"/>
        <w:jc w:val="both"/>
      </w:pPr>
      <w:r>
        <w:rPr>
          <w:sz w:val="21"/>
          <w:b/>
        </w:rPr>
        <w:t>八、</w:t>
      </w:r>
      <w:r>
        <w:rPr>
          <w:sz w:val="21"/>
        </w:rPr>
        <w:t>结算与涨幅说明</w:t>
      </w:r>
    </w:p>
    <w:p>
      <w:pPr>
        <w:pStyle w:val="null3"/>
        <w:ind w:firstLine="420"/>
      </w:pPr>
      <w:r>
        <w:rPr>
          <w:sz w:val="21"/>
        </w:rPr>
        <w:t>（一）所供标的在造价通可查询到信息价的，按以下方式计算：</w:t>
      </w:r>
    </w:p>
    <w:p>
      <w:pPr>
        <w:pStyle w:val="null3"/>
        <w:ind w:firstLine="420"/>
      </w:pPr>
      <w:r>
        <w:rPr>
          <w:sz w:val="21"/>
        </w:rPr>
        <w:t>设定</w:t>
      </w:r>
      <w:r>
        <w:rPr>
          <w:sz w:val="21"/>
        </w:rPr>
        <w:t>N为涨幅，a为供货当天造价通已发布最新的最低信息价[最低信息价即为中山市及周边6座城市（深圳、东莞、广州、佛山、江门、珠海）的信息价最低价]，b为招标时最高单价限价，D为中标单价。N的计算公式为[（a-b）/b]×100%，供货结算单价计算如下：</w:t>
      </w:r>
    </w:p>
    <w:p>
      <w:pPr>
        <w:pStyle w:val="null3"/>
        <w:ind w:firstLine="420"/>
      </w:pPr>
      <w:r>
        <w:rPr>
          <w:sz w:val="21"/>
        </w:rPr>
        <w:t>①当-5%≦N≤5%以内不作调整，即以中标单价作为该批次供货结算单价；</w:t>
      </w:r>
    </w:p>
    <w:p>
      <w:pPr>
        <w:pStyle w:val="null3"/>
        <w:ind w:firstLine="420"/>
      </w:pPr>
      <w:r>
        <w:rPr>
          <w:sz w:val="21"/>
        </w:rPr>
        <w:t>②当5%＜N≦10%时，该批次结算单价=D+D×5%；</w:t>
      </w:r>
    </w:p>
    <w:p>
      <w:pPr>
        <w:pStyle w:val="null3"/>
        <w:ind w:firstLine="420"/>
      </w:pPr>
      <w:r>
        <w:rPr>
          <w:sz w:val="21"/>
        </w:rPr>
        <w:t>③当10%＜N≦15%时，该批次结算单价=D+D×10%；</w:t>
      </w:r>
    </w:p>
    <w:p>
      <w:pPr>
        <w:pStyle w:val="null3"/>
        <w:ind w:firstLine="420"/>
      </w:pPr>
      <w:r>
        <w:rPr>
          <w:sz w:val="21"/>
        </w:rPr>
        <w:t>④当15%＜N≦20%时，该批次结算单价=D+D×15%；</w:t>
      </w:r>
    </w:p>
    <w:p>
      <w:pPr>
        <w:pStyle w:val="null3"/>
        <w:ind w:firstLine="420"/>
      </w:pPr>
      <w:r>
        <w:rPr>
          <w:sz w:val="21"/>
        </w:rPr>
        <w:t>⑤当N＞20%时，该批次结算单价=D+D×20%；</w:t>
      </w:r>
    </w:p>
    <w:p>
      <w:pPr>
        <w:pStyle w:val="null3"/>
        <w:ind w:firstLine="420"/>
      </w:pPr>
      <w:r>
        <w:rPr>
          <w:sz w:val="21"/>
        </w:rPr>
        <w:t>⑥当-10%≦N＜-5%时，该批次结算单价=D-D×5%；</w:t>
      </w:r>
    </w:p>
    <w:p>
      <w:pPr>
        <w:pStyle w:val="null3"/>
        <w:ind w:firstLine="420"/>
      </w:pPr>
      <w:r>
        <w:rPr>
          <w:sz w:val="21"/>
        </w:rPr>
        <w:t>⑦当-15%≦N＜-10%时，该批次结算单价=D-D×10%；</w:t>
      </w:r>
    </w:p>
    <w:p>
      <w:pPr>
        <w:pStyle w:val="null3"/>
        <w:ind w:firstLine="420"/>
      </w:pPr>
      <w:r>
        <w:rPr>
          <w:sz w:val="21"/>
        </w:rPr>
        <w:t>⑧当-20%≦N＜-15%时，该批次结算单价=D-D×15%；</w:t>
      </w:r>
    </w:p>
    <w:p>
      <w:pPr>
        <w:pStyle w:val="null3"/>
        <w:ind w:firstLine="420"/>
      </w:pPr>
      <w:r>
        <w:rPr>
          <w:sz w:val="21"/>
        </w:rPr>
        <w:t>⑨当N＜-20%时，该批次结算单价=D-D×20%。</w:t>
      </w:r>
    </w:p>
    <w:p>
      <w:pPr>
        <w:pStyle w:val="null3"/>
        <w:ind w:firstLine="420"/>
      </w:pPr>
      <w:r>
        <w:rPr>
          <w:sz w:val="21"/>
        </w:rPr>
        <w:t>例如：乳化沥青招标时最高单价限价为</w:t>
      </w:r>
      <w:r>
        <w:rPr>
          <w:sz w:val="21"/>
        </w:rPr>
        <w:t>1000元，中标单价为900元；</w:t>
      </w:r>
    </w:p>
    <w:p>
      <w:pPr>
        <w:pStyle w:val="null3"/>
        <w:ind w:firstLine="420"/>
      </w:pPr>
      <w:r>
        <w:rPr>
          <w:sz w:val="21"/>
        </w:rPr>
        <w:t>（</w:t>
      </w:r>
      <w:r>
        <w:rPr>
          <w:sz w:val="21"/>
        </w:rPr>
        <w:t xml:space="preserve">1）若当天供货时最低信息价在1020元，则（1020-1000）/1000×100%=2%，即N=2%属于上述①情形，该批次供货结算单价为中标单价900元。  </w:t>
      </w:r>
    </w:p>
    <w:p>
      <w:pPr>
        <w:pStyle w:val="null3"/>
        <w:ind w:firstLine="420"/>
      </w:pPr>
      <w:r>
        <w:rPr>
          <w:sz w:val="21"/>
        </w:rPr>
        <w:t>（</w:t>
      </w:r>
      <w:r>
        <w:rPr>
          <w:sz w:val="21"/>
        </w:rPr>
        <w:t>2）若当天供货时最低信息价为1080元，则（1080-1000）/1000×100%=8%，即N=8%属于上述②情形，该批次供货结算单价=900+900×5%=945元。</w:t>
      </w:r>
    </w:p>
    <w:p>
      <w:pPr>
        <w:pStyle w:val="null3"/>
        <w:ind w:firstLine="420"/>
      </w:pPr>
      <w:r>
        <w:rPr>
          <w:sz w:val="21"/>
        </w:rPr>
        <w:t>（</w:t>
      </w:r>
      <w:r>
        <w:rPr>
          <w:sz w:val="21"/>
        </w:rPr>
        <w:t>3）若当天供货时最低信息价为1120元，则（1120-1000）/1000×100%=12%，即N=12%属于上述③情形，该批次供货结算单价=900+900×10%=990元。</w:t>
      </w:r>
    </w:p>
    <w:p>
      <w:pPr>
        <w:pStyle w:val="null3"/>
        <w:ind w:firstLine="420"/>
      </w:pPr>
      <w:r>
        <w:rPr>
          <w:sz w:val="21"/>
        </w:rPr>
        <w:t>（</w:t>
      </w:r>
      <w:r>
        <w:rPr>
          <w:sz w:val="21"/>
        </w:rPr>
        <w:t>4）若当天供货时最低信息价为1200元，则（1200-1000）/1000×100%=20%，即N=20%属于上述④情形，该批次供货结算单价=900+900×15%=1035元。</w:t>
      </w:r>
    </w:p>
    <w:p>
      <w:pPr>
        <w:pStyle w:val="null3"/>
        <w:ind w:firstLine="420"/>
      </w:pPr>
      <w:r>
        <w:rPr>
          <w:sz w:val="21"/>
        </w:rPr>
        <w:t>（</w:t>
      </w:r>
      <w:r>
        <w:rPr>
          <w:sz w:val="21"/>
        </w:rPr>
        <w:t>5）若当天供货时最低信息价为1400元，则（1400-1000）/1000×100%=40%，即N=40%属于上述⑤情形，该批次供货结算单价=900+900×20%=1080元。</w:t>
      </w:r>
    </w:p>
    <w:p>
      <w:pPr>
        <w:pStyle w:val="null3"/>
        <w:ind w:firstLine="420"/>
      </w:pPr>
      <w:r>
        <w:rPr>
          <w:sz w:val="21"/>
        </w:rPr>
        <w:t>（</w:t>
      </w:r>
      <w:r>
        <w:rPr>
          <w:sz w:val="21"/>
        </w:rPr>
        <w:t>6）若当天供货时最低信息价为940元，则（940-1000）/1000×100%=-6%，即N=-6%属于上述⑥情形，该批次供货结算单价=900-900×5%=855元。</w:t>
      </w:r>
    </w:p>
    <w:p>
      <w:pPr>
        <w:pStyle w:val="null3"/>
        <w:ind w:firstLine="420"/>
      </w:pPr>
      <w:r>
        <w:rPr>
          <w:sz w:val="21"/>
        </w:rPr>
        <w:t>（</w:t>
      </w:r>
      <w:r>
        <w:rPr>
          <w:sz w:val="21"/>
        </w:rPr>
        <w:t>7）若当天供货时最低信息价为880元，则（880-1000）/1000×100%=-12%，即N=-12%属于上述⑦情形，该批次供货结算单价=900-900×10%=810元。</w:t>
      </w:r>
    </w:p>
    <w:p>
      <w:pPr>
        <w:pStyle w:val="null3"/>
        <w:ind w:firstLine="420"/>
      </w:pPr>
      <w:r>
        <w:rPr>
          <w:sz w:val="21"/>
        </w:rPr>
        <w:t>（</w:t>
      </w:r>
      <w:r>
        <w:rPr>
          <w:sz w:val="21"/>
        </w:rPr>
        <w:t>8）若当天供货时最低信息价为840元，则（840-1000）/1000×100%=-16%，即N=-16%属于上述⑧情形，该批次供货结算单价=900-900×15%=765元。</w:t>
      </w:r>
    </w:p>
    <w:p>
      <w:pPr>
        <w:pStyle w:val="null3"/>
        <w:ind w:firstLine="420"/>
      </w:pPr>
      <w:r>
        <w:rPr>
          <w:sz w:val="21"/>
        </w:rPr>
        <w:t>（</w:t>
      </w:r>
      <w:r>
        <w:rPr>
          <w:sz w:val="21"/>
        </w:rPr>
        <w:t>9）若当天供货时最低信息价为790元，则（790-1000）/1000×100%=-21%，即N=-21%属于上述⑨情形，该批次供货结算单价=900-900×20%=720元。</w:t>
      </w:r>
    </w:p>
    <w:p>
      <w:pPr>
        <w:pStyle w:val="null3"/>
        <w:ind w:firstLine="420"/>
      </w:pPr>
      <w:r>
        <w:rPr>
          <w:sz w:val="21"/>
        </w:rPr>
        <w:t>（二）所供标的在造价通未能查询到信息价的，以中标单价（最高单价限价</w:t>
      </w:r>
      <w:r>
        <w:rPr>
          <w:sz w:val="21"/>
        </w:rPr>
        <w:t>×中标折扣率）作为供货结算单价。</w:t>
      </w:r>
    </w:p>
    <w:p>
      <w:pPr>
        <w:pStyle w:val="null3"/>
        <w:ind w:firstLine="422"/>
      </w:pPr>
      <w:r>
        <w:rPr>
          <w:sz w:val="21"/>
          <w:b/>
        </w:rPr>
        <w:t>九、</w:t>
      </w:r>
      <w:r>
        <w:rPr>
          <w:sz w:val="21"/>
          <w:b/>
        </w:rPr>
        <w:t>双方权利和义务</w:t>
      </w:r>
    </w:p>
    <w:p>
      <w:pPr>
        <w:pStyle w:val="null3"/>
        <w:ind w:firstLine="422"/>
      </w:pPr>
      <w:r>
        <w:rPr>
          <w:sz w:val="21"/>
        </w:rPr>
        <w:t>（一）甲方权利和义务</w:t>
      </w:r>
    </w:p>
    <w:p>
      <w:pPr>
        <w:pStyle w:val="null3"/>
        <w:ind w:firstLine="422"/>
      </w:pPr>
      <w:r>
        <w:rPr>
          <w:sz w:val="21"/>
        </w:rPr>
        <w:t>1.</w:t>
      </w:r>
      <w:r>
        <w:rPr>
          <w:sz w:val="21"/>
        </w:rPr>
        <w:t>甲方有权监督乙方履行合同情况。</w:t>
      </w:r>
    </w:p>
    <w:p>
      <w:pPr>
        <w:pStyle w:val="null3"/>
        <w:ind w:firstLine="422"/>
      </w:pPr>
      <w:r>
        <w:rPr>
          <w:sz w:val="21"/>
        </w:rPr>
        <w:t>2.</w:t>
      </w:r>
      <w:r>
        <w:rPr>
          <w:sz w:val="21"/>
        </w:rPr>
        <w:t>按合同约定支付合同款项。</w:t>
      </w:r>
    </w:p>
    <w:p>
      <w:pPr>
        <w:pStyle w:val="null3"/>
        <w:ind w:firstLine="422"/>
      </w:pPr>
      <w:r>
        <w:rPr>
          <w:sz w:val="21"/>
        </w:rPr>
        <w:t>（二）乙方权利和义务</w:t>
      </w:r>
    </w:p>
    <w:p>
      <w:pPr>
        <w:pStyle w:val="null3"/>
        <w:ind w:firstLine="422"/>
      </w:pPr>
      <w:r>
        <w:rPr>
          <w:sz w:val="21"/>
        </w:rPr>
        <w:t>1.</w:t>
      </w:r>
      <w:r>
        <w:rPr>
          <w:sz w:val="21"/>
        </w:rPr>
        <w:t>按合同约定提供符合合同约定的货物、服务。</w:t>
      </w:r>
    </w:p>
    <w:p>
      <w:pPr>
        <w:pStyle w:val="null3"/>
        <w:ind w:firstLine="422"/>
      </w:pPr>
      <w:r>
        <w:rPr>
          <w:sz w:val="21"/>
        </w:rPr>
        <w:t>2.</w:t>
      </w:r>
      <w:r>
        <w:rPr>
          <w:sz w:val="21"/>
        </w:rPr>
        <w:t>接受甲方的工作监督与检查</w:t>
      </w:r>
      <w:r>
        <w:rPr>
          <w:sz w:val="21"/>
          <w:b/>
        </w:rPr>
        <w:t>。</w:t>
      </w:r>
    </w:p>
    <w:p>
      <w:pPr>
        <w:pStyle w:val="null3"/>
        <w:ind w:firstLine="422"/>
      </w:pPr>
      <w:r>
        <w:rPr>
          <w:sz w:val="21"/>
          <w:b/>
        </w:rPr>
        <w:t>十</w:t>
      </w:r>
      <w:r>
        <w:rPr>
          <w:sz w:val="21"/>
          <w:b/>
        </w:rPr>
        <w:t>、违约责任</w:t>
      </w:r>
    </w:p>
    <w:p>
      <w:pPr>
        <w:pStyle w:val="null3"/>
        <w:ind w:firstLine="420"/>
      </w:pPr>
      <w:r>
        <w:rPr>
          <w:sz w:val="21"/>
        </w:rPr>
        <w:t>（一）乙方提供的货物不符合招标文件、投标文件或本合同规定的，甲方有权拒收，乙方应赔偿甲方由此产生的一切经济损失，并且乙方须向甲方支付该批次货款的</w:t>
      </w:r>
      <w:r>
        <w:rPr>
          <w:sz w:val="21"/>
        </w:rPr>
        <w:t>20%</w:t>
      </w:r>
      <w:r>
        <w:rPr>
          <w:sz w:val="21"/>
        </w:rPr>
        <w:t>违约金。</w:t>
      </w:r>
    </w:p>
    <w:p>
      <w:pPr>
        <w:pStyle w:val="null3"/>
        <w:ind w:firstLine="420"/>
      </w:pPr>
      <w:r>
        <w:rPr>
          <w:sz w:val="21"/>
        </w:rPr>
        <w:t>（二）乙方未能按本合同规定的时间和地点提供货物，甲方有权从逾期之日起每日按该批次货款总价的</w:t>
      </w:r>
      <w:r>
        <w:rPr>
          <w:sz w:val="21"/>
        </w:rPr>
        <w:t>2%</w:t>
      </w:r>
      <w:r>
        <w:rPr>
          <w:sz w:val="21"/>
        </w:rPr>
        <w:t>向乙方收取违约金；逾期</w:t>
      </w:r>
      <w:r>
        <w:rPr>
          <w:sz w:val="21"/>
        </w:rPr>
        <w:t>15</w:t>
      </w:r>
      <w:r>
        <w:rPr>
          <w:sz w:val="21"/>
        </w:rPr>
        <w:t>天以上（含</w:t>
      </w:r>
      <w:r>
        <w:rPr>
          <w:sz w:val="21"/>
        </w:rPr>
        <w:t>15</w:t>
      </w:r>
      <w:r>
        <w:rPr>
          <w:sz w:val="21"/>
        </w:rPr>
        <w:t>天）的，甲方有权终止合同，要求乙方支付违约金，违约金为合同总价的</w:t>
      </w:r>
      <w:r>
        <w:rPr>
          <w:sz w:val="21"/>
        </w:rPr>
        <w:t>20%</w:t>
      </w:r>
      <w:r>
        <w:rPr>
          <w:sz w:val="21"/>
        </w:rPr>
        <w:t>。并且给甲方造成的经济损失由乙方承担赔偿责任。</w:t>
      </w:r>
    </w:p>
    <w:p>
      <w:pPr>
        <w:pStyle w:val="null3"/>
        <w:ind w:firstLine="420"/>
      </w:pPr>
      <w:r>
        <w:rPr>
          <w:sz w:val="21"/>
        </w:rPr>
        <w:t>（三）因乙方原因导致延迟、断料或无法满足施工需求的，承担由此造成的全部损失。</w:t>
      </w:r>
    </w:p>
    <w:p>
      <w:pPr>
        <w:pStyle w:val="null3"/>
        <w:ind w:firstLine="420"/>
      </w:pPr>
      <w:r>
        <w:rPr>
          <w:sz w:val="21"/>
        </w:rPr>
        <w:t>（四）甲方在收到发票后</w:t>
      </w:r>
      <w:r>
        <w:rPr>
          <w:sz w:val="21"/>
        </w:rPr>
        <w:t>30</w:t>
      </w:r>
      <w:r>
        <w:rPr>
          <w:sz w:val="21"/>
        </w:rPr>
        <w:t>日内（最长不超过货物交付后</w:t>
      </w:r>
      <w:r>
        <w:rPr>
          <w:sz w:val="21"/>
        </w:rPr>
        <w:t>60</w:t>
      </w:r>
      <w:r>
        <w:rPr>
          <w:sz w:val="21"/>
        </w:rPr>
        <w:t>日）支付款项。甲方迟延支付的，应当支付逾期利息，利率为合同订立时全国银行间同业拆借中心公布的一年期</w:t>
      </w:r>
      <w:r>
        <w:rPr>
          <w:sz w:val="21"/>
        </w:rPr>
        <w:t>LPR</w:t>
      </w:r>
      <w:r>
        <w:rPr>
          <w:sz w:val="21"/>
        </w:rPr>
        <w:t>。乙方不得同时主张逾期支付利息和违约金。</w:t>
      </w:r>
    </w:p>
    <w:p>
      <w:pPr>
        <w:pStyle w:val="null3"/>
        <w:ind w:firstLine="420"/>
      </w:pPr>
      <w:r>
        <w:rPr>
          <w:sz w:val="21"/>
        </w:rPr>
        <w:t>（五）本合同所列乙方违约金，甲方有权在本合同项下应支付未支付给乙方的款项中进行扣减，不足部分，甲方有权追偿。</w:t>
      </w:r>
    </w:p>
    <w:p>
      <w:pPr>
        <w:pStyle w:val="null3"/>
        <w:ind w:firstLine="420"/>
      </w:pPr>
      <w:r>
        <w:rPr>
          <w:sz w:val="21"/>
        </w:rPr>
        <w:t>（六）采购金额达到合同总额或因政府政策调整、甲方需求变化等原因，甲方有权提前终止合同，乙方不得提出异议或要求赔偿。</w:t>
      </w:r>
    </w:p>
    <w:p>
      <w:pPr>
        <w:pStyle w:val="null3"/>
      </w:pPr>
      <w:r>
        <w:rPr>
          <w:sz w:val="21"/>
        </w:rPr>
        <w:t xml:space="preserve">    </w:t>
      </w:r>
      <w:r>
        <w:rPr>
          <w:sz w:val="21"/>
        </w:rPr>
        <w:t>（七）合同期内，运输、装卸及现场发生的所有人员伤亡、财产损失（含第三方损害）均由乙方承担全部法律责任及赔偿。</w:t>
      </w:r>
    </w:p>
    <w:p>
      <w:pPr>
        <w:pStyle w:val="null3"/>
        <w:ind w:firstLine="420"/>
      </w:pPr>
      <w:r>
        <w:rPr>
          <w:sz w:val="21"/>
        </w:rPr>
        <w:t>（八）其它违约责任按《中华人民共和国民法典》处理。</w:t>
      </w:r>
    </w:p>
    <w:p>
      <w:pPr>
        <w:pStyle w:val="null3"/>
        <w:ind w:firstLine="422"/>
      </w:pPr>
      <w:r>
        <w:rPr>
          <w:sz w:val="21"/>
          <w:b/>
        </w:rPr>
        <w:t>十</w:t>
      </w:r>
      <w:r>
        <w:rPr>
          <w:sz w:val="21"/>
          <w:b/>
        </w:rPr>
        <w:t>一</w:t>
      </w:r>
      <w:r>
        <w:rPr>
          <w:sz w:val="21"/>
          <w:b/>
        </w:rPr>
        <w:t>、争端的解决</w:t>
      </w:r>
    </w:p>
    <w:p>
      <w:pPr>
        <w:pStyle w:val="null3"/>
        <w:ind w:firstLine="420"/>
      </w:pPr>
      <w:r>
        <w:rPr>
          <w:sz w:val="21"/>
        </w:rPr>
        <w:t>（一）凡与本合同有关而引起的一切争议，甲乙双方应首先通过友好协商解决，如经协商后仍不能达成协议时，任何一方可以向甲方所在地法院提出诉讼。</w:t>
      </w:r>
    </w:p>
    <w:p>
      <w:pPr>
        <w:pStyle w:val="null3"/>
        <w:ind w:firstLine="420"/>
      </w:pPr>
      <w:r>
        <w:rPr>
          <w:sz w:val="21"/>
        </w:rPr>
        <w:t>（二）本合同的诉讼管辖地为甲方所在地的法院。</w:t>
      </w:r>
    </w:p>
    <w:p>
      <w:pPr>
        <w:pStyle w:val="null3"/>
        <w:ind w:firstLine="420"/>
      </w:pPr>
      <w:r>
        <w:rPr>
          <w:sz w:val="21"/>
        </w:rPr>
        <w:t>（三）在进行法院审理期间，除提交法院审理的事项外，合同其他部分仍应继续履行（合同被解除或终止的除外）。</w:t>
      </w:r>
    </w:p>
    <w:p>
      <w:pPr>
        <w:pStyle w:val="null3"/>
        <w:ind w:firstLine="422"/>
      </w:pPr>
      <w:r>
        <w:rPr>
          <w:sz w:val="21"/>
          <w:b/>
        </w:rPr>
        <w:t>十</w:t>
      </w:r>
      <w:r>
        <w:rPr>
          <w:sz w:val="21"/>
          <w:b/>
        </w:rPr>
        <w:t>二</w:t>
      </w:r>
      <w:r>
        <w:rPr>
          <w:sz w:val="21"/>
          <w:b/>
        </w:rPr>
        <w:t>、合同生效</w:t>
      </w:r>
    </w:p>
    <w:p>
      <w:pPr>
        <w:pStyle w:val="null3"/>
        <w:ind w:firstLine="420"/>
      </w:pPr>
      <w:r>
        <w:rPr>
          <w:sz w:val="21"/>
        </w:rPr>
        <w:t>本合同经双方授权代表签字、双方盖章后生效，生效日以最后一个签字、盖章日为准。</w:t>
      </w:r>
    </w:p>
    <w:p>
      <w:pPr>
        <w:pStyle w:val="null3"/>
        <w:ind w:firstLine="422"/>
      </w:pPr>
      <w:r>
        <w:rPr>
          <w:sz w:val="21"/>
          <w:b/>
        </w:rPr>
        <w:t>十</w:t>
      </w:r>
      <w:r>
        <w:rPr>
          <w:sz w:val="21"/>
          <w:b/>
        </w:rPr>
        <w:t>三</w:t>
      </w:r>
      <w:r>
        <w:rPr>
          <w:sz w:val="21"/>
          <w:b/>
        </w:rPr>
        <w:t>、其它</w:t>
      </w:r>
    </w:p>
    <w:p>
      <w:pPr>
        <w:pStyle w:val="null3"/>
        <w:ind w:firstLine="420"/>
      </w:pPr>
      <w:r>
        <w:rPr>
          <w:sz w:val="21"/>
        </w:rPr>
        <w:t>（一）本合同之所有附件均为合同的有效组成部分，与本合同具有同样的法律效力。合同与附件之间内容应认为是互为补充和解释，但如有模棱两可或相互矛盾之处，以时间在后的文件为准。</w:t>
      </w:r>
    </w:p>
    <w:p>
      <w:pPr>
        <w:pStyle w:val="null3"/>
        <w:ind w:firstLine="420"/>
      </w:pPr>
      <w:r>
        <w:rPr>
          <w:sz w:val="21"/>
        </w:rPr>
        <w:t>（二）在执行本合同的过程中，经甲乙双方签署确认的所有文件</w:t>
      </w:r>
      <w:r>
        <w:rPr>
          <w:sz w:val="21"/>
        </w:rPr>
        <w:t>(</w:t>
      </w:r>
      <w:r>
        <w:rPr>
          <w:sz w:val="21"/>
        </w:rPr>
        <w:t>包括会议纪要、补充协议、往来信函等</w:t>
      </w:r>
      <w:r>
        <w:rPr>
          <w:sz w:val="21"/>
        </w:rPr>
        <w:t>)</w:t>
      </w:r>
      <w:r>
        <w:rPr>
          <w:sz w:val="21"/>
        </w:rPr>
        <w:t>即成为本合同的有效组成部分，与本合同具有相同的法律效力，其生效日期为双方签字盖章之日期。文件与合同及其附件之间内容应认为是互为补充和解释，但如有模棱两可或相互矛盾之处，以时间在后的文件为准。</w:t>
      </w:r>
    </w:p>
    <w:p>
      <w:pPr>
        <w:pStyle w:val="null3"/>
        <w:ind w:firstLine="420"/>
      </w:pPr>
      <w:r>
        <w:rPr>
          <w:sz w:val="21"/>
        </w:rPr>
        <w:t>（三）除甲方事先书面同意外，乙方不得部分或全部转让其应履行的合同项下的义务。</w:t>
      </w:r>
    </w:p>
    <w:p>
      <w:pPr>
        <w:pStyle w:val="null3"/>
        <w:ind w:firstLine="420"/>
      </w:pPr>
      <w:r>
        <w:rPr>
          <w:sz w:val="21"/>
        </w:rPr>
        <w:t>（四）本合同正本一式</w:t>
      </w:r>
      <w:r>
        <w:rPr>
          <w:u w:val="single"/>
        </w:rPr>
        <w:t xml:space="preserve">   </w:t>
      </w:r>
      <w:r>
        <w:rPr>
          <w:sz w:val="21"/>
        </w:rPr>
        <w:t>份，甲方执</w:t>
      </w:r>
      <w:r>
        <w:rPr>
          <w:u w:val="single"/>
        </w:rPr>
        <w:t xml:space="preserve">   </w:t>
      </w:r>
      <w:r>
        <w:rPr>
          <w:sz w:val="21"/>
        </w:rPr>
        <w:t>份，乙方执</w:t>
      </w:r>
      <w:r>
        <w:rPr>
          <w:u w:val="single"/>
        </w:rPr>
        <w:t xml:space="preserve">   </w:t>
      </w:r>
      <w:r>
        <w:rPr>
          <w:sz w:val="21"/>
        </w:rPr>
        <w:t>份，采购代理机构执</w:t>
      </w:r>
      <w:r>
        <w:rPr>
          <w:u w:val="single"/>
        </w:rPr>
        <w:t xml:space="preserve">   </w:t>
      </w:r>
      <w:r>
        <w:rPr>
          <w:sz w:val="21"/>
        </w:rPr>
        <w:t>份。</w:t>
      </w:r>
    </w:p>
    <w:p>
      <w:pPr>
        <w:pStyle w:val="null3"/>
        <w:ind w:firstLine="420"/>
      </w:pPr>
      <w:r>
        <w:rPr>
          <w:sz w:val="21"/>
        </w:rPr>
        <w:t>（五）本合同合计</w:t>
      </w:r>
      <w:r>
        <w:rPr>
          <w:u w:val="single"/>
        </w:rPr>
        <w:t xml:space="preserve">    </w:t>
      </w:r>
      <w:r>
        <w:rPr>
          <w:sz w:val="21"/>
        </w:rPr>
        <w:t>页</w:t>
      </w:r>
      <w:r>
        <w:rPr>
          <w:sz w:val="21"/>
        </w:rPr>
        <w:t>A4</w:t>
      </w:r>
      <w:r>
        <w:rPr>
          <w:sz w:val="21"/>
        </w:rPr>
        <w:t>纸张，缺页之合同为无效合同。</w:t>
      </w:r>
    </w:p>
    <w:p>
      <w:pPr>
        <w:pStyle w:val="null3"/>
        <w:ind w:left="135"/>
        <w:jc w:val="center"/>
      </w:pPr>
      <w:r>
        <w:rPr>
          <w:sz w:val="21"/>
        </w:rPr>
        <w:t>（以下无合同正文）</w:t>
      </w:r>
    </w:p>
    <w:p>
      <w:pPr>
        <w:pStyle w:val="null3"/>
        <w:ind w:left="135"/>
      </w:pPr>
      <w:r>
        <w:rPr>
          <w:sz w:val="21"/>
        </w:rPr>
        <w:t>甲方</w:t>
      </w:r>
      <w:r>
        <w:rPr>
          <w:sz w:val="21"/>
        </w:rPr>
        <w:t>(</w:t>
      </w:r>
      <w:r>
        <w:rPr>
          <w:sz w:val="21"/>
        </w:rPr>
        <w:t>盖章</w:t>
      </w:r>
      <w:r>
        <w:rPr>
          <w:sz w:val="21"/>
        </w:rPr>
        <w:t>)</w:t>
      </w:r>
      <w:r>
        <w:rPr>
          <w:sz w:val="21"/>
        </w:rPr>
        <w:t>：中山市公路事务中心        乙方</w:t>
      </w:r>
      <w:r>
        <w:rPr>
          <w:sz w:val="21"/>
        </w:rPr>
        <w:t>(</w:t>
      </w:r>
      <w:r>
        <w:rPr>
          <w:sz w:val="21"/>
        </w:rPr>
        <w:t>盖章</w:t>
      </w:r>
      <w:r>
        <w:rPr>
          <w:sz w:val="21"/>
        </w:rPr>
        <w:t>)</w:t>
      </w:r>
      <w:r>
        <w:rPr>
          <w:sz w:val="21"/>
        </w:rPr>
        <w:t>：</w:t>
      </w:r>
    </w:p>
    <w:p>
      <w:pPr>
        <w:pStyle w:val="null3"/>
        <w:ind w:left="135"/>
      </w:pPr>
      <w:r>
        <w:rPr>
          <w:sz w:val="21"/>
        </w:rPr>
        <w:t>甲方法定代表人或</w:t>
      </w:r>
      <w:r>
        <w:rPr>
          <w:sz w:val="21"/>
        </w:rPr>
        <w:t xml:space="preserve">                      </w:t>
      </w:r>
      <w:r>
        <w:rPr>
          <w:sz w:val="21"/>
        </w:rPr>
        <w:t>乙方法定代表人或</w:t>
      </w:r>
    </w:p>
    <w:p>
      <w:pPr>
        <w:pStyle w:val="null3"/>
        <w:ind w:left="135"/>
      </w:pPr>
      <w:r>
        <w:rPr>
          <w:sz w:val="21"/>
        </w:rPr>
        <w:t>委托代理人</w:t>
      </w:r>
      <w:r>
        <w:rPr>
          <w:sz w:val="21"/>
        </w:rPr>
        <w:t>(</w:t>
      </w:r>
      <w:r>
        <w:rPr>
          <w:sz w:val="21"/>
        </w:rPr>
        <w:t>签字</w:t>
      </w:r>
      <w:r>
        <w:rPr>
          <w:sz w:val="21"/>
        </w:rPr>
        <w:t>)</w:t>
      </w:r>
      <w:r>
        <w:rPr>
          <w:sz w:val="21"/>
        </w:rPr>
        <w:t>：                    委托代理人（签字）：</w:t>
      </w:r>
    </w:p>
    <w:p>
      <w:pPr>
        <w:pStyle w:val="null3"/>
        <w:ind w:left="135"/>
      </w:pPr>
      <w:r>
        <w:rPr>
          <w:sz w:val="21"/>
        </w:rPr>
        <w:t>签字日期：</w:t>
      </w:r>
      <w:r>
        <w:rPr>
          <w:sz w:val="21"/>
        </w:rPr>
        <w:t xml:space="preserve">                            </w:t>
      </w:r>
      <w:r>
        <w:rPr>
          <w:sz w:val="21"/>
        </w:rPr>
        <w:t>签字日期：</w:t>
      </w:r>
    </w:p>
    <w:p>
      <w:pPr>
        <w:pStyle w:val="null3"/>
        <w:ind w:left="135"/>
      </w:pPr>
      <w:r>
        <w:rPr>
          <w:sz w:val="21"/>
        </w:rPr>
        <w:t>地址：</w:t>
      </w:r>
      <w:r>
        <w:rPr>
          <w:sz w:val="21"/>
        </w:rPr>
        <w:t xml:space="preserve">                                </w:t>
      </w:r>
      <w:r>
        <w:rPr>
          <w:sz w:val="21"/>
        </w:rPr>
        <w:t>地址：</w:t>
      </w:r>
    </w:p>
    <w:p>
      <w:pPr>
        <w:pStyle w:val="null3"/>
        <w:ind w:firstLine="945"/>
      </w:pPr>
      <w:r>
        <w:rPr>
          <w:sz w:val="21"/>
        </w:rPr>
        <w:t xml:space="preserve">                              </w:t>
      </w:r>
      <w:r>
        <w:rPr>
          <w:sz w:val="21"/>
        </w:rPr>
        <w:t>邮政编码：</w:t>
      </w:r>
    </w:p>
    <w:p>
      <w:pPr>
        <w:pStyle w:val="null3"/>
        <w:ind w:firstLine="735"/>
      </w:pPr>
      <w:r>
        <w:rPr>
          <w:sz w:val="21"/>
        </w:rPr>
        <w:t xml:space="preserve">                                </w:t>
      </w:r>
      <w:r>
        <w:rPr>
          <w:sz w:val="21"/>
        </w:rPr>
        <w:t>电话：</w:t>
      </w:r>
    </w:p>
    <w:p>
      <w:pPr>
        <w:pStyle w:val="null3"/>
        <w:ind w:left="135"/>
      </w:pPr>
      <w:r>
        <w:rPr>
          <w:sz w:val="21"/>
        </w:rPr>
        <w:t xml:space="preserve">                                      </w:t>
      </w:r>
      <w:r>
        <w:rPr>
          <w:sz w:val="21"/>
        </w:rPr>
        <w:t>银行账号：</w:t>
      </w:r>
    </w:p>
    <w:p>
      <w:pPr>
        <w:pStyle w:val="null3"/>
        <w:ind w:left="135" w:right="-480"/>
      </w:pPr>
      <w:r>
        <w:rPr>
          <w:sz w:val="21"/>
        </w:rPr>
        <w:t xml:space="preserve">                                      </w:t>
      </w:r>
      <w:r>
        <w:rPr>
          <w:sz w:val="21"/>
        </w:rPr>
        <w:t>开户行：</w:t>
      </w:r>
    </w:p>
    <w:p>
      <w:pPr>
        <w:pStyle w:val="null3"/>
      </w:pPr>
      <w:r>
        <w:rPr/>
        <w:t xml:space="preserve"> </w:t>
      </w:r>
    </w:p>
    <w:p>
      <w:pPr>
        <w:pStyle w:val="null3"/>
        <w:spacing w:before="45"/>
        <w:jc w:val="both"/>
      </w:pPr>
      <w:r>
        <w:rPr>
          <w:sz w:val="21"/>
        </w:rPr>
        <w:t>合同附件</w:t>
      </w:r>
      <w:r>
        <w:rPr>
          <w:sz w:val="21"/>
        </w:rPr>
        <w:t xml:space="preserve">  </w:t>
      </w:r>
    </w:p>
    <w:p>
      <w:pPr>
        <w:pStyle w:val="null3"/>
        <w:jc w:val="both"/>
      </w:pPr>
      <w:r>
        <w:rPr>
          <w:sz w:val="21"/>
        </w:rPr>
        <w:t>附件</w:t>
      </w:r>
      <w:r>
        <w:rPr>
          <w:sz w:val="21"/>
        </w:rPr>
        <w:t xml:space="preserve">1 </w:t>
      </w:r>
      <w:r>
        <w:rPr>
          <w:sz w:val="21"/>
        </w:rPr>
        <w:t>乙方营业执照扫描件</w:t>
      </w:r>
    </w:p>
    <w:p>
      <w:pPr>
        <w:pStyle w:val="null3"/>
        <w:jc w:val="both"/>
      </w:pPr>
      <w:r>
        <w:rPr>
          <w:sz w:val="21"/>
        </w:rPr>
        <w:t>附件</w:t>
      </w:r>
      <w:r>
        <w:rPr>
          <w:sz w:val="21"/>
        </w:rPr>
        <w:t xml:space="preserve">2  </w:t>
      </w:r>
      <w:r>
        <w:rPr>
          <w:sz w:val="21"/>
        </w:rPr>
        <w:t>乙方开户许可证扫描件</w:t>
      </w:r>
    </w:p>
    <w:p>
      <w:pPr>
        <w:pStyle w:val="null3"/>
        <w:jc w:val="both"/>
      </w:pPr>
      <w:r>
        <w:rPr>
          <w:sz w:val="21"/>
        </w:rPr>
        <w:t>附件</w:t>
      </w:r>
      <w:r>
        <w:rPr>
          <w:sz w:val="21"/>
        </w:rPr>
        <w:t xml:space="preserve">3  </w:t>
      </w:r>
      <w:r>
        <w:rPr>
          <w:sz w:val="21"/>
        </w:rPr>
        <w:t>乙方法人身份证扫描件</w:t>
      </w:r>
    </w:p>
    <w:p>
      <w:pPr>
        <w:pStyle w:val="null3"/>
        <w:ind w:right="-480"/>
      </w:pPr>
      <w:r>
        <w:rPr>
          <w:sz w:val="21"/>
        </w:rPr>
        <w:t>附件</w:t>
      </w:r>
      <w:r>
        <w:rPr>
          <w:sz w:val="21"/>
        </w:rPr>
        <w:t xml:space="preserve">4  </w:t>
      </w:r>
      <w:r>
        <w:rPr>
          <w:sz w:val="21"/>
        </w:rPr>
        <w:t>中标（成交）通知书扫描件</w:t>
      </w:r>
    </w:p>
    <w:p>
      <w:pPr>
        <w:pStyle w:val="null3"/>
        <w:ind w:right="-480"/>
      </w:pPr>
      <w:r>
        <w:rPr>
          <w:sz w:val="21"/>
        </w:rPr>
        <w:t>备注：本合同编制依据是招标文件中的要求和乙方的投标文件中的相应内容。</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442000-2026-01028</w:t>
      </w:r>
    </w:p>
    <w:p>
      <w:pPr>
        <w:pStyle w:val="null3"/>
        <w:jc w:val="center"/>
        <w:outlineLvl w:val="3"/>
      </w:pPr>
      <w:r>
        <w:rPr>
          <w:sz w:val="24"/>
          <w:b/>
        </w:rPr>
        <w:t>采购项目编号：</w:t>
      </w:r>
      <w:r>
        <w:rPr>
          <w:sz w:val="24"/>
          <w:b/>
        </w:rPr>
        <w:t>YXZB202602AJG106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广东盈信项目管理有限公司</w:t>
      </w:r>
    </w:p>
    <w:p>
      <w:pPr>
        <w:pStyle w:val="null3"/>
        <w:ind w:firstLine="480"/>
      </w:pPr>
      <w:r>
        <w:rPr/>
        <w:t xml:space="preserve"> 你方组织的</w:t>
      </w:r>
      <w:r>
        <w:rPr>
          <w:u w:val="single"/>
        </w:rPr>
        <w:t>“</w:t>
      </w:r>
      <w:r>
        <w:rPr>
          <w:u w:val="single"/>
        </w:rPr>
        <w:t>中山市公路事务中心2026年养护材料（道路石油沥青）采购项目(四次)</w:t>
      </w:r>
      <w:r>
        <w:rPr>
          <w:u w:val="single"/>
        </w:rPr>
        <w:t>”</w:t>
      </w:r>
      <w:r>
        <w:rPr/>
        <w:t>项目的招标[采购项目编号为：</w:t>
      </w:r>
      <w:r>
        <w:rPr>
          <w:u w:val="single"/>
        </w:rPr>
        <w:t>YXZB202602AJG106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中山市公路事务中心2026年养护材料（道路石油沥青）采购项目(四次)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广东盈信项目管理有限公司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中山市公路事务中心2026年养护材料（道路石油沥青）采购项目(四次)</w:t>
      </w:r>
      <w:r>
        <w:rPr/>
        <w:t>”项目采购[采购项目编号为</w:t>
      </w:r>
      <w:r>
        <w:rPr/>
        <w:t>YXZB202602AJG106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中山市公路事务中心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广东盈信项目管理有限公司</w:t>
      </w:r>
    </w:p>
    <w:p>
      <w:pPr>
        <w:pStyle w:val="null3"/>
        <w:ind w:firstLine="480"/>
      </w:pPr>
      <w:r>
        <w:rPr/>
        <w:t xml:space="preserve"> 如果我方在贵采购代理机构组织的</w:t>
      </w:r>
      <w:r>
        <w:rPr/>
        <w:t>中山市公路事务中心2026年养护材料（道路石油沥青）采购项目(四次)</w:t>
      </w:r>
      <w:r>
        <w:rPr/>
        <w:t>招标中获中标（采购项目编号：</w:t>
      </w:r>
      <w:r>
        <w:rPr/>
        <w:t>YXZB202602AJG106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广东盈信项目管理有限公司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广东盈信项目管理有限公司</w:t>
      </w:r>
    </w:p>
    <w:p>
      <w:pPr>
        <w:pStyle w:val="null3"/>
        <w:ind w:firstLine="480"/>
      </w:pPr>
      <w:r>
        <w:rPr/>
        <w:t>我单位已登记并准备参与“</w:t>
      </w:r>
      <w:r>
        <w:rPr/>
        <w:t>中山市公路事务中心2026年养护材料（道路石油沥青）采购项目(四次)</w:t>
      </w:r>
      <w:r>
        <w:rPr/>
        <w:t>”项目（采购项目编号：</w:t>
      </w:r>
      <w:r>
        <w:rPr/>
        <w:t>YXZB202602AJG106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