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51E3D">
      <w:pPr>
        <w:spacing w:line="240" w:lineRule="auto"/>
        <w:jc w:val="center"/>
        <w:rPr>
          <w:rFonts w:hint="eastAsia" w:ascii="宋体" w:hAnsi="宋体" w:cs="宋体"/>
          <w:b/>
          <w:color w:val="auto"/>
          <w:sz w:val="30"/>
          <w:szCs w:val="30"/>
          <w:highlight w:val="none"/>
          <w:lang w:eastAsia="zh-CN"/>
        </w:rPr>
      </w:pPr>
    </w:p>
    <w:p w14:paraId="1C0AE15B">
      <w:pPr>
        <w:spacing w:line="240" w:lineRule="auto"/>
        <w:jc w:val="center"/>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西定乡曼迈村委会产业发展项目</w:t>
      </w:r>
    </w:p>
    <w:p w14:paraId="3FACA5E3">
      <w:pPr>
        <w:spacing w:line="200" w:lineRule="exact"/>
        <w:jc w:val="center"/>
        <w:rPr>
          <w:rFonts w:hint="eastAsia" w:ascii="宋体" w:hAnsi="宋体" w:eastAsia="宋体" w:cs="宋体"/>
          <w:b/>
          <w:color w:val="auto"/>
          <w:sz w:val="30"/>
          <w:szCs w:val="30"/>
          <w:highlight w:val="none"/>
        </w:rPr>
      </w:pPr>
    </w:p>
    <w:p w14:paraId="18954759">
      <w:pPr>
        <w:spacing w:line="200" w:lineRule="exact"/>
        <w:jc w:val="center"/>
        <w:rPr>
          <w:rFonts w:hint="eastAsia" w:ascii="宋体" w:hAnsi="宋体" w:eastAsia="宋体" w:cs="宋体"/>
          <w:b/>
          <w:color w:val="auto"/>
          <w:sz w:val="72"/>
          <w:szCs w:val="72"/>
          <w:highlight w:val="none"/>
        </w:rPr>
      </w:pPr>
    </w:p>
    <w:p w14:paraId="05EA853A">
      <w:pPr>
        <w:spacing w:line="200" w:lineRule="exact"/>
        <w:jc w:val="center"/>
        <w:rPr>
          <w:rFonts w:hint="eastAsia" w:ascii="宋体" w:hAnsi="宋体" w:eastAsia="宋体" w:cs="宋体"/>
          <w:b/>
          <w:color w:val="auto"/>
          <w:sz w:val="72"/>
          <w:szCs w:val="72"/>
          <w:highlight w:val="none"/>
        </w:rPr>
      </w:pPr>
    </w:p>
    <w:p w14:paraId="2525873A">
      <w:pPr>
        <w:jc w:val="both"/>
        <w:rPr>
          <w:rFonts w:hint="eastAsia" w:ascii="宋体" w:hAnsi="宋体" w:eastAsia="宋体" w:cs="宋体"/>
          <w:b/>
          <w:color w:val="auto"/>
          <w:sz w:val="10"/>
          <w:szCs w:val="10"/>
          <w:highlight w:val="none"/>
        </w:rPr>
      </w:pPr>
    </w:p>
    <w:p w14:paraId="412F1B38">
      <w:pPr>
        <w:pStyle w:val="2"/>
        <w:rPr>
          <w:rFonts w:hint="eastAsia"/>
          <w:color w:val="auto"/>
          <w:highlight w:val="none"/>
        </w:rPr>
      </w:pPr>
    </w:p>
    <w:p w14:paraId="6FBDAE0F">
      <w:pPr>
        <w:pStyle w:val="2"/>
        <w:rPr>
          <w:rFonts w:hint="eastAsia" w:ascii="宋体" w:hAnsi="宋体" w:eastAsia="宋体" w:cs="宋体"/>
          <w:color w:val="auto"/>
          <w:highlight w:val="none"/>
          <w:lang w:eastAsia="zh-CN"/>
        </w:rPr>
      </w:pPr>
      <w:r>
        <w:rPr>
          <w:color w:val="auto"/>
          <w:highlight w:val="none"/>
        </w:rPr>
        <w:drawing>
          <wp:anchor distT="0" distB="0" distL="114300" distR="114300" simplePos="0" relativeHeight="251659264" behindDoc="0" locked="0" layoutInCell="1" allowOverlap="1">
            <wp:simplePos x="0" y="0"/>
            <wp:positionH relativeFrom="column">
              <wp:posOffset>0</wp:posOffset>
            </wp:positionH>
            <wp:positionV relativeFrom="paragraph">
              <wp:posOffset>-1886585</wp:posOffset>
            </wp:positionV>
            <wp:extent cx="6145530" cy="8686800"/>
            <wp:effectExtent l="0" t="0" r="127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6145530" cy="8686800"/>
                    </a:xfrm>
                    <a:prstGeom prst="rect">
                      <a:avLst/>
                    </a:prstGeom>
                    <a:noFill/>
                    <a:ln>
                      <a:noFill/>
                    </a:ln>
                  </pic:spPr>
                </pic:pic>
              </a:graphicData>
            </a:graphic>
          </wp:anchor>
        </w:drawing>
      </w:r>
    </w:p>
    <w:p w14:paraId="2B5A6062">
      <w:pPr>
        <w:pStyle w:val="47"/>
        <w:rPr>
          <w:rFonts w:hint="eastAsia" w:ascii="宋体" w:hAnsi="宋体" w:eastAsia="宋体" w:cs="宋体"/>
          <w:b/>
          <w:color w:val="auto"/>
          <w:sz w:val="10"/>
          <w:szCs w:val="10"/>
          <w:highlight w:val="none"/>
        </w:rPr>
      </w:pPr>
    </w:p>
    <w:p w14:paraId="0B58B0F0">
      <w:pPr>
        <w:pStyle w:val="2"/>
        <w:rPr>
          <w:rFonts w:hint="eastAsia" w:ascii="宋体" w:hAnsi="宋体" w:eastAsia="宋体" w:cs="宋体"/>
          <w:b/>
          <w:color w:val="auto"/>
          <w:sz w:val="10"/>
          <w:szCs w:val="10"/>
          <w:highlight w:val="none"/>
        </w:rPr>
      </w:pPr>
    </w:p>
    <w:p w14:paraId="1AC6BC34">
      <w:pPr>
        <w:rPr>
          <w:rFonts w:hint="eastAsia"/>
          <w:color w:val="auto"/>
          <w:highlight w:val="none"/>
        </w:rPr>
      </w:pPr>
    </w:p>
    <w:p w14:paraId="3B92AEB5">
      <w:pPr>
        <w:pStyle w:val="2"/>
        <w:rPr>
          <w:rFonts w:hint="eastAsia" w:ascii="宋体" w:hAnsi="宋体" w:eastAsia="宋体" w:cs="宋体"/>
          <w:b/>
          <w:color w:val="auto"/>
          <w:sz w:val="10"/>
          <w:szCs w:val="10"/>
          <w:highlight w:val="none"/>
        </w:rPr>
      </w:pPr>
    </w:p>
    <w:p w14:paraId="2B02D39E">
      <w:pPr>
        <w:jc w:val="center"/>
        <w:outlineLvl w:val="9"/>
        <w:rPr>
          <w:rFonts w:hint="eastAsia" w:ascii="宋体" w:hAnsi="宋体" w:eastAsia="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竞争性磋商文件</w:t>
      </w:r>
    </w:p>
    <w:p w14:paraId="3F3C18AE">
      <w:pPr>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w w:val="80"/>
          <w:sz w:val="28"/>
          <w:szCs w:val="28"/>
          <w:highlight w:val="none"/>
          <w:lang w:val="en-US" w:eastAsia="zh-CN"/>
        </w:rPr>
        <w:t xml:space="preserve"> </w:t>
      </w:r>
      <w:bookmarkStart w:id="0" w:name="_Toc29496"/>
      <w:bookmarkStart w:id="1" w:name="_Toc4024"/>
      <w:r>
        <w:rPr>
          <w:rFonts w:hint="eastAsia" w:ascii="宋体" w:hAnsi="宋体" w:eastAsia="宋体" w:cs="宋体"/>
          <w:b/>
          <w:color w:val="auto"/>
          <w:w w:val="90"/>
          <w:sz w:val="28"/>
          <w:szCs w:val="28"/>
          <w:highlight w:val="none"/>
          <w:lang w:eastAsia="zh-CN"/>
        </w:rPr>
        <w:t>项目编号：</w:t>
      </w:r>
      <w:bookmarkEnd w:id="0"/>
      <w:bookmarkEnd w:id="1"/>
      <w:r>
        <w:rPr>
          <w:rFonts w:hint="eastAsia" w:ascii="宋体" w:hAnsi="宋体" w:cs="宋体"/>
          <w:b/>
          <w:color w:val="auto"/>
          <w:w w:val="90"/>
          <w:sz w:val="28"/>
          <w:szCs w:val="28"/>
          <w:highlight w:val="none"/>
          <w:lang w:eastAsia="zh-CN"/>
        </w:rPr>
        <w:t>YNXCZB202644</w:t>
      </w:r>
    </w:p>
    <w:p w14:paraId="0FCB8408">
      <w:pPr>
        <w:rPr>
          <w:rFonts w:hint="eastAsia" w:ascii="宋体" w:hAnsi="宋体" w:eastAsia="宋体" w:cs="宋体"/>
          <w:b/>
          <w:color w:val="auto"/>
          <w:sz w:val="32"/>
          <w:szCs w:val="32"/>
          <w:highlight w:val="none"/>
        </w:rPr>
      </w:pPr>
    </w:p>
    <w:p w14:paraId="2B263E3B">
      <w:pPr>
        <w:rPr>
          <w:rFonts w:hint="eastAsia" w:ascii="宋体" w:hAnsi="宋体" w:eastAsia="宋体" w:cs="宋体"/>
          <w:b/>
          <w:color w:val="auto"/>
          <w:sz w:val="32"/>
          <w:szCs w:val="32"/>
          <w:highlight w:val="none"/>
        </w:rPr>
      </w:pPr>
    </w:p>
    <w:p w14:paraId="03D4F309">
      <w:pPr>
        <w:rPr>
          <w:rFonts w:hint="eastAsia" w:ascii="宋体" w:hAnsi="宋体" w:eastAsia="宋体" w:cs="宋体"/>
          <w:b/>
          <w:color w:val="auto"/>
          <w:sz w:val="32"/>
          <w:szCs w:val="32"/>
          <w:highlight w:val="none"/>
        </w:rPr>
      </w:pPr>
    </w:p>
    <w:p w14:paraId="6EEF1FC0">
      <w:pPr>
        <w:rPr>
          <w:rFonts w:hint="eastAsia" w:ascii="宋体" w:hAnsi="宋体" w:eastAsia="宋体" w:cs="宋体"/>
          <w:b/>
          <w:color w:val="auto"/>
          <w:sz w:val="32"/>
          <w:szCs w:val="32"/>
          <w:highlight w:val="none"/>
        </w:rPr>
      </w:pPr>
    </w:p>
    <w:p w14:paraId="301CC660">
      <w:pPr>
        <w:pStyle w:val="2"/>
        <w:rPr>
          <w:rFonts w:hint="eastAsia"/>
          <w:color w:val="auto"/>
          <w:highlight w:val="none"/>
        </w:rPr>
      </w:pPr>
    </w:p>
    <w:p w14:paraId="75A712B1">
      <w:pPr>
        <w:rPr>
          <w:rFonts w:hint="eastAsia" w:ascii="宋体" w:hAnsi="宋体" w:eastAsia="宋体" w:cs="宋体"/>
          <w:color w:val="auto"/>
          <w:highlight w:val="none"/>
        </w:rPr>
      </w:pPr>
    </w:p>
    <w:p w14:paraId="50C50DD8">
      <w:pPr>
        <w:keepNext w:val="0"/>
        <w:keepLines w:val="0"/>
        <w:pageBreakBefore w:val="0"/>
        <w:widowControl/>
        <w:kinsoku/>
        <w:wordWrap/>
        <w:overflowPunct/>
        <w:topLinePunct w:val="0"/>
        <w:autoSpaceDE/>
        <w:autoSpaceDN/>
        <w:bidi w:val="0"/>
        <w:adjustRightInd/>
        <w:snapToGrid w:val="0"/>
        <w:spacing w:line="700" w:lineRule="exact"/>
        <w:ind w:firstLine="562" w:firstLineChars="200"/>
        <w:jc w:val="left"/>
        <w:textAlignment w:val="auto"/>
        <w:outlineLvl w:val="9"/>
        <w:rPr>
          <w:rFonts w:hint="eastAsia" w:ascii="宋体" w:hAnsi="宋体" w:eastAsia="宋体" w:cs="宋体"/>
          <w:b/>
          <w:color w:val="auto"/>
          <w:sz w:val="28"/>
          <w:szCs w:val="28"/>
          <w:highlight w:val="none"/>
        </w:rPr>
      </w:pPr>
      <w:bookmarkStart w:id="2" w:name="_Toc7973"/>
      <w:bookmarkStart w:id="3" w:name="_Toc19885"/>
      <w:r>
        <w:rPr>
          <w:rFonts w:hint="eastAsia" w:ascii="宋体" w:hAnsi="宋体" w:eastAsia="宋体" w:cs="宋体"/>
          <w:b/>
          <w:color w:val="auto"/>
          <w:sz w:val="28"/>
          <w:szCs w:val="28"/>
          <w:highlight w:val="none"/>
        </w:rPr>
        <w:t xml:space="preserve">采   购   人: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bookmarkEnd w:id="2"/>
      <w:bookmarkEnd w:id="3"/>
      <w:r>
        <w:rPr>
          <w:rFonts w:hint="eastAsia" w:ascii="宋体" w:hAnsi="宋体" w:cs="宋体"/>
          <w:b/>
          <w:color w:val="auto"/>
          <w:sz w:val="28"/>
          <w:szCs w:val="28"/>
          <w:highlight w:val="none"/>
          <w:u w:val="single"/>
          <w:lang w:val="en-US" w:eastAsia="zh-CN"/>
        </w:rPr>
        <w:t>勐海县西定哈尼族布朗族乡人民政府</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rPr>
        <w:t xml:space="preserve"> </w:t>
      </w:r>
    </w:p>
    <w:p w14:paraId="027B2306">
      <w:pPr>
        <w:keepNext w:val="0"/>
        <w:keepLines w:val="0"/>
        <w:pageBreakBefore w:val="0"/>
        <w:widowControl/>
        <w:kinsoku/>
        <w:wordWrap/>
        <w:overflowPunct/>
        <w:topLinePunct w:val="0"/>
        <w:autoSpaceDE/>
        <w:autoSpaceDN/>
        <w:bidi w:val="0"/>
        <w:adjustRightInd/>
        <w:snapToGrid w:val="0"/>
        <w:spacing w:line="700" w:lineRule="exact"/>
        <w:ind w:firstLine="562" w:firstLineChars="200"/>
        <w:jc w:val="left"/>
        <w:textAlignment w:val="auto"/>
        <w:outlineLvl w:val="9"/>
        <w:rPr>
          <w:rFonts w:hint="eastAsia" w:ascii="宋体" w:hAnsi="宋体" w:eastAsia="宋体" w:cs="宋体"/>
          <w:b/>
          <w:color w:val="auto"/>
          <w:sz w:val="28"/>
          <w:szCs w:val="28"/>
          <w:highlight w:val="none"/>
          <w:u w:val="single"/>
        </w:rPr>
      </w:pPr>
      <w:bookmarkStart w:id="4" w:name="_Toc6434"/>
      <w:bookmarkStart w:id="5" w:name="_Toc27955"/>
      <w:r>
        <w:rPr>
          <w:rFonts w:hint="eastAsia" w:ascii="宋体" w:hAnsi="宋体" w:cs="宋体"/>
          <w:b/>
          <w:color w:val="auto"/>
          <w:sz w:val="28"/>
          <w:szCs w:val="28"/>
          <w:highlight w:val="none"/>
          <w:lang w:val="en-US" w:eastAsia="zh-CN"/>
        </w:rPr>
        <w:t>采购</w:t>
      </w:r>
      <w:r>
        <w:rPr>
          <w:rFonts w:hint="eastAsia" w:ascii="宋体" w:hAnsi="宋体" w:eastAsia="宋体" w:cs="宋体"/>
          <w:b/>
          <w:color w:val="auto"/>
          <w:sz w:val="28"/>
          <w:szCs w:val="28"/>
          <w:highlight w:val="none"/>
        </w:rPr>
        <w:t>代理机构：</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eastAsia="zh-CN"/>
        </w:rPr>
        <w:t>云南星骋项目管理有限公司</w:t>
      </w:r>
      <w:bookmarkEnd w:id="4"/>
      <w:bookmarkEnd w:id="5"/>
      <w:r>
        <w:rPr>
          <w:rFonts w:hint="eastAsia" w:ascii="宋体" w:hAnsi="宋体" w:eastAsia="宋体" w:cs="宋体"/>
          <w:b/>
          <w:color w:val="auto"/>
          <w:sz w:val="28"/>
          <w:szCs w:val="28"/>
          <w:highlight w:val="none"/>
          <w:u w:val="single"/>
        </w:rPr>
        <w:t xml:space="preserve">  </w:t>
      </w:r>
    </w:p>
    <w:p w14:paraId="576B3F49">
      <w:pPr>
        <w:keepNext w:val="0"/>
        <w:keepLines w:val="0"/>
        <w:pageBreakBefore w:val="0"/>
        <w:kinsoku/>
        <w:wordWrap/>
        <w:overflowPunct/>
        <w:topLinePunct w:val="0"/>
        <w:autoSpaceDE/>
        <w:autoSpaceDN/>
        <w:bidi w:val="0"/>
        <w:adjustRightInd/>
        <w:spacing w:line="700" w:lineRule="exact"/>
        <w:ind w:firstLine="562" w:firstLineChars="200"/>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代理机构联系人: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郑丽凯</w:t>
      </w:r>
      <w:r>
        <w:rPr>
          <w:rFonts w:hint="eastAsia" w:ascii="宋体" w:hAnsi="宋体" w:cs="宋体"/>
          <w:b/>
          <w:color w:val="auto"/>
          <w:sz w:val="28"/>
          <w:szCs w:val="28"/>
          <w:highlight w:val="none"/>
          <w:u w:val="none"/>
          <w:lang w:val="en-US" w:eastAsia="zh-CN"/>
        </w:rPr>
        <w:t xml:space="preserve">    </w:t>
      </w:r>
      <w:r>
        <w:rPr>
          <w:rFonts w:hint="eastAsia" w:ascii="宋体" w:hAnsi="宋体" w:eastAsia="宋体" w:cs="宋体"/>
          <w:b/>
          <w:color w:val="auto"/>
          <w:sz w:val="28"/>
          <w:szCs w:val="28"/>
          <w:highlight w:val="none"/>
        </w:rPr>
        <w:t>联系电话：</w:t>
      </w:r>
      <w:r>
        <w:rPr>
          <w:rFonts w:hint="eastAsia" w:ascii="宋体" w:hAnsi="宋体" w:eastAsia="宋体" w:cs="宋体"/>
          <w:b/>
          <w:color w:val="auto"/>
          <w:sz w:val="28"/>
          <w:szCs w:val="28"/>
          <w:highlight w:val="none"/>
          <w:u w:val="single"/>
          <w:lang w:val="en-US" w:eastAsia="zh-CN"/>
        </w:rPr>
        <w:t>15198499967</w:t>
      </w:r>
    </w:p>
    <w:p w14:paraId="7DF204B4">
      <w:pPr>
        <w:keepNext w:val="0"/>
        <w:keepLines w:val="0"/>
        <w:pageBreakBefore w:val="0"/>
        <w:kinsoku/>
        <w:wordWrap/>
        <w:overflowPunct/>
        <w:topLinePunct w:val="0"/>
        <w:autoSpaceDE/>
        <w:autoSpaceDN/>
        <w:bidi w:val="0"/>
        <w:adjustRightInd/>
        <w:spacing w:line="700" w:lineRule="exact"/>
        <w:ind w:left="0" w:leftChars="0" w:right="0" w:rightChars="0" w:firstLine="0" w:firstLineChars="0"/>
        <w:jc w:val="center"/>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cs="宋体"/>
          <w:b/>
          <w:color w:val="auto"/>
          <w:sz w:val="28"/>
          <w:szCs w:val="28"/>
          <w:highlight w:val="none"/>
          <w:lang w:val="en-US" w:eastAsia="zh-CN"/>
        </w:rPr>
        <w:t>二0二六年七月</w:t>
      </w:r>
      <w:bookmarkStart w:id="6" w:name="_Toc22709"/>
      <w:bookmarkStart w:id="7" w:name="_Toc15622"/>
      <w:bookmarkStart w:id="8" w:name="_Toc12926"/>
    </w:p>
    <w:p w14:paraId="1E37B231">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r>
    </w:p>
    <w:p w14:paraId="08B6AD62">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outlineLvl w:val="9"/>
        <w:rPr>
          <w:rFonts w:hint="eastAsia" w:ascii="宋体" w:hAnsi="宋体" w:eastAsia="宋体" w:cs="宋体"/>
          <w:b/>
          <w:bCs/>
          <w:color w:val="auto"/>
          <w:sz w:val="32"/>
          <w:szCs w:val="32"/>
          <w:highlight w:val="none"/>
          <w:lang w:val="en-US" w:eastAsia="zh-CN"/>
        </w:rPr>
      </w:pPr>
      <w:r>
        <w:rPr>
          <w:color w:val="auto"/>
          <w:highlight w:val="none"/>
        </w:rPr>
        <w:drawing>
          <wp:anchor distT="0" distB="0" distL="114300" distR="114300" simplePos="0" relativeHeight="251660288" behindDoc="0" locked="0" layoutInCell="1" allowOverlap="1">
            <wp:simplePos x="0" y="0"/>
            <wp:positionH relativeFrom="column">
              <wp:posOffset>-178435</wp:posOffset>
            </wp:positionH>
            <wp:positionV relativeFrom="paragraph">
              <wp:posOffset>46355</wp:posOffset>
            </wp:positionV>
            <wp:extent cx="6195695" cy="8755380"/>
            <wp:effectExtent l="0" t="0" r="1905" b="762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0"/>
                    <a:stretch>
                      <a:fillRect/>
                    </a:stretch>
                  </pic:blipFill>
                  <pic:spPr>
                    <a:xfrm>
                      <a:off x="0" y="0"/>
                      <a:ext cx="6195695" cy="8755380"/>
                    </a:xfrm>
                    <a:prstGeom prst="rect">
                      <a:avLst/>
                    </a:prstGeom>
                    <a:noFill/>
                    <a:ln>
                      <a:noFill/>
                    </a:ln>
                  </pic:spPr>
                </pic:pic>
              </a:graphicData>
            </a:graphic>
          </wp:anchor>
        </w:drawing>
      </w:r>
      <w:r>
        <w:rPr>
          <w:rFonts w:hint="eastAsia" w:ascii="宋体" w:hAnsi="宋体" w:cs="宋体"/>
          <w:b/>
          <w:bCs/>
          <w:color w:val="auto"/>
          <w:sz w:val="32"/>
          <w:szCs w:val="32"/>
          <w:highlight w:val="none"/>
          <w:lang w:val="en-US" w:eastAsia="zh-CN"/>
        </w:rPr>
        <w:t>竞争性磋商文件</w:t>
      </w:r>
      <w:r>
        <w:rPr>
          <w:rFonts w:hint="eastAsia" w:ascii="宋体" w:hAnsi="宋体" w:eastAsia="宋体" w:cs="宋体"/>
          <w:b/>
          <w:bCs/>
          <w:color w:val="auto"/>
          <w:sz w:val="32"/>
          <w:szCs w:val="32"/>
          <w:highlight w:val="none"/>
          <w:lang w:val="en-US" w:eastAsia="zh-CN"/>
        </w:rPr>
        <w:t>公平审查竞争表</w:t>
      </w:r>
      <w:bookmarkEnd w:id="6"/>
      <w:bookmarkEnd w:id="7"/>
      <w:bookmarkEnd w:id="8"/>
    </w:p>
    <w:tbl>
      <w:tblPr>
        <w:tblStyle w:val="30"/>
        <w:tblpPr w:leftFromText="180" w:rightFromText="180" w:vertAnchor="text" w:horzAnchor="page" w:tblpX="1430" w:tblpY="137"/>
        <w:tblOverlap w:val="never"/>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804"/>
        <w:gridCol w:w="396"/>
        <w:gridCol w:w="5"/>
        <w:gridCol w:w="565"/>
        <w:gridCol w:w="2325"/>
        <w:gridCol w:w="842"/>
        <w:gridCol w:w="1665"/>
        <w:gridCol w:w="1335"/>
      </w:tblGrid>
      <w:tr w14:paraId="5460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211" w:type="dxa"/>
            <w:gridSpan w:val="2"/>
            <w:noWrap w:val="0"/>
            <w:vAlign w:val="center"/>
          </w:tcPr>
          <w:p w14:paraId="6AC7FB1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政策措施名称</w:t>
            </w:r>
          </w:p>
        </w:tc>
        <w:tc>
          <w:tcPr>
            <w:tcW w:w="7133" w:type="dxa"/>
            <w:gridSpan w:val="7"/>
            <w:noWrap w:val="0"/>
            <w:vAlign w:val="center"/>
          </w:tcPr>
          <w:p w14:paraId="7D1ADA5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西定乡曼迈村委会产业发展项目</w:t>
            </w:r>
          </w:p>
        </w:tc>
      </w:tr>
      <w:tr w14:paraId="2C53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211" w:type="dxa"/>
            <w:gridSpan w:val="2"/>
            <w:noWrap w:val="0"/>
            <w:vAlign w:val="center"/>
          </w:tcPr>
          <w:p w14:paraId="4A95290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涉及行业领域</w:t>
            </w:r>
          </w:p>
        </w:tc>
        <w:tc>
          <w:tcPr>
            <w:tcW w:w="7133" w:type="dxa"/>
            <w:gridSpan w:val="7"/>
            <w:noWrap w:val="0"/>
            <w:vAlign w:val="center"/>
          </w:tcPr>
          <w:p w14:paraId="4B084E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竞争性磋商</w:t>
            </w:r>
          </w:p>
        </w:tc>
      </w:tr>
      <w:tr w14:paraId="2C44D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211" w:type="dxa"/>
            <w:gridSpan w:val="2"/>
            <w:noWrap w:val="0"/>
            <w:vAlign w:val="center"/>
          </w:tcPr>
          <w:p w14:paraId="32FAE1C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w:t>
            </w:r>
          </w:p>
        </w:tc>
        <w:tc>
          <w:tcPr>
            <w:tcW w:w="7133" w:type="dxa"/>
            <w:gridSpan w:val="7"/>
            <w:noWrap w:val="0"/>
            <w:vAlign w:val="center"/>
          </w:tcPr>
          <w:p w14:paraId="4B417F13">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行政法规草案</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地方性法规草案</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规章</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规范性文件</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其他政策措施（招标公告</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 xml:space="preserve">  资格预审文件</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  招标文件</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 xml:space="preserve">）  </w:t>
            </w:r>
          </w:p>
        </w:tc>
      </w:tr>
      <w:tr w14:paraId="0885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211" w:type="dxa"/>
            <w:gridSpan w:val="2"/>
            <w:vMerge w:val="restart"/>
            <w:noWrap w:val="0"/>
            <w:vAlign w:val="center"/>
          </w:tcPr>
          <w:p w14:paraId="4E4CAF2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起草机构</w:t>
            </w:r>
          </w:p>
        </w:tc>
        <w:tc>
          <w:tcPr>
            <w:tcW w:w="966" w:type="dxa"/>
            <w:gridSpan w:val="3"/>
            <w:noWrap w:val="0"/>
            <w:vAlign w:val="center"/>
          </w:tcPr>
          <w:p w14:paraId="1C3C730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6167" w:type="dxa"/>
            <w:gridSpan w:val="4"/>
            <w:noWrap w:val="0"/>
            <w:vAlign w:val="center"/>
          </w:tcPr>
          <w:p w14:paraId="41EEE33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云南星骋项目管理有限公司</w:t>
            </w:r>
          </w:p>
        </w:tc>
      </w:tr>
      <w:tr w14:paraId="1E90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11" w:type="dxa"/>
            <w:gridSpan w:val="2"/>
            <w:vMerge w:val="continue"/>
            <w:noWrap w:val="0"/>
            <w:vAlign w:val="center"/>
          </w:tcPr>
          <w:p w14:paraId="756B73D1">
            <w:pPr>
              <w:keepNext w:val="0"/>
              <w:keepLines w:val="0"/>
              <w:pageBreakBefore w:val="0"/>
              <w:widowControl w:val="0"/>
              <w:kinsoku/>
              <w:wordWrap/>
              <w:overflowPunct/>
              <w:topLinePunct w:val="0"/>
              <w:autoSpaceDE/>
              <w:autoSpaceDN/>
              <w:bidi w:val="0"/>
              <w:adjustRightInd/>
              <w:snapToGrid/>
              <w:spacing w:line="320" w:lineRule="exact"/>
              <w:ind w:firstLine="880" w:firstLineChars="200"/>
              <w:jc w:val="center"/>
              <w:textAlignment w:val="auto"/>
              <w:rPr>
                <w:rFonts w:hint="eastAsia" w:ascii="宋体" w:hAnsi="宋体" w:eastAsia="宋体" w:cs="宋体"/>
                <w:color w:val="auto"/>
                <w:sz w:val="44"/>
                <w:szCs w:val="44"/>
                <w:highlight w:val="none"/>
                <w:vertAlign w:val="baseline"/>
              </w:rPr>
            </w:pPr>
          </w:p>
        </w:tc>
        <w:tc>
          <w:tcPr>
            <w:tcW w:w="966" w:type="dxa"/>
            <w:gridSpan w:val="3"/>
            <w:noWrap w:val="0"/>
            <w:vAlign w:val="center"/>
          </w:tcPr>
          <w:p w14:paraId="02B2062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325" w:type="dxa"/>
            <w:noWrap w:val="0"/>
            <w:vAlign w:val="center"/>
          </w:tcPr>
          <w:p w14:paraId="01A54DC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郑丽凯</w:t>
            </w:r>
          </w:p>
        </w:tc>
        <w:tc>
          <w:tcPr>
            <w:tcW w:w="842" w:type="dxa"/>
            <w:noWrap w:val="0"/>
            <w:vAlign w:val="center"/>
          </w:tcPr>
          <w:p w14:paraId="3F8F280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3000" w:type="dxa"/>
            <w:gridSpan w:val="2"/>
            <w:noWrap w:val="0"/>
            <w:vAlign w:val="center"/>
          </w:tcPr>
          <w:p w14:paraId="29025EA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15198499967</w:t>
            </w:r>
          </w:p>
        </w:tc>
      </w:tr>
      <w:tr w14:paraId="4119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211" w:type="dxa"/>
            <w:gridSpan w:val="2"/>
            <w:vMerge w:val="restart"/>
            <w:noWrap w:val="0"/>
            <w:vAlign w:val="center"/>
          </w:tcPr>
          <w:p w14:paraId="20B419B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审查机构</w:t>
            </w:r>
          </w:p>
        </w:tc>
        <w:tc>
          <w:tcPr>
            <w:tcW w:w="966" w:type="dxa"/>
            <w:gridSpan w:val="3"/>
            <w:noWrap w:val="0"/>
            <w:vAlign w:val="center"/>
          </w:tcPr>
          <w:p w14:paraId="0976A8D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6167" w:type="dxa"/>
            <w:gridSpan w:val="4"/>
            <w:noWrap w:val="0"/>
            <w:vAlign w:val="center"/>
          </w:tcPr>
          <w:p w14:paraId="5D6F4F3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勐海县西定哈尼族布朗族乡人民政府</w:t>
            </w:r>
          </w:p>
        </w:tc>
      </w:tr>
      <w:tr w14:paraId="1C80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11" w:type="dxa"/>
            <w:gridSpan w:val="2"/>
            <w:vMerge w:val="continue"/>
            <w:noWrap w:val="0"/>
            <w:vAlign w:val="center"/>
          </w:tcPr>
          <w:p w14:paraId="17ED278F">
            <w:pPr>
              <w:keepNext w:val="0"/>
              <w:keepLines w:val="0"/>
              <w:pageBreakBefore w:val="0"/>
              <w:widowControl w:val="0"/>
              <w:kinsoku/>
              <w:wordWrap/>
              <w:overflowPunct/>
              <w:topLinePunct w:val="0"/>
              <w:autoSpaceDE/>
              <w:autoSpaceDN/>
              <w:bidi w:val="0"/>
              <w:adjustRightInd/>
              <w:snapToGrid/>
              <w:spacing w:line="320" w:lineRule="exact"/>
              <w:ind w:firstLine="880" w:firstLineChars="200"/>
              <w:jc w:val="center"/>
              <w:textAlignment w:val="auto"/>
              <w:rPr>
                <w:rFonts w:hint="eastAsia" w:ascii="宋体" w:hAnsi="宋体" w:eastAsia="宋体" w:cs="宋体"/>
                <w:color w:val="auto"/>
                <w:sz w:val="44"/>
                <w:szCs w:val="44"/>
                <w:highlight w:val="none"/>
                <w:vertAlign w:val="baseline"/>
              </w:rPr>
            </w:pPr>
          </w:p>
        </w:tc>
        <w:tc>
          <w:tcPr>
            <w:tcW w:w="966" w:type="dxa"/>
            <w:gridSpan w:val="3"/>
            <w:noWrap w:val="0"/>
            <w:vAlign w:val="center"/>
          </w:tcPr>
          <w:p w14:paraId="74F9F59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325" w:type="dxa"/>
            <w:noWrap w:val="0"/>
            <w:vAlign w:val="center"/>
          </w:tcPr>
          <w:p w14:paraId="01E2F08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岩温胆</w:t>
            </w:r>
          </w:p>
        </w:tc>
        <w:tc>
          <w:tcPr>
            <w:tcW w:w="842" w:type="dxa"/>
            <w:noWrap w:val="0"/>
            <w:vAlign w:val="center"/>
          </w:tcPr>
          <w:p w14:paraId="400088B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3000" w:type="dxa"/>
            <w:gridSpan w:val="2"/>
            <w:noWrap w:val="0"/>
            <w:vAlign w:val="center"/>
          </w:tcPr>
          <w:p w14:paraId="11B5938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0691-3082560</w:t>
            </w:r>
          </w:p>
        </w:tc>
      </w:tr>
      <w:tr w14:paraId="67076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211" w:type="dxa"/>
            <w:gridSpan w:val="2"/>
            <w:vMerge w:val="restart"/>
            <w:noWrap w:val="0"/>
            <w:vAlign w:val="center"/>
          </w:tcPr>
          <w:p w14:paraId="745843F0">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rPr>
              <w:t>征求意见情况</w:t>
            </w:r>
          </w:p>
        </w:tc>
        <w:tc>
          <w:tcPr>
            <w:tcW w:w="7133" w:type="dxa"/>
            <w:gridSpan w:val="7"/>
            <w:noWrap w:val="0"/>
            <w:vAlign w:val="center"/>
          </w:tcPr>
          <w:p w14:paraId="514351F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征求利害关系人意见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向社会公开征求意见</w:t>
            </w:r>
          </w:p>
        </w:tc>
      </w:tr>
      <w:tr w14:paraId="499E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2211" w:type="dxa"/>
            <w:gridSpan w:val="2"/>
            <w:vMerge w:val="continue"/>
            <w:noWrap w:val="0"/>
            <w:vAlign w:val="center"/>
          </w:tcPr>
          <w:p w14:paraId="53C59FA4">
            <w:pPr>
              <w:keepNext w:val="0"/>
              <w:keepLines w:val="0"/>
              <w:pageBreakBefore w:val="0"/>
              <w:widowControl w:val="0"/>
              <w:kinsoku/>
              <w:wordWrap/>
              <w:overflowPunct/>
              <w:topLinePunct w:val="0"/>
              <w:autoSpaceDE/>
              <w:autoSpaceDN/>
              <w:bidi w:val="0"/>
              <w:adjustRightInd/>
              <w:snapToGrid/>
              <w:spacing w:line="320" w:lineRule="exact"/>
              <w:ind w:firstLine="880" w:firstLineChars="200"/>
              <w:jc w:val="center"/>
              <w:textAlignment w:val="auto"/>
              <w:rPr>
                <w:rFonts w:hint="eastAsia" w:ascii="宋体" w:hAnsi="宋体" w:eastAsia="宋体" w:cs="宋体"/>
                <w:color w:val="auto"/>
                <w:sz w:val="44"/>
                <w:szCs w:val="44"/>
                <w:highlight w:val="none"/>
                <w:vertAlign w:val="baseline"/>
              </w:rPr>
            </w:pPr>
          </w:p>
        </w:tc>
        <w:tc>
          <w:tcPr>
            <w:tcW w:w="7133" w:type="dxa"/>
            <w:gridSpan w:val="7"/>
            <w:noWrap w:val="0"/>
            <w:vAlign w:val="top"/>
          </w:tcPr>
          <w:p w14:paraId="267DFFBB">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具体情况（时间、对象、意见反馈和采纳情况）：</w:t>
            </w:r>
          </w:p>
          <w:p w14:paraId="24E8645A">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西定乡曼迈村委会产业发展项目</w:t>
            </w:r>
            <w:r>
              <w:rPr>
                <w:rFonts w:hint="eastAsia" w:ascii="宋体" w:hAnsi="宋体" w:cs="宋体"/>
                <w:color w:val="auto"/>
                <w:sz w:val="24"/>
                <w:szCs w:val="24"/>
                <w:highlight w:val="none"/>
                <w:lang w:val="en-US" w:eastAsia="zh-CN"/>
              </w:rPr>
              <w:t>竞争性磋商公告</w:t>
            </w:r>
            <w:r>
              <w:rPr>
                <w:rFonts w:hint="eastAsia" w:ascii="宋体" w:hAnsi="宋体" w:eastAsia="宋体" w:cs="宋体"/>
                <w:color w:val="auto"/>
                <w:sz w:val="24"/>
                <w:szCs w:val="24"/>
                <w:highlight w:val="none"/>
                <w:lang w:val="en-US" w:eastAsia="zh-CN"/>
              </w:rPr>
              <w:t>将在云南省政府采购网http://www.yngp.com对潜在供应商公开。</w:t>
            </w:r>
          </w:p>
          <w:p w14:paraId="463AA168">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（可附相关报告）</w:t>
            </w:r>
          </w:p>
        </w:tc>
      </w:tr>
      <w:tr w14:paraId="26A94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2211" w:type="dxa"/>
            <w:gridSpan w:val="2"/>
            <w:noWrap w:val="0"/>
            <w:vAlign w:val="center"/>
          </w:tcPr>
          <w:p w14:paraId="49EE416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lang w:eastAsia="zh-CN"/>
              </w:rPr>
              <w:t>咨询及第三方评估情况（</w:t>
            </w:r>
            <w:r>
              <w:rPr>
                <w:rFonts w:hint="eastAsia" w:ascii="宋体" w:hAnsi="宋体" w:eastAsia="宋体" w:cs="宋体"/>
                <w:color w:val="auto"/>
                <w:sz w:val="24"/>
                <w:szCs w:val="24"/>
                <w:highlight w:val="none"/>
              </w:rPr>
              <w:t>可选）</w:t>
            </w:r>
          </w:p>
        </w:tc>
        <w:tc>
          <w:tcPr>
            <w:tcW w:w="7133" w:type="dxa"/>
            <w:gridSpan w:val="7"/>
            <w:noWrap w:val="0"/>
            <w:vAlign w:val="bottom"/>
          </w:tcPr>
          <w:p w14:paraId="1BE5011C">
            <w:pPr>
              <w:keepNext w:val="0"/>
              <w:keepLines w:val="0"/>
              <w:pageBreakBefore w:val="0"/>
              <w:widowControl w:val="0"/>
              <w:kinsoku/>
              <w:wordWrap/>
              <w:overflowPunct/>
              <w:topLinePunct w:val="0"/>
              <w:autoSpaceDE/>
              <w:autoSpaceDN/>
              <w:bidi w:val="0"/>
              <w:adjustRightInd/>
              <w:snapToGrid/>
              <w:spacing w:line="320" w:lineRule="exact"/>
              <w:jc w:val="right"/>
              <w:textAlignment w:val="auto"/>
              <w:rPr>
                <w:rFonts w:hint="eastAsia" w:ascii="宋体" w:hAnsi="宋体" w:eastAsia="宋体" w:cs="宋体"/>
                <w:color w:val="auto"/>
                <w:sz w:val="24"/>
                <w:szCs w:val="24"/>
                <w:highlight w:val="none"/>
                <w:lang w:val="en-US" w:eastAsia="zh-CN"/>
              </w:rPr>
            </w:pPr>
          </w:p>
          <w:p w14:paraId="3F2BE05F">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right"/>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（可附</w:t>
            </w:r>
            <w:r>
              <w:rPr>
                <w:rFonts w:hint="eastAsia" w:ascii="宋体" w:hAnsi="宋体" w:eastAsia="宋体" w:cs="宋体"/>
                <w:color w:val="auto"/>
                <w:sz w:val="24"/>
                <w:szCs w:val="24"/>
                <w:highlight w:val="none"/>
                <w:lang w:eastAsia="zh-CN"/>
              </w:rPr>
              <w:t>相关报告</w:t>
            </w:r>
            <w:r>
              <w:rPr>
                <w:rFonts w:hint="eastAsia" w:ascii="宋体" w:hAnsi="宋体" w:eastAsia="宋体" w:cs="宋体"/>
                <w:color w:val="auto"/>
                <w:sz w:val="24"/>
                <w:szCs w:val="24"/>
                <w:highlight w:val="none"/>
              </w:rPr>
              <w:t>）</w:t>
            </w:r>
          </w:p>
        </w:tc>
      </w:tr>
      <w:tr w14:paraId="3E43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5228443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sz w:val="44"/>
                <w:szCs w:val="44"/>
                <w:highlight w:val="none"/>
                <w:vertAlign w:val="baseline"/>
                <w:lang w:eastAsia="zh-CN"/>
              </w:rPr>
            </w:pPr>
            <w:r>
              <w:rPr>
                <w:rFonts w:hint="eastAsia" w:ascii="宋体" w:hAnsi="宋体" w:eastAsia="宋体" w:cs="宋体"/>
                <w:color w:val="auto"/>
                <w:sz w:val="32"/>
                <w:szCs w:val="32"/>
                <w:highlight w:val="none"/>
              </w:rPr>
              <w:t>竞争影响评估</w:t>
            </w:r>
          </w:p>
        </w:tc>
        <w:tc>
          <w:tcPr>
            <w:tcW w:w="1335" w:type="dxa"/>
            <w:noWrap w:val="0"/>
            <w:vAlign w:val="center"/>
          </w:tcPr>
          <w:p w14:paraId="635239A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sz w:val="44"/>
                <w:szCs w:val="44"/>
                <w:highlight w:val="none"/>
                <w:vertAlign w:val="baseline"/>
              </w:rPr>
            </w:pP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/否</w:t>
            </w:r>
          </w:p>
        </w:tc>
      </w:tr>
      <w:tr w14:paraId="4474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4F05762C">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1.违法限定潜在供应商或者供应商的所有制形式或者组织形式，对不同所有制供应商采取不同的资格审查标准。</w:t>
            </w:r>
          </w:p>
        </w:tc>
        <w:tc>
          <w:tcPr>
            <w:tcW w:w="1335" w:type="dxa"/>
            <w:noWrap w:val="0"/>
            <w:vAlign w:val="center"/>
          </w:tcPr>
          <w:p w14:paraId="2E9FF377">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369B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193F6BE0">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2.直接规定外地经营者不能参与本地特定的招标投标活动。</w:t>
            </w:r>
          </w:p>
        </w:tc>
        <w:tc>
          <w:tcPr>
            <w:tcW w:w="1335" w:type="dxa"/>
            <w:noWrap w:val="0"/>
            <w:vAlign w:val="center"/>
          </w:tcPr>
          <w:p w14:paraId="4EB9C01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7F40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4B8F5A1F">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.对市场准入负面清单以外的行业、领域、业务，要求经营主体在参与投标活动前取得行政许可</w:t>
            </w:r>
            <w:r>
              <w:rPr>
                <w:rFonts w:hint="eastAsia" w:ascii="宋体" w:hAnsi="宋体" w:eastAsia="宋体" w:cs="宋体"/>
                <w:color w:val="auto"/>
                <w:sz w:val="24"/>
                <w:szCs w:val="24"/>
                <w:highlight w:val="none"/>
                <w:lang w:eastAsia="zh-CN"/>
              </w:rPr>
              <w:t>。</w:t>
            </w:r>
          </w:p>
        </w:tc>
        <w:tc>
          <w:tcPr>
            <w:tcW w:w="1335" w:type="dxa"/>
            <w:noWrap w:val="0"/>
            <w:vAlign w:val="center"/>
          </w:tcPr>
          <w:p w14:paraId="10550D1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65B89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4137DF27">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.要求经营主体在本地区设立分支机构、缴纳税收社保或者与本地区经营主体组成联合体</w:t>
            </w:r>
            <w:r>
              <w:rPr>
                <w:rFonts w:hint="eastAsia" w:ascii="宋体" w:hAnsi="宋体" w:eastAsia="宋体" w:cs="宋体"/>
                <w:color w:val="auto"/>
                <w:sz w:val="24"/>
                <w:szCs w:val="24"/>
                <w:highlight w:val="none"/>
                <w:lang w:eastAsia="zh-CN"/>
              </w:rPr>
              <w:t>。</w:t>
            </w:r>
          </w:p>
        </w:tc>
        <w:tc>
          <w:tcPr>
            <w:tcW w:w="1335" w:type="dxa"/>
            <w:noWrap w:val="0"/>
            <w:vAlign w:val="center"/>
          </w:tcPr>
          <w:p w14:paraId="09D95E8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535B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7A13E050">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5.要求经营主体取得本地区业绩或者奖项；以特定行政区域或者特定行业的业绩、奖项作为加分条件或者中标条件。</w:t>
            </w:r>
          </w:p>
        </w:tc>
        <w:tc>
          <w:tcPr>
            <w:tcW w:w="1335" w:type="dxa"/>
            <w:noWrap w:val="0"/>
            <w:vAlign w:val="center"/>
          </w:tcPr>
          <w:p w14:paraId="3DCB1D60">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0FC0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1996FADC">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.要求经营主体取得培训合格证、上岗证等特定地区或者特定行业组织颁发的相关证书</w:t>
            </w:r>
            <w:r>
              <w:rPr>
                <w:rFonts w:hint="eastAsia" w:ascii="宋体" w:hAnsi="宋体" w:eastAsia="宋体" w:cs="宋体"/>
                <w:color w:val="auto"/>
                <w:sz w:val="24"/>
                <w:szCs w:val="24"/>
                <w:highlight w:val="none"/>
                <w:lang w:eastAsia="zh-CN"/>
              </w:rPr>
              <w:t>。</w:t>
            </w:r>
          </w:p>
        </w:tc>
        <w:tc>
          <w:tcPr>
            <w:tcW w:w="1335" w:type="dxa"/>
            <w:noWrap w:val="0"/>
            <w:vAlign w:val="center"/>
          </w:tcPr>
          <w:p w14:paraId="0DB8580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21C2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36F44E5E">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要求经营主体取得特定行业组织成员身份</w:t>
            </w:r>
            <w:r>
              <w:rPr>
                <w:rFonts w:hint="eastAsia" w:ascii="宋体" w:hAnsi="宋体" w:eastAsia="宋体" w:cs="宋体"/>
                <w:color w:val="auto"/>
                <w:sz w:val="24"/>
                <w:szCs w:val="24"/>
                <w:highlight w:val="none"/>
                <w:lang w:eastAsia="zh-CN"/>
              </w:rPr>
              <w:t>。</w:t>
            </w:r>
          </w:p>
        </w:tc>
        <w:tc>
          <w:tcPr>
            <w:tcW w:w="1335" w:type="dxa"/>
            <w:noWrap w:val="0"/>
            <w:vAlign w:val="center"/>
          </w:tcPr>
          <w:p w14:paraId="70B270D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16AC7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58CC6FF1">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8.设定的资格、技术、商务条件与招标项目的具体特点和实际需要不相适应或者与合同履行无关。</w:t>
            </w:r>
          </w:p>
        </w:tc>
        <w:tc>
          <w:tcPr>
            <w:tcW w:w="1335" w:type="dxa"/>
            <w:noWrap w:val="0"/>
            <w:vAlign w:val="center"/>
          </w:tcPr>
          <w:p w14:paraId="149B799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64DC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60A9DBB7">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9.限定或者指定特定的专利、商标、品牌、原产地或者供应商或者检验检测认证机构（法律法规有明确要求的除外）。</w:t>
            </w:r>
          </w:p>
        </w:tc>
        <w:tc>
          <w:tcPr>
            <w:tcW w:w="1335" w:type="dxa"/>
            <w:noWrap w:val="0"/>
            <w:vAlign w:val="center"/>
          </w:tcPr>
          <w:p w14:paraId="5C79A28C">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446B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009" w:type="dxa"/>
            <w:gridSpan w:val="8"/>
            <w:noWrap w:val="0"/>
            <w:vAlign w:val="center"/>
          </w:tcPr>
          <w:p w14:paraId="3F7ADE3D">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10.根据经营主体的所有制形式、取得业绩的区域、投标产品的产地设置差异性得分。</w:t>
            </w:r>
          </w:p>
        </w:tc>
        <w:tc>
          <w:tcPr>
            <w:tcW w:w="1335" w:type="dxa"/>
            <w:noWrap w:val="0"/>
            <w:vAlign w:val="center"/>
          </w:tcPr>
          <w:p w14:paraId="22F96E43">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6CA6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0547FCA9">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11.根据经营主体的规模、注册地址、注册资金、市场占有率、负债率、净资产规模等设置差异性得分。</w:t>
            </w:r>
          </w:p>
        </w:tc>
        <w:tc>
          <w:tcPr>
            <w:tcW w:w="1335" w:type="dxa"/>
            <w:noWrap w:val="0"/>
            <w:vAlign w:val="center"/>
          </w:tcPr>
          <w:p w14:paraId="4DBF243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2C87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009" w:type="dxa"/>
            <w:gridSpan w:val="8"/>
            <w:noWrap w:val="0"/>
            <w:vAlign w:val="center"/>
          </w:tcPr>
          <w:p w14:paraId="027BDA3B">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12.根据联合体成员单位的注册地址、所有制形式等设置差异性得分。</w:t>
            </w:r>
          </w:p>
        </w:tc>
        <w:tc>
          <w:tcPr>
            <w:tcW w:w="1335" w:type="dxa"/>
            <w:noWrap w:val="0"/>
            <w:vAlign w:val="center"/>
          </w:tcPr>
          <w:p w14:paraId="2D032D4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7FDF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37652658">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13.对不同地区或者所有制形式经营主体的资质、资格、业绩等采用不同信用评价标准。</w:t>
            </w:r>
          </w:p>
        </w:tc>
        <w:tc>
          <w:tcPr>
            <w:tcW w:w="1335" w:type="dxa"/>
            <w:noWrap w:val="0"/>
            <w:vAlign w:val="center"/>
          </w:tcPr>
          <w:p w14:paraId="295ED9C7">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75A9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3E7B9ED0">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14.对能够通过告知承诺和事后核验核实真伪的事项，强制供应商在投标环节提供原件。</w:t>
            </w:r>
          </w:p>
        </w:tc>
        <w:tc>
          <w:tcPr>
            <w:tcW w:w="1335" w:type="dxa"/>
            <w:noWrap w:val="0"/>
            <w:vAlign w:val="center"/>
          </w:tcPr>
          <w:p w14:paraId="2599AA14">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7D89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1F2D28F8">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15.在获取招标文件、开标环节违法要求供应商的法定代表人、技术负责人、项目负责人或者其他特定人员到场。</w:t>
            </w:r>
          </w:p>
        </w:tc>
        <w:tc>
          <w:tcPr>
            <w:tcW w:w="1335" w:type="dxa"/>
            <w:noWrap w:val="0"/>
            <w:vAlign w:val="center"/>
          </w:tcPr>
          <w:p w14:paraId="2DCF90B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1585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0B7A769B">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16.要求经营主体缴纳除投标保证金、履约保证金、工程质量保证金、农民工工资保证金以外的其他保证金。</w:t>
            </w:r>
          </w:p>
        </w:tc>
        <w:tc>
          <w:tcPr>
            <w:tcW w:w="1335" w:type="dxa"/>
            <w:noWrap w:val="0"/>
            <w:vAlign w:val="center"/>
          </w:tcPr>
          <w:p w14:paraId="3F41145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4957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7AE144E0">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17.限定经营主体缴纳保证金的形式。</w:t>
            </w:r>
          </w:p>
        </w:tc>
        <w:tc>
          <w:tcPr>
            <w:tcW w:w="1335" w:type="dxa"/>
            <w:noWrap w:val="0"/>
            <w:vAlign w:val="center"/>
          </w:tcPr>
          <w:p w14:paraId="1E29189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470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052A4F5E">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18.要求经营主体从特定机构开具保函（保险）。</w:t>
            </w:r>
          </w:p>
        </w:tc>
        <w:tc>
          <w:tcPr>
            <w:tcW w:w="1335" w:type="dxa"/>
            <w:noWrap w:val="0"/>
            <w:vAlign w:val="center"/>
          </w:tcPr>
          <w:p w14:paraId="07CDB78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4EFF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0DFD9FF2">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19.在招标文件之外设定保证金退还的前置条件。</w:t>
            </w:r>
          </w:p>
        </w:tc>
        <w:tc>
          <w:tcPr>
            <w:tcW w:w="1335" w:type="dxa"/>
            <w:noWrap w:val="0"/>
            <w:vAlign w:val="center"/>
          </w:tcPr>
          <w:p w14:paraId="15BFF4B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6FAB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09" w:type="dxa"/>
            <w:gridSpan w:val="8"/>
            <w:noWrap w:val="0"/>
            <w:vAlign w:val="center"/>
          </w:tcPr>
          <w:p w14:paraId="272B1397">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20.以其他不合理条件限制经营主体参与投标的政策措施；虽然没有直接限制、排斥，但实质上起到变相限制、排斥效果的规定。</w:t>
            </w:r>
          </w:p>
        </w:tc>
        <w:tc>
          <w:tcPr>
            <w:tcW w:w="1335" w:type="dxa"/>
            <w:noWrap w:val="0"/>
            <w:vAlign w:val="center"/>
          </w:tcPr>
          <w:p w14:paraId="14C6F22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en-US" w:eastAsia="zh-CN"/>
              </w:rPr>
              <w:t>否</w:t>
            </w:r>
          </w:p>
        </w:tc>
      </w:tr>
      <w:tr w14:paraId="0198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211" w:type="dxa"/>
            <w:gridSpan w:val="2"/>
            <w:noWrap w:val="0"/>
            <w:vAlign w:val="center"/>
          </w:tcPr>
          <w:p w14:paraId="0FDAC1D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w:t>
            </w:r>
          </w:p>
          <w:p w14:paraId="771AA74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eastAsia="zh-CN"/>
              </w:rPr>
              <w:t>结论</w:t>
            </w:r>
          </w:p>
        </w:tc>
        <w:tc>
          <w:tcPr>
            <w:tcW w:w="7133" w:type="dxa"/>
            <w:gridSpan w:val="7"/>
            <w:noWrap w:val="0"/>
            <w:vAlign w:val="center"/>
          </w:tcPr>
          <w:p w14:paraId="4DA975C2">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rPr>
            </w:pPr>
          </w:p>
          <w:p w14:paraId="404EF02D">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可以发布实施</w:t>
            </w:r>
          </w:p>
          <w:p w14:paraId="3A891AF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rPr>
            </w:pPr>
          </w:p>
          <w:p w14:paraId="43B2EC61">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（可附相关报告）</w:t>
            </w:r>
          </w:p>
        </w:tc>
      </w:tr>
      <w:tr w14:paraId="715A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407" w:type="dxa"/>
            <w:vMerge w:val="restart"/>
            <w:noWrap w:val="0"/>
            <w:vAlign w:val="center"/>
          </w:tcPr>
          <w:p w14:paraId="06799E9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适用例外</w:t>
            </w:r>
          </w:p>
          <w:p w14:paraId="19F8D66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规定</w:t>
            </w:r>
          </w:p>
          <w:p w14:paraId="346DF74A">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vertAlign w:val="baseline"/>
              </w:rPr>
            </w:pPr>
          </w:p>
        </w:tc>
        <w:tc>
          <w:tcPr>
            <w:tcW w:w="7937" w:type="dxa"/>
            <w:gridSpan w:val="8"/>
            <w:noWrap w:val="0"/>
            <w:vAlign w:val="center"/>
          </w:tcPr>
          <w:p w14:paraId="29D5588C">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sym w:font="Wingdings" w:char="00FE"/>
            </w:r>
          </w:p>
        </w:tc>
      </w:tr>
      <w:tr w14:paraId="0927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407" w:type="dxa"/>
            <w:vMerge w:val="continue"/>
            <w:noWrap w:val="0"/>
            <w:vAlign w:val="center"/>
          </w:tcPr>
          <w:p w14:paraId="076B721C">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vertAlign w:val="baseline"/>
              </w:rPr>
            </w:pPr>
          </w:p>
        </w:tc>
        <w:tc>
          <w:tcPr>
            <w:tcW w:w="1200" w:type="dxa"/>
            <w:gridSpan w:val="2"/>
            <w:noWrap w:val="0"/>
            <w:vAlign w:val="center"/>
          </w:tcPr>
          <w:p w14:paraId="339C42E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选择“是”时详细</w:t>
            </w:r>
          </w:p>
          <w:p w14:paraId="571ED005">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说明理由</w:t>
            </w:r>
          </w:p>
        </w:tc>
        <w:tc>
          <w:tcPr>
            <w:tcW w:w="6737" w:type="dxa"/>
            <w:gridSpan w:val="6"/>
            <w:noWrap w:val="0"/>
            <w:vAlign w:val="center"/>
          </w:tcPr>
          <w:p w14:paraId="11CFF2AA">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vertAlign w:val="baseline"/>
              </w:rPr>
            </w:pPr>
          </w:p>
        </w:tc>
      </w:tr>
      <w:tr w14:paraId="3CE74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2607" w:type="dxa"/>
            <w:gridSpan w:val="3"/>
            <w:noWrap w:val="0"/>
            <w:vAlign w:val="center"/>
          </w:tcPr>
          <w:p w14:paraId="52970772">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其他需要说明的情况</w:t>
            </w:r>
          </w:p>
        </w:tc>
        <w:tc>
          <w:tcPr>
            <w:tcW w:w="6737" w:type="dxa"/>
            <w:gridSpan w:val="6"/>
            <w:noWrap w:val="0"/>
            <w:vAlign w:val="center"/>
          </w:tcPr>
          <w:p w14:paraId="5299296D">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center"/>
              <w:textAlignment w:val="auto"/>
              <w:rPr>
                <w:rFonts w:hint="eastAsia" w:ascii="宋体" w:hAnsi="宋体" w:eastAsia="宋体" w:cs="宋体"/>
                <w:color w:val="auto"/>
                <w:sz w:val="24"/>
                <w:szCs w:val="24"/>
                <w:highlight w:val="none"/>
                <w:vertAlign w:val="baseline"/>
              </w:rPr>
            </w:pPr>
          </w:p>
        </w:tc>
      </w:tr>
      <w:tr w14:paraId="3CF3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8" w:hRule="atLeast"/>
        </w:trPr>
        <w:tc>
          <w:tcPr>
            <w:tcW w:w="2612" w:type="dxa"/>
            <w:gridSpan w:val="4"/>
            <w:noWrap w:val="0"/>
            <w:vAlign w:val="center"/>
          </w:tcPr>
          <w:p w14:paraId="4354E28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审查机构主要负责人意见</w:t>
            </w:r>
          </w:p>
        </w:tc>
        <w:tc>
          <w:tcPr>
            <w:tcW w:w="6732" w:type="dxa"/>
            <w:gridSpan w:val="5"/>
            <w:noWrap w:val="0"/>
            <w:vAlign w:val="bottom"/>
          </w:tcPr>
          <w:p w14:paraId="269E44A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盖章：</w:t>
            </w:r>
          </w:p>
        </w:tc>
      </w:tr>
    </w:tbl>
    <w:p w14:paraId="77E88012">
      <w:pPr>
        <w:ind w:left="0" w:leftChars="0" w:right="0" w:rightChars="0" w:firstLine="0" w:firstLineChars="0"/>
        <w:jc w:val="center"/>
        <w:rPr>
          <w:rFonts w:hint="eastAsia" w:ascii="宋体" w:hAnsi="宋体" w:eastAsia="宋体" w:cs="宋体"/>
          <w:color w:val="auto"/>
          <w:kern w:val="2"/>
          <w:sz w:val="21"/>
          <w:szCs w:val="24"/>
          <w:highlight w:val="none"/>
          <w:lang w:val="en-US" w:eastAsia="zh-CN" w:bidi="ar-SA"/>
        </w:rPr>
      </w:pPr>
      <w:r>
        <w:rPr>
          <w:color w:val="auto"/>
          <w:highlight w:val="none"/>
        </w:rPr>
        <w:drawing>
          <wp:anchor distT="0" distB="0" distL="114300" distR="114300" simplePos="0" relativeHeight="251661312" behindDoc="0" locked="0" layoutInCell="1" allowOverlap="1">
            <wp:simplePos x="0" y="0"/>
            <wp:positionH relativeFrom="column">
              <wp:posOffset>-235585</wp:posOffset>
            </wp:positionH>
            <wp:positionV relativeFrom="paragraph">
              <wp:posOffset>-20955</wp:posOffset>
            </wp:positionV>
            <wp:extent cx="6246495" cy="8267700"/>
            <wp:effectExtent l="0" t="0" r="1905"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1"/>
                    <a:stretch>
                      <a:fillRect/>
                    </a:stretch>
                  </pic:blipFill>
                  <pic:spPr>
                    <a:xfrm>
                      <a:off x="0" y="0"/>
                      <a:ext cx="6246495" cy="8267700"/>
                    </a:xfrm>
                    <a:prstGeom prst="rect">
                      <a:avLst/>
                    </a:prstGeom>
                    <a:noFill/>
                    <a:ln>
                      <a:noFill/>
                    </a:ln>
                  </pic:spPr>
                </pic:pic>
              </a:graphicData>
            </a:graphic>
          </wp:anchor>
        </w:drawing>
      </w:r>
    </w:p>
    <w:p w14:paraId="1402BB77">
      <w:pPr>
        <w:rPr>
          <w:rFonts w:hint="eastAsia" w:ascii="宋体" w:hAnsi="宋体" w:eastAsia="宋体" w:cs="宋体"/>
          <w:color w:val="auto"/>
          <w:kern w:val="2"/>
          <w:sz w:val="21"/>
          <w:szCs w:val="24"/>
          <w:highlight w:val="none"/>
          <w:lang w:val="en-US" w:eastAsia="zh-CN" w:bidi="ar-SA"/>
        </w:rPr>
      </w:pPr>
    </w:p>
    <w:p w14:paraId="39854433">
      <w:pPr>
        <w:rPr>
          <w:rFonts w:hint="eastAsia"/>
          <w:color w:val="auto"/>
          <w:highlight w:val="none"/>
          <w:lang w:val="en-US" w:eastAsia="zh-CN"/>
        </w:rPr>
      </w:pPr>
    </w:p>
    <w:p w14:paraId="78219123">
      <w:pPr>
        <w:rPr>
          <w:rFonts w:hint="eastAsia"/>
          <w:color w:val="auto"/>
          <w:highlight w:val="none"/>
          <w:lang w:val="en-US" w:eastAsia="zh-CN"/>
        </w:rPr>
      </w:pPr>
    </w:p>
    <w:p w14:paraId="419BB0FD">
      <w:pPr>
        <w:rPr>
          <w:rFonts w:hint="eastAsia"/>
          <w:color w:val="auto"/>
          <w:highlight w:val="none"/>
          <w:lang w:val="en-US" w:eastAsia="zh-CN"/>
        </w:rPr>
      </w:pPr>
    </w:p>
    <w:sdt>
      <w:sdtPr>
        <w:rPr>
          <w:rFonts w:ascii="宋体" w:hAnsi="宋体" w:eastAsia="宋体" w:cs="Times New Roman"/>
          <w:color w:val="auto"/>
          <w:kern w:val="2"/>
          <w:sz w:val="21"/>
          <w:szCs w:val="24"/>
          <w:highlight w:val="none"/>
          <w:lang w:val="en-US" w:eastAsia="zh-CN" w:bidi="ar-SA"/>
        </w:rPr>
        <w:id w:val="147479954"/>
        <w15:color w:val="DBDBDB"/>
        <w:docPartObj>
          <w:docPartGallery w:val="Table of Contents"/>
          <w:docPartUnique/>
        </w:docPartObj>
      </w:sdtPr>
      <w:sdtEndPr>
        <w:rPr>
          <w:rFonts w:ascii="Calibri" w:hAnsi="Calibri" w:eastAsia="宋体" w:cs="Times New Roman"/>
          <w:color w:val="auto"/>
          <w:kern w:val="2"/>
          <w:sz w:val="21"/>
          <w:szCs w:val="24"/>
          <w:highlight w:val="none"/>
          <w:lang w:val="en-US" w:eastAsia="zh-CN" w:bidi="ar-SA"/>
        </w:rPr>
      </w:sdtEndPr>
      <w:sdtContent>
        <w:p w14:paraId="4EF705FA">
          <w:pPr>
            <w:spacing w:before="0" w:beforeLines="0" w:after="0" w:afterLines="0" w:line="240" w:lineRule="auto"/>
            <w:ind w:left="0" w:leftChars="0" w:right="0" w:rightChars="0" w:firstLine="0" w:firstLineChars="0"/>
            <w:jc w:val="center"/>
            <w:rPr>
              <w:color w:val="auto"/>
              <w:highlight w:val="none"/>
            </w:rPr>
          </w:pPr>
          <w:bookmarkStart w:id="9" w:name="_Toc15509"/>
          <w:bookmarkStart w:id="10" w:name="_Toc31054"/>
          <w:bookmarkStart w:id="11" w:name="_Toc1527"/>
          <w:bookmarkStart w:id="12" w:name="_Toc23411"/>
          <w:bookmarkStart w:id="13" w:name="_Toc10751"/>
          <w:r>
            <w:rPr>
              <w:rFonts w:ascii="宋体" w:hAnsi="宋体" w:eastAsia="宋体"/>
              <w:color w:val="auto"/>
              <w:sz w:val="21"/>
              <w:highlight w:val="none"/>
            </w:rPr>
            <w:t>目录</w:t>
          </w:r>
        </w:p>
        <w:p w14:paraId="46A34CC1">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b/>
              <w:color w:val="auto"/>
              <w:highlight w:val="none"/>
            </w:rPr>
            <w:fldChar w:fldCharType="begin"/>
          </w:r>
          <w:r>
            <w:rPr>
              <w:b/>
              <w:color w:val="auto"/>
              <w:highlight w:val="none"/>
            </w:rPr>
            <w:instrText xml:space="preserve">TOC \o "1-2" \h \u </w:instrText>
          </w:r>
          <w:r>
            <w:rPr>
              <w:b/>
              <w:color w:val="auto"/>
              <w:highlight w:val="none"/>
            </w:rPr>
            <w:fldChar w:fldCharType="separate"/>
          </w:r>
          <w:r>
            <w:rPr>
              <w:color w:val="auto"/>
              <w:highlight w:val="none"/>
            </w:rPr>
            <w:fldChar w:fldCharType="begin"/>
          </w:r>
          <w:r>
            <w:rPr>
              <w:color w:val="auto"/>
              <w:highlight w:val="none"/>
            </w:rPr>
            <w:instrText xml:space="preserve"> HYPERLINK \l _Toc14961 </w:instrText>
          </w:r>
          <w:r>
            <w:rPr>
              <w:color w:val="auto"/>
              <w:highlight w:val="none"/>
            </w:rPr>
            <w:fldChar w:fldCharType="separate"/>
          </w:r>
          <w:r>
            <w:rPr>
              <w:rFonts w:hint="eastAsia" w:ascii="宋体" w:hAnsi="宋体" w:eastAsia="宋体" w:cs="宋体"/>
              <w:bCs w:val="0"/>
              <w:color w:val="auto"/>
              <w:kern w:val="44"/>
              <w:szCs w:val="30"/>
              <w:highlight w:val="none"/>
            </w:rPr>
            <w:t xml:space="preserve">第一章  </w:t>
          </w:r>
          <w:r>
            <w:rPr>
              <w:rFonts w:hint="eastAsia" w:ascii="宋体" w:hAnsi="宋体" w:eastAsia="宋体" w:cs="宋体"/>
              <w:bCs w:val="0"/>
              <w:color w:val="auto"/>
              <w:kern w:val="44"/>
              <w:szCs w:val="30"/>
              <w:highlight w:val="none"/>
              <w:lang w:eastAsia="zh-CN"/>
            </w:rPr>
            <w:t>竞争性磋商公告</w:t>
          </w:r>
          <w:r>
            <w:rPr>
              <w:color w:val="auto"/>
              <w:highlight w:val="none"/>
            </w:rPr>
            <w:tab/>
          </w:r>
          <w:r>
            <w:rPr>
              <w:color w:val="auto"/>
              <w:highlight w:val="none"/>
            </w:rPr>
            <w:fldChar w:fldCharType="begin"/>
          </w:r>
          <w:r>
            <w:rPr>
              <w:color w:val="auto"/>
              <w:highlight w:val="none"/>
            </w:rPr>
            <w:instrText xml:space="preserve"> PAGEREF _Toc14961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D4F8062">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_Toc292 </w:instrText>
          </w:r>
          <w:r>
            <w:rPr>
              <w:color w:val="auto"/>
              <w:highlight w:val="none"/>
            </w:rPr>
            <w:fldChar w:fldCharType="separate"/>
          </w:r>
          <w:r>
            <w:rPr>
              <w:rFonts w:hint="eastAsia" w:ascii="宋体" w:hAnsi="宋体" w:eastAsia="宋体" w:cs="宋体"/>
              <w:color w:val="auto"/>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_Toc292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A59E1EC">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_Toc22364 </w:instrText>
          </w:r>
          <w:r>
            <w:rPr>
              <w:color w:val="auto"/>
              <w:highlight w:val="none"/>
            </w:rPr>
            <w:fldChar w:fldCharType="separate"/>
          </w:r>
          <w:r>
            <w:rPr>
              <w:rFonts w:hint="eastAsia" w:ascii="宋体" w:hAnsi="宋体" w:eastAsia="宋体" w:cs="宋体"/>
              <w:color w:val="auto"/>
              <w:highlight w:val="none"/>
            </w:rPr>
            <w:t>二、</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资格要求：</w:t>
          </w:r>
          <w:r>
            <w:rPr>
              <w:color w:val="auto"/>
              <w:highlight w:val="none"/>
            </w:rPr>
            <w:tab/>
          </w:r>
          <w:r>
            <w:rPr>
              <w:color w:val="auto"/>
              <w:highlight w:val="none"/>
            </w:rPr>
            <w:fldChar w:fldCharType="begin"/>
          </w:r>
          <w:r>
            <w:rPr>
              <w:color w:val="auto"/>
              <w:highlight w:val="none"/>
            </w:rPr>
            <w:instrText xml:space="preserve"> PAGEREF _Toc22364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23037E4">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_Toc2927 </w:instrText>
          </w:r>
          <w:r>
            <w:rPr>
              <w:color w:val="auto"/>
              <w:highlight w:val="none"/>
            </w:rPr>
            <w:fldChar w:fldCharType="separate"/>
          </w:r>
          <w:r>
            <w:rPr>
              <w:rFonts w:hint="eastAsia" w:ascii="宋体" w:hAnsi="宋体" w:eastAsia="宋体" w:cs="宋体"/>
              <w:bCs/>
              <w:color w:val="auto"/>
              <w:highlight w:val="none"/>
            </w:rPr>
            <w:t>三、获取</w:t>
          </w:r>
          <w:r>
            <w:rPr>
              <w:rFonts w:hint="eastAsia" w:ascii="宋体" w:hAnsi="宋体" w:eastAsia="宋体" w:cs="宋体"/>
              <w:bCs/>
              <w:color w:val="auto"/>
              <w:highlight w:val="none"/>
              <w:lang w:eastAsia="zh-CN"/>
            </w:rPr>
            <w:t>竞争性磋商</w:t>
          </w:r>
          <w:r>
            <w:rPr>
              <w:rFonts w:hint="eastAsia" w:ascii="宋体" w:hAnsi="宋体" w:eastAsia="宋体" w:cs="宋体"/>
              <w:bCs/>
              <w:color w:val="auto"/>
              <w:highlight w:val="none"/>
            </w:rPr>
            <w:t>文件</w:t>
          </w:r>
          <w:r>
            <w:rPr>
              <w:color w:val="auto"/>
              <w:highlight w:val="none"/>
            </w:rPr>
            <w:tab/>
          </w:r>
          <w:r>
            <w:rPr>
              <w:color w:val="auto"/>
              <w:highlight w:val="none"/>
            </w:rPr>
            <w:fldChar w:fldCharType="begin"/>
          </w:r>
          <w:r>
            <w:rPr>
              <w:color w:val="auto"/>
              <w:highlight w:val="none"/>
            </w:rPr>
            <w:instrText xml:space="preserve"> PAGEREF _Toc2927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67816964">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_Toc27126 </w:instrText>
          </w:r>
          <w:r>
            <w:rPr>
              <w:color w:val="auto"/>
              <w:highlight w:val="none"/>
            </w:rPr>
            <w:fldChar w:fldCharType="separate"/>
          </w:r>
          <w:r>
            <w:rPr>
              <w:rFonts w:hint="eastAsia" w:ascii="宋体" w:hAnsi="宋体" w:eastAsia="宋体" w:cs="宋体"/>
              <w:bCs/>
              <w:color w:val="auto"/>
              <w:highlight w:val="none"/>
              <w:lang w:eastAsia="zh-CN"/>
            </w:rPr>
            <w:t>四、响应文件</w:t>
          </w:r>
          <w:r>
            <w:rPr>
              <w:rFonts w:hint="eastAsia" w:ascii="宋体" w:hAnsi="宋体" w:eastAsia="宋体" w:cs="宋体"/>
              <w:bCs/>
              <w:color w:val="auto"/>
              <w:highlight w:val="none"/>
              <w:lang w:val="en-US" w:eastAsia="zh-CN"/>
            </w:rPr>
            <w:t>提交</w:t>
          </w:r>
          <w:r>
            <w:rPr>
              <w:color w:val="auto"/>
              <w:highlight w:val="none"/>
            </w:rPr>
            <w:tab/>
          </w:r>
          <w:r>
            <w:rPr>
              <w:color w:val="auto"/>
              <w:highlight w:val="none"/>
            </w:rPr>
            <w:fldChar w:fldCharType="begin"/>
          </w:r>
          <w:r>
            <w:rPr>
              <w:color w:val="auto"/>
              <w:highlight w:val="none"/>
            </w:rPr>
            <w:instrText xml:space="preserve"> PAGEREF _Toc27126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222203B5">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_Toc16723 </w:instrText>
          </w:r>
          <w:r>
            <w:rPr>
              <w:color w:val="auto"/>
              <w:highlight w:val="none"/>
            </w:rPr>
            <w:fldChar w:fldCharType="separate"/>
          </w:r>
          <w:r>
            <w:rPr>
              <w:rFonts w:hint="eastAsia" w:ascii="宋体" w:hAnsi="宋体" w:eastAsia="宋体" w:cs="宋体"/>
              <w:bCs/>
              <w:color w:val="auto"/>
              <w:highlight w:val="none"/>
              <w:lang w:eastAsia="zh-CN"/>
            </w:rPr>
            <w:t>五</w:t>
          </w:r>
          <w:r>
            <w:rPr>
              <w:rFonts w:hint="eastAsia" w:ascii="宋体" w:hAnsi="宋体" w:eastAsia="宋体" w:cs="宋体"/>
              <w:bCs/>
              <w:color w:val="auto"/>
              <w:highlight w:val="none"/>
            </w:rPr>
            <w:t>、</w:t>
          </w:r>
          <w:r>
            <w:rPr>
              <w:rFonts w:hint="eastAsia" w:ascii="宋体" w:hAnsi="宋体" w:eastAsia="宋体" w:cs="宋体"/>
              <w:bCs/>
              <w:color w:val="auto"/>
              <w:highlight w:val="none"/>
              <w:lang w:val="en-US" w:eastAsia="zh-CN"/>
            </w:rPr>
            <w:t>开启</w:t>
          </w:r>
          <w:r>
            <w:rPr>
              <w:color w:val="auto"/>
              <w:highlight w:val="none"/>
            </w:rPr>
            <w:tab/>
          </w:r>
          <w:r>
            <w:rPr>
              <w:color w:val="auto"/>
              <w:highlight w:val="none"/>
            </w:rPr>
            <w:fldChar w:fldCharType="begin"/>
          </w:r>
          <w:r>
            <w:rPr>
              <w:color w:val="auto"/>
              <w:highlight w:val="none"/>
            </w:rPr>
            <w:instrText xml:space="preserve"> PAGEREF _Toc16723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11874B1">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_Toc30929 </w:instrText>
          </w:r>
          <w:r>
            <w:rPr>
              <w:color w:val="auto"/>
              <w:highlight w:val="none"/>
            </w:rPr>
            <w:fldChar w:fldCharType="separate"/>
          </w:r>
          <w:r>
            <w:rPr>
              <w:rFonts w:hint="eastAsia" w:ascii="宋体" w:hAnsi="宋体" w:eastAsia="宋体" w:cs="宋体"/>
              <w:bCs/>
              <w:color w:val="auto"/>
              <w:highlight w:val="none"/>
              <w:lang w:val="en-US" w:eastAsia="zh-CN"/>
            </w:rPr>
            <w:t>六、</w:t>
          </w:r>
          <w:r>
            <w:rPr>
              <w:rFonts w:hint="eastAsia" w:ascii="宋体" w:hAnsi="宋体" w:eastAsia="宋体" w:cs="宋体"/>
              <w:bCs/>
              <w:color w:val="auto"/>
              <w:highlight w:val="none"/>
              <w:lang w:eastAsia="zh-CN"/>
            </w:rPr>
            <w:t>公告期限</w:t>
          </w:r>
          <w:r>
            <w:rPr>
              <w:color w:val="auto"/>
              <w:highlight w:val="none"/>
            </w:rPr>
            <w:tab/>
          </w:r>
          <w:r>
            <w:rPr>
              <w:color w:val="auto"/>
              <w:highlight w:val="none"/>
            </w:rPr>
            <w:fldChar w:fldCharType="begin"/>
          </w:r>
          <w:r>
            <w:rPr>
              <w:color w:val="auto"/>
              <w:highlight w:val="none"/>
            </w:rPr>
            <w:instrText xml:space="preserve"> PAGEREF _Toc30929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AB6AC6C">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_Toc5697 </w:instrText>
          </w:r>
          <w:r>
            <w:rPr>
              <w:color w:val="auto"/>
              <w:highlight w:val="none"/>
            </w:rPr>
            <w:fldChar w:fldCharType="separate"/>
          </w:r>
          <w:r>
            <w:rPr>
              <w:rFonts w:hint="eastAsia" w:ascii="宋体" w:hAnsi="宋体" w:eastAsia="宋体" w:cs="宋体"/>
              <w:bCs/>
              <w:color w:val="auto"/>
              <w:highlight w:val="none"/>
              <w:lang w:val="en-US" w:eastAsia="zh-CN"/>
            </w:rPr>
            <w:t>七、其他补充事宜</w:t>
          </w:r>
          <w:r>
            <w:rPr>
              <w:color w:val="auto"/>
              <w:highlight w:val="none"/>
            </w:rPr>
            <w:tab/>
          </w:r>
          <w:r>
            <w:rPr>
              <w:color w:val="auto"/>
              <w:highlight w:val="none"/>
            </w:rPr>
            <w:fldChar w:fldCharType="begin"/>
          </w:r>
          <w:r>
            <w:rPr>
              <w:color w:val="auto"/>
              <w:highlight w:val="none"/>
            </w:rPr>
            <w:instrText xml:space="preserve"> PAGEREF _Toc5697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7CD6B8AD">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_Toc15397 </w:instrText>
          </w:r>
          <w:r>
            <w:rPr>
              <w:color w:val="auto"/>
              <w:highlight w:val="none"/>
            </w:rPr>
            <w:fldChar w:fldCharType="separate"/>
          </w:r>
          <w:r>
            <w:rPr>
              <w:rFonts w:hint="eastAsia" w:ascii="宋体" w:hAnsi="宋体" w:eastAsia="宋体" w:cs="宋体"/>
              <w:bCs/>
              <w:color w:val="auto"/>
              <w:szCs w:val="24"/>
              <w:highlight w:val="none"/>
              <w:lang w:val="en-US" w:eastAsia="zh-CN"/>
            </w:rPr>
            <w:t>八</w:t>
          </w:r>
          <w:r>
            <w:rPr>
              <w:rFonts w:hint="eastAsia" w:ascii="宋体" w:hAnsi="宋体" w:eastAsia="宋体" w:cs="宋体"/>
              <w:bCs/>
              <w:color w:val="auto"/>
              <w:szCs w:val="24"/>
              <w:highlight w:val="none"/>
              <w:lang w:eastAsia="zh-CN"/>
            </w:rPr>
            <w:t>、凡对本次采购提出询问，请按以下方式联系。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_Toc15397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090530E0">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_Toc12816 </w:instrText>
          </w:r>
          <w:r>
            <w:rPr>
              <w:color w:val="auto"/>
              <w:highlight w:val="none"/>
            </w:rPr>
            <w:fldChar w:fldCharType="separate"/>
          </w:r>
          <w:r>
            <w:rPr>
              <w:rFonts w:hint="eastAsia" w:ascii="宋体" w:hAnsi="宋体" w:eastAsia="宋体" w:cs="宋体"/>
              <w:color w:val="auto"/>
              <w:szCs w:val="30"/>
              <w:highlight w:val="none"/>
            </w:rPr>
            <w:t xml:space="preserve">第二章  </w:t>
          </w:r>
          <w:r>
            <w:rPr>
              <w:rFonts w:hint="eastAsia" w:ascii="宋体" w:hAnsi="宋体" w:eastAsia="宋体" w:cs="宋体"/>
              <w:color w:val="auto"/>
              <w:szCs w:val="30"/>
              <w:highlight w:val="none"/>
              <w:lang w:val="en-US" w:eastAsia="zh-CN"/>
            </w:rPr>
            <w:t>供应商</w:t>
          </w:r>
          <w:r>
            <w:rPr>
              <w:rFonts w:hint="eastAsia" w:ascii="宋体" w:hAnsi="宋体" w:eastAsia="宋体" w:cs="宋体"/>
              <w:color w:val="auto"/>
              <w:szCs w:val="30"/>
              <w:highlight w:val="none"/>
            </w:rPr>
            <w:t>须知</w:t>
          </w:r>
          <w:r>
            <w:rPr>
              <w:color w:val="auto"/>
              <w:highlight w:val="none"/>
            </w:rPr>
            <w:tab/>
          </w:r>
          <w:r>
            <w:rPr>
              <w:color w:val="auto"/>
              <w:highlight w:val="none"/>
            </w:rPr>
            <w:fldChar w:fldCharType="begin"/>
          </w:r>
          <w:r>
            <w:rPr>
              <w:color w:val="auto"/>
              <w:highlight w:val="none"/>
            </w:rPr>
            <w:instrText xml:space="preserve"> PAGEREF _Toc12816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1D1CD525">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_Toc13050 </w:instrText>
          </w:r>
          <w:r>
            <w:rPr>
              <w:color w:val="auto"/>
              <w:highlight w:val="none"/>
            </w:rPr>
            <w:fldChar w:fldCharType="separate"/>
          </w:r>
          <w:r>
            <w:rPr>
              <w:rFonts w:hint="eastAsia" w:ascii="宋体" w:hAnsi="宋体" w:eastAsia="宋体" w:cs="宋体"/>
              <w:color w:val="auto"/>
              <w:szCs w:val="28"/>
              <w:highlight w:val="none"/>
              <w:lang w:val="en-US" w:eastAsia="zh-CN"/>
            </w:rPr>
            <w:t>供应商</w:t>
          </w:r>
          <w:r>
            <w:rPr>
              <w:rFonts w:hint="eastAsia" w:ascii="宋体" w:hAnsi="宋体" w:eastAsia="宋体" w:cs="宋体"/>
              <w:color w:val="auto"/>
              <w:szCs w:val="28"/>
              <w:highlight w:val="none"/>
            </w:rPr>
            <w:t>须知前附表</w:t>
          </w:r>
          <w:r>
            <w:rPr>
              <w:color w:val="auto"/>
              <w:highlight w:val="none"/>
            </w:rPr>
            <w:tab/>
          </w:r>
          <w:r>
            <w:rPr>
              <w:color w:val="auto"/>
              <w:highlight w:val="none"/>
            </w:rPr>
            <w:fldChar w:fldCharType="begin"/>
          </w:r>
          <w:r>
            <w:rPr>
              <w:color w:val="auto"/>
              <w:highlight w:val="none"/>
            </w:rPr>
            <w:instrText xml:space="preserve"> PAGEREF _Toc13050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45376B9A">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_Toc31728 </w:instrText>
          </w:r>
          <w:r>
            <w:rPr>
              <w:color w:val="auto"/>
              <w:highlight w:val="none"/>
            </w:rPr>
            <w:fldChar w:fldCharType="separate"/>
          </w:r>
          <w:r>
            <w:rPr>
              <w:rFonts w:hint="eastAsia" w:ascii="宋体" w:hAnsi="宋体" w:eastAsia="宋体" w:cs="宋体"/>
              <w:color w:val="auto"/>
              <w:szCs w:val="28"/>
              <w:highlight w:val="none"/>
              <w:lang w:val="zh-CN"/>
            </w:rPr>
            <w:t>一、总</w:t>
          </w:r>
          <w:r>
            <w:rPr>
              <w:rFonts w:hint="eastAsia" w:ascii="宋体" w:hAnsi="宋体" w:eastAsia="宋体" w:cs="宋体"/>
              <w:color w:val="auto"/>
              <w:szCs w:val="28"/>
              <w:highlight w:val="none"/>
            </w:rPr>
            <w:t xml:space="preserve">  </w:t>
          </w:r>
          <w:r>
            <w:rPr>
              <w:rFonts w:hint="eastAsia" w:ascii="宋体" w:hAnsi="宋体" w:eastAsia="宋体" w:cs="宋体"/>
              <w:color w:val="auto"/>
              <w:szCs w:val="28"/>
              <w:highlight w:val="none"/>
              <w:lang w:val="zh-CN"/>
            </w:rPr>
            <w:t>则</w:t>
          </w:r>
          <w:r>
            <w:rPr>
              <w:color w:val="auto"/>
              <w:highlight w:val="none"/>
            </w:rPr>
            <w:tab/>
          </w:r>
          <w:r>
            <w:rPr>
              <w:color w:val="auto"/>
              <w:highlight w:val="none"/>
            </w:rPr>
            <w:fldChar w:fldCharType="begin"/>
          </w:r>
          <w:r>
            <w:rPr>
              <w:color w:val="auto"/>
              <w:highlight w:val="none"/>
            </w:rPr>
            <w:instrText xml:space="preserve"> PAGEREF _Toc31728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7A2301CE">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_Toc8928 </w:instrText>
          </w:r>
          <w:r>
            <w:rPr>
              <w:color w:val="auto"/>
              <w:highlight w:val="none"/>
            </w:rPr>
            <w:fldChar w:fldCharType="separate"/>
          </w:r>
          <w:r>
            <w:rPr>
              <w:rFonts w:hint="eastAsia" w:ascii="宋体" w:hAnsi="宋体" w:eastAsia="宋体" w:cs="宋体"/>
              <w:bCs/>
              <w:color w:val="auto"/>
              <w:kern w:val="1"/>
              <w:highlight w:val="none"/>
              <w:lang w:val="zh-CN" w:bidi="ar"/>
            </w:rPr>
            <w:t>二、竞争性磋商文件</w:t>
          </w:r>
          <w:r>
            <w:rPr>
              <w:color w:val="auto"/>
              <w:highlight w:val="none"/>
            </w:rPr>
            <w:tab/>
          </w:r>
          <w:r>
            <w:rPr>
              <w:color w:val="auto"/>
              <w:highlight w:val="none"/>
            </w:rPr>
            <w:fldChar w:fldCharType="begin"/>
          </w:r>
          <w:r>
            <w:rPr>
              <w:color w:val="auto"/>
              <w:highlight w:val="none"/>
            </w:rPr>
            <w:instrText xml:space="preserve"> PAGEREF _Toc8928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6F1E5FB4">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_Toc14793 </w:instrText>
          </w:r>
          <w:r>
            <w:rPr>
              <w:color w:val="auto"/>
              <w:highlight w:val="none"/>
            </w:rPr>
            <w:fldChar w:fldCharType="separate"/>
          </w:r>
          <w:r>
            <w:rPr>
              <w:rFonts w:hint="eastAsia" w:ascii="宋体" w:hAnsi="宋体" w:eastAsia="宋体" w:cs="宋体"/>
              <w:bCs/>
              <w:color w:val="auto"/>
              <w:kern w:val="1"/>
              <w:highlight w:val="none"/>
              <w:lang w:val="zh-CN" w:bidi="ar"/>
            </w:rPr>
            <w:t>三、响应文件的编制</w:t>
          </w:r>
          <w:r>
            <w:rPr>
              <w:color w:val="auto"/>
              <w:highlight w:val="none"/>
            </w:rPr>
            <w:tab/>
          </w:r>
          <w:r>
            <w:rPr>
              <w:color w:val="auto"/>
              <w:highlight w:val="none"/>
            </w:rPr>
            <w:fldChar w:fldCharType="begin"/>
          </w:r>
          <w:r>
            <w:rPr>
              <w:color w:val="auto"/>
              <w:highlight w:val="none"/>
            </w:rPr>
            <w:instrText xml:space="preserve"> PAGEREF _Toc14793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324EB4A4">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_Toc24147 </w:instrText>
          </w:r>
          <w:r>
            <w:rPr>
              <w:color w:val="auto"/>
              <w:highlight w:val="none"/>
            </w:rPr>
            <w:fldChar w:fldCharType="separate"/>
          </w:r>
          <w:r>
            <w:rPr>
              <w:rFonts w:hint="eastAsia" w:ascii="宋体" w:hAnsi="宋体" w:eastAsia="宋体" w:cs="宋体"/>
              <w:bCs/>
              <w:color w:val="auto"/>
              <w:kern w:val="2"/>
              <w:szCs w:val="24"/>
              <w:highlight w:val="none"/>
              <w:lang w:val="en-US" w:eastAsia="zh-CN" w:bidi="ar-SA"/>
            </w:rPr>
            <w:t>四、响应文件的递交</w:t>
          </w:r>
          <w:r>
            <w:rPr>
              <w:rFonts w:hint="eastAsia" w:ascii="宋体" w:hAnsi="宋体" w:cs="宋体"/>
              <w:bCs/>
              <w:color w:val="auto"/>
              <w:kern w:val="2"/>
              <w:szCs w:val="24"/>
              <w:highlight w:val="none"/>
              <w:lang w:val="en-US" w:eastAsia="zh-CN" w:bidi="ar-SA"/>
            </w:rPr>
            <w:t>及解密</w:t>
          </w:r>
          <w:r>
            <w:rPr>
              <w:color w:val="auto"/>
              <w:highlight w:val="none"/>
            </w:rPr>
            <w:tab/>
          </w:r>
          <w:r>
            <w:rPr>
              <w:color w:val="auto"/>
              <w:highlight w:val="none"/>
            </w:rPr>
            <w:fldChar w:fldCharType="begin"/>
          </w:r>
          <w:r>
            <w:rPr>
              <w:color w:val="auto"/>
              <w:highlight w:val="none"/>
            </w:rPr>
            <w:instrText xml:space="preserve"> PAGEREF _Toc24147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6E7CF2A0">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_Toc20370 </w:instrText>
          </w:r>
          <w:r>
            <w:rPr>
              <w:color w:val="auto"/>
              <w:highlight w:val="none"/>
            </w:rPr>
            <w:fldChar w:fldCharType="separate"/>
          </w:r>
          <w:r>
            <w:rPr>
              <w:rFonts w:hint="eastAsia" w:ascii="宋体" w:hAnsi="宋体" w:eastAsia="宋体" w:cs="宋体"/>
              <w:bCs w:val="0"/>
              <w:color w:val="auto"/>
              <w:highlight w:val="none"/>
              <w:lang w:eastAsia="zh-CN"/>
            </w:rPr>
            <w:t>五、开标与评标</w:t>
          </w:r>
          <w:r>
            <w:rPr>
              <w:color w:val="auto"/>
              <w:highlight w:val="none"/>
            </w:rPr>
            <w:tab/>
          </w:r>
          <w:r>
            <w:rPr>
              <w:color w:val="auto"/>
              <w:highlight w:val="none"/>
            </w:rPr>
            <w:fldChar w:fldCharType="begin"/>
          </w:r>
          <w:r>
            <w:rPr>
              <w:color w:val="auto"/>
              <w:highlight w:val="none"/>
            </w:rPr>
            <w:instrText xml:space="preserve"> PAGEREF _Toc20370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080706F3">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_Toc20273 </w:instrText>
          </w:r>
          <w:r>
            <w:rPr>
              <w:color w:val="auto"/>
              <w:highlight w:val="none"/>
            </w:rPr>
            <w:fldChar w:fldCharType="separate"/>
          </w:r>
          <w:r>
            <w:rPr>
              <w:rFonts w:hint="eastAsia" w:ascii="宋体" w:hAnsi="宋体" w:eastAsia="宋体" w:cs="宋体"/>
              <w:bCs/>
              <w:color w:val="auto"/>
              <w:kern w:val="1"/>
              <w:highlight w:val="none"/>
              <w:lang w:val="en-US" w:eastAsia="zh-CN" w:bidi="ar"/>
            </w:rPr>
            <w:t>六、中标通知和合同授予</w:t>
          </w:r>
          <w:r>
            <w:rPr>
              <w:color w:val="auto"/>
              <w:highlight w:val="none"/>
            </w:rPr>
            <w:tab/>
          </w:r>
          <w:r>
            <w:rPr>
              <w:color w:val="auto"/>
              <w:highlight w:val="none"/>
            </w:rPr>
            <w:fldChar w:fldCharType="begin"/>
          </w:r>
          <w:r>
            <w:rPr>
              <w:color w:val="auto"/>
              <w:highlight w:val="none"/>
            </w:rPr>
            <w:instrText xml:space="preserve"> PAGEREF _Toc20273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0FE31E1A">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_Toc18026 </w:instrText>
          </w:r>
          <w:r>
            <w:rPr>
              <w:color w:val="auto"/>
              <w:highlight w:val="none"/>
            </w:rPr>
            <w:fldChar w:fldCharType="separate"/>
          </w:r>
          <w:r>
            <w:rPr>
              <w:rFonts w:hint="eastAsia" w:ascii="宋体" w:hAnsi="宋体" w:eastAsia="宋体" w:cs="宋体"/>
              <w:bCs/>
              <w:color w:val="auto"/>
              <w:szCs w:val="24"/>
              <w:highlight w:val="none"/>
              <w:lang w:val="zh-CN"/>
            </w:rPr>
            <w:t>七、纪律和监督</w:t>
          </w:r>
          <w:r>
            <w:rPr>
              <w:color w:val="auto"/>
              <w:highlight w:val="none"/>
            </w:rPr>
            <w:tab/>
          </w:r>
          <w:r>
            <w:rPr>
              <w:color w:val="auto"/>
              <w:highlight w:val="none"/>
            </w:rPr>
            <w:fldChar w:fldCharType="begin"/>
          </w:r>
          <w:r>
            <w:rPr>
              <w:color w:val="auto"/>
              <w:highlight w:val="none"/>
            </w:rPr>
            <w:instrText xml:space="preserve"> PAGEREF _Toc18026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03D63666">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_Toc28145 </w:instrText>
          </w:r>
          <w:r>
            <w:rPr>
              <w:color w:val="auto"/>
              <w:highlight w:val="none"/>
            </w:rPr>
            <w:fldChar w:fldCharType="separate"/>
          </w:r>
          <w:r>
            <w:rPr>
              <w:rFonts w:hint="eastAsia" w:ascii="宋体" w:hAnsi="宋体" w:eastAsia="宋体" w:cs="宋体"/>
              <w:bCs/>
              <w:color w:val="auto"/>
              <w:szCs w:val="24"/>
              <w:highlight w:val="none"/>
              <w:lang w:val="zh-CN"/>
            </w:rPr>
            <w:t>八、 质疑和投诉</w:t>
          </w:r>
          <w:r>
            <w:rPr>
              <w:color w:val="auto"/>
              <w:highlight w:val="none"/>
            </w:rPr>
            <w:tab/>
          </w:r>
          <w:r>
            <w:rPr>
              <w:color w:val="auto"/>
              <w:highlight w:val="none"/>
            </w:rPr>
            <w:fldChar w:fldCharType="begin"/>
          </w:r>
          <w:r>
            <w:rPr>
              <w:color w:val="auto"/>
              <w:highlight w:val="none"/>
            </w:rPr>
            <w:instrText xml:space="preserve"> PAGEREF _Toc28145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70ADE1D6">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_Toc16760 </w:instrText>
          </w:r>
          <w:r>
            <w:rPr>
              <w:color w:val="auto"/>
              <w:highlight w:val="none"/>
            </w:rPr>
            <w:fldChar w:fldCharType="separate"/>
          </w:r>
          <w:r>
            <w:rPr>
              <w:rFonts w:hint="eastAsia" w:ascii="宋体" w:hAnsi="宋体" w:eastAsia="宋体" w:cs="宋体"/>
              <w:bCs/>
              <w:color w:val="auto"/>
              <w:kern w:val="0"/>
              <w:highlight w:val="none"/>
              <w:lang w:val="zh-CN" w:eastAsia="zh-CN"/>
            </w:rPr>
            <w:t>九、解释权</w:t>
          </w:r>
          <w:r>
            <w:rPr>
              <w:color w:val="auto"/>
              <w:highlight w:val="none"/>
            </w:rPr>
            <w:tab/>
          </w:r>
          <w:r>
            <w:rPr>
              <w:color w:val="auto"/>
              <w:highlight w:val="none"/>
            </w:rPr>
            <w:fldChar w:fldCharType="begin"/>
          </w:r>
          <w:r>
            <w:rPr>
              <w:color w:val="auto"/>
              <w:highlight w:val="none"/>
            </w:rPr>
            <w:instrText xml:space="preserve"> PAGEREF _Toc16760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19C78221">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_Toc21369 </w:instrText>
          </w:r>
          <w:r>
            <w:rPr>
              <w:color w:val="auto"/>
              <w:highlight w:val="none"/>
            </w:rPr>
            <w:fldChar w:fldCharType="separate"/>
          </w:r>
          <w:r>
            <w:rPr>
              <w:rFonts w:hint="eastAsia" w:ascii="宋体" w:hAnsi="宋体" w:eastAsia="宋体" w:cs="宋体"/>
              <w:bCs/>
              <w:color w:val="auto"/>
              <w:kern w:val="0"/>
              <w:highlight w:val="none"/>
              <w:lang w:val="zh-CN" w:eastAsia="zh-CN"/>
            </w:rPr>
            <w:t>十、相关费用</w:t>
          </w:r>
          <w:r>
            <w:rPr>
              <w:color w:val="auto"/>
              <w:highlight w:val="none"/>
            </w:rPr>
            <w:tab/>
          </w:r>
          <w:r>
            <w:rPr>
              <w:color w:val="auto"/>
              <w:highlight w:val="none"/>
            </w:rPr>
            <w:fldChar w:fldCharType="begin"/>
          </w:r>
          <w:r>
            <w:rPr>
              <w:color w:val="auto"/>
              <w:highlight w:val="none"/>
            </w:rPr>
            <w:instrText xml:space="preserve"> PAGEREF _Toc21369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22E935B1">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_Toc30438 </w:instrText>
          </w:r>
          <w:r>
            <w:rPr>
              <w:color w:val="auto"/>
              <w:highlight w:val="none"/>
            </w:rPr>
            <w:fldChar w:fldCharType="separate"/>
          </w:r>
          <w:r>
            <w:rPr>
              <w:rFonts w:hint="eastAsia" w:ascii="宋体" w:hAnsi="宋体" w:eastAsia="宋体" w:cs="宋体"/>
              <w:bCs/>
              <w:color w:val="auto"/>
              <w:kern w:val="0"/>
              <w:szCs w:val="24"/>
              <w:highlight w:val="none"/>
              <w:lang w:val="zh-CN" w:eastAsia="zh-CN"/>
            </w:rPr>
            <w:t>十一、</w:t>
          </w:r>
          <w:r>
            <w:rPr>
              <w:rFonts w:hint="eastAsia" w:ascii="宋体" w:hAnsi="宋体" w:eastAsia="宋体" w:cs="宋体"/>
              <w:bCs/>
              <w:color w:val="auto"/>
              <w:szCs w:val="24"/>
              <w:highlight w:val="none"/>
            </w:rPr>
            <w:t>其他</w:t>
          </w:r>
          <w:r>
            <w:rPr>
              <w:color w:val="auto"/>
              <w:highlight w:val="none"/>
            </w:rPr>
            <w:tab/>
          </w:r>
          <w:r>
            <w:rPr>
              <w:color w:val="auto"/>
              <w:highlight w:val="none"/>
            </w:rPr>
            <w:fldChar w:fldCharType="begin"/>
          </w:r>
          <w:r>
            <w:rPr>
              <w:color w:val="auto"/>
              <w:highlight w:val="none"/>
            </w:rPr>
            <w:instrText xml:space="preserve"> PAGEREF _Toc30438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6487FB96">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_Toc12490 </w:instrText>
          </w:r>
          <w:r>
            <w:rPr>
              <w:color w:val="auto"/>
              <w:highlight w:val="none"/>
            </w:rPr>
            <w:fldChar w:fldCharType="separate"/>
          </w:r>
          <w:r>
            <w:rPr>
              <w:rFonts w:hint="eastAsia" w:ascii="宋体" w:hAnsi="宋体" w:eastAsia="宋体" w:cs="宋体"/>
              <w:bCs/>
              <w:color w:val="auto"/>
              <w:kern w:val="0"/>
              <w:szCs w:val="24"/>
              <w:highlight w:val="none"/>
              <w:lang w:val="zh-CN" w:eastAsia="zh-CN"/>
            </w:rPr>
            <w:t>十</w:t>
          </w:r>
          <w:r>
            <w:rPr>
              <w:rFonts w:hint="eastAsia" w:ascii="宋体" w:hAnsi="宋体" w:cs="宋体"/>
              <w:bCs/>
              <w:color w:val="auto"/>
              <w:kern w:val="0"/>
              <w:szCs w:val="24"/>
              <w:highlight w:val="none"/>
              <w:lang w:val="en-US" w:eastAsia="zh-CN"/>
            </w:rPr>
            <w:t>二</w:t>
          </w:r>
          <w:r>
            <w:rPr>
              <w:rFonts w:hint="eastAsia" w:ascii="宋体" w:hAnsi="宋体" w:eastAsia="宋体" w:cs="宋体"/>
              <w:bCs/>
              <w:color w:val="auto"/>
              <w:kern w:val="0"/>
              <w:szCs w:val="24"/>
              <w:highlight w:val="none"/>
              <w:lang w:val="zh-CN" w:eastAsia="zh-CN"/>
            </w:rPr>
            <w:t>、未尽事宜</w:t>
          </w:r>
          <w:r>
            <w:rPr>
              <w:color w:val="auto"/>
              <w:highlight w:val="none"/>
            </w:rPr>
            <w:tab/>
          </w:r>
          <w:r>
            <w:rPr>
              <w:color w:val="auto"/>
              <w:highlight w:val="none"/>
            </w:rPr>
            <w:fldChar w:fldCharType="begin"/>
          </w:r>
          <w:r>
            <w:rPr>
              <w:color w:val="auto"/>
              <w:highlight w:val="none"/>
            </w:rPr>
            <w:instrText xml:space="preserve"> PAGEREF _Toc12490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2EF151B4">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_Toc786 </w:instrText>
          </w:r>
          <w:r>
            <w:rPr>
              <w:color w:val="auto"/>
              <w:highlight w:val="none"/>
            </w:rPr>
            <w:fldChar w:fldCharType="separate"/>
          </w:r>
          <w:r>
            <w:rPr>
              <w:rFonts w:hint="eastAsia" w:ascii="宋体" w:hAnsi="宋体" w:eastAsia="宋体" w:cs="宋体"/>
              <w:bCs w:val="0"/>
              <w:color w:val="auto"/>
              <w:kern w:val="44"/>
              <w:szCs w:val="30"/>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_Toc786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3BE28D0E">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_Toc17441 </w:instrText>
          </w:r>
          <w:r>
            <w:rPr>
              <w:color w:val="auto"/>
              <w:highlight w:val="none"/>
            </w:rPr>
            <w:fldChar w:fldCharType="separate"/>
          </w:r>
          <w:r>
            <w:rPr>
              <w:rFonts w:hint="eastAsia" w:ascii="宋体" w:hAnsi="宋体" w:eastAsia="宋体" w:cs="宋体"/>
              <w:color w:val="auto"/>
              <w:szCs w:val="24"/>
              <w:highlight w:val="none"/>
            </w:rPr>
            <w:t>1.根据《中华人民共和国政府采购法》、《中华人民共和国政府采购法实施条例》</w:t>
          </w:r>
          <w:r>
            <w:rPr>
              <w:rFonts w:hint="eastAsia" w:ascii="宋体" w:hAnsi="宋体" w:cs="宋体"/>
              <w:color w:val="auto"/>
              <w:szCs w:val="24"/>
              <w:highlight w:val="none"/>
              <w:lang w:val="en-US" w:eastAsia="zh-CN"/>
            </w:rPr>
            <w:t>及</w:t>
          </w:r>
          <w:r>
            <w:rPr>
              <w:rFonts w:hint="eastAsia" w:ascii="宋体" w:hAnsi="宋体" w:eastAsia="宋体" w:cs="宋体"/>
              <w:color w:val="auto"/>
              <w:szCs w:val="24"/>
              <w:highlight w:val="none"/>
            </w:rPr>
            <w:t>《政府采购竞争性磋商采购方式管理暂行办法》等有关法律法规的规定，结合本项目实际情况制定本办法。</w:t>
          </w:r>
          <w:r>
            <w:rPr>
              <w:color w:val="auto"/>
              <w:highlight w:val="none"/>
            </w:rPr>
            <w:tab/>
          </w:r>
          <w:r>
            <w:rPr>
              <w:color w:val="auto"/>
              <w:highlight w:val="none"/>
            </w:rPr>
            <w:fldChar w:fldCharType="begin"/>
          </w:r>
          <w:r>
            <w:rPr>
              <w:color w:val="auto"/>
              <w:highlight w:val="none"/>
            </w:rPr>
            <w:instrText xml:space="preserve"> PAGEREF _Toc17441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4D44E0BC">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_Toc2285 </w:instrText>
          </w:r>
          <w:r>
            <w:rPr>
              <w:color w:val="auto"/>
              <w:highlight w:val="none"/>
            </w:rPr>
            <w:fldChar w:fldCharType="separate"/>
          </w:r>
          <w:r>
            <w:rPr>
              <w:rFonts w:hint="eastAsia" w:ascii="宋体" w:hAnsi="宋体" w:eastAsia="宋体" w:cs="宋体"/>
              <w:color w:val="auto"/>
              <w:highlight w:val="none"/>
            </w:rPr>
            <w:t>2.评审程序</w:t>
          </w:r>
          <w:r>
            <w:rPr>
              <w:color w:val="auto"/>
              <w:highlight w:val="none"/>
            </w:rPr>
            <w:tab/>
          </w:r>
          <w:r>
            <w:rPr>
              <w:color w:val="auto"/>
              <w:highlight w:val="none"/>
            </w:rPr>
            <w:fldChar w:fldCharType="begin"/>
          </w:r>
          <w:r>
            <w:rPr>
              <w:color w:val="auto"/>
              <w:highlight w:val="none"/>
            </w:rPr>
            <w:instrText xml:space="preserve"> PAGEREF _Toc2285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6091B7F9">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_Toc21393 </w:instrText>
          </w:r>
          <w:r>
            <w:rPr>
              <w:color w:val="auto"/>
              <w:highlight w:val="none"/>
            </w:rPr>
            <w:fldChar w:fldCharType="separate"/>
          </w:r>
          <w:r>
            <w:rPr>
              <w:rFonts w:hint="eastAsia" w:ascii="宋体" w:hAnsi="宋体" w:eastAsia="宋体" w:cs="宋体"/>
              <w:bCs/>
              <w:color w:val="auto"/>
              <w:szCs w:val="30"/>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_Toc21393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00869E99">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_Toc21946 </w:instrText>
          </w:r>
          <w:r>
            <w:rPr>
              <w:color w:val="auto"/>
              <w:highlight w:val="none"/>
            </w:rPr>
            <w:fldChar w:fldCharType="separate"/>
          </w:r>
          <w:r>
            <w:rPr>
              <w:rFonts w:hint="eastAsia" w:ascii="宋体" w:hAnsi="宋体" w:eastAsia="宋体" w:cs="宋体"/>
              <w:bCs/>
              <w:color w:val="auto"/>
              <w:kern w:val="0"/>
              <w:szCs w:val="28"/>
              <w:highlight w:val="none"/>
            </w:rPr>
            <w:t>第一部分 合同协议书</w:t>
          </w:r>
          <w:r>
            <w:rPr>
              <w:color w:val="auto"/>
              <w:highlight w:val="none"/>
            </w:rPr>
            <w:tab/>
          </w:r>
          <w:r>
            <w:rPr>
              <w:color w:val="auto"/>
              <w:highlight w:val="none"/>
            </w:rPr>
            <w:fldChar w:fldCharType="begin"/>
          </w:r>
          <w:r>
            <w:rPr>
              <w:color w:val="auto"/>
              <w:highlight w:val="none"/>
            </w:rPr>
            <w:instrText xml:space="preserve"> PAGEREF _Toc21946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33DB7482">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_Toc24948 </w:instrText>
          </w:r>
          <w:r>
            <w:rPr>
              <w:color w:val="auto"/>
              <w:highlight w:val="none"/>
            </w:rPr>
            <w:fldChar w:fldCharType="separate"/>
          </w:r>
          <w:r>
            <w:rPr>
              <w:rFonts w:hint="eastAsia" w:ascii="宋体" w:hAnsi="宋体" w:eastAsia="宋体" w:cs="宋体"/>
              <w:bCs/>
              <w:color w:val="auto"/>
              <w:kern w:val="0"/>
              <w:szCs w:val="28"/>
              <w:highlight w:val="none"/>
            </w:rPr>
            <w:t>第二部分 通用合同条款</w:t>
          </w:r>
          <w:r>
            <w:rPr>
              <w:color w:val="auto"/>
              <w:highlight w:val="none"/>
            </w:rPr>
            <w:tab/>
          </w:r>
          <w:r>
            <w:rPr>
              <w:color w:val="auto"/>
              <w:highlight w:val="none"/>
            </w:rPr>
            <w:fldChar w:fldCharType="begin"/>
          </w:r>
          <w:r>
            <w:rPr>
              <w:color w:val="auto"/>
              <w:highlight w:val="none"/>
            </w:rPr>
            <w:instrText xml:space="preserve"> PAGEREF _Toc24948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53BB2798">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_Toc7765 </w:instrText>
          </w:r>
          <w:r>
            <w:rPr>
              <w:color w:val="auto"/>
              <w:highlight w:val="none"/>
            </w:rPr>
            <w:fldChar w:fldCharType="separate"/>
          </w:r>
          <w:r>
            <w:rPr>
              <w:rFonts w:hint="eastAsia" w:ascii="宋体" w:hAnsi="宋体" w:eastAsia="宋体" w:cs="宋体"/>
              <w:color w:val="auto"/>
              <w:kern w:val="0"/>
              <w:szCs w:val="28"/>
              <w:highlight w:val="none"/>
            </w:rPr>
            <w:t>第三部分 专用合同条款</w:t>
          </w:r>
          <w:r>
            <w:rPr>
              <w:color w:val="auto"/>
              <w:highlight w:val="none"/>
            </w:rPr>
            <w:tab/>
          </w:r>
          <w:r>
            <w:rPr>
              <w:color w:val="auto"/>
              <w:highlight w:val="none"/>
            </w:rPr>
            <w:fldChar w:fldCharType="begin"/>
          </w:r>
          <w:r>
            <w:rPr>
              <w:color w:val="auto"/>
              <w:highlight w:val="none"/>
            </w:rPr>
            <w:instrText xml:space="preserve"> PAGEREF _Toc7765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0E8117D6">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_Toc17272 </w:instrText>
          </w:r>
          <w:r>
            <w:rPr>
              <w:color w:val="auto"/>
              <w:highlight w:val="none"/>
            </w:rPr>
            <w:fldChar w:fldCharType="separate"/>
          </w:r>
          <w:r>
            <w:rPr>
              <w:rFonts w:hint="eastAsia" w:ascii="宋体" w:hAnsi="宋体" w:eastAsia="宋体" w:cs="宋体"/>
              <w:color w:val="auto"/>
              <w:szCs w:val="30"/>
              <w:highlight w:val="none"/>
            </w:rPr>
            <w:t xml:space="preserve">第五章 </w:t>
          </w:r>
          <w:r>
            <w:rPr>
              <w:rFonts w:hint="eastAsia" w:ascii="宋体" w:hAnsi="宋体" w:eastAsia="宋体" w:cs="宋体"/>
              <w:color w:val="auto"/>
              <w:szCs w:val="30"/>
              <w:highlight w:val="none"/>
              <w:lang w:val="en-US" w:eastAsia="zh-CN"/>
            </w:rPr>
            <w:t xml:space="preserve"> </w:t>
          </w:r>
          <w:r>
            <w:rPr>
              <w:rFonts w:hint="eastAsia" w:ascii="宋体" w:hAnsi="宋体" w:eastAsia="宋体" w:cs="宋体"/>
              <w:color w:val="auto"/>
              <w:szCs w:val="30"/>
              <w:highlight w:val="none"/>
              <w:lang w:eastAsia="zh-CN"/>
            </w:rPr>
            <w:t>响应</w:t>
          </w:r>
          <w:r>
            <w:rPr>
              <w:rFonts w:hint="eastAsia" w:ascii="宋体" w:hAnsi="宋体" w:eastAsia="宋体" w:cs="宋体"/>
              <w:color w:val="auto"/>
              <w:szCs w:val="30"/>
              <w:highlight w:val="none"/>
            </w:rPr>
            <w:t>文件格式</w:t>
          </w:r>
          <w:r>
            <w:rPr>
              <w:color w:val="auto"/>
              <w:highlight w:val="none"/>
            </w:rPr>
            <w:tab/>
          </w:r>
          <w:r>
            <w:rPr>
              <w:color w:val="auto"/>
              <w:highlight w:val="none"/>
            </w:rPr>
            <w:fldChar w:fldCharType="begin"/>
          </w:r>
          <w:r>
            <w:rPr>
              <w:color w:val="auto"/>
              <w:highlight w:val="none"/>
            </w:rPr>
            <w:instrText xml:space="preserve"> PAGEREF _Toc17272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4C153010">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_Toc3311 </w:instrText>
          </w:r>
          <w:r>
            <w:rPr>
              <w:color w:val="auto"/>
              <w:highlight w:val="none"/>
            </w:rPr>
            <w:fldChar w:fldCharType="separate"/>
          </w:r>
          <w:r>
            <w:rPr>
              <w:rFonts w:hint="eastAsia" w:ascii="宋体" w:hAnsi="宋体" w:eastAsia="宋体" w:cs="宋体"/>
              <w:color w:val="auto"/>
              <w:kern w:val="0"/>
              <w:szCs w:val="28"/>
              <w:highlight w:val="none"/>
            </w:rPr>
            <w:t>一、</w:t>
          </w:r>
          <w:r>
            <w:rPr>
              <w:rFonts w:hint="eastAsia" w:ascii="宋体" w:hAnsi="宋体" w:eastAsia="宋体" w:cs="宋体"/>
              <w:color w:val="auto"/>
              <w:kern w:val="0"/>
              <w:szCs w:val="28"/>
              <w:highlight w:val="none"/>
              <w:lang w:eastAsia="zh-CN"/>
            </w:rPr>
            <w:t>投标</w:t>
          </w:r>
          <w:r>
            <w:rPr>
              <w:rFonts w:hint="eastAsia" w:ascii="宋体" w:hAnsi="宋体" w:eastAsia="宋体" w:cs="宋体"/>
              <w:color w:val="auto"/>
              <w:kern w:val="0"/>
              <w:szCs w:val="28"/>
              <w:highlight w:val="none"/>
            </w:rPr>
            <w:t>报价一览表</w:t>
          </w:r>
          <w:r>
            <w:rPr>
              <w:color w:val="auto"/>
              <w:highlight w:val="none"/>
            </w:rPr>
            <w:tab/>
          </w:r>
          <w:r>
            <w:rPr>
              <w:color w:val="auto"/>
              <w:highlight w:val="none"/>
            </w:rPr>
            <w:fldChar w:fldCharType="begin"/>
          </w:r>
          <w:r>
            <w:rPr>
              <w:color w:val="auto"/>
              <w:highlight w:val="none"/>
            </w:rPr>
            <w:instrText xml:space="preserve"> PAGEREF _Toc3311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3C78BFCB">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_Toc24922 </w:instrText>
          </w:r>
          <w:r>
            <w:rPr>
              <w:color w:val="auto"/>
              <w:highlight w:val="none"/>
            </w:rPr>
            <w:fldChar w:fldCharType="separate"/>
          </w:r>
          <w:r>
            <w:rPr>
              <w:rFonts w:hint="eastAsia" w:ascii="宋体" w:hAnsi="宋体" w:eastAsia="宋体" w:cs="宋体"/>
              <w:color w:val="auto"/>
              <w:szCs w:val="30"/>
              <w:highlight w:val="none"/>
              <w:lang w:val="zh-CN"/>
            </w:rPr>
            <w:t>二、磋商函</w:t>
          </w:r>
          <w:r>
            <w:rPr>
              <w:color w:val="auto"/>
              <w:highlight w:val="none"/>
            </w:rPr>
            <w:tab/>
          </w:r>
          <w:r>
            <w:rPr>
              <w:color w:val="auto"/>
              <w:highlight w:val="none"/>
            </w:rPr>
            <w:fldChar w:fldCharType="begin"/>
          </w:r>
          <w:r>
            <w:rPr>
              <w:color w:val="auto"/>
              <w:highlight w:val="none"/>
            </w:rPr>
            <w:instrText xml:space="preserve"> PAGEREF _Toc24922 \h </w:instrText>
          </w:r>
          <w:r>
            <w:rPr>
              <w:color w:val="auto"/>
              <w:highlight w:val="none"/>
            </w:rPr>
            <w:fldChar w:fldCharType="separate"/>
          </w:r>
          <w:r>
            <w:rPr>
              <w:color w:val="auto"/>
              <w:highlight w:val="none"/>
            </w:rPr>
            <w:t>86</w:t>
          </w:r>
          <w:r>
            <w:rPr>
              <w:color w:val="auto"/>
              <w:highlight w:val="none"/>
            </w:rPr>
            <w:fldChar w:fldCharType="end"/>
          </w:r>
          <w:r>
            <w:rPr>
              <w:color w:val="auto"/>
              <w:highlight w:val="none"/>
            </w:rPr>
            <w:fldChar w:fldCharType="end"/>
          </w:r>
        </w:p>
        <w:p w14:paraId="3FB2EB1A">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_Toc32600 </w:instrText>
          </w:r>
          <w:r>
            <w:rPr>
              <w:color w:val="auto"/>
              <w:highlight w:val="none"/>
            </w:rPr>
            <w:fldChar w:fldCharType="separate"/>
          </w:r>
          <w:r>
            <w:rPr>
              <w:rFonts w:hint="eastAsia" w:ascii="宋体" w:hAnsi="宋体" w:cs="宋体"/>
              <w:bCs/>
              <w:color w:val="auto"/>
              <w:szCs w:val="30"/>
              <w:highlight w:val="none"/>
              <w:lang w:val="en-US" w:eastAsia="zh-CN"/>
            </w:rPr>
            <w:t>四</w:t>
          </w:r>
          <w:r>
            <w:rPr>
              <w:rFonts w:hint="eastAsia" w:ascii="宋体" w:hAnsi="宋体" w:eastAsia="宋体" w:cs="宋体"/>
              <w:bCs/>
              <w:color w:val="auto"/>
              <w:szCs w:val="30"/>
              <w:highlight w:val="none"/>
              <w:lang w:val="zh-CN"/>
            </w:rPr>
            <w:t>、供应商基本情况表</w:t>
          </w:r>
          <w:r>
            <w:rPr>
              <w:color w:val="auto"/>
              <w:highlight w:val="none"/>
            </w:rPr>
            <w:tab/>
          </w:r>
          <w:r>
            <w:rPr>
              <w:color w:val="auto"/>
              <w:highlight w:val="none"/>
            </w:rPr>
            <w:fldChar w:fldCharType="begin"/>
          </w:r>
          <w:r>
            <w:rPr>
              <w:color w:val="auto"/>
              <w:highlight w:val="none"/>
            </w:rPr>
            <w:instrText xml:space="preserve"> PAGEREF _Toc32600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14:paraId="30B83EDC">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_Toc2698 </w:instrText>
          </w:r>
          <w:r>
            <w:rPr>
              <w:color w:val="auto"/>
              <w:highlight w:val="none"/>
            </w:rPr>
            <w:fldChar w:fldCharType="separate"/>
          </w:r>
          <w:r>
            <w:rPr>
              <w:rFonts w:hint="eastAsia" w:ascii="宋体" w:hAnsi="宋体" w:eastAsia="宋体" w:cs="宋体"/>
              <w:bCs w:val="0"/>
              <w:color w:val="auto"/>
              <w:szCs w:val="30"/>
              <w:highlight w:val="none"/>
              <w:lang w:val="en-US" w:eastAsia="zh-CN"/>
            </w:rPr>
            <w:t>五</w:t>
          </w:r>
          <w:r>
            <w:rPr>
              <w:rFonts w:hint="eastAsia" w:ascii="宋体" w:hAnsi="宋体" w:eastAsia="宋体" w:cs="宋体"/>
              <w:bCs w:val="0"/>
              <w:color w:val="auto"/>
              <w:szCs w:val="30"/>
              <w:highlight w:val="none"/>
            </w:rPr>
            <w:t>、资格证明材料</w:t>
          </w:r>
          <w:r>
            <w:rPr>
              <w:color w:val="auto"/>
              <w:highlight w:val="none"/>
            </w:rPr>
            <w:tab/>
          </w:r>
          <w:r>
            <w:rPr>
              <w:color w:val="auto"/>
              <w:highlight w:val="none"/>
            </w:rPr>
            <w:fldChar w:fldCharType="begin"/>
          </w:r>
          <w:r>
            <w:rPr>
              <w:color w:val="auto"/>
              <w:highlight w:val="none"/>
            </w:rPr>
            <w:instrText xml:space="preserve"> PAGEREF _Toc2698 \h </w:instrText>
          </w:r>
          <w:r>
            <w:rPr>
              <w:color w:val="auto"/>
              <w:highlight w:val="none"/>
            </w:rPr>
            <w:fldChar w:fldCharType="separate"/>
          </w:r>
          <w:r>
            <w:rPr>
              <w:color w:val="auto"/>
              <w:highlight w:val="none"/>
            </w:rPr>
            <w:t>93</w:t>
          </w:r>
          <w:r>
            <w:rPr>
              <w:color w:val="auto"/>
              <w:highlight w:val="none"/>
            </w:rPr>
            <w:fldChar w:fldCharType="end"/>
          </w:r>
          <w:r>
            <w:rPr>
              <w:color w:val="auto"/>
              <w:highlight w:val="none"/>
            </w:rPr>
            <w:fldChar w:fldCharType="end"/>
          </w:r>
        </w:p>
        <w:p w14:paraId="6F7E7601">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_Toc21662 </w:instrText>
          </w:r>
          <w:r>
            <w:rPr>
              <w:color w:val="auto"/>
              <w:highlight w:val="none"/>
            </w:rPr>
            <w:fldChar w:fldCharType="separate"/>
          </w:r>
          <w:r>
            <w:rPr>
              <w:rFonts w:hint="eastAsia" w:ascii="宋体" w:hAnsi="宋体" w:cs="宋体"/>
              <w:bCs/>
              <w:color w:val="auto"/>
              <w:szCs w:val="30"/>
              <w:highlight w:val="none"/>
              <w:lang w:val="en-US" w:eastAsia="zh-CN" w:bidi="ar"/>
            </w:rPr>
            <w:t>六</w:t>
          </w:r>
          <w:r>
            <w:rPr>
              <w:rFonts w:hint="eastAsia" w:ascii="宋体" w:hAnsi="宋体" w:eastAsia="宋体" w:cs="宋体"/>
              <w:bCs/>
              <w:color w:val="auto"/>
              <w:szCs w:val="30"/>
              <w:highlight w:val="none"/>
              <w:lang w:val="zh-CN" w:bidi="ar"/>
            </w:rPr>
            <w:t>、</w:t>
          </w:r>
          <w:r>
            <w:rPr>
              <w:rFonts w:hint="eastAsia" w:ascii="宋体" w:hAnsi="宋体" w:eastAsia="宋体" w:cs="宋体"/>
              <w:bCs/>
              <w:color w:val="auto"/>
              <w:szCs w:val="30"/>
              <w:highlight w:val="none"/>
              <w:lang w:val="zh-CN"/>
            </w:rPr>
            <w:t>承诺书</w:t>
          </w:r>
          <w:r>
            <w:rPr>
              <w:color w:val="auto"/>
              <w:highlight w:val="none"/>
            </w:rPr>
            <w:tab/>
          </w:r>
          <w:r>
            <w:rPr>
              <w:color w:val="auto"/>
              <w:highlight w:val="none"/>
            </w:rPr>
            <w:fldChar w:fldCharType="begin"/>
          </w:r>
          <w:r>
            <w:rPr>
              <w:color w:val="auto"/>
              <w:highlight w:val="none"/>
            </w:rPr>
            <w:instrText xml:space="preserve"> PAGEREF _Toc21662 \h </w:instrText>
          </w:r>
          <w:r>
            <w:rPr>
              <w:color w:val="auto"/>
              <w:highlight w:val="none"/>
            </w:rPr>
            <w:fldChar w:fldCharType="separate"/>
          </w:r>
          <w:r>
            <w:rPr>
              <w:color w:val="auto"/>
              <w:highlight w:val="none"/>
            </w:rPr>
            <w:t>97</w:t>
          </w:r>
          <w:r>
            <w:rPr>
              <w:color w:val="auto"/>
              <w:highlight w:val="none"/>
            </w:rPr>
            <w:fldChar w:fldCharType="end"/>
          </w:r>
          <w:r>
            <w:rPr>
              <w:color w:val="auto"/>
              <w:highlight w:val="none"/>
            </w:rPr>
            <w:fldChar w:fldCharType="end"/>
          </w:r>
        </w:p>
        <w:p w14:paraId="508E8E70">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_Toc8664 </w:instrText>
          </w:r>
          <w:r>
            <w:rPr>
              <w:color w:val="auto"/>
              <w:highlight w:val="none"/>
            </w:rPr>
            <w:fldChar w:fldCharType="separate"/>
          </w:r>
          <w:r>
            <w:rPr>
              <w:rFonts w:hint="eastAsia" w:ascii="宋体" w:hAnsi="宋体" w:eastAsia="宋体" w:cs="宋体"/>
              <w:color w:val="auto"/>
              <w:kern w:val="1"/>
              <w:szCs w:val="30"/>
              <w:highlight w:val="none"/>
              <w:lang w:val="en-US" w:eastAsia="zh-CN" w:bidi="ar"/>
            </w:rPr>
            <w:t>七</w:t>
          </w:r>
          <w:r>
            <w:rPr>
              <w:rFonts w:hint="eastAsia" w:ascii="宋体" w:hAnsi="宋体" w:eastAsia="宋体" w:cs="宋体"/>
              <w:color w:val="auto"/>
              <w:kern w:val="1"/>
              <w:szCs w:val="30"/>
              <w:highlight w:val="none"/>
              <w:lang w:val="zh-TW" w:eastAsia="zh-CN" w:bidi="ar"/>
            </w:rPr>
            <w:t>、</w:t>
          </w:r>
          <w:r>
            <w:rPr>
              <w:rFonts w:hint="eastAsia" w:ascii="宋体" w:hAnsi="宋体" w:eastAsia="宋体" w:cs="宋体"/>
              <w:color w:val="auto"/>
              <w:kern w:val="1"/>
              <w:szCs w:val="30"/>
              <w:highlight w:val="none"/>
              <w:lang w:val="en-US" w:eastAsia="zh-CN" w:bidi="ar"/>
            </w:rPr>
            <w:t>技术方案</w:t>
          </w:r>
          <w:r>
            <w:rPr>
              <w:color w:val="auto"/>
              <w:highlight w:val="none"/>
            </w:rPr>
            <w:tab/>
          </w:r>
          <w:r>
            <w:rPr>
              <w:color w:val="auto"/>
              <w:highlight w:val="none"/>
            </w:rPr>
            <w:fldChar w:fldCharType="begin"/>
          </w:r>
          <w:r>
            <w:rPr>
              <w:color w:val="auto"/>
              <w:highlight w:val="none"/>
            </w:rPr>
            <w:instrText xml:space="preserve"> PAGEREF _Toc8664 \h </w:instrText>
          </w:r>
          <w:r>
            <w:rPr>
              <w:color w:val="auto"/>
              <w:highlight w:val="none"/>
            </w:rPr>
            <w:fldChar w:fldCharType="separate"/>
          </w:r>
          <w:r>
            <w:rPr>
              <w:color w:val="auto"/>
              <w:highlight w:val="none"/>
            </w:rPr>
            <w:t>98</w:t>
          </w:r>
          <w:r>
            <w:rPr>
              <w:color w:val="auto"/>
              <w:highlight w:val="none"/>
            </w:rPr>
            <w:fldChar w:fldCharType="end"/>
          </w:r>
          <w:r>
            <w:rPr>
              <w:color w:val="auto"/>
              <w:highlight w:val="none"/>
            </w:rPr>
            <w:fldChar w:fldCharType="end"/>
          </w:r>
        </w:p>
        <w:p w14:paraId="5F1F608F">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_Toc11385 </w:instrText>
          </w:r>
          <w:r>
            <w:rPr>
              <w:color w:val="auto"/>
              <w:highlight w:val="none"/>
            </w:rPr>
            <w:fldChar w:fldCharType="separate"/>
          </w:r>
          <w:r>
            <w:rPr>
              <w:rFonts w:hint="eastAsia" w:ascii="宋体" w:hAnsi="宋体" w:cs="宋体"/>
              <w:color w:val="auto"/>
              <w:kern w:val="1"/>
              <w:szCs w:val="30"/>
              <w:highlight w:val="none"/>
              <w:lang w:val="en-US" w:eastAsia="zh-CN" w:bidi="ar"/>
            </w:rPr>
            <w:t>八</w:t>
          </w:r>
          <w:r>
            <w:rPr>
              <w:rFonts w:hint="eastAsia" w:ascii="宋体" w:hAnsi="宋体" w:eastAsia="宋体" w:cs="宋体"/>
              <w:color w:val="auto"/>
              <w:kern w:val="1"/>
              <w:szCs w:val="30"/>
              <w:highlight w:val="none"/>
              <w:lang w:bidi="ar"/>
            </w:rPr>
            <w:t>、</w:t>
          </w:r>
          <w:r>
            <w:rPr>
              <w:rFonts w:hint="eastAsia" w:ascii="宋体" w:hAnsi="宋体" w:eastAsia="宋体" w:cs="宋体"/>
              <w:color w:val="auto"/>
              <w:szCs w:val="30"/>
              <w:highlight w:val="none"/>
              <w:lang w:eastAsia="zh-CN"/>
            </w:rPr>
            <w:t>近三年已完成的类似项目情况表</w:t>
          </w:r>
          <w:r>
            <w:rPr>
              <w:color w:val="auto"/>
              <w:highlight w:val="none"/>
            </w:rPr>
            <w:tab/>
          </w:r>
          <w:r>
            <w:rPr>
              <w:color w:val="auto"/>
              <w:highlight w:val="none"/>
            </w:rPr>
            <w:fldChar w:fldCharType="begin"/>
          </w:r>
          <w:r>
            <w:rPr>
              <w:color w:val="auto"/>
              <w:highlight w:val="none"/>
            </w:rPr>
            <w:instrText xml:space="preserve"> PAGEREF _Toc11385 \h </w:instrText>
          </w:r>
          <w:r>
            <w:rPr>
              <w:color w:val="auto"/>
              <w:highlight w:val="none"/>
            </w:rPr>
            <w:fldChar w:fldCharType="separate"/>
          </w:r>
          <w:r>
            <w:rPr>
              <w:color w:val="auto"/>
              <w:highlight w:val="none"/>
            </w:rPr>
            <w:t>99</w:t>
          </w:r>
          <w:r>
            <w:rPr>
              <w:color w:val="auto"/>
              <w:highlight w:val="none"/>
            </w:rPr>
            <w:fldChar w:fldCharType="end"/>
          </w:r>
          <w:r>
            <w:rPr>
              <w:color w:val="auto"/>
              <w:highlight w:val="none"/>
            </w:rPr>
            <w:fldChar w:fldCharType="end"/>
          </w:r>
        </w:p>
        <w:p w14:paraId="1D70B6F3">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_Toc6040 </w:instrText>
          </w:r>
          <w:r>
            <w:rPr>
              <w:color w:val="auto"/>
              <w:highlight w:val="none"/>
            </w:rPr>
            <w:fldChar w:fldCharType="separate"/>
          </w:r>
          <w:r>
            <w:rPr>
              <w:rFonts w:hint="eastAsia" w:ascii="宋体" w:hAnsi="宋体" w:cs="宋体"/>
              <w:color w:val="auto"/>
              <w:kern w:val="1"/>
              <w:szCs w:val="30"/>
              <w:highlight w:val="none"/>
              <w:lang w:val="en-US" w:eastAsia="zh-CN" w:bidi="ar"/>
            </w:rPr>
            <w:t>九</w:t>
          </w:r>
          <w:r>
            <w:rPr>
              <w:rFonts w:hint="eastAsia" w:ascii="宋体" w:hAnsi="宋体" w:eastAsia="宋体" w:cs="宋体"/>
              <w:color w:val="auto"/>
              <w:kern w:val="1"/>
              <w:szCs w:val="30"/>
              <w:highlight w:val="none"/>
              <w:lang w:bidi="ar"/>
            </w:rPr>
            <w:t>、</w:t>
          </w:r>
          <w:r>
            <w:rPr>
              <w:rFonts w:hint="eastAsia" w:ascii="宋体" w:hAnsi="宋体" w:eastAsia="宋体" w:cs="宋体"/>
              <w:color w:val="auto"/>
              <w:kern w:val="1"/>
              <w:szCs w:val="30"/>
              <w:highlight w:val="none"/>
              <w:lang w:eastAsia="zh-CN" w:bidi="ar"/>
            </w:rPr>
            <w:t>供应商</w:t>
          </w:r>
          <w:r>
            <w:rPr>
              <w:rFonts w:hint="eastAsia" w:ascii="宋体" w:hAnsi="宋体" w:eastAsia="宋体" w:cs="宋体"/>
              <w:color w:val="auto"/>
              <w:kern w:val="1"/>
              <w:szCs w:val="30"/>
              <w:highlight w:val="none"/>
              <w:lang w:bidi="ar"/>
            </w:rPr>
            <w:t>认为需要</w:t>
          </w:r>
          <w:r>
            <w:rPr>
              <w:rFonts w:hint="eastAsia" w:ascii="宋体" w:hAnsi="宋体" w:eastAsia="宋体" w:cs="宋体"/>
              <w:color w:val="auto"/>
              <w:szCs w:val="30"/>
              <w:highlight w:val="none"/>
            </w:rPr>
            <w:t>提供的其他相关资料</w:t>
          </w:r>
          <w:r>
            <w:rPr>
              <w:color w:val="auto"/>
              <w:highlight w:val="none"/>
            </w:rPr>
            <w:tab/>
          </w:r>
          <w:r>
            <w:rPr>
              <w:color w:val="auto"/>
              <w:highlight w:val="none"/>
            </w:rPr>
            <w:fldChar w:fldCharType="begin"/>
          </w:r>
          <w:r>
            <w:rPr>
              <w:color w:val="auto"/>
              <w:highlight w:val="none"/>
            </w:rPr>
            <w:instrText xml:space="preserve"> PAGEREF _Toc6040 \h </w:instrText>
          </w:r>
          <w:r>
            <w:rPr>
              <w:color w:val="auto"/>
              <w:highlight w:val="none"/>
            </w:rPr>
            <w:fldChar w:fldCharType="separate"/>
          </w:r>
          <w:r>
            <w:rPr>
              <w:color w:val="auto"/>
              <w:highlight w:val="none"/>
            </w:rPr>
            <w:t>100</w:t>
          </w:r>
          <w:r>
            <w:rPr>
              <w:color w:val="auto"/>
              <w:highlight w:val="none"/>
            </w:rPr>
            <w:fldChar w:fldCharType="end"/>
          </w:r>
          <w:r>
            <w:rPr>
              <w:color w:val="auto"/>
              <w:highlight w:val="none"/>
            </w:rPr>
            <w:fldChar w:fldCharType="end"/>
          </w:r>
        </w:p>
        <w:p w14:paraId="388C0984">
          <w:pPr>
            <w:pStyle w:val="2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_Toc20327 </w:instrText>
          </w:r>
          <w:r>
            <w:rPr>
              <w:color w:val="auto"/>
              <w:highlight w:val="none"/>
            </w:rPr>
            <w:fldChar w:fldCharType="separate"/>
          </w:r>
          <w:r>
            <w:rPr>
              <w:rFonts w:hint="eastAsia" w:ascii="宋体" w:hAnsi="宋体" w:eastAsia="宋体" w:cs="宋体"/>
              <w:color w:val="auto"/>
              <w:kern w:val="0"/>
              <w:szCs w:val="28"/>
              <w:highlight w:val="none"/>
              <w:lang w:val="en-US" w:eastAsia="zh-CN"/>
            </w:rPr>
            <w:t>十</w:t>
          </w:r>
          <w:r>
            <w:rPr>
              <w:rFonts w:hint="eastAsia" w:ascii="宋体" w:hAnsi="宋体" w:eastAsia="宋体" w:cs="宋体"/>
              <w:color w:val="auto"/>
              <w:kern w:val="0"/>
              <w:szCs w:val="28"/>
              <w:highlight w:val="none"/>
            </w:rPr>
            <w:t>、</w:t>
          </w:r>
          <w:r>
            <w:rPr>
              <w:rFonts w:hint="eastAsia" w:ascii="宋体" w:hAnsi="宋体" w:eastAsia="宋体" w:cs="宋体"/>
              <w:color w:val="auto"/>
              <w:szCs w:val="30"/>
              <w:highlight w:val="none"/>
              <w:lang w:val="zh-CN"/>
            </w:rPr>
            <w:t>已标价工程量清单</w:t>
          </w:r>
          <w:r>
            <w:rPr>
              <w:color w:val="auto"/>
              <w:highlight w:val="none"/>
            </w:rPr>
            <w:tab/>
          </w:r>
          <w:r>
            <w:rPr>
              <w:color w:val="auto"/>
              <w:highlight w:val="none"/>
            </w:rPr>
            <w:fldChar w:fldCharType="begin"/>
          </w:r>
          <w:r>
            <w:rPr>
              <w:color w:val="auto"/>
              <w:highlight w:val="none"/>
            </w:rPr>
            <w:instrText xml:space="preserve"> PAGEREF _Toc20327 \h </w:instrText>
          </w:r>
          <w:r>
            <w:rPr>
              <w:color w:val="auto"/>
              <w:highlight w:val="none"/>
            </w:rPr>
            <w:fldChar w:fldCharType="separate"/>
          </w:r>
          <w:r>
            <w:rPr>
              <w:color w:val="auto"/>
              <w:highlight w:val="none"/>
            </w:rPr>
            <w:t>101</w:t>
          </w:r>
          <w:r>
            <w:rPr>
              <w:color w:val="auto"/>
              <w:highlight w:val="none"/>
            </w:rPr>
            <w:fldChar w:fldCharType="end"/>
          </w:r>
          <w:r>
            <w:rPr>
              <w:color w:val="auto"/>
              <w:highlight w:val="none"/>
            </w:rPr>
            <w:fldChar w:fldCharType="end"/>
          </w:r>
        </w:p>
        <w:p w14:paraId="71DDAAB4">
          <w:pPr>
            <w:pStyle w:val="21"/>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auto"/>
              <w:highlight w:val="none"/>
            </w:rPr>
          </w:pPr>
          <w:r>
            <w:rPr>
              <w:color w:val="auto"/>
              <w:highlight w:val="none"/>
            </w:rPr>
            <w:fldChar w:fldCharType="begin"/>
          </w:r>
          <w:r>
            <w:rPr>
              <w:color w:val="auto"/>
              <w:highlight w:val="none"/>
            </w:rPr>
            <w:instrText xml:space="preserve"> HYPERLINK \l _Toc11747 </w:instrText>
          </w:r>
          <w:r>
            <w:rPr>
              <w:color w:val="auto"/>
              <w:highlight w:val="none"/>
            </w:rPr>
            <w:fldChar w:fldCharType="separate"/>
          </w:r>
          <w:r>
            <w:rPr>
              <w:rFonts w:hint="eastAsia" w:ascii="宋体" w:hAnsi="宋体" w:eastAsia="宋体" w:cs="宋体"/>
              <w:bCs/>
              <w:color w:val="auto"/>
              <w:szCs w:val="30"/>
              <w:highlight w:val="none"/>
            </w:rPr>
            <w:t>第六章</w:t>
          </w:r>
          <w:r>
            <w:rPr>
              <w:rFonts w:hint="eastAsia" w:ascii="宋体" w:hAnsi="宋体" w:eastAsia="宋体" w:cs="宋体"/>
              <w:bCs/>
              <w:color w:val="auto"/>
              <w:szCs w:val="30"/>
              <w:highlight w:val="none"/>
              <w:lang w:val="en-US" w:eastAsia="zh-CN"/>
            </w:rPr>
            <w:t xml:space="preserve">  工程量清单</w:t>
          </w:r>
          <w:r>
            <w:rPr>
              <w:color w:val="auto"/>
              <w:highlight w:val="none"/>
            </w:rPr>
            <w:tab/>
          </w:r>
          <w:r>
            <w:rPr>
              <w:color w:val="auto"/>
              <w:highlight w:val="none"/>
            </w:rPr>
            <w:fldChar w:fldCharType="begin"/>
          </w:r>
          <w:r>
            <w:rPr>
              <w:color w:val="auto"/>
              <w:highlight w:val="none"/>
            </w:rPr>
            <w:instrText xml:space="preserve"> PAGEREF _Toc11747 \h </w:instrText>
          </w:r>
          <w:r>
            <w:rPr>
              <w:color w:val="auto"/>
              <w:highlight w:val="none"/>
            </w:rPr>
            <w:fldChar w:fldCharType="separate"/>
          </w:r>
          <w:r>
            <w:rPr>
              <w:color w:val="auto"/>
              <w:highlight w:val="none"/>
            </w:rPr>
            <w:t>102</w:t>
          </w:r>
          <w:r>
            <w:rPr>
              <w:color w:val="auto"/>
              <w:highlight w:val="none"/>
            </w:rPr>
            <w:fldChar w:fldCharType="end"/>
          </w:r>
          <w:r>
            <w:rPr>
              <w:color w:val="auto"/>
              <w:highlight w:val="none"/>
            </w:rPr>
            <w:fldChar w:fldCharType="end"/>
          </w:r>
        </w:p>
        <w:p w14:paraId="526EB41B">
          <w:pPr>
            <w:rPr>
              <w:rFonts w:ascii="Calibri" w:hAnsi="Calibri" w:eastAsia="宋体" w:cs="Times New Roman"/>
              <w:color w:val="auto"/>
              <w:kern w:val="2"/>
              <w:sz w:val="21"/>
              <w:szCs w:val="24"/>
              <w:highlight w:val="none"/>
              <w:lang w:val="en-US" w:eastAsia="zh-CN" w:bidi="ar-SA"/>
            </w:rPr>
          </w:pPr>
          <w:r>
            <w:rPr>
              <w:color w:val="auto"/>
              <w:highlight w:val="none"/>
            </w:rPr>
            <w:fldChar w:fldCharType="end"/>
          </w:r>
        </w:p>
      </w:sdtContent>
    </w:sdt>
    <w:p w14:paraId="2EB96A82">
      <w:pPr>
        <w:spacing w:line="560" w:lineRule="exact"/>
        <w:jc w:val="center"/>
        <w:outlineLvl w:val="0"/>
        <w:rPr>
          <w:rFonts w:hint="eastAsia" w:ascii="宋体" w:hAnsi="宋体" w:eastAsia="宋体" w:cs="宋体"/>
          <w:b/>
          <w:bCs w:val="0"/>
          <w:color w:val="auto"/>
          <w:kern w:val="44"/>
          <w:sz w:val="30"/>
          <w:szCs w:val="30"/>
          <w:highlight w:val="none"/>
        </w:rPr>
        <w:sectPr>
          <w:headerReference r:id="rId4" w:type="first"/>
          <w:headerReference r:id="rId3" w:type="default"/>
          <w:footerReference r:id="rId5" w:type="default"/>
          <w:pgSz w:w="11906" w:h="16838"/>
          <w:pgMar w:top="1440" w:right="1361" w:bottom="1440" w:left="1361" w:header="964" w:footer="964" w:gutter="0"/>
          <w:pgBorders>
            <w:top w:val="none" w:sz="0" w:space="0"/>
            <w:left w:val="none" w:sz="0" w:space="0"/>
            <w:bottom w:val="none" w:sz="0" w:space="0"/>
            <w:right w:val="none" w:sz="0" w:space="0"/>
          </w:pgBorders>
          <w:pgNumType w:fmt="decimal" w:start="1"/>
          <w:cols w:space="708" w:num="1"/>
          <w:titlePg/>
          <w:docGrid w:type="lines" w:linePitch="312" w:charSpace="0"/>
        </w:sectPr>
      </w:pPr>
      <w:bookmarkStart w:id="14" w:name="_Toc3799"/>
      <w:bookmarkStart w:id="15" w:name="_Toc14961"/>
    </w:p>
    <w:p w14:paraId="634F9AF6">
      <w:pPr>
        <w:spacing w:line="560" w:lineRule="exact"/>
        <w:jc w:val="center"/>
        <w:outlineLvl w:val="0"/>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44"/>
          <w:sz w:val="30"/>
          <w:szCs w:val="30"/>
          <w:highlight w:val="none"/>
        </w:rPr>
        <w:t xml:space="preserve">第一章  </w:t>
      </w:r>
      <w:r>
        <w:rPr>
          <w:rFonts w:hint="eastAsia" w:ascii="宋体" w:hAnsi="宋体" w:eastAsia="宋体" w:cs="宋体"/>
          <w:b/>
          <w:bCs w:val="0"/>
          <w:color w:val="auto"/>
          <w:kern w:val="44"/>
          <w:sz w:val="30"/>
          <w:szCs w:val="30"/>
          <w:highlight w:val="none"/>
          <w:lang w:eastAsia="zh-CN"/>
        </w:rPr>
        <w:t>竞争性磋商公告</w:t>
      </w:r>
      <w:bookmarkEnd w:id="9"/>
      <w:bookmarkEnd w:id="10"/>
      <w:bookmarkEnd w:id="11"/>
      <w:bookmarkEnd w:id="14"/>
      <w:bookmarkEnd w:id="15"/>
    </w:p>
    <w:p w14:paraId="45DF7B65">
      <w:pPr>
        <w:spacing w:line="240" w:lineRule="auto"/>
        <w:jc w:val="center"/>
        <w:rPr>
          <w:rFonts w:hint="eastAsia" w:ascii="宋体" w:hAnsi="宋体" w:cs="宋体"/>
          <w:b/>
          <w:color w:val="auto"/>
          <w:sz w:val="30"/>
          <w:szCs w:val="30"/>
          <w:highlight w:val="none"/>
          <w:lang w:eastAsia="zh-CN"/>
        </w:rPr>
      </w:pPr>
      <w:bookmarkStart w:id="16" w:name="_Toc553"/>
      <w:bookmarkStart w:id="17" w:name="_Toc3444"/>
      <w:bookmarkStart w:id="18" w:name="_Toc7043"/>
      <w:bookmarkStart w:id="19" w:name="_Toc17696"/>
      <w:bookmarkStart w:id="20" w:name="_Toc18556"/>
      <w:bookmarkStart w:id="21" w:name="_Toc13355"/>
      <w:bookmarkStart w:id="22" w:name="_Toc14896"/>
      <w:bookmarkStart w:id="23" w:name="_Toc15666"/>
      <w:bookmarkStart w:id="24" w:name="_Toc20720"/>
      <w:bookmarkStart w:id="25" w:name="_Toc7164"/>
      <w:bookmarkStart w:id="26" w:name="_Toc23172"/>
      <w:r>
        <w:rPr>
          <w:rFonts w:hint="eastAsia" w:ascii="宋体" w:hAnsi="宋体" w:cs="宋体"/>
          <w:b/>
          <w:color w:val="auto"/>
          <w:sz w:val="28"/>
          <w:szCs w:val="28"/>
          <w:highlight w:val="none"/>
          <w:lang w:eastAsia="zh-CN"/>
        </w:rPr>
        <w:t>西定乡曼迈村委会产业发展项目竞争性磋商公告</w:t>
      </w:r>
      <w:bookmarkEnd w:id="16"/>
      <w:bookmarkEnd w:id="17"/>
      <w:bookmarkEnd w:id="18"/>
      <w:bookmarkEnd w:id="19"/>
      <w:bookmarkEnd w:id="20"/>
      <w:bookmarkEnd w:id="21"/>
      <w:bookmarkEnd w:id="22"/>
      <w:bookmarkEnd w:id="23"/>
      <w:bookmarkEnd w:id="24"/>
      <w:bookmarkEnd w:id="25"/>
      <w:bookmarkEnd w:id="26"/>
    </w:p>
    <w:p w14:paraId="2DB5AEB9">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项目概况</w:t>
      </w:r>
    </w:p>
    <w:p w14:paraId="355F9C1F">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西定乡曼迈村委会产业发展项目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u w:val="single"/>
        </w:rPr>
        <w:t xml:space="preserve"> 政采云平台（</w:t>
      </w:r>
      <w:r>
        <w:rPr>
          <w:rFonts w:hint="eastAsia" w:ascii="宋体" w:hAnsi="宋体" w:cs="宋体"/>
          <w:color w:val="auto"/>
          <w:sz w:val="24"/>
          <w:highlight w:val="none"/>
          <w:u w:val="single"/>
          <w:lang w:val="en-US" w:eastAsia="zh-CN"/>
        </w:rPr>
        <w:t>网址：</w:t>
      </w:r>
      <w:r>
        <w:rPr>
          <w:rFonts w:hint="eastAsia" w:ascii="宋体" w:hAnsi="宋体" w:eastAsia="宋体" w:cs="宋体"/>
          <w:color w:val="auto"/>
          <w:sz w:val="24"/>
          <w:highlight w:val="none"/>
          <w:u w:val="single"/>
        </w:rPr>
        <w:t>https://www.zcygov.cn）</w:t>
      </w:r>
      <w:r>
        <w:rPr>
          <w:rFonts w:hint="eastAsia" w:ascii="宋体" w:hAnsi="宋体" w:cs="宋体"/>
          <w:color w:val="auto"/>
          <w:sz w:val="24"/>
          <w:highlight w:val="none"/>
          <w:u w:val="none"/>
          <w:lang w:val="en-US" w:eastAsia="zh-CN"/>
        </w:rPr>
        <w:t>线上</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，并于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2026年08月06日</w:t>
      </w:r>
      <w:r>
        <w:rPr>
          <w:rFonts w:hint="eastAsia" w:ascii="宋体" w:hAnsi="宋体" w:cs="宋体"/>
          <w:bCs/>
          <w:color w:val="auto"/>
          <w:sz w:val="24"/>
          <w:highlight w:val="none"/>
          <w:u w:val="single"/>
          <w:lang w:val="en-US" w:eastAsia="zh-CN"/>
        </w:rPr>
        <w:t>09</w:t>
      </w:r>
      <w:r>
        <w:rPr>
          <w:rFonts w:hint="eastAsia" w:ascii="宋体" w:hAnsi="宋体" w:eastAsia="宋体" w:cs="宋体"/>
          <w:bCs/>
          <w:color w:val="auto"/>
          <w:sz w:val="24"/>
          <w:highlight w:val="none"/>
          <w:u w:val="single"/>
        </w:rPr>
        <w:t>时</w:t>
      </w:r>
      <w:r>
        <w:rPr>
          <w:rFonts w:hint="eastAsia" w:ascii="宋体" w:hAnsi="宋体" w:eastAsia="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r>
        <w:rPr>
          <w:rFonts w:hint="eastAsia" w:ascii="宋体" w:hAnsi="宋体" w:eastAsia="宋体" w:cs="宋体"/>
          <w:bCs/>
          <w:color w:val="auto"/>
          <w:sz w:val="24"/>
          <w:highlight w:val="none"/>
        </w:rPr>
        <w:t>（北京时间）前提交</w:t>
      </w:r>
      <w:r>
        <w:rPr>
          <w:rFonts w:hint="eastAsia" w:ascii="宋体" w:hAnsi="宋体" w:eastAsia="宋体" w:cs="宋体"/>
          <w:bCs/>
          <w:color w:val="auto"/>
          <w:sz w:val="24"/>
          <w:highlight w:val="none"/>
          <w:lang w:eastAsia="zh-CN"/>
        </w:rPr>
        <w:t>响应</w:t>
      </w:r>
      <w:r>
        <w:rPr>
          <w:rFonts w:hint="eastAsia" w:ascii="宋体" w:hAnsi="宋体" w:eastAsia="宋体" w:cs="宋体"/>
          <w:bCs/>
          <w:color w:val="auto"/>
          <w:sz w:val="24"/>
          <w:highlight w:val="none"/>
        </w:rPr>
        <w:t>文件</w:t>
      </w:r>
      <w:r>
        <w:rPr>
          <w:rFonts w:hint="eastAsia" w:ascii="宋体" w:hAnsi="宋体" w:eastAsia="宋体" w:cs="宋体"/>
          <w:color w:val="auto"/>
          <w:sz w:val="24"/>
          <w:highlight w:val="none"/>
        </w:rPr>
        <w:t>。</w:t>
      </w:r>
    </w:p>
    <w:bookmarkEnd w:id="12"/>
    <w:bookmarkEnd w:id="13"/>
    <w:p w14:paraId="12F7F473">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auto"/>
          <w:sz w:val="24"/>
          <w:highlight w:val="none"/>
        </w:rPr>
      </w:pPr>
      <w:bookmarkStart w:id="27" w:name="_Toc28359012"/>
      <w:bookmarkStart w:id="28" w:name="_Toc2347"/>
      <w:bookmarkStart w:id="29" w:name="_Toc292"/>
      <w:bookmarkStart w:id="30" w:name="_Toc26103"/>
      <w:bookmarkStart w:id="31" w:name="_Toc21545"/>
      <w:bookmarkStart w:id="32" w:name="_Toc3084"/>
      <w:bookmarkStart w:id="33" w:name="_Toc28359089"/>
      <w:bookmarkStart w:id="34" w:name="_Toc35393629"/>
      <w:bookmarkStart w:id="35" w:name="_Toc184"/>
      <w:bookmarkStart w:id="36" w:name="_Toc35393798"/>
      <w:bookmarkStart w:id="37" w:name="_Toc19118"/>
      <w:bookmarkStart w:id="38" w:name="_Toc16286"/>
      <w:bookmarkStart w:id="39" w:name="_Toc22700"/>
      <w:r>
        <w:rPr>
          <w:rFonts w:hint="eastAsia" w:ascii="宋体" w:hAnsi="宋体" w:eastAsia="宋体" w:cs="宋体"/>
          <w:b/>
          <w:color w:val="auto"/>
          <w:sz w:val="24"/>
          <w:highlight w:val="none"/>
        </w:rPr>
        <w:t>一、项目基本情况</w:t>
      </w:r>
      <w:bookmarkEnd w:id="27"/>
      <w:bookmarkEnd w:id="28"/>
      <w:bookmarkEnd w:id="29"/>
      <w:bookmarkEnd w:id="30"/>
      <w:bookmarkEnd w:id="31"/>
      <w:bookmarkEnd w:id="32"/>
      <w:bookmarkEnd w:id="33"/>
      <w:bookmarkEnd w:id="34"/>
      <w:bookmarkEnd w:id="35"/>
      <w:bookmarkEnd w:id="36"/>
    </w:p>
    <w:p w14:paraId="06677D9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val="0"/>
          <w:bCs/>
          <w:color w:val="auto"/>
          <w:sz w:val="24"/>
          <w:highlight w:val="none"/>
          <w:lang w:val="en-US" w:eastAsia="zh-CN"/>
        </w:rPr>
      </w:pPr>
      <w:r>
        <w:rPr>
          <w:rFonts w:hint="eastAsia" w:ascii="宋体" w:hAnsi="宋体" w:cs="宋体"/>
          <w:b/>
          <w:bCs w:val="0"/>
          <w:color w:val="auto"/>
          <w:sz w:val="24"/>
          <w:highlight w:val="none"/>
          <w:lang w:val="en-US" w:eastAsia="zh-CN"/>
        </w:rPr>
        <w:t>1.1</w:t>
      </w:r>
      <w:r>
        <w:rPr>
          <w:rFonts w:hint="eastAsia" w:ascii="宋体" w:hAnsi="宋体" w:eastAsia="宋体" w:cs="宋体"/>
          <w:b/>
          <w:bCs w:val="0"/>
          <w:color w:val="auto"/>
          <w:sz w:val="24"/>
          <w:highlight w:val="none"/>
        </w:rPr>
        <w:t>项目编号：</w:t>
      </w:r>
      <w:r>
        <w:rPr>
          <w:rFonts w:hint="eastAsia" w:ascii="宋体" w:hAnsi="宋体" w:cs="宋体"/>
          <w:b w:val="0"/>
          <w:bCs/>
          <w:color w:val="auto"/>
          <w:sz w:val="24"/>
          <w:highlight w:val="none"/>
          <w:lang w:eastAsia="zh-CN"/>
        </w:rPr>
        <w:t>YNXCZB202644</w:t>
      </w:r>
      <w:r>
        <w:rPr>
          <w:rFonts w:hint="eastAsia" w:ascii="宋体" w:hAnsi="宋体" w:cs="宋体"/>
          <w:b w:val="0"/>
          <w:bCs/>
          <w:color w:val="auto"/>
          <w:sz w:val="24"/>
          <w:highlight w:val="none"/>
          <w:lang w:val="en-US" w:eastAsia="zh-CN"/>
        </w:rPr>
        <w:t xml:space="preserve"> </w:t>
      </w:r>
    </w:p>
    <w:p w14:paraId="6155942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val="0"/>
          <w:bCs/>
          <w:color w:val="auto"/>
          <w:sz w:val="24"/>
          <w:highlight w:val="none"/>
          <w:lang w:val="en-US" w:eastAsia="zh-CN"/>
        </w:rPr>
      </w:pPr>
      <w:r>
        <w:rPr>
          <w:rFonts w:hint="eastAsia" w:ascii="宋体" w:hAnsi="宋体" w:cs="宋体"/>
          <w:b/>
          <w:bCs w:val="0"/>
          <w:color w:val="auto"/>
          <w:sz w:val="24"/>
          <w:highlight w:val="none"/>
          <w:lang w:val="en-US" w:eastAsia="zh-CN"/>
        </w:rPr>
        <w:t>1.2</w:t>
      </w:r>
      <w:r>
        <w:rPr>
          <w:rFonts w:hint="eastAsia" w:ascii="宋体" w:hAnsi="宋体" w:eastAsia="宋体" w:cs="宋体"/>
          <w:b/>
          <w:bCs w:val="0"/>
          <w:color w:val="auto"/>
          <w:sz w:val="24"/>
          <w:highlight w:val="none"/>
        </w:rPr>
        <w:t>项目名称：</w:t>
      </w:r>
      <w:r>
        <w:rPr>
          <w:rFonts w:hint="eastAsia" w:ascii="宋体" w:hAnsi="宋体" w:cs="宋体"/>
          <w:b w:val="0"/>
          <w:bCs/>
          <w:color w:val="auto"/>
          <w:sz w:val="24"/>
          <w:highlight w:val="none"/>
          <w:lang w:eastAsia="zh-CN"/>
        </w:rPr>
        <w:t>西定乡曼迈村委会产业发展项目</w:t>
      </w:r>
    </w:p>
    <w:p w14:paraId="7FB67F4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1.3</w:t>
      </w:r>
      <w:r>
        <w:rPr>
          <w:rFonts w:hint="eastAsia" w:ascii="宋体" w:hAnsi="宋体" w:eastAsia="宋体" w:cs="宋体"/>
          <w:b/>
          <w:bCs/>
          <w:color w:val="auto"/>
          <w:sz w:val="24"/>
          <w:highlight w:val="none"/>
          <w:lang w:val="en-US" w:eastAsia="zh-CN"/>
        </w:rPr>
        <w:t>采购方式：</w:t>
      </w:r>
      <w:r>
        <w:rPr>
          <w:rFonts w:hint="eastAsia" w:ascii="宋体" w:hAnsi="宋体" w:eastAsia="宋体" w:cs="宋体"/>
          <w:color w:val="auto"/>
          <w:sz w:val="24"/>
          <w:highlight w:val="none"/>
          <w:lang w:val="en-US" w:eastAsia="zh-CN"/>
        </w:rPr>
        <w:t>竞争性磋商</w:t>
      </w:r>
    </w:p>
    <w:p w14:paraId="05AD8D6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default" w:ascii="宋体" w:hAnsi="宋体" w:eastAsia="宋体" w:cs="宋体"/>
          <w:color w:val="auto"/>
          <w:sz w:val="24"/>
          <w:highlight w:val="none"/>
          <w:u w:val="none"/>
          <w:lang w:val="en-US" w:eastAsia="zh-CN"/>
        </w:rPr>
      </w:pPr>
      <w:r>
        <w:rPr>
          <w:rFonts w:hint="eastAsia" w:ascii="宋体" w:hAnsi="宋体" w:cs="宋体"/>
          <w:b/>
          <w:bCs/>
          <w:color w:val="auto"/>
          <w:sz w:val="24"/>
          <w:highlight w:val="none"/>
          <w:lang w:val="en-US" w:eastAsia="zh-CN"/>
        </w:rPr>
        <w:t>1.4</w:t>
      </w:r>
      <w:r>
        <w:rPr>
          <w:rFonts w:hint="eastAsia" w:ascii="宋体" w:hAnsi="宋体" w:eastAsia="宋体" w:cs="宋体"/>
          <w:b/>
          <w:bCs/>
          <w:color w:val="auto"/>
          <w:sz w:val="24"/>
          <w:highlight w:val="none"/>
          <w:lang w:val="en-US" w:eastAsia="zh-CN"/>
        </w:rPr>
        <w:t>预算金额（万元）</w:t>
      </w:r>
      <w:r>
        <w:rPr>
          <w:rFonts w:hint="eastAsia" w:ascii="宋体" w:hAnsi="宋体" w:eastAsia="宋体" w:cs="宋体"/>
          <w:b/>
          <w:bCs/>
          <w:color w:val="auto"/>
          <w:sz w:val="24"/>
          <w:highlight w:val="none"/>
        </w:rPr>
        <w:t>：</w:t>
      </w:r>
      <w:r>
        <w:rPr>
          <w:rFonts w:hint="eastAsia" w:ascii="宋体" w:hAnsi="宋体" w:cs="宋体"/>
          <w:color w:val="auto"/>
          <w:sz w:val="24"/>
          <w:highlight w:val="none"/>
          <w:u w:val="none"/>
          <w:lang w:val="en-US" w:eastAsia="zh-CN"/>
        </w:rPr>
        <w:t>60.00</w:t>
      </w:r>
    </w:p>
    <w:p w14:paraId="584EC28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1.5</w:t>
      </w:r>
      <w:r>
        <w:rPr>
          <w:rFonts w:hint="eastAsia" w:ascii="宋体" w:hAnsi="宋体" w:eastAsia="宋体" w:cs="宋体"/>
          <w:b/>
          <w:bCs/>
          <w:color w:val="auto"/>
          <w:sz w:val="24"/>
          <w:highlight w:val="none"/>
        </w:rPr>
        <w:t>最高限价（万元）：</w:t>
      </w:r>
      <w:r>
        <w:rPr>
          <w:rFonts w:hint="eastAsia" w:ascii="宋体" w:hAnsi="宋体" w:cs="宋体"/>
          <w:color w:val="auto"/>
          <w:sz w:val="24"/>
          <w:highlight w:val="none"/>
          <w:lang w:eastAsia="zh-CN"/>
        </w:rPr>
        <w:t>59.996643</w:t>
      </w:r>
    </w:p>
    <w:p w14:paraId="0D2C34D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1.6</w:t>
      </w:r>
      <w:r>
        <w:rPr>
          <w:rFonts w:hint="eastAsia" w:ascii="宋体" w:hAnsi="宋体" w:eastAsia="宋体" w:cs="宋体"/>
          <w:b/>
          <w:bCs/>
          <w:color w:val="auto"/>
          <w:sz w:val="24"/>
          <w:highlight w:val="none"/>
        </w:rPr>
        <w:t>采购需求：</w:t>
      </w:r>
    </w:p>
    <w:p w14:paraId="7F2FE6C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auto"/>
          <w:sz w:val="24"/>
          <w:highlight w:val="none"/>
          <w:lang w:val="en-US" w:eastAsia="zh-CN"/>
        </w:rPr>
      </w:pPr>
      <w:r>
        <w:rPr>
          <w:rFonts w:hint="eastAsia" w:ascii="宋体" w:hAnsi="宋体" w:cs="宋体"/>
          <w:b w:val="0"/>
          <w:bCs w:val="0"/>
          <w:color w:val="auto"/>
          <w:sz w:val="24"/>
          <w:highlight w:val="none"/>
          <w:lang w:val="en-US" w:eastAsia="zh-CN"/>
        </w:rPr>
        <w:t>1.6.1</w:t>
      </w:r>
      <w:r>
        <w:rPr>
          <w:rFonts w:hint="eastAsia" w:ascii="宋体" w:hAnsi="宋体" w:eastAsia="宋体" w:cs="宋体"/>
          <w:b w:val="0"/>
          <w:bCs w:val="0"/>
          <w:color w:val="auto"/>
          <w:sz w:val="24"/>
          <w:highlight w:val="none"/>
          <w:lang w:val="en-US" w:eastAsia="zh-CN"/>
        </w:rPr>
        <w:t>采购需求：经济作物产业发展蓄水池建设：新建4个120立方钢筋混凝土现浇产业发展蓄水池，并配套DN50pe管及接管等配套管材，同时在水池旁设置安全警示牌。</w:t>
      </w:r>
      <w:r>
        <w:rPr>
          <w:rFonts w:hint="eastAsia" w:ascii="宋体" w:hAnsi="宋体" w:cs="宋体"/>
          <w:b w:val="0"/>
          <w:bCs w:val="0"/>
          <w:color w:val="auto"/>
          <w:sz w:val="24"/>
          <w:highlight w:val="none"/>
          <w:lang w:val="en-US" w:eastAsia="zh-CN"/>
        </w:rPr>
        <w:t>其中，DN50pe管约225米并配套接管管材；设置安全警示牌4个。</w:t>
      </w:r>
      <w:r>
        <w:rPr>
          <w:rFonts w:hint="eastAsia" w:ascii="宋体" w:hAnsi="宋体" w:eastAsia="宋体" w:cs="宋体"/>
          <w:b w:val="0"/>
          <w:bCs/>
          <w:color w:val="auto"/>
          <w:sz w:val="24"/>
          <w:highlight w:val="none"/>
          <w:lang w:val="en-US" w:eastAsia="zh-CN"/>
        </w:rPr>
        <w:t>具体以发布的工程量清单为准。</w:t>
      </w:r>
    </w:p>
    <w:p w14:paraId="5DE0CA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w:t>
      </w:r>
      <w:r>
        <w:rPr>
          <w:rFonts w:hint="eastAsia" w:ascii="宋体" w:hAnsi="宋体" w:eastAsia="宋体" w:cs="宋体"/>
          <w:b w:val="0"/>
          <w:bCs/>
          <w:color w:val="auto"/>
          <w:sz w:val="24"/>
          <w:highlight w:val="none"/>
          <w:lang w:val="en-US" w:eastAsia="zh-CN"/>
        </w:rPr>
        <w:t>6.2质量要求：符合现行国家有关工程施工验收规范和标准的要求，一次性验收合格。</w:t>
      </w:r>
    </w:p>
    <w:p w14:paraId="7730956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cs="宋体"/>
          <w:b w:val="0"/>
          <w:bCs/>
          <w:color w:val="auto"/>
          <w:sz w:val="24"/>
          <w:highlight w:val="none"/>
          <w:lang w:val="en-US" w:eastAsia="zh-CN"/>
        </w:rPr>
        <w:t>1.</w:t>
      </w:r>
      <w:r>
        <w:rPr>
          <w:rFonts w:hint="eastAsia" w:ascii="宋体" w:hAnsi="宋体" w:eastAsia="宋体" w:cs="宋体"/>
          <w:b w:val="0"/>
          <w:bCs/>
          <w:color w:val="auto"/>
          <w:sz w:val="24"/>
          <w:highlight w:val="none"/>
          <w:lang w:val="en-US" w:eastAsia="zh-CN"/>
        </w:rPr>
        <w:t>6.3项目地点：</w:t>
      </w:r>
      <w:r>
        <w:rPr>
          <w:rFonts w:hint="eastAsia" w:ascii="宋体" w:hAnsi="宋体" w:cs="宋体"/>
          <w:b w:val="0"/>
          <w:bCs/>
          <w:color w:val="auto"/>
          <w:sz w:val="24"/>
          <w:highlight w:val="none"/>
          <w:lang w:val="en-US" w:eastAsia="zh-CN"/>
        </w:rPr>
        <w:t>西定乡曼迈村</w:t>
      </w:r>
      <w:r>
        <w:rPr>
          <w:rFonts w:hint="eastAsia" w:ascii="宋体" w:hAnsi="宋体" w:eastAsia="宋体" w:cs="宋体"/>
          <w:b w:val="0"/>
          <w:bCs/>
          <w:color w:val="auto"/>
          <w:sz w:val="24"/>
          <w:highlight w:val="none"/>
          <w:lang w:val="en-US" w:eastAsia="zh-CN"/>
        </w:rPr>
        <w:t>。</w:t>
      </w:r>
    </w:p>
    <w:p w14:paraId="167DFC9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1.7工期</w:t>
      </w:r>
      <w:r>
        <w:rPr>
          <w:rFonts w:hint="eastAsia" w:ascii="宋体" w:hAnsi="宋体" w:eastAsia="宋体" w:cs="宋体"/>
          <w:b/>
          <w:bCs/>
          <w:color w:val="auto"/>
          <w:sz w:val="24"/>
          <w:highlight w:val="none"/>
          <w:lang w:eastAsia="zh-CN"/>
        </w:rPr>
        <w:t>：</w:t>
      </w:r>
      <w:r>
        <w:rPr>
          <w:rFonts w:hint="eastAsia" w:ascii="宋体" w:hAnsi="宋体" w:cs="宋体"/>
          <w:color w:val="auto"/>
          <w:sz w:val="24"/>
          <w:highlight w:val="none"/>
          <w:lang w:eastAsia="zh-CN"/>
        </w:rPr>
        <w:t>合同签订后，按招标人实际通知开工日期起计算</w:t>
      </w:r>
      <w:r>
        <w:rPr>
          <w:rFonts w:hint="eastAsia" w:ascii="宋体" w:hAnsi="宋体" w:cs="宋体"/>
          <w:color w:val="auto"/>
          <w:sz w:val="24"/>
          <w:highlight w:val="none"/>
          <w:lang w:val="en-US" w:eastAsia="zh-CN"/>
        </w:rPr>
        <w:t>120日历天</w:t>
      </w:r>
      <w:r>
        <w:rPr>
          <w:rFonts w:hint="eastAsia" w:ascii="宋体" w:hAnsi="宋体" w:cs="宋体"/>
          <w:color w:val="auto"/>
          <w:sz w:val="24"/>
          <w:highlight w:val="none"/>
          <w:lang w:eastAsia="zh-CN"/>
        </w:rPr>
        <w:t>内完工。</w:t>
      </w:r>
    </w:p>
    <w:p w14:paraId="7E6ECC5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1.8</w:t>
      </w:r>
      <w:r>
        <w:rPr>
          <w:rFonts w:hint="eastAsia" w:ascii="宋体" w:hAnsi="宋体" w:eastAsia="宋体" w:cs="宋体"/>
          <w:b/>
          <w:bCs/>
          <w:color w:val="auto"/>
          <w:sz w:val="24"/>
          <w:highlight w:val="none"/>
          <w:lang w:val="en-US" w:eastAsia="zh-CN"/>
        </w:rPr>
        <w:t>本项目（是/否）接受联合体：</w:t>
      </w:r>
      <w:r>
        <w:rPr>
          <w:rFonts w:hint="eastAsia" w:ascii="宋体" w:hAnsi="宋体" w:eastAsia="宋体" w:cs="宋体"/>
          <w:color w:val="auto"/>
          <w:sz w:val="24"/>
          <w:highlight w:val="none"/>
          <w:lang w:val="en-US" w:eastAsia="zh-CN"/>
        </w:rPr>
        <w:t>否。</w:t>
      </w:r>
    </w:p>
    <w:p w14:paraId="7A039049">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color w:val="auto"/>
          <w:sz w:val="24"/>
          <w:highlight w:val="none"/>
        </w:rPr>
      </w:pPr>
      <w:bookmarkStart w:id="40" w:name="_Toc35393630"/>
      <w:bookmarkStart w:id="41" w:name="_Toc28687"/>
      <w:bookmarkStart w:id="42" w:name="_Toc28359013"/>
      <w:bookmarkStart w:id="43" w:name="_Toc22364"/>
      <w:bookmarkStart w:id="44" w:name="_Toc21939"/>
      <w:bookmarkStart w:id="45" w:name="_Toc26002"/>
      <w:bookmarkStart w:id="46" w:name="_Toc22144"/>
      <w:bookmarkStart w:id="47" w:name="_Toc35393799"/>
      <w:bookmarkStart w:id="48" w:name="_Toc28359090"/>
      <w:bookmarkStart w:id="49" w:name="_Toc9505"/>
      <w:r>
        <w:rPr>
          <w:rFonts w:hint="eastAsia" w:ascii="宋体" w:hAnsi="宋体" w:eastAsia="宋体" w:cs="宋体"/>
          <w:b/>
          <w:color w:val="auto"/>
          <w:sz w:val="24"/>
          <w:highlight w:val="none"/>
        </w:rPr>
        <w:t>二、</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资格要求：</w:t>
      </w:r>
      <w:bookmarkEnd w:id="40"/>
      <w:bookmarkEnd w:id="41"/>
      <w:bookmarkEnd w:id="42"/>
      <w:bookmarkEnd w:id="43"/>
      <w:bookmarkEnd w:id="44"/>
      <w:bookmarkEnd w:id="45"/>
      <w:bookmarkEnd w:id="46"/>
      <w:bookmarkEnd w:id="47"/>
      <w:bookmarkEnd w:id="48"/>
      <w:bookmarkEnd w:id="49"/>
    </w:p>
    <w:p w14:paraId="79A5290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val="0"/>
          <w:bCs w:val="0"/>
          <w:color w:val="auto"/>
          <w:sz w:val="24"/>
          <w:highlight w:val="none"/>
          <w:lang w:val="en-US" w:eastAsia="zh-CN"/>
        </w:rPr>
      </w:pPr>
      <w:bookmarkStart w:id="50" w:name="_Toc25794"/>
      <w:r>
        <w:rPr>
          <w:rFonts w:hint="eastAsia" w:ascii="宋体" w:hAnsi="宋体" w:cs="宋体"/>
          <w:b/>
          <w:bCs/>
          <w:color w:val="auto"/>
          <w:sz w:val="24"/>
          <w:highlight w:val="none"/>
          <w:lang w:val="en-US" w:eastAsia="zh-CN"/>
        </w:rPr>
        <w:t>2.1</w:t>
      </w:r>
      <w:r>
        <w:rPr>
          <w:rFonts w:hint="eastAsia" w:ascii="宋体" w:hAnsi="宋体" w:eastAsia="宋体" w:cs="宋体"/>
          <w:b/>
          <w:bCs/>
          <w:color w:val="auto"/>
          <w:sz w:val="24"/>
          <w:highlight w:val="none"/>
        </w:rPr>
        <w:t>满足《中华人民共和国政府采购法》第二十二条规定；</w:t>
      </w:r>
      <w:bookmarkEnd w:id="50"/>
    </w:p>
    <w:p w14:paraId="147A7D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2.1.1</w:t>
      </w:r>
      <w:r>
        <w:rPr>
          <w:rFonts w:hint="eastAsia" w:ascii="宋体" w:hAnsi="宋体" w:eastAsia="宋体" w:cs="宋体"/>
          <w:b w:val="0"/>
          <w:bCs w:val="0"/>
          <w:color w:val="auto"/>
          <w:sz w:val="24"/>
          <w:highlight w:val="none"/>
        </w:rPr>
        <w:t>具有独立承担民事责任的能力</w:t>
      </w:r>
      <w:r>
        <w:rPr>
          <w:rFonts w:hint="eastAsia" w:ascii="宋体" w:hAnsi="宋体" w:eastAsia="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须</w:t>
      </w:r>
      <w:r>
        <w:rPr>
          <w:rFonts w:hint="eastAsia" w:ascii="宋体" w:hAnsi="宋体" w:eastAsia="宋体" w:cs="宋体"/>
          <w:b w:val="0"/>
          <w:bCs w:val="0"/>
          <w:color w:val="auto"/>
          <w:sz w:val="24"/>
          <w:highlight w:val="none"/>
          <w:lang w:val="en-US" w:eastAsia="zh-CN"/>
        </w:rPr>
        <w:t>是</w:t>
      </w:r>
      <w:r>
        <w:rPr>
          <w:rFonts w:hint="eastAsia" w:ascii="宋体" w:hAnsi="宋体" w:eastAsia="宋体" w:cs="宋体"/>
          <w:b w:val="0"/>
          <w:bCs w:val="0"/>
          <w:color w:val="auto"/>
          <w:sz w:val="24"/>
          <w:highlight w:val="none"/>
        </w:rPr>
        <w:t>具有独立承担民事责任能力的法人、其他组织或者自然人；</w:t>
      </w:r>
      <w:r>
        <w:rPr>
          <w:rFonts w:hint="eastAsia" w:ascii="宋体" w:hAnsi="宋体" w:eastAsia="宋体" w:cs="宋体"/>
          <w:b w:val="0"/>
          <w:bCs w:val="0"/>
          <w:color w:val="auto"/>
          <w:sz w:val="24"/>
          <w:highlight w:val="none"/>
          <w:lang w:eastAsia="zh-CN"/>
        </w:rPr>
        <w:t>（①</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是企业，提供有效</w:t>
      </w:r>
      <w:r>
        <w:rPr>
          <w:rFonts w:hint="eastAsia" w:ascii="宋体" w:hAnsi="宋体" w:eastAsia="宋体" w:cs="宋体"/>
          <w:b w:val="0"/>
          <w:bCs w:val="0"/>
          <w:color w:val="auto"/>
          <w:sz w:val="24"/>
          <w:highlight w:val="none"/>
          <w:lang w:val="en-US" w:eastAsia="zh-CN"/>
        </w:rPr>
        <w:t>的</w:t>
      </w:r>
      <w:r>
        <w:rPr>
          <w:rFonts w:hint="eastAsia" w:ascii="宋体" w:hAnsi="宋体" w:eastAsia="宋体" w:cs="宋体"/>
          <w:b w:val="0"/>
          <w:bCs w:val="0"/>
          <w:color w:val="auto"/>
          <w:sz w:val="24"/>
          <w:highlight w:val="none"/>
        </w:rPr>
        <w:t>“营业执照”；②</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是事业单位，提供有效的“事业单位法人证书”；③</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w:t>
      </w:r>
      <w:bookmarkStart w:id="51" w:name="OLE_LINK74"/>
      <w:r>
        <w:rPr>
          <w:rFonts w:hint="eastAsia" w:ascii="宋体" w:hAnsi="宋体" w:eastAsia="宋体" w:cs="宋体"/>
          <w:b w:val="0"/>
          <w:bCs w:val="0"/>
          <w:color w:val="auto"/>
          <w:sz w:val="24"/>
          <w:highlight w:val="none"/>
        </w:rPr>
        <w:t>非企业专业服务机构</w:t>
      </w:r>
      <w:bookmarkEnd w:id="51"/>
      <w:r>
        <w:rPr>
          <w:rFonts w:hint="eastAsia" w:ascii="宋体" w:hAnsi="宋体" w:eastAsia="宋体" w:cs="宋体"/>
          <w:b w:val="0"/>
          <w:bCs w:val="0"/>
          <w:color w:val="auto"/>
          <w:sz w:val="24"/>
          <w:highlight w:val="none"/>
        </w:rPr>
        <w:t>的，提供</w:t>
      </w:r>
      <w:r>
        <w:rPr>
          <w:rFonts w:hint="eastAsia" w:ascii="宋体" w:hAnsi="宋体" w:eastAsia="宋体" w:cs="宋体"/>
          <w:b w:val="0"/>
          <w:bCs w:val="0"/>
          <w:color w:val="auto"/>
          <w:sz w:val="24"/>
          <w:highlight w:val="none"/>
          <w:lang w:val="en-US" w:eastAsia="zh-CN"/>
        </w:rPr>
        <w:t>有效的法定</w:t>
      </w:r>
      <w:r>
        <w:rPr>
          <w:rFonts w:hint="eastAsia" w:ascii="宋体" w:hAnsi="宋体" w:eastAsia="宋体" w:cs="宋体"/>
          <w:b w:val="0"/>
          <w:bCs w:val="0"/>
          <w:color w:val="auto"/>
          <w:sz w:val="24"/>
          <w:highlight w:val="none"/>
        </w:rPr>
        <w:t>证明文件；④</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是个体工商户，提供有效的“个体工商户营业执照”；⑤</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是自然人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提供有效的自然人身份证明</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p w14:paraId="407EAA6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2.1.2</w:t>
      </w:r>
      <w:r>
        <w:rPr>
          <w:rFonts w:hint="eastAsia" w:ascii="宋体" w:hAnsi="宋体" w:eastAsia="宋体" w:cs="宋体"/>
          <w:b w:val="0"/>
          <w:bCs w:val="0"/>
          <w:color w:val="auto"/>
          <w:sz w:val="24"/>
          <w:highlight w:val="none"/>
        </w:rPr>
        <w:t>具有良好的商业信誉</w:t>
      </w:r>
    </w:p>
    <w:p w14:paraId="64404607">
      <w:pPr>
        <w:keepNext w:val="0"/>
        <w:keepLines w:val="0"/>
        <w:pageBreakBefore w:val="0"/>
        <w:widowControl w:val="0"/>
        <w:kinsoku/>
        <w:wordWrap/>
        <w:overflowPunct/>
        <w:topLinePunct w:val="0"/>
        <w:autoSpaceDE/>
        <w:autoSpaceDN/>
        <w:bidi w:val="0"/>
        <w:adjustRightInd/>
        <w:snapToGrid/>
        <w:spacing w:line="520" w:lineRule="exact"/>
        <w:ind w:firstLine="484" w:firstLineChars="202"/>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color w:val="auto"/>
          <w:sz w:val="24"/>
          <w:szCs w:val="24"/>
          <w:highlight w:val="none"/>
          <w:lang w:val="en-US" w:eastAsia="zh-CN"/>
        </w:rPr>
        <w:t>供应商信誉良好，</w:t>
      </w:r>
      <w:r>
        <w:rPr>
          <w:rFonts w:hint="eastAsia" w:ascii="宋体" w:hAnsi="宋体" w:eastAsia="宋体" w:cs="宋体"/>
          <w:color w:val="auto"/>
          <w:sz w:val="24"/>
          <w:szCs w:val="24"/>
          <w:highlight w:val="none"/>
        </w:rPr>
        <w:t>根据《财政部关于在政府采购活动中查询及使用信用记录有关问题的通知-财库〔2016〕125号》相关要求，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在中国执行信息公开网（http://zxgk.court.gov.cn）未被列入失信被执行人，在“信用中国”未被列入网站政府采购严重违法失信行为记录名单和重大税收违法失信主体，</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在国家企业信用信息公示系统（http://www.gsxt.gov.cn）未被列入经营异常名录和严重违法失信企业名单（黑名单），在中国政府采购网( www.ccgp.gov.cn)无政府采购严重违法失信行为记录。对列入失信被执行人、为税收违法失信主体、经营异常名录和严重违法失信企业名单（黑名单）、政府采购严重违法失信行为记录名单的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，拒绝参与本项目采购活动</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highlight w:val="none"/>
        </w:rPr>
        <w:t>此部分</w:t>
      </w:r>
      <w:r>
        <w:rPr>
          <w:rFonts w:hint="eastAsia" w:ascii="宋体" w:hAnsi="宋体" w:eastAsia="宋体" w:cs="宋体"/>
          <w:b w:val="0"/>
          <w:bCs w:val="0"/>
          <w:color w:val="auto"/>
          <w:sz w:val="24"/>
          <w:highlight w:val="none"/>
          <w:lang w:val="en-US" w:eastAsia="zh-CN"/>
        </w:rPr>
        <w:t>只需供应商提供信誉良好承诺书，</w:t>
      </w:r>
      <w:r>
        <w:rPr>
          <w:rFonts w:hint="eastAsia" w:ascii="宋体" w:hAnsi="宋体" w:eastAsia="宋体" w:cs="宋体"/>
          <w:b w:val="0"/>
          <w:bCs w:val="0"/>
          <w:color w:val="auto"/>
          <w:sz w:val="24"/>
          <w:highlight w:val="none"/>
        </w:rPr>
        <w:t>不需要供应商提供证明材料</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信用信息查询以采购人或采购代理机构开标时查询结果为准</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highlight w:val="none"/>
          <w:lang w:eastAsia="zh-CN"/>
        </w:rPr>
        <w:t>。</w:t>
      </w:r>
    </w:p>
    <w:p w14:paraId="29EDE9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2.1.3具有健全的财务会计制度</w:t>
      </w:r>
    </w:p>
    <w:p w14:paraId="0697EC7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sz w:val="24"/>
          <w:highlight w:val="none"/>
          <w:lang w:val="en-US" w:eastAsia="zh-CN"/>
        </w:rPr>
        <w:t>①供应商</w:t>
      </w:r>
      <w:r>
        <w:rPr>
          <w:rFonts w:hint="eastAsia" w:ascii="宋体" w:hAnsi="宋体" w:eastAsia="宋体" w:cs="宋体"/>
          <w:bCs/>
          <w:color w:val="auto"/>
          <w:sz w:val="24"/>
          <w:szCs w:val="24"/>
          <w:highlight w:val="none"/>
          <w:lang w:eastAsia="zh-CN"/>
        </w:rPr>
        <w:t>提供</w:t>
      </w:r>
      <w:r>
        <w:rPr>
          <w:rFonts w:hint="eastAsia" w:ascii="宋体" w:hAnsi="宋体" w:cs="宋体"/>
          <w:bCs/>
          <w:color w:val="auto"/>
          <w:sz w:val="24"/>
          <w:szCs w:val="24"/>
          <w:highlight w:val="none"/>
          <w:lang w:eastAsia="zh-CN"/>
        </w:rPr>
        <w:t>2024年度或2025年度</w:t>
      </w:r>
      <w:r>
        <w:rPr>
          <w:rFonts w:hint="eastAsia" w:ascii="宋体" w:hAnsi="宋体" w:eastAsia="宋体" w:cs="宋体"/>
          <w:bCs/>
          <w:color w:val="auto"/>
          <w:sz w:val="24"/>
          <w:szCs w:val="24"/>
          <w:highlight w:val="none"/>
          <w:lang w:eastAsia="zh-CN"/>
        </w:rPr>
        <w:t>经审计的审计报告及财务报表，（注：</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 1 \* GB3 \* MERGEFORMAT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根据财政部、国务院国资委、金融监管总局于2023年9月14日发布的《关于加强审计报告查验工作的通知》(财会〔2023〕15号)的规定，供应商提供的审计报告须附验证码；</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 2 \* GB3 \* MERGEFORMAT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根据相关文件规定，企业法人、事业单位法人的会计制度各不相同，各会计制度中要求的财务报告的会计报表组成也不相同。因此，</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lang w:eastAsia="zh-CN"/>
        </w:rPr>
        <w:t>根据其单位所属类别的会计制度规定提供完整的经审计的审计报告及财务报告即可，本项目对财务报告的组成报表不作具体要求），事业单位可提供内部财务报表；新成立企业，若成立时间至本项目提交</w:t>
      </w:r>
      <w:r>
        <w:rPr>
          <w:rFonts w:hint="eastAsia" w:ascii="宋体" w:hAnsi="宋体" w:cs="宋体"/>
          <w:bCs/>
          <w:color w:val="auto"/>
          <w:sz w:val="24"/>
          <w:highlight w:val="none"/>
          <w:lang w:val="en-US" w:eastAsia="zh-CN"/>
        </w:rPr>
        <w:t>响应</w:t>
      </w:r>
      <w:r>
        <w:rPr>
          <w:rFonts w:hint="eastAsia" w:ascii="宋体" w:hAnsi="宋体" w:eastAsia="宋体" w:cs="宋体"/>
          <w:bCs/>
          <w:color w:val="auto"/>
          <w:sz w:val="24"/>
          <w:szCs w:val="24"/>
          <w:highlight w:val="none"/>
          <w:lang w:eastAsia="zh-CN"/>
        </w:rPr>
        <w:t>文件截止时间不满1年的可提供成立至今的财务报表；</w:t>
      </w:r>
      <w:r>
        <w:rPr>
          <w:rFonts w:hint="eastAsia" w:ascii="宋体" w:hAnsi="宋体" w:cs="宋体"/>
          <w:bCs/>
          <w:color w:val="auto"/>
          <w:sz w:val="24"/>
          <w:szCs w:val="24"/>
          <w:highlight w:val="none"/>
          <w:lang w:val="en-US" w:eastAsia="zh-CN"/>
        </w:rPr>
        <w:t>成立未满两个月的公司，应作出相应说明</w:t>
      </w:r>
      <w:r>
        <w:rPr>
          <w:rFonts w:hint="eastAsia" w:ascii="宋体" w:hAnsi="宋体" w:eastAsia="宋体" w:cs="宋体"/>
          <w:bCs/>
          <w:color w:val="auto"/>
          <w:sz w:val="24"/>
          <w:szCs w:val="24"/>
          <w:highlight w:val="none"/>
          <w:lang w:eastAsia="zh-CN"/>
        </w:rPr>
        <w:t xml:space="preserve">。 </w:t>
      </w:r>
    </w:p>
    <w:p w14:paraId="0455F1D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②</w:t>
      </w:r>
      <w:r>
        <w:rPr>
          <w:rFonts w:hint="eastAsia" w:ascii="宋体" w:hAnsi="宋体" w:cs="宋体"/>
          <w:b w:val="0"/>
          <w:bCs w:val="0"/>
          <w:color w:val="auto"/>
          <w:sz w:val="24"/>
          <w:highlight w:val="none"/>
          <w:lang w:val="en-US" w:eastAsia="zh-CN"/>
        </w:rPr>
        <w:t>供应商</w:t>
      </w:r>
      <w:r>
        <w:rPr>
          <w:rFonts w:hint="eastAsia" w:ascii="宋体" w:hAnsi="宋体" w:eastAsia="宋体" w:cs="宋体"/>
          <w:bCs/>
          <w:color w:val="auto"/>
          <w:sz w:val="24"/>
          <w:szCs w:val="24"/>
          <w:highlight w:val="none"/>
          <w:lang w:eastAsia="zh-CN"/>
        </w:rPr>
        <w:t>须提供在提交</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文件截止时间前三个月内银行开具的资信证明（银行出具的资信证明无需针对本项目或本项目</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成立未满两个月的公司，应作出相应说明</w:t>
      </w:r>
      <w:r>
        <w:rPr>
          <w:rFonts w:hint="eastAsia" w:ascii="宋体" w:hAnsi="宋体" w:eastAsia="宋体" w:cs="宋体"/>
          <w:bCs/>
          <w:color w:val="auto"/>
          <w:sz w:val="24"/>
          <w:szCs w:val="24"/>
          <w:highlight w:val="none"/>
          <w:lang w:eastAsia="zh-CN"/>
        </w:rPr>
        <w:t>。</w:t>
      </w:r>
    </w:p>
    <w:p w14:paraId="0429B12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③</w:t>
      </w:r>
      <w:r>
        <w:rPr>
          <w:rFonts w:hint="eastAsia" w:ascii="宋体" w:hAnsi="宋体" w:cs="宋体"/>
          <w:b w:val="0"/>
          <w:bCs w:val="0"/>
          <w:color w:val="auto"/>
          <w:sz w:val="24"/>
          <w:highlight w:val="none"/>
          <w:lang w:val="en-US" w:eastAsia="zh-CN"/>
        </w:rPr>
        <w:t>供应商</w:t>
      </w:r>
      <w:r>
        <w:rPr>
          <w:rFonts w:hint="eastAsia" w:ascii="宋体" w:hAnsi="宋体" w:eastAsia="宋体" w:cs="宋体"/>
          <w:bCs/>
          <w:color w:val="auto"/>
          <w:sz w:val="24"/>
          <w:szCs w:val="24"/>
          <w:highlight w:val="none"/>
          <w:lang w:eastAsia="zh-CN"/>
        </w:rPr>
        <w:t>须提供财政部门认可的政府采购专业担保机构对</w:t>
      </w:r>
      <w:r>
        <w:rPr>
          <w:rFonts w:hint="eastAsia" w:ascii="宋体" w:hAnsi="宋体" w:cs="宋体"/>
          <w:b w:val="0"/>
          <w:bCs w:val="0"/>
          <w:color w:val="auto"/>
          <w:sz w:val="24"/>
          <w:highlight w:val="none"/>
          <w:lang w:val="en-US" w:eastAsia="zh-CN"/>
        </w:rPr>
        <w:t>供应商</w:t>
      </w:r>
      <w:r>
        <w:rPr>
          <w:rFonts w:hint="eastAsia" w:ascii="宋体" w:hAnsi="宋体" w:eastAsia="宋体" w:cs="宋体"/>
          <w:bCs/>
          <w:color w:val="auto"/>
          <w:sz w:val="24"/>
          <w:szCs w:val="24"/>
          <w:highlight w:val="none"/>
          <w:lang w:eastAsia="zh-CN"/>
        </w:rPr>
        <w:t>进行资信审查后出具的</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eastAsia="zh-CN"/>
        </w:rPr>
        <w:t>担保函；</w:t>
      </w:r>
      <w:r>
        <w:rPr>
          <w:rFonts w:hint="eastAsia" w:ascii="宋体" w:hAnsi="宋体" w:cs="宋体"/>
          <w:bCs/>
          <w:color w:val="auto"/>
          <w:sz w:val="24"/>
          <w:szCs w:val="24"/>
          <w:highlight w:val="none"/>
          <w:lang w:val="en-US" w:eastAsia="zh-CN"/>
        </w:rPr>
        <w:t>成立未满两个月的公司，应作出相应说明</w:t>
      </w:r>
      <w:r>
        <w:rPr>
          <w:rFonts w:hint="eastAsia" w:ascii="宋体" w:hAnsi="宋体" w:eastAsia="宋体" w:cs="宋体"/>
          <w:bCs/>
          <w:color w:val="auto"/>
          <w:sz w:val="24"/>
          <w:szCs w:val="24"/>
          <w:highlight w:val="none"/>
          <w:lang w:eastAsia="zh-CN"/>
        </w:rPr>
        <w:t>。</w:t>
      </w:r>
    </w:p>
    <w:p w14:paraId="761B305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color w:val="auto"/>
          <w:highlight w:val="none"/>
          <w:lang w:eastAsia="zh-CN"/>
        </w:rPr>
      </w:pPr>
      <w:r>
        <w:rPr>
          <w:rFonts w:hint="eastAsia" w:ascii="宋体" w:hAnsi="宋体" w:eastAsia="宋体" w:cs="宋体"/>
          <w:b/>
          <w:bCs w:val="0"/>
          <w:color w:val="auto"/>
          <w:sz w:val="24"/>
          <w:szCs w:val="24"/>
          <w:highlight w:val="none"/>
          <w:lang w:eastAsia="zh-CN"/>
        </w:rPr>
        <w:t>备注：以上①-③项证明材料具有同等效力，供应商可根据自身情况提供上述任意一种证明材料。</w:t>
      </w:r>
    </w:p>
    <w:p w14:paraId="4626DAF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rPr>
        <w:t xml:space="preserve"> 具有履行合同所必需的设备和专业技术能力的</w:t>
      </w:r>
      <w:r>
        <w:rPr>
          <w:rFonts w:hint="eastAsia" w:ascii="宋体" w:hAnsi="宋体" w:cs="宋体"/>
          <w:b w:val="0"/>
          <w:bCs w:val="0"/>
          <w:color w:val="auto"/>
          <w:sz w:val="24"/>
          <w:highlight w:val="none"/>
          <w:lang w:val="en-US" w:eastAsia="zh-CN"/>
        </w:rPr>
        <w:t>证明材料或</w:t>
      </w:r>
      <w:r>
        <w:rPr>
          <w:rFonts w:hint="eastAsia" w:ascii="宋体" w:hAnsi="宋体" w:eastAsia="宋体" w:cs="宋体"/>
          <w:b w:val="0"/>
          <w:bCs w:val="0"/>
          <w:color w:val="auto"/>
          <w:sz w:val="24"/>
          <w:highlight w:val="none"/>
        </w:rPr>
        <w:t>声明函。</w:t>
      </w:r>
    </w:p>
    <w:p w14:paraId="59FC35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5</w:t>
      </w:r>
      <w:r>
        <w:rPr>
          <w:rFonts w:hint="eastAsia" w:ascii="宋体" w:hAnsi="宋体" w:eastAsia="宋体" w:cs="宋体"/>
          <w:b w:val="0"/>
          <w:bCs w:val="0"/>
          <w:color w:val="auto"/>
          <w:sz w:val="24"/>
          <w:highlight w:val="none"/>
        </w:rPr>
        <w:t xml:space="preserve"> </w:t>
      </w:r>
      <w:r>
        <w:rPr>
          <w:rFonts w:hint="eastAsia" w:ascii="宋体" w:hAnsi="宋体" w:eastAsia="宋体" w:cs="宋体"/>
          <w:b w:val="0"/>
          <w:bCs w:val="0"/>
          <w:color w:val="auto"/>
          <w:sz w:val="24"/>
          <w:highlight w:val="none"/>
          <w:lang w:val="en-US" w:eastAsia="zh-CN"/>
        </w:rPr>
        <w:t>具</w:t>
      </w:r>
      <w:r>
        <w:rPr>
          <w:rFonts w:hint="eastAsia" w:ascii="宋体" w:hAnsi="宋体" w:eastAsia="宋体" w:cs="宋体"/>
          <w:b w:val="0"/>
          <w:bCs w:val="0"/>
          <w:color w:val="auto"/>
          <w:sz w:val="24"/>
          <w:highlight w:val="none"/>
        </w:rPr>
        <w:t>有依法缴纳税收和社会保障资金的良好记录</w:t>
      </w:r>
    </w:p>
    <w:p w14:paraId="567D48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lang w:val="en-US" w:eastAsia="zh-CN"/>
        </w:rPr>
        <w:t>提供</w:t>
      </w:r>
      <w:r>
        <w:rPr>
          <w:rFonts w:hint="eastAsia" w:ascii="宋体" w:hAnsi="宋体" w:eastAsia="宋体" w:cs="宋体"/>
          <w:bCs/>
          <w:color w:val="auto"/>
          <w:sz w:val="24"/>
          <w:highlight w:val="none"/>
        </w:rPr>
        <w:t>①参加政府采购活动前段时间（</w:t>
      </w:r>
      <w:r>
        <w:rPr>
          <w:rFonts w:hint="eastAsia" w:ascii="宋体" w:hAnsi="宋体" w:eastAsia="宋体" w:cs="宋体"/>
          <w:bCs/>
          <w:color w:val="auto"/>
          <w:sz w:val="24"/>
          <w:highlight w:val="none"/>
          <w:lang w:val="en-US" w:eastAsia="zh-CN"/>
        </w:rPr>
        <w:t>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月至今</w:t>
      </w:r>
      <w:r>
        <w:rPr>
          <w:rFonts w:hint="eastAsia" w:ascii="宋体" w:hAnsi="宋体" w:eastAsia="宋体" w:cs="宋体"/>
          <w:bCs/>
          <w:color w:val="auto"/>
          <w:sz w:val="24"/>
          <w:highlight w:val="none"/>
          <w:lang w:val="en-US" w:eastAsia="zh-CN"/>
        </w:rPr>
        <w:t>任意</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auto"/>
          <w:sz w:val="24"/>
          <w:highlight w:val="none"/>
          <w:lang w:val="en-US" w:eastAsia="zh-CN"/>
        </w:rPr>
        <w:t>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cs="宋体"/>
          <w:b w:val="0"/>
          <w:bCs w:val="0"/>
          <w:color w:val="auto"/>
          <w:sz w:val="24"/>
          <w:highlight w:val="none"/>
          <w:lang w:val="en-US" w:eastAsia="zh-CN"/>
        </w:rPr>
        <w:t>供应商</w:t>
      </w:r>
      <w:r>
        <w:rPr>
          <w:rFonts w:hint="eastAsia" w:ascii="宋体" w:hAnsi="宋体" w:eastAsia="宋体" w:cs="宋体"/>
          <w:bCs/>
          <w:color w:val="auto"/>
          <w:sz w:val="24"/>
          <w:highlight w:val="none"/>
        </w:rPr>
        <w:t>，提供相应的免税文件证明资料（</w:t>
      </w:r>
      <w:r>
        <w:rPr>
          <w:rFonts w:hint="eastAsia" w:ascii="宋体" w:hAnsi="宋体" w:cs="宋体"/>
          <w:bCs/>
          <w:color w:val="auto"/>
          <w:sz w:val="24"/>
          <w:highlight w:val="none"/>
          <w:lang w:eastAsia="zh-CN"/>
        </w:rPr>
        <w:t>成立未满两个月的公司，应作出相应说明</w:t>
      </w:r>
      <w:r>
        <w:rPr>
          <w:rFonts w:hint="eastAsia" w:ascii="宋体" w:hAnsi="宋体" w:eastAsia="宋体" w:cs="宋体"/>
          <w:bCs/>
          <w:color w:val="auto"/>
          <w:sz w:val="24"/>
          <w:highlight w:val="none"/>
        </w:rPr>
        <w:t>）；②提供缴费所属时间在（20</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月至今</w:t>
      </w:r>
      <w:r>
        <w:rPr>
          <w:rFonts w:hint="eastAsia" w:ascii="宋体" w:hAnsi="宋体" w:eastAsia="宋体" w:cs="宋体"/>
          <w:bCs/>
          <w:color w:val="auto"/>
          <w:sz w:val="24"/>
          <w:highlight w:val="none"/>
          <w:lang w:val="en-US" w:eastAsia="zh-CN"/>
        </w:rPr>
        <w:t>任意</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个月）依法缴纳社会保障资金</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养老、医疗、工伤、失业</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凭据（社会保险缴纳清单或社会保障专用收据或社保管理部门出具的有效的缴款证明等）。依法不需要缴纳的，提供不需要缴纳社会保障资金文件证明资料（</w:t>
      </w:r>
      <w:r>
        <w:rPr>
          <w:rFonts w:hint="eastAsia" w:ascii="宋体" w:hAnsi="宋体" w:cs="宋体"/>
          <w:bCs/>
          <w:color w:val="auto"/>
          <w:sz w:val="24"/>
          <w:highlight w:val="none"/>
          <w:lang w:eastAsia="zh-CN"/>
        </w:rPr>
        <w:t>成立未满两个月的公司，应作出相应说明</w:t>
      </w:r>
      <w:r>
        <w:rPr>
          <w:rFonts w:hint="eastAsia" w:ascii="宋体" w:hAnsi="宋体" w:eastAsia="宋体" w:cs="宋体"/>
          <w:bCs/>
          <w:color w:val="auto"/>
          <w:sz w:val="24"/>
          <w:highlight w:val="none"/>
        </w:rPr>
        <w:t>）</w:t>
      </w:r>
      <w:r>
        <w:rPr>
          <w:rFonts w:hint="eastAsia" w:ascii="宋体" w:hAnsi="宋体" w:eastAsia="宋体" w:cs="宋体"/>
          <w:b w:val="0"/>
          <w:bCs w:val="0"/>
          <w:color w:val="auto"/>
          <w:sz w:val="24"/>
          <w:highlight w:val="none"/>
          <w:lang w:eastAsia="zh-CN"/>
        </w:rPr>
        <w:t>。</w:t>
      </w:r>
    </w:p>
    <w:p w14:paraId="24A4D94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 xml:space="preserve"> 参加政府采购活动前三年内，在经营活动中没有重大违法记录</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供应商提供书面声明</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p w14:paraId="165CE1A0">
      <w:pPr>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7</w:t>
      </w:r>
      <w:r>
        <w:rPr>
          <w:rFonts w:hint="eastAsia" w:ascii="宋体" w:hAnsi="宋体" w:eastAsia="宋体" w:cs="宋体"/>
          <w:b w:val="0"/>
          <w:bCs w:val="0"/>
          <w:color w:val="auto"/>
          <w:sz w:val="24"/>
          <w:highlight w:val="none"/>
        </w:rPr>
        <w:t xml:space="preserve"> 法律、行政法规规定的其他条件</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供应商提供声明函</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p w14:paraId="4FD9C07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cs="宋体"/>
          <w:color w:val="auto"/>
          <w:sz w:val="24"/>
          <w:highlight w:val="none"/>
          <w:lang w:val="en-US" w:eastAsia="zh-CN"/>
        </w:rPr>
      </w:pPr>
      <w:r>
        <w:rPr>
          <w:rFonts w:hint="eastAsia" w:ascii="宋体" w:hAnsi="宋体" w:eastAsia="宋体" w:cs="宋体"/>
          <w:b/>
          <w:bCs/>
          <w:color w:val="auto"/>
          <w:sz w:val="24"/>
          <w:highlight w:val="none"/>
          <w:lang w:val="en-US" w:eastAsia="zh-CN"/>
        </w:rPr>
        <w:t>2.</w:t>
      </w: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val="en-US" w:eastAsia="zh-CN"/>
        </w:rPr>
        <w:t>落实政府采购政策需满足的资格要求：</w:t>
      </w:r>
      <w:r>
        <w:rPr>
          <w:rFonts w:hint="eastAsia" w:ascii="宋体" w:hAnsi="宋体" w:cs="宋体"/>
          <w:color w:val="auto"/>
          <w:sz w:val="24"/>
          <w:highlight w:val="none"/>
          <w:lang w:val="en-US" w:eastAsia="zh-CN"/>
        </w:rPr>
        <w:t>本项目专门面向中小企业采购</w:t>
      </w:r>
    </w:p>
    <w:p w14:paraId="7A57036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供应商必须为中型企业、小型企业、微型企业；监狱企业、残疾人福利性单位视同小型企业、微型企业。供应商提供监狱企业、残疾人福利性单位相关证明材料和中小企业声明函内容不实的，属于提供虚假材料谋取中标，将依照《中华人民共和国政府采购法》等国家有关规定追究相应责任</w:t>
      </w:r>
      <w:r>
        <w:rPr>
          <w:rFonts w:hint="eastAsia" w:ascii="宋体" w:hAnsi="宋体" w:eastAsia="宋体" w:cs="宋体"/>
          <w:color w:val="auto"/>
          <w:sz w:val="24"/>
          <w:highlight w:val="none"/>
          <w:lang w:val="en-US" w:eastAsia="zh-CN"/>
        </w:rPr>
        <w:t>。本项目所属行业为：</w:t>
      </w:r>
      <w:r>
        <w:rPr>
          <w:rFonts w:hint="eastAsia" w:ascii="宋体" w:hAnsi="宋体" w:eastAsia="宋体" w:cs="宋体"/>
          <w:b/>
          <w:bCs/>
          <w:color w:val="auto"/>
          <w:sz w:val="24"/>
          <w:highlight w:val="none"/>
          <w:lang w:val="en-US" w:eastAsia="zh-CN"/>
        </w:rPr>
        <w:t>建筑业。</w:t>
      </w:r>
      <w:r>
        <w:rPr>
          <w:rFonts w:hint="eastAsia" w:ascii="宋体" w:hAnsi="宋体" w:eastAsia="宋体" w:cs="宋体"/>
          <w:color w:val="auto"/>
          <w:sz w:val="24"/>
          <w:highlight w:val="none"/>
          <w:lang w:val="en-US" w:eastAsia="zh-CN"/>
        </w:rPr>
        <w:t xml:space="preserve">  </w:t>
      </w:r>
    </w:p>
    <w:p w14:paraId="0788A0B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2.3</w:t>
      </w:r>
      <w:r>
        <w:rPr>
          <w:rFonts w:hint="eastAsia" w:ascii="宋体" w:hAnsi="宋体" w:eastAsia="宋体" w:cs="宋体"/>
          <w:b/>
          <w:bCs/>
          <w:color w:val="auto"/>
          <w:sz w:val="24"/>
          <w:highlight w:val="none"/>
        </w:rPr>
        <w:t>本项目的特定资格要求：</w:t>
      </w:r>
    </w:p>
    <w:p w14:paraId="12B23D79">
      <w:pPr>
        <w:keepNext w:val="0"/>
        <w:keepLines w:val="0"/>
        <w:pageBreakBefore w:val="0"/>
        <w:widowControl w:val="0"/>
        <w:kinsoku/>
        <w:wordWrap/>
        <w:overflowPunct/>
        <w:topLinePunct w:val="0"/>
        <w:autoSpaceDE/>
        <w:autoSpaceDN/>
        <w:bidi w:val="0"/>
        <w:adjustRightInd/>
        <w:snapToGrid/>
        <w:spacing w:line="52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3.1企业资质：</w:t>
      </w:r>
      <w:r>
        <w:rPr>
          <w:rFonts w:hint="eastAsia" w:ascii="宋体" w:hAnsi="宋体" w:eastAsia="宋体" w:cs="宋体"/>
          <w:color w:val="auto"/>
          <w:sz w:val="24"/>
          <w:szCs w:val="24"/>
          <w:highlight w:val="none"/>
          <w:lang w:val="en-US" w:eastAsia="zh-CN"/>
        </w:rPr>
        <w:t>供应商须具备</w:t>
      </w:r>
      <w:r>
        <w:rPr>
          <w:rFonts w:hint="eastAsia" w:ascii="宋体" w:hAnsi="宋体" w:cs="宋体"/>
          <w:color w:val="auto"/>
          <w:sz w:val="24"/>
          <w:szCs w:val="24"/>
          <w:highlight w:val="none"/>
          <w:lang w:val="en-US" w:eastAsia="zh-CN"/>
        </w:rPr>
        <w:t>建筑工程施工总承包叁级或叁级以上资质</w:t>
      </w:r>
      <w:r>
        <w:rPr>
          <w:rFonts w:hint="eastAsia" w:ascii="宋体" w:hAnsi="宋体" w:eastAsia="宋体" w:cs="宋体"/>
          <w:color w:val="auto"/>
          <w:sz w:val="24"/>
          <w:szCs w:val="24"/>
          <w:highlight w:val="none"/>
          <w:lang w:val="en-US" w:eastAsia="zh-CN"/>
        </w:rPr>
        <w:t>，并具有有效的安全生产许可证，并在人员、设备等方面具备施工能力。</w:t>
      </w:r>
    </w:p>
    <w:p w14:paraId="3FDAD02C">
      <w:pPr>
        <w:keepNext w:val="0"/>
        <w:keepLines w:val="0"/>
        <w:pageBreakBefore w:val="0"/>
        <w:widowControl w:val="0"/>
        <w:kinsoku/>
        <w:wordWrap/>
        <w:overflowPunct/>
        <w:topLinePunct w:val="0"/>
        <w:autoSpaceDE/>
        <w:autoSpaceDN/>
        <w:bidi w:val="0"/>
        <w:adjustRightInd/>
        <w:snapToGrid/>
        <w:spacing w:line="52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3.2项目负责人要求：供</w:t>
      </w:r>
      <w:r>
        <w:rPr>
          <w:rFonts w:hint="eastAsia" w:ascii="宋体" w:hAnsi="宋体" w:eastAsia="宋体" w:cs="宋体"/>
          <w:color w:val="auto"/>
          <w:sz w:val="24"/>
          <w:szCs w:val="24"/>
          <w:highlight w:val="none"/>
          <w:lang w:val="en-US" w:eastAsia="zh-CN"/>
        </w:rPr>
        <w:t>应商拟派的项目负责人须具备有效的</w:t>
      </w:r>
      <w:r>
        <w:rPr>
          <w:rFonts w:hint="eastAsia" w:ascii="宋体" w:hAnsi="宋体" w:cs="宋体"/>
          <w:color w:val="auto"/>
          <w:sz w:val="24"/>
          <w:szCs w:val="24"/>
          <w:highlight w:val="none"/>
          <w:lang w:val="en-US" w:eastAsia="zh-CN"/>
        </w:rPr>
        <w:t>建筑工程专业二级或二级以上</w:t>
      </w:r>
      <w:r>
        <w:rPr>
          <w:rFonts w:hint="eastAsia" w:ascii="宋体" w:hAnsi="宋体" w:eastAsia="宋体" w:cs="宋体"/>
          <w:color w:val="auto"/>
          <w:sz w:val="24"/>
          <w:szCs w:val="24"/>
          <w:highlight w:val="none"/>
          <w:lang w:val="en-US" w:eastAsia="zh-CN"/>
        </w:rPr>
        <w:t>注册建造师执业资格证书和有效的安全生产考核合格证书，且不能担任其他在建工程的项目负责人，拟任项目负责人一经委派，不得擅自更换。</w:t>
      </w:r>
    </w:p>
    <w:p w14:paraId="42AB5248">
      <w:pPr>
        <w:keepNext w:val="0"/>
        <w:keepLines w:val="0"/>
        <w:pageBreakBefore w:val="0"/>
        <w:widowControl w:val="0"/>
        <w:kinsoku/>
        <w:wordWrap/>
        <w:overflowPunct/>
        <w:topLinePunct w:val="0"/>
        <w:autoSpaceDE/>
        <w:autoSpaceDN/>
        <w:bidi w:val="0"/>
        <w:adjustRightInd/>
        <w:snapToGrid/>
        <w:spacing w:line="520" w:lineRule="exact"/>
        <w:ind w:firstLine="484" w:firstLineChars="202"/>
        <w:textAlignment w:val="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根据《中华人民共和国政府采购法实施条例》第十八条规定：（1）单位负责人为同一人或者存在直接控股、管理关系的不同供应商，不得参加同一合同项下的政府采购活动。（2）除单一来源采购项目外，为采购项目提供整体设计、规范编制或者项目管理、监理、检测等服务的供应商，不得再参加该采购项目的其他采购活动。</w:t>
      </w:r>
    </w:p>
    <w:p w14:paraId="518B12C1">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color w:val="auto"/>
          <w:sz w:val="24"/>
          <w:highlight w:val="none"/>
        </w:rPr>
      </w:pPr>
      <w:bookmarkStart w:id="52" w:name="_Toc11123"/>
      <w:bookmarkStart w:id="53" w:name="_Toc25467"/>
      <w:bookmarkStart w:id="54" w:name="_Toc25968"/>
      <w:bookmarkStart w:id="55" w:name="_Toc21044"/>
      <w:bookmarkStart w:id="56" w:name="_Toc27638"/>
      <w:bookmarkStart w:id="57" w:name="_Toc2927"/>
      <w:r>
        <w:rPr>
          <w:rFonts w:hint="eastAsia" w:ascii="宋体" w:hAnsi="宋体" w:eastAsia="宋体" w:cs="宋体"/>
          <w:b/>
          <w:bCs/>
          <w:color w:val="auto"/>
          <w:sz w:val="24"/>
          <w:highlight w:val="none"/>
        </w:rPr>
        <w:t>三、获取</w:t>
      </w:r>
      <w:r>
        <w:rPr>
          <w:rFonts w:hint="eastAsia" w:ascii="宋体" w:hAnsi="宋体" w:eastAsia="宋体" w:cs="宋体"/>
          <w:b/>
          <w:bCs/>
          <w:color w:val="auto"/>
          <w:sz w:val="24"/>
          <w:highlight w:val="none"/>
          <w:lang w:eastAsia="zh-CN"/>
        </w:rPr>
        <w:t>竞争性磋商</w:t>
      </w:r>
      <w:r>
        <w:rPr>
          <w:rFonts w:hint="eastAsia" w:ascii="宋体" w:hAnsi="宋体" w:eastAsia="宋体" w:cs="宋体"/>
          <w:b/>
          <w:bCs/>
          <w:color w:val="auto"/>
          <w:sz w:val="24"/>
          <w:highlight w:val="none"/>
        </w:rPr>
        <w:t>文件</w:t>
      </w:r>
      <w:bookmarkEnd w:id="52"/>
      <w:bookmarkEnd w:id="53"/>
      <w:bookmarkEnd w:id="54"/>
      <w:bookmarkEnd w:id="55"/>
      <w:bookmarkEnd w:id="56"/>
      <w:bookmarkEnd w:id="57"/>
    </w:p>
    <w:p w14:paraId="20B97AA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i w:val="0"/>
          <w:iCs w:val="0"/>
          <w:caps w:val="0"/>
          <w:color w:val="auto"/>
          <w:spacing w:val="0"/>
          <w:sz w:val="24"/>
          <w:szCs w:val="24"/>
          <w:highlight w:val="none"/>
          <w:shd w:val="clear" w:color="auto" w:fill="FFFFFF"/>
        </w:rPr>
      </w:pPr>
      <w:bookmarkStart w:id="58" w:name="_Toc28359015"/>
      <w:bookmarkStart w:id="59" w:name="_Toc35393801"/>
      <w:bookmarkStart w:id="60" w:name="_Toc35393632"/>
      <w:bookmarkStart w:id="61" w:name="_Toc28359092"/>
      <w:r>
        <w:rPr>
          <w:rFonts w:hint="eastAsia" w:ascii="宋体" w:hAnsi="宋体" w:cs="宋体"/>
          <w:b/>
          <w:bCs/>
          <w:color w:val="auto"/>
          <w:sz w:val="24"/>
          <w:highlight w:val="none"/>
          <w:lang w:val="en-US" w:eastAsia="zh-CN"/>
        </w:rPr>
        <w:t>3.1</w:t>
      </w:r>
      <w:r>
        <w:rPr>
          <w:rFonts w:hint="eastAsia" w:ascii="宋体" w:hAnsi="宋体" w:eastAsia="宋体" w:cs="宋体"/>
          <w:b/>
          <w:bCs/>
          <w:color w:val="auto"/>
          <w:sz w:val="24"/>
          <w:highlight w:val="none"/>
        </w:rPr>
        <w:t>时间：</w:t>
      </w:r>
      <w:r>
        <w:rPr>
          <w:rFonts w:hint="eastAsia" w:ascii="宋体" w:hAnsi="宋体" w:cs="宋体"/>
          <w:color w:val="auto"/>
          <w:sz w:val="24"/>
          <w:highlight w:val="none"/>
          <w:lang w:val="en-US" w:eastAsia="zh-CN"/>
        </w:rPr>
        <w:t>2026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分至</w:t>
      </w:r>
      <w:r>
        <w:rPr>
          <w:rFonts w:hint="eastAsia" w:ascii="宋体" w:hAnsi="宋体" w:cs="宋体"/>
          <w:i w:val="0"/>
          <w:iCs w:val="0"/>
          <w:caps w:val="0"/>
          <w:color w:val="auto"/>
          <w:spacing w:val="0"/>
          <w:sz w:val="24"/>
          <w:szCs w:val="24"/>
          <w:highlight w:val="none"/>
          <w:shd w:val="clear" w:color="auto" w:fill="FFFFFF"/>
          <w:lang w:eastAsia="zh-CN"/>
        </w:rPr>
        <w:t>2026年08月0</w:t>
      </w:r>
      <w:r>
        <w:rPr>
          <w:rFonts w:hint="eastAsia" w:ascii="宋体" w:hAnsi="宋体" w:cs="宋体"/>
          <w:i w:val="0"/>
          <w:iCs w:val="0"/>
          <w:caps w:val="0"/>
          <w:color w:val="auto"/>
          <w:spacing w:val="0"/>
          <w:sz w:val="24"/>
          <w:szCs w:val="24"/>
          <w:highlight w:val="none"/>
          <w:shd w:val="clear" w:color="auto" w:fill="FFFFFF"/>
          <w:lang w:val="en-US" w:eastAsia="zh-CN"/>
        </w:rPr>
        <w:t>3</w:t>
      </w:r>
      <w:r>
        <w:rPr>
          <w:rFonts w:hint="eastAsia" w:ascii="宋体" w:hAnsi="宋体" w:cs="宋体"/>
          <w:i w:val="0"/>
          <w:iCs w:val="0"/>
          <w:caps w:val="0"/>
          <w:color w:val="auto"/>
          <w:spacing w:val="0"/>
          <w:sz w:val="24"/>
          <w:szCs w:val="24"/>
          <w:highlight w:val="none"/>
          <w:shd w:val="clear" w:color="auto" w:fill="FFFFFF"/>
          <w:lang w:eastAsia="zh-CN"/>
        </w:rPr>
        <w:t>日</w:t>
      </w:r>
      <w:r>
        <w:rPr>
          <w:rFonts w:hint="eastAsia" w:ascii="宋体" w:hAnsi="宋体" w:cs="宋体"/>
          <w:i w:val="0"/>
          <w:iCs w:val="0"/>
          <w:caps w:val="0"/>
          <w:color w:val="auto"/>
          <w:spacing w:val="0"/>
          <w:sz w:val="24"/>
          <w:szCs w:val="24"/>
          <w:highlight w:val="none"/>
          <w:shd w:val="clear" w:color="auto" w:fill="FFFFFF"/>
          <w:lang w:val="en-US" w:eastAsia="zh-CN"/>
        </w:rPr>
        <w:t>23</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cs="宋体"/>
          <w:i w:val="0"/>
          <w:iCs w:val="0"/>
          <w:caps w:val="0"/>
          <w:color w:val="auto"/>
          <w:spacing w:val="0"/>
          <w:sz w:val="24"/>
          <w:szCs w:val="24"/>
          <w:highlight w:val="none"/>
          <w:shd w:val="clear" w:color="auto" w:fill="FFFFFF"/>
          <w:lang w:val="en-US" w:eastAsia="zh-CN"/>
        </w:rPr>
        <w:t>59</w:t>
      </w:r>
      <w:r>
        <w:rPr>
          <w:rFonts w:hint="eastAsia" w:ascii="宋体" w:hAnsi="宋体" w:eastAsia="宋体" w:cs="宋体"/>
          <w:i w:val="0"/>
          <w:iCs w:val="0"/>
          <w:caps w:val="0"/>
          <w:color w:val="auto"/>
          <w:spacing w:val="0"/>
          <w:sz w:val="24"/>
          <w:szCs w:val="24"/>
          <w:highlight w:val="none"/>
          <w:shd w:val="clear" w:color="auto" w:fill="FFFFFF"/>
        </w:rPr>
        <w:t>分</w:t>
      </w:r>
      <w:r>
        <w:rPr>
          <w:rFonts w:hint="eastAsia" w:ascii="宋体" w:hAnsi="宋体" w:eastAsia="宋体" w:cs="宋体"/>
          <w:i w:val="0"/>
          <w:iCs w:val="0"/>
          <w:caps w:val="0"/>
          <w:color w:val="auto"/>
          <w:spacing w:val="0"/>
          <w:sz w:val="24"/>
          <w:szCs w:val="24"/>
          <w:highlight w:val="none"/>
          <w:shd w:val="clear" w:color="auto" w:fill="FFFFFF"/>
          <w:lang w:eastAsia="zh-CN"/>
        </w:rPr>
        <w:t>，每天上午00:00至12:00，下午12:00至</w:t>
      </w:r>
      <w:r>
        <w:rPr>
          <w:rFonts w:hint="eastAsia" w:ascii="宋体" w:hAnsi="宋体" w:cs="宋体"/>
          <w:i w:val="0"/>
          <w:iCs w:val="0"/>
          <w:caps w:val="0"/>
          <w:color w:val="auto"/>
          <w:spacing w:val="0"/>
          <w:sz w:val="24"/>
          <w:szCs w:val="24"/>
          <w:highlight w:val="none"/>
          <w:shd w:val="clear" w:color="auto" w:fill="FFFFFF"/>
          <w:lang w:val="en-US" w:eastAsia="zh-CN"/>
        </w:rPr>
        <w:t>23</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59</w:t>
      </w:r>
      <w:r>
        <w:rPr>
          <w:rFonts w:hint="eastAsia" w:ascii="宋体" w:hAnsi="宋体" w:eastAsia="宋体" w:cs="宋体"/>
          <w:i w:val="0"/>
          <w:iCs w:val="0"/>
          <w:caps w:val="0"/>
          <w:color w:val="auto"/>
          <w:spacing w:val="0"/>
          <w:sz w:val="24"/>
          <w:szCs w:val="24"/>
          <w:highlight w:val="none"/>
          <w:shd w:val="clear" w:color="auto" w:fill="FFFFFF"/>
          <w:lang w:eastAsia="zh-CN"/>
        </w:rPr>
        <w:t>（北京时间，法定节假日除外）</w:t>
      </w:r>
      <w:r>
        <w:rPr>
          <w:rFonts w:hint="eastAsia" w:ascii="宋体" w:hAnsi="宋体" w:eastAsia="宋体" w:cs="宋体"/>
          <w:i w:val="0"/>
          <w:iCs w:val="0"/>
          <w:caps w:val="0"/>
          <w:color w:val="auto"/>
          <w:spacing w:val="0"/>
          <w:sz w:val="24"/>
          <w:szCs w:val="24"/>
          <w:highlight w:val="none"/>
          <w:shd w:val="clear" w:color="auto" w:fill="FFFFFF"/>
        </w:rPr>
        <w:t>。</w:t>
      </w:r>
    </w:p>
    <w:p w14:paraId="788287A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val="0"/>
          <w:bCs/>
          <w:i w:val="0"/>
          <w:iCs w:val="0"/>
          <w:caps w:val="0"/>
          <w:color w:val="auto"/>
          <w:spacing w:val="0"/>
          <w:w w:val="98"/>
          <w:sz w:val="24"/>
          <w:szCs w:val="24"/>
          <w:highlight w:val="none"/>
          <w:shd w:val="clear" w:color="auto" w:fill="FFFFFF"/>
          <w:lang w:val="en-US" w:eastAsia="zh-CN"/>
        </w:rPr>
      </w:pPr>
      <w:r>
        <w:rPr>
          <w:rStyle w:val="32"/>
          <w:rFonts w:hint="eastAsia" w:ascii="宋体" w:hAnsi="宋体" w:cs="宋体"/>
          <w:i w:val="0"/>
          <w:iCs w:val="0"/>
          <w:caps w:val="0"/>
          <w:color w:val="auto"/>
          <w:spacing w:val="0"/>
          <w:sz w:val="24"/>
          <w:szCs w:val="24"/>
          <w:highlight w:val="none"/>
          <w:shd w:val="clear" w:color="auto" w:fill="FFFFFF"/>
          <w:lang w:val="en-US" w:eastAsia="zh-CN"/>
        </w:rPr>
        <w:t>3.2</w:t>
      </w:r>
      <w:r>
        <w:rPr>
          <w:rStyle w:val="32"/>
          <w:rFonts w:hint="eastAsia" w:ascii="宋体" w:hAnsi="宋体" w:eastAsia="宋体" w:cs="宋体"/>
          <w:i w:val="0"/>
          <w:iCs w:val="0"/>
          <w:caps w:val="0"/>
          <w:color w:val="auto"/>
          <w:spacing w:val="0"/>
          <w:sz w:val="24"/>
          <w:szCs w:val="24"/>
          <w:highlight w:val="none"/>
          <w:shd w:val="clear" w:color="auto" w:fill="FFFFFF"/>
        </w:rPr>
        <w:t>地点：</w:t>
      </w:r>
      <w:r>
        <w:rPr>
          <w:rStyle w:val="32"/>
          <w:rFonts w:hint="eastAsia" w:ascii="宋体" w:hAnsi="宋体" w:eastAsia="宋体" w:cs="宋体"/>
          <w:b w:val="0"/>
          <w:bCs/>
          <w:i w:val="0"/>
          <w:iCs w:val="0"/>
          <w:caps w:val="0"/>
          <w:color w:val="auto"/>
          <w:spacing w:val="0"/>
          <w:sz w:val="24"/>
          <w:szCs w:val="24"/>
          <w:highlight w:val="none"/>
          <w:shd w:val="clear" w:color="auto" w:fill="FFFFFF"/>
        </w:rPr>
        <w:t>政采云平台（https://www.zcygov.cn）</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上下载</w:t>
      </w:r>
      <w:r>
        <w:rPr>
          <w:rFonts w:hint="eastAsia" w:ascii="宋体" w:hAnsi="宋体" w:eastAsia="宋体" w:cs="宋体"/>
          <w:b w:val="0"/>
          <w:bCs/>
          <w:i w:val="0"/>
          <w:iCs w:val="0"/>
          <w:caps w:val="0"/>
          <w:color w:val="auto"/>
          <w:spacing w:val="0"/>
          <w:w w:val="98"/>
          <w:sz w:val="24"/>
          <w:szCs w:val="24"/>
          <w:highlight w:val="none"/>
          <w:shd w:val="clear" w:color="auto" w:fill="FFFFFF"/>
          <w:lang w:eastAsia="zh-CN"/>
        </w:rPr>
        <w:t>。</w:t>
      </w:r>
      <w:r>
        <w:rPr>
          <w:rFonts w:hint="eastAsia" w:ascii="宋体" w:hAnsi="宋体" w:eastAsia="宋体" w:cs="宋体"/>
          <w:b w:val="0"/>
          <w:bCs/>
          <w:i w:val="0"/>
          <w:iCs w:val="0"/>
          <w:caps w:val="0"/>
          <w:color w:val="auto"/>
          <w:spacing w:val="0"/>
          <w:w w:val="98"/>
          <w:sz w:val="24"/>
          <w:szCs w:val="24"/>
          <w:highlight w:val="none"/>
          <w:shd w:val="clear" w:color="auto" w:fill="FFFFFF"/>
          <w:lang w:val="en-US" w:eastAsia="zh-CN"/>
        </w:rPr>
        <w:t xml:space="preserve"> </w:t>
      </w:r>
    </w:p>
    <w:p w14:paraId="1EEE2805">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Style w:val="32"/>
          <w:rFonts w:hint="eastAsia" w:ascii="宋体" w:hAnsi="宋体" w:cs="宋体"/>
          <w:i w:val="0"/>
          <w:iCs w:val="0"/>
          <w:caps w:val="0"/>
          <w:color w:val="auto"/>
          <w:spacing w:val="0"/>
          <w:sz w:val="24"/>
          <w:szCs w:val="24"/>
          <w:highlight w:val="none"/>
          <w:shd w:val="clear" w:color="auto" w:fill="FFFFFF"/>
          <w:lang w:val="en-US" w:eastAsia="zh-CN"/>
        </w:rPr>
        <w:t>3.3</w:t>
      </w:r>
      <w:r>
        <w:rPr>
          <w:rStyle w:val="32"/>
          <w:rFonts w:hint="eastAsia" w:ascii="宋体" w:hAnsi="宋体" w:eastAsia="宋体" w:cs="宋体"/>
          <w:i w:val="0"/>
          <w:iCs w:val="0"/>
          <w:caps w:val="0"/>
          <w:color w:val="auto"/>
          <w:spacing w:val="0"/>
          <w:sz w:val="24"/>
          <w:szCs w:val="24"/>
          <w:highlight w:val="none"/>
          <w:shd w:val="clear" w:color="auto" w:fill="FFFFFF"/>
        </w:rPr>
        <w:t>方式：</w:t>
      </w:r>
      <w:r>
        <w:rPr>
          <w:rStyle w:val="32"/>
          <w:rFonts w:hint="eastAsia" w:ascii="宋体" w:hAnsi="宋体" w:eastAsia="宋体" w:cs="宋体"/>
          <w:b w:val="0"/>
          <w:bCs/>
          <w:i w:val="0"/>
          <w:iCs w:val="0"/>
          <w:caps w:val="0"/>
          <w:color w:val="auto"/>
          <w:spacing w:val="0"/>
          <w:sz w:val="24"/>
          <w:szCs w:val="24"/>
          <w:highlight w:val="none"/>
          <w:shd w:val="clear" w:color="auto" w:fill="FFFFFF"/>
        </w:rPr>
        <w:t>网上下载。本项目不发放纸质</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竞争性磋商</w:t>
      </w:r>
      <w:r>
        <w:rPr>
          <w:rStyle w:val="32"/>
          <w:rFonts w:hint="eastAsia" w:ascii="宋体" w:hAnsi="宋体" w:eastAsia="宋体" w:cs="宋体"/>
          <w:b w:val="0"/>
          <w:bCs/>
          <w:i w:val="0"/>
          <w:iCs w:val="0"/>
          <w:caps w:val="0"/>
          <w:color w:val="auto"/>
          <w:spacing w:val="0"/>
          <w:sz w:val="24"/>
          <w:szCs w:val="24"/>
          <w:highlight w:val="none"/>
          <w:shd w:val="clear" w:color="auto" w:fill="FFFFFF"/>
        </w:rPr>
        <w:t>文件，供应商可自行在“政采云”平台（http：//www.zcygov.cn）下载采购文件（操作路径：登录“政采云”平台-项目采购-获取采购文件-找到本项目-点击“申请获取采购文件”），电子响应文件制作需要基于“政采云”平台（http：//www.zcygov.cn）获取的采购文件编制</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06632782">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3.3.1</w:t>
      </w:r>
      <w:r>
        <w:rPr>
          <w:rStyle w:val="32"/>
          <w:rFonts w:hint="eastAsia" w:ascii="宋体" w:hAnsi="宋体" w:eastAsia="宋体" w:cs="宋体"/>
          <w:b w:val="0"/>
          <w:bCs/>
          <w:i w:val="0"/>
          <w:iCs w:val="0"/>
          <w:caps w:val="0"/>
          <w:color w:val="auto"/>
          <w:spacing w:val="0"/>
          <w:sz w:val="24"/>
          <w:szCs w:val="24"/>
          <w:highlight w:val="none"/>
          <w:shd w:val="clear" w:color="auto" w:fill="FFFFFF"/>
        </w:rPr>
        <w:t>凡有意参加磋商者，须在政采云平台绑定数字证书（CA）后在网上获取采购文件及其它采购资料，数字证书（CA）办理流程</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如下</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5617CEE2">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1</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供应商已在云南省公共资源交易系统（CA办理）（https://ggzy.yn.gov.cn/ynggfwpt-home-web/#/caGuide）办理数字证书（CA）的，可直接在政采云平台绑定数字证书（CA），无需重复办理</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数字证书在政采云平台绑定后，方能获取采购文件和编辑响应文件。</w:t>
      </w:r>
    </w:p>
    <w:p w14:paraId="7CD5EB58">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2</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未办理企业数字证书（CA）的，可以选择在政采云平台注册账号（商家入驻）并登录，登录后进行数字证书（CA）申领及绑定，政采云服务热线95763（0871-67276028/19988166369）；也可以选择在云南省公共资源交易系统（CA办理）（https://ggzy.yn.gov.cn/ynggfwpt-home-web/#/caGuide）办理数字证书（CA），并在政采云平台绑定数字证书（CA），云南省公共资源交易系统数字证书（CA）办理相关问题咨询电话400-6727-666。</w:t>
      </w:r>
    </w:p>
    <w:p w14:paraId="3528A3C8">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3.3.2</w:t>
      </w:r>
      <w:r>
        <w:rPr>
          <w:rStyle w:val="32"/>
          <w:rFonts w:hint="eastAsia" w:ascii="宋体" w:hAnsi="宋体" w:eastAsia="宋体" w:cs="宋体"/>
          <w:b w:val="0"/>
          <w:bCs/>
          <w:i w:val="0"/>
          <w:iCs w:val="0"/>
          <w:caps w:val="0"/>
          <w:color w:val="auto"/>
          <w:spacing w:val="0"/>
          <w:sz w:val="24"/>
          <w:szCs w:val="24"/>
          <w:highlight w:val="none"/>
          <w:shd w:val="clear" w:color="auto" w:fill="FFFFFF"/>
        </w:rPr>
        <w:t>按上述要求获取文件的供应商视为合法获取了本项目采购文件，具备本项目的磋商资格。</w:t>
      </w:r>
    </w:p>
    <w:p w14:paraId="37487EC3">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3.4</w:t>
      </w:r>
      <w:r>
        <w:rPr>
          <w:rFonts w:hint="eastAsia" w:ascii="宋体" w:hAnsi="宋体" w:eastAsia="宋体" w:cs="宋体"/>
          <w:b/>
          <w:bCs/>
          <w:color w:val="auto"/>
          <w:sz w:val="24"/>
          <w:highlight w:val="none"/>
          <w:lang w:eastAsia="zh-CN"/>
        </w:rPr>
        <w:t>售价：</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lang w:eastAsia="zh-CN"/>
        </w:rPr>
        <w:t>元。</w:t>
      </w:r>
    </w:p>
    <w:p w14:paraId="116D2501">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1"/>
        <w:rPr>
          <w:rFonts w:hint="eastAsia" w:ascii="宋体" w:hAnsi="宋体" w:eastAsia="宋体" w:cs="宋体"/>
          <w:b/>
          <w:bCs/>
          <w:color w:val="auto"/>
          <w:sz w:val="24"/>
          <w:highlight w:val="none"/>
          <w:lang w:eastAsia="zh-CN"/>
        </w:rPr>
      </w:pPr>
      <w:bookmarkStart w:id="62" w:name="_Toc22488"/>
      <w:bookmarkStart w:id="63" w:name="_Toc525890862"/>
      <w:bookmarkStart w:id="64" w:name="_Toc8827"/>
      <w:bookmarkStart w:id="65" w:name="_Toc27126"/>
      <w:bookmarkStart w:id="66" w:name="_Toc21624"/>
      <w:bookmarkStart w:id="67" w:name="_Toc20461"/>
      <w:bookmarkStart w:id="68" w:name="_Toc3247"/>
      <w:r>
        <w:rPr>
          <w:rFonts w:hint="eastAsia" w:ascii="宋体" w:hAnsi="宋体" w:eastAsia="宋体" w:cs="宋体"/>
          <w:b/>
          <w:bCs/>
          <w:color w:val="auto"/>
          <w:sz w:val="24"/>
          <w:highlight w:val="none"/>
          <w:lang w:eastAsia="zh-CN"/>
        </w:rPr>
        <w:t>四、</w:t>
      </w:r>
      <w:bookmarkEnd w:id="62"/>
      <w:bookmarkEnd w:id="63"/>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lang w:val="en-US" w:eastAsia="zh-CN"/>
        </w:rPr>
        <w:t>提交</w:t>
      </w:r>
      <w:bookmarkEnd w:id="64"/>
      <w:bookmarkEnd w:id="65"/>
      <w:bookmarkEnd w:id="66"/>
      <w:bookmarkEnd w:id="67"/>
      <w:bookmarkEnd w:id="68"/>
    </w:p>
    <w:p w14:paraId="2B6416AF">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lang w:eastAsia="zh-CN"/>
        </w:rPr>
        <w:t>截止时间：</w:t>
      </w:r>
      <w:r>
        <w:rPr>
          <w:rFonts w:hint="eastAsia" w:ascii="宋体" w:hAnsi="宋体" w:cs="宋体"/>
          <w:color w:val="auto"/>
          <w:sz w:val="24"/>
          <w:szCs w:val="24"/>
          <w:highlight w:val="none"/>
          <w:lang w:val="en-US" w:eastAsia="zh-CN"/>
        </w:rPr>
        <w:t>2026年08月06日09时00分</w:t>
      </w:r>
      <w:r>
        <w:rPr>
          <w:rFonts w:hint="eastAsia" w:ascii="宋体" w:hAnsi="宋体" w:eastAsia="宋体" w:cs="宋体"/>
          <w:color w:val="auto"/>
          <w:sz w:val="24"/>
          <w:szCs w:val="24"/>
          <w:highlight w:val="none"/>
          <w:lang w:eastAsia="zh-CN"/>
        </w:rPr>
        <w:t>（北京时间）。</w:t>
      </w:r>
    </w:p>
    <w:p w14:paraId="5E8D202C">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kern w:val="0"/>
          <w:sz w:val="24"/>
          <w:szCs w:val="24"/>
          <w:highlight w:val="none"/>
          <w:lang w:val="en-US" w:eastAsia="zh-CN" w:bidi="ar"/>
        </w:rPr>
      </w:pPr>
      <w:r>
        <w:rPr>
          <w:rFonts w:hint="eastAsia" w:ascii="宋体" w:hAnsi="宋体" w:cs="宋体"/>
          <w:b/>
          <w:bCs/>
          <w:color w:val="auto"/>
          <w:sz w:val="24"/>
          <w:szCs w:val="24"/>
          <w:highlight w:val="none"/>
          <w:lang w:val="en-US" w:eastAsia="zh-CN"/>
        </w:rPr>
        <w:t>4.2</w:t>
      </w:r>
      <w:r>
        <w:rPr>
          <w:rFonts w:hint="eastAsia" w:ascii="宋体" w:hAnsi="宋体" w:eastAsia="宋体" w:cs="宋体"/>
          <w:b/>
          <w:bCs/>
          <w:color w:val="auto"/>
          <w:sz w:val="24"/>
          <w:szCs w:val="24"/>
          <w:highlight w:val="none"/>
          <w:lang w:eastAsia="zh-CN"/>
        </w:rPr>
        <w:t>地点：</w:t>
      </w:r>
      <w:r>
        <w:rPr>
          <w:rFonts w:hint="eastAsia" w:ascii="宋体" w:hAnsi="宋体" w:eastAsia="宋体" w:cs="宋体"/>
          <w:color w:val="auto"/>
          <w:sz w:val="24"/>
          <w:szCs w:val="24"/>
          <w:highlight w:val="none"/>
          <w:lang w:val="en-US" w:eastAsia="zh-CN"/>
        </w:rPr>
        <w:t>通过“政采云”平台 （http：//www.zcygov.cn）实行在线电子响应</w:t>
      </w:r>
      <w:r>
        <w:rPr>
          <w:rFonts w:hint="eastAsia" w:ascii="宋体" w:hAnsi="宋体" w:cs="宋体"/>
          <w:color w:val="auto"/>
          <w:sz w:val="24"/>
          <w:szCs w:val="24"/>
          <w:highlight w:val="none"/>
          <w:lang w:val="en-US" w:eastAsia="zh-CN"/>
        </w:rPr>
        <w:t>提交</w:t>
      </w:r>
      <w:r>
        <w:rPr>
          <w:rFonts w:hint="eastAsia" w:ascii="宋体" w:hAnsi="宋体" w:eastAsia="宋体" w:cs="宋体"/>
          <w:color w:val="auto"/>
          <w:kern w:val="0"/>
          <w:sz w:val="24"/>
          <w:szCs w:val="24"/>
          <w:highlight w:val="none"/>
          <w:lang w:val="en-US" w:eastAsia="zh-CN" w:bidi="ar"/>
        </w:rPr>
        <w:t>。供应商应按照本项目采购文件和“政采云”平台的要求编制、加密后在投标截止时间前通过网络上传至“政采云”平台，供应商在“政采云”平 台提交电子版响应文件时，请填写参加采购活动经办人联系方式。</w:t>
      </w:r>
    </w:p>
    <w:p w14:paraId="070E714C">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rPr>
          <w:rFonts w:hint="eastAsia" w:ascii="宋体" w:hAnsi="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注：</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w:t>
      </w:r>
      <w:r>
        <w:rPr>
          <w:rFonts w:hint="eastAsia" w:ascii="宋体" w:hAnsi="宋体" w:cs="宋体"/>
          <w:color w:val="auto"/>
          <w:kern w:val="0"/>
          <w:sz w:val="24"/>
          <w:szCs w:val="24"/>
          <w:highlight w:val="none"/>
          <w:lang w:val="en-US" w:eastAsia="zh-CN" w:bidi="ar"/>
        </w:rPr>
        <w:t>。</w:t>
      </w:r>
    </w:p>
    <w:p w14:paraId="5990B1A1">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(2)若 对 项 目 采 购 电 子 交 易 系 统 操 作 有 疑 问 ， 可 登 录 “ 政 采 云 ” 平 台（https://www.zcygov.cn/），点击右侧咨询小采，获取采小蜜智能服务管家帮助，或拨打政采云服务热线 95763 获取热线服务帮助。</w:t>
      </w:r>
    </w:p>
    <w:bookmarkEnd w:id="58"/>
    <w:bookmarkEnd w:id="59"/>
    <w:bookmarkEnd w:id="60"/>
    <w:bookmarkEnd w:id="61"/>
    <w:p w14:paraId="751929BD">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1"/>
        <w:rPr>
          <w:rFonts w:hint="eastAsia" w:ascii="宋体" w:hAnsi="宋体" w:eastAsia="宋体" w:cs="宋体"/>
          <w:b/>
          <w:bCs/>
          <w:color w:val="auto"/>
          <w:sz w:val="24"/>
          <w:highlight w:val="none"/>
          <w:lang w:val="en-US" w:eastAsia="zh-CN"/>
        </w:rPr>
      </w:pPr>
      <w:bookmarkStart w:id="69" w:name="_Toc19489"/>
      <w:bookmarkStart w:id="70" w:name="_Toc7607"/>
      <w:bookmarkStart w:id="71" w:name="_Toc16723"/>
      <w:bookmarkStart w:id="72" w:name="_Toc2451"/>
      <w:bookmarkStart w:id="73" w:name="_Toc3443"/>
      <w:bookmarkStart w:id="74" w:name="_Toc24083"/>
      <w:r>
        <w:rPr>
          <w:rFonts w:hint="eastAsia" w:ascii="宋体" w:hAnsi="宋体" w:eastAsia="宋体" w:cs="宋体"/>
          <w:b/>
          <w:bCs/>
          <w:color w:val="auto"/>
          <w:sz w:val="24"/>
          <w:highlight w:val="none"/>
          <w:lang w:eastAsia="zh-CN"/>
        </w:rPr>
        <w:t>五</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开启</w:t>
      </w:r>
      <w:bookmarkEnd w:id="69"/>
      <w:bookmarkEnd w:id="70"/>
      <w:bookmarkEnd w:id="71"/>
      <w:bookmarkEnd w:id="72"/>
      <w:bookmarkEnd w:id="73"/>
    </w:p>
    <w:p w14:paraId="5065ADBE">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5.1</w:t>
      </w:r>
      <w:r>
        <w:rPr>
          <w:rFonts w:hint="eastAsia" w:ascii="宋体" w:hAnsi="宋体" w:eastAsia="宋体" w:cs="宋体"/>
          <w:b/>
          <w:bCs/>
          <w:color w:val="auto"/>
          <w:sz w:val="24"/>
          <w:highlight w:val="none"/>
          <w:lang w:eastAsia="zh-CN"/>
        </w:rPr>
        <w:t>时间：</w:t>
      </w:r>
      <w:r>
        <w:rPr>
          <w:rFonts w:hint="eastAsia" w:ascii="宋体" w:hAnsi="宋体" w:cs="宋体"/>
          <w:color w:val="auto"/>
          <w:sz w:val="24"/>
          <w:highlight w:val="none"/>
          <w:lang w:val="en-US" w:eastAsia="zh-CN"/>
        </w:rPr>
        <w:t>2026年08月06日09时00分</w:t>
      </w:r>
      <w:r>
        <w:rPr>
          <w:rFonts w:hint="eastAsia" w:ascii="宋体" w:hAnsi="宋体" w:eastAsia="宋体" w:cs="宋体"/>
          <w:color w:val="auto"/>
          <w:sz w:val="24"/>
          <w:highlight w:val="none"/>
          <w:lang w:eastAsia="zh-CN"/>
        </w:rPr>
        <w:t>（北京时间）。</w:t>
      </w:r>
    </w:p>
    <w:p w14:paraId="2685B919">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highlight w:val="none"/>
          <w:lang w:val="en-US" w:eastAsia="zh-CN"/>
        </w:rPr>
      </w:pPr>
      <w:r>
        <w:rPr>
          <w:rFonts w:hint="eastAsia" w:ascii="宋体" w:hAnsi="宋体" w:cs="宋体"/>
          <w:b/>
          <w:bCs/>
          <w:color w:val="auto"/>
          <w:sz w:val="24"/>
          <w:highlight w:val="none"/>
          <w:lang w:val="en-US" w:eastAsia="zh-CN"/>
        </w:rPr>
        <w:t>5.2</w:t>
      </w:r>
      <w:r>
        <w:rPr>
          <w:rFonts w:hint="eastAsia" w:ascii="宋体" w:hAnsi="宋体" w:eastAsia="宋体" w:cs="宋体"/>
          <w:b/>
          <w:bCs/>
          <w:color w:val="auto"/>
          <w:sz w:val="24"/>
          <w:highlight w:val="none"/>
          <w:lang w:eastAsia="zh-CN"/>
        </w:rPr>
        <w:t>地点：</w:t>
      </w:r>
      <w:r>
        <w:rPr>
          <w:rFonts w:hint="eastAsia" w:ascii="宋体" w:hAnsi="宋体" w:eastAsia="宋体" w:cs="宋体"/>
          <w:color w:val="auto"/>
          <w:sz w:val="24"/>
          <w:highlight w:val="none"/>
          <w:lang w:eastAsia="zh-CN"/>
        </w:rPr>
        <w:t>云南星骋项目管理有限公司</w:t>
      </w:r>
      <w:r>
        <w:rPr>
          <w:rFonts w:hint="eastAsia" w:ascii="宋体" w:hAnsi="宋体" w:cs="宋体"/>
          <w:color w:val="auto"/>
          <w:sz w:val="24"/>
          <w:highlight w:val="none"/>
          <w:lang w:val="en-US" w:eastAsia="zh-CN"/>
        </w:rPr>
        <w:t>开标室</w:t>
      </w:r>
      <w:r>
        <w:rPr>
          <w:rFonts w:hint="eastAsia" w:ascii="宋体" w:hAnsi="宋体" w:eastAsia="宋体" w:cs="宋体"/>
          <w:color w:val="auto"/>
          <w:sz w:val="24"/>
          <w:highlight w:val="none"/>
          <w:lang w:eastAsia="zh-CN"/>
        </w:rPr>
        <w:t xml:space="preserve"> (景洪市西双十二城国际公馆1栋306)</w:t>
      </w:r>
      <w:r>
        <w:rPr>
          <w:rFonts w:hint="eastAsia" w:ascii="宋体" w:hAnsi="宋体" w:eastAsia="宋体" w:cs="宋体"/>
          <w:color w:val="auto"/>
          <w:sz w:val="24"/>
          <w:highlight w:val="none"/>
          <w:lang w:val="en-US" w:eastAsia="zh-CN"/>
        </w:rPr>
        <w:t>。</w:t>
      </w:r>
    </w:p>
    <w:p w14:paraId="71CA1149">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1"/>
        <w:rPr>
          <w:rFonts w:hint="eastAsia" w:ascii="宋体" w:hAnsi="宋体" w:eastAsia="宋体" w:cs="宋体"/>
          <w:b/>
          <w:bCs/>
          <w:color w:val="auto"/>
          <w:sz w:val="24"/>
          <w:highlight w:val="none"/>
          <w:lang w:eastAsia="zh-CN"/>
        </w:rPr>
      </w:pPr>
      <w:bookmarkStart w:id="75" w:name="_Toc16175"/>
      <w:bookmarkStart w:id="76" w:name="_Toc30929"/>
      <w:bookmarkStart w:id="77" w:name="_Toc16813"/>
      <w:bookmarkStart w:id="78" w:name="_Toc9464"/>
      <w:bookmarkStart w:id="79" w:name="_Toc1305"/>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lang w:eastAsia="zh-CN"/>
        </w:rPr>
        <w:t>公告期限</w:t>
      </w:r>
      <w:bookmarkEnd w:id="74"/>
      <w:bookmarkEnd w:id="75"/>
      <w:bookmarkEnd w:id="76"/>
      <w:bookmarkEnd w:id="77"/>
      <w:bookmarkEnd w:id="78"/>
      <w:bookmarkEnd w:id="79"/>
    </w:p>
    <w:p w14:paraId="00DC6CC1">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自本公告发布之日起5个工作日。</w:t>
      </w:r>
    </w:p>
    <w:p w14:paraId="4DD12F59">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1"/>
        <w:rPr>
          <w:rFonts w:hint="eastAsia" w:ascii="宋体" w:hAnsi="宋体" w:eastAsia="宋体" w:cs="宋体"/>
          <w:b/>
          <w:bCs/>
          <w:color w:val="auto"/>
          <w:sz w:val="24"/>
          <w:highlight w:val="none"/>
          <w:lang w:val="en-US" w:eastAsia="zh-CN"/>
        </w:rPr>
      </w:pPr>
      <w:bookmarkStart w:id="80" w:name="_Toc21914"/>
      <w:bookmarkStart w:id="81" w:name="_Toc16495"/>
      <w:bookmarkStart w:id="82" w:name="_Toc32030"/>
      <w:bookmarkStart w:id="83" w:name="_Toc13091"/>
      <w:bookmarkStart w:id="84" w:name="_Toc5697"/>
      <w:bookmarkStart w:id="85" w:name="_Toc26992"/>
      <w:bookmarkStart w:id="86" w:name="_Toc35393805"/>
      <w:bookmarkStart w:id="87" w:name="_Toc35393636"/>
      <w:bookmarkStart w:id="88" w:name="_Toc28359095"/>
      <w:bookmarkStart w:id="89" w:name="_Toc28359018"/>
      <w:r>
        <w:rPr>
          <w:rFonts w:hint="eastAsia" w:ascii="宋体" w:hAnsi="宋体" w:eastAsia="宋体" w:cs="宋体"/>
          <w:b/>
          <w:bCs/>
          <w:color w:val="auto"/>
          <w:sz w:val="24"/>
          <w:highlight w:val="none"/>
          <w:lang w:val="en-US" w:eastAsia="zh-CN"/>
        </w:rPr>
        <w:t>七、其他补充事宜</w:t>
      </w:r>
      <w:bookmarkEnd w:id="80"/>
      <w:bookmarkEnd w:id="81"/>
      <w:bookmarkEnd w:id="82"/>
      <w:bookmarkEnd w:id="83"/>
      <w:bookmarkEnd w:id="84"/>
      <w:bookmarkEnd w:id="85"/>
    </w:p>
    <w:p w14:paraId="7173C9E3">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7.1</w:t>
      </w:r>
      <w:r>
        <w:rPr>
          <w:rFonts w:hint="eastAsia" w:ascii="宋体" w:hAnsi="宋体" w:eastAsia="宋体" w:cs="宋体"/>
          <w:b/>
          <w:bCs/>
          <w:color w:val="auto"/>
          <w:sz w:val="24"/>
          <w:highlight w:val="none"/>
          <w:lang w:val="en-US" w:eastAsia="zh-CN"/>
        </w:rPr>
        <w:t>响应文件的解密方式</w:t>
      </w:r>
    </w:p>
    <w:p w14:paraId="4C474B02">
      <w:pPr>
        <w:keepNext w:val="0"/>
        <w:keepLines w:val="0"/>
        <w:pageBreakBefore w:val="0"/>
        <w:widowControl w:val="0"/>
        <w:kinsoku/>
        <w:wordWrap/>
        <w:overflowPunct/>
        <w:topLinePunct w:val="0"/>
        <w:autoSpaceDE/>
        <w:autoSpaceDN/>
        <w:bidi w:val="0"/>
        <w:adjustRightInd/>
        <w:snapToGrid/>
        <w:spacing w:line="51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本项目开标采用“网上开标”的方式，开标网址为：“政采云”平台 （http：//www.zcygov.cn），供应商须在投标截止时间前完成所有投标文件的上传，网上确认电子签名，投标截止时间前未完成投标文件传输的，视为撤回投标文件。</w:t>
      </w:r>
    </w:p>
    <w:p w14:paraId="7D276DE3">
      <w:pPr>
        <w:keepNext w:val="0"/>
        <w:keepLines w:val="0"/>
        <w:pageBreakBefore w:val="0"/>
        <w:widowControl w:val="0"/>
        <w:kinsoku/>
        <w:wordWrap/>
        <w:overflowPunct/>
        <w:topLinePunct w:val="0"/>
        <w:autoSpaceDE/>
        <w:autoSpaceDN/>
        <w:bidi w:val="0"/>
        <w:adjustRightInd/>
        <w:snapToGrid/>
        <w:spacing w:line="510" w:lineRule="exact"/>
        <w:ind w:firstLine="484" w:firstLineChars="20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注：供应商开标的操作流程详见“政采云”平台 （http：//www.zcygov.cn）供应商操作指南，供应商无须到现场开标，请供应商仔细阅读以保证开标顺利进行，供应商须在投标文件递交截止时间前“政采云”平台 （http：//www.zcygov.cn）。根据网上远程解密、开标的要求，须在规定时间内完成在线解密确认等相关操作。未在规定的时间完成以上相关操作的，则视为撤销其投标文件，不再进入评标阶段。</w:t>
      </w:r>
    </w:p>
    <w:p w14:paraId="2A7D18CD">
      <w:pPr>
        <w:keepNext w:val="0"/>
        <w:keepLines w:val="0"/>
        <w:pageBreakBefore w:val="0"/>
        <w:widowControl w:val="0"/>
        <w:kinsoku/>
        <w:wordWrap/>
        <w:overflowPunct/>
        <w:topLinePunct w:val="0"/>
        <w:autoSpaceDE/>
        <w:autoSpaceDN/>
        <w:bidi w:val="0"/>
        <w:adjustRightInd/>
        <w:snapToGrid/>
        <w:spacing w:line="510" w:lineRule="exact"/>
        <w:ind w:firstLine="482"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7.2</w:t>
      </w:r>
      <w:r>
        <w:rPr>
          <w:rFonts w:hint="eastAsia" w:ascii="宋体" w:hAnsi="宋体" w:eastAsia="宋体" w:cs="宋体"/>
          <w:b/>
          <w:bCs/>
          <w:color w:val="auto"/>
          <w:sz w:val="24"/>
          <w:highlight w:val="none"/>
          <w:lang w:val="en-US" w:eastAsia="zh-CN"/>
        </w:rPr>
        <w:t>是否需要缴纳投标保证金</w:t>
      </w:r>
      <w:r>
        <w:rPr>
          <w:rFonts w:hint="eastAsia" w:ascii="宋体" w:hAnsi="宋体" w:eastAsia="宋体" w:cs="宋体"/>
          <w:color w:val="auto"/>
          <w:sz w:val="24"/>
          <w:highlight w:val="none"/>
          <w:lang w:val="en-US" w:eastAsia="zh-CN"/>
        </w:rPr>
        <w:t>：是</w:t>
      </w:r>
    </w:p>
    <w:p w14:paraId="276F760A">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7.2.1</w:t>
      </w:r>
      <w:r>
        <w:rPr>
          <w:rFonts w:hint="eastAsia" w:ascii="宋体" w:hAnsi="宋体" w:eastAsia="宋体" w:cs="宋体"/>
          <w:color w:val="auto"/>
          <w:sz w:val="24"/>
          <w:highlight w:val="none"/>
          <w:lang w:val="en-US" w:eastAsia="zh-CN"/>
        </w:rPr>
        <w:t>保证金金额：</w:t>
      </w:r>
      <w:r>
        <w:rPr>
          <w:rFonts w:hint="eastAsia" w:ascii="宋体" w:hAnsi="宋体" w:cs="宋体"/>
          <w:color w:val="auto"/>
          <w:sz w:val="24"/>
          <w:highlight w:val="none"/>
          <w:lang w:val="en-US" w:eastAsia="zh-CN"/>
        </w:rPr>
        <w:t>5000.00</w:t>
      </w:r>
      <w:r>
        <w:rPr>
          <w:rFonts w:hint="eastAsia" w:ascii="宋体" w:hAnsi="宋体" w:eastAsia="宋体" w:cs="宋体"/>
          <w:color w:val="auto"/>
          <w:sz w:val="24"/>
          <w:highlight w:val="none"/>
          <w:lang w:val="en-US" w:eastAsia="zh-CN"/>
        </w:rPr>
        <w:t>（元）</w:t>
      </w:r>
    </w:p>
    <w:p w14:paraId="52AC2163">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7.2.2</w:t>
      </w:r>
      <w:r>
        <w:rPr>
          <w:rFonts w:hint="eastAsia" w:ascii="宋体" w:hAnsi="宋体" w:eastAsia="宋体" w:cs="宋体"/>
          <w:color w:val="auto"/>
          <w:sz w:val="24"/>
          <w:highlight w:val="none"/>
          <w:lang w:val="en-US" w:eastAsia="zh-CN"/>
        </w:rPr>
        <w:t>保证金缴纳方式：支票、汇票、本票、保函、银行转账等非现金形式提交</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lang w:val="en-US" w:eastAsia="zh-CN"/>
        </w:rPr>
        <w:t>  保证金缴纳截止时间：</w:t>
      </w:r>
      <w:r>
        <w:rPr>
          <w:rFonts w:hint="eastAsia" w:ascii="宋体" w:hAnsi="宋体" w:cs="宋体"/>
          <w:color w:val="auto"/>
          <w:sz w:val="24"/>
          <w:highlight w:val="none"/>
          <w:lang w:val="en-US" w:eastAsia="zh-CN"/>
        </w:rPr>
        <w:t>2026年08月06日09时00分</w:t>
      </w:r>
    </w:p>
    <w:p w14:paraId="20190206">
      <w:pPr>
        <w:keepNext w:val="0"/>
        <w:keepLines w:val="0"/>
        <w:pageBreakBefore w:val="0"/>
        <w:widowControl w:val="0"/>
        <w:kinsoku/>
        <w:wordWrap/>
        <w:overflowPunct/>
        <w:topLinePunct w:val="0"/>
        <w:autoSpaceDE/>
        <w:autoSpaceDN/>
        <w:bidi w:val="0"/>
        <w:adjustRightInd/>
        <w:snapToGrid/>
        <w:spacing w:line="510" w:lineRule="exact"/>
        <w:ind w:firstLine="482" w:firstLineChars="200"/>
        <w:jc w:val="both"/>
        <w:textAlignment w:val="auto"/>
        <w:outlineLvl w:val="2"/>
        <w:rPr>
          <w:rFonts w:hint="eastAsia" w:ascii="宋体" w:hAnsi="宋体" w:eastAsia="宋体" w:cs="宋体"/>
          <w:b/>
          <w:bCs w:val="0"/>
          <w:i w:val="0"/>
          <w:iCs w:val="0"/>
          <w:color w:val="auto"/>
          <w:kern w:val="2"/>
          <w:sz w:val="24"/>
          <w:szCs w:val="24"/>
          <w:highlight w:val="none"/>
          <w:lang w:val="en-US" w:eastAsia="zh-CN" w:bidi="ar-SA"/>
        </w:rPr>
      </w:pPr>
      <w:r>
        <w:rPr>
          <w:rFonts w:hint="eastAsia" w:ascii="宋体" w:hAnsi="宋体" w:cs="宋体"/>
          <w:b/>
          <w:bCs w:val="0"/>
          <w:i w:val="0"/>
          <w:iCs w:val="0"/>
          <w:color w:val="auto"/>
          <w:kern w:val="2"/>
          <w:sz w:val="24"/>
          <w:szCs w:val="24"/>
          <w:highlight w:val="none"/>
          <w:lang w:val="en-US" w:eastAsia="zh-CN" w:bidi="ar-SA"/>
        </w:rPr>
        <w:t>7.3</w:t>
      </w:r>
      <w:r>
        <w:rPr>
          <w:rFonts w:hint="eastAsia" w:ascii="宋体" w:hAnsi="宋体" w:eastAsia="宋体" w:cs="宋体"/>
          <w:b/>
          <w:bCs w:val="0"/>
          <w:i w:val="0"/>
          <w:iCs w:val="0"/>
          <w:color w:val="auto"/>
          <w:kern w:val="2"/>
          <w:sz w:val="24"/>
          <w:szCs w:val="24"/>
          <w:highlight w:val="none"/>
          <w:lang w:val="en-US" w:eastAsia="zh-CN" w:bidi="ar-SA"/>
        </w:rPr>
        <w:t>发布公告的媒体</w:t>
      </w:r>
    </w:p>
    <w:p w14:paraId="3B3647E5">
      <w:pPr>
        <w:keepNext w:val="0"/>
        <w:keepLines w:val="0"/>
        <w:pageBreakBefore w:val="0"/>
        <w:widowControl w:val="0"/>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本次招标公告在</w:t>
      </w:r>
      <w:r>
        <w:rPr>
          <w:rFonts w:hint="eastAsia" w:ascii="宋体" w:hAnsi="宋体" w:eastAsia="宋体" w:cs="宋体"/>
          <w:color w:val="auto"/>
          <w:sz w:val="24"/>
          <w:szCs w:val="24"/>
          <w:highlight w:val="none"/>
          <w:lang w:eastAsia="zh-CN"/>
        </w:rPr>
        <w:t>云南省政府采购网（</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"http://www.yngp.com/"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http://www.yngp.com</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上公开发布，请各供应商在递交响应文件前随时查看，以获取最新信息，采购人、采购代理机构对其他网站或媒体转载的公告及公告内容不承担任何责任。</w:t>
      </w:r>
      <w:bookmarkStart w:id="90" w:name="_Toc23838"/>
      <w:bookmarkStart w:id="91" w:name="_Toc7272"/>
      <w:bookmarkStart w:id="92" w:name="_Toc12085"/>
      <w:bookmarkStart w:id="93" w:name="_Toc5263"/>
      <w:bookmarkStart w:id="94" w:name="_Toc17342"/>
      <w:bookmarkStart w:id="95" w:name="_Toc25343"/>
      <w:bookmarkStart w:id="96" w:name="_Toc21431"/>
    </w:p>
    <w:p w14:paraId="34DFC420">
      <w:pPr>
        <w:keepNext w:val="0"/>
        <w:keepLines w:val="0"/>
        <w:pageBreakBefore w:val="0"/>
        <w:widowControl w:val="0"/>
        <w:kinsoku/>
        <w:wordWrap/>
        <w:overflowPunct/>
        <w:topLinePunct w:val="0"/>
        <w:autoSpaceDE/>
        <w:autoSpaceDN/>
        <w:bidi w:val="0"/>
        <w:adjustRightInd/>
        <w:snapToGrid/>
        <w:spacing w:line="510" w:lineRule="exact"/>
        <w:ind w:firstLine="482" w:firstLineChars="200"/>
        <w:jc w:val="both"/>
        <w:textAlignment w:val="auto"/>
        <w:outlineLvl w:val="2"/>
        <w:rPr>
          <w:rFonts w:hint="eastAsia" w:ascii="宋体" w:hAnsi="宋体" w:eastAsia="宋体" w:cs="宋体"/>
          <w:b/>
          <w:bCs w:val="0"/>
          <w:i w:val="0"/>
          <w:iCs w:val="0"/>
          <w:color w:val="auto"/>
          <w:kern w:val="2"/>
          <w:sz w:val="24"/>
          <w:szCs w:val="24"/>
          <w:highlight w:val="none"/>
          <w:lang w:val="en-US" w:eastAsia="zh-CN" w:bidi="ar-SA"/>
        </w:rPr>
      </w:pPr>
      <w:r>
        <w:rPr>
          <w:rFonts w:hint="eastAsia" w:ascii="宋体" w:hAnsi="宋体" w:cs="宋体"/>
          <w:b/>
          <w:bCs w:val="0"/>
          <w:i w:val="0"/>
          <w:iCs w:val="0"/>
          <w:color w:val="auto"/>
          <w:kern w:val="2"/>
          <w:sz w:val="24"/>
          <w:szCs w:val="24"/>
          <w:highlight w:val="none"/>
          <w:lang w:val="en-US" w:eastAsia="zh-CN" w:bidi="ar-SA"/>
        </w:rPr>
        <w:t>7.4</w:t>
      </w:r>
      <w:r>
        <w:rPr>
          <w:rFonts w:hint="eastAsia" w:ascii="宋体" w:hAnsi="宋体" w:eastAsia="宋体" w:cs="宋体"/>
          <w:b/>
          <w:bCs w:val="0"/>
          <w:i w:val="0"/>
          <w:iCs w:val="0"/>
          <w:color w:val="auto"/>
          <w:kern w:val="2"/>
          <w:sz w:val="24"/>
          <w:szCs w:val="24"/>
          <w:highlight w:val="none"/>
          <w:lang w:val="en-US" w:eastAsia="zh-CN" w:bidi="ar-SA"/>
        </w:rPr>
        <w:t>投诉监督电话</w:t>
      </w:r>
      <w:bookmarkEnd w:id="90"/>
      <w:bookmarkEnd w:id="91"/>
      <w:bookmarkEnd w:id="92"/>
      <w:bookmarkEnd w:id="93"/>
    </w:p>
    <w:p w14:paraId="148EAECF">
      <w:pPr>
        <w:keepNext w:val="0"/>
        <w:keepLines w:val="0"/>
        <w:pageBreakBefore w:val="0"/>
        <w:widowControl w:val="0"/>
        <w:kinsoku/>
        <w:wordWrap/>
        <w:overflowPunct/>
        <w:topLinePunct w:val="0"/>
        <w:autoSpaceDE/>
        <w:autoSpaceDN/>
        <w:bidi w:val="0"/>
        <w:adjustRightInd/>
        <w:snapToGrid/>
        <w:spacing w:line="510" w:lineRule="exact"/>
        <w:ind w:firstLine="480" w:firstLineChars="200"/>
        <w:jc w:val="both"/>
        <w:textAlignment w:val="auto"/>
        <w:outlineLvl w:val="9"/>
        <w:rPr>
          <w:rFonts w:hint="eastAsia" w:ascii="宋体" w:hAnsi="宋体" w:eastAsia="宋体" w:cs="宋体"/>
          <w:b w:val="0"/>
          <w:bCs/>
          <w:i w:val="0"/>
          <w:iCs w:val="0"/>
          <w:color w:val="auto"/>
          <w:kern w:val="2"/>
          <w:sz w:val="24"/>
          <w:szCs w:val="24"/>
          <w:highlight w:val="none"/>
          <w:lang w:val="en-US" w:eastAsia="zh-CN" w:bidi="ar-SA"/>
        </w:rPr>
      </w:pPr>
      <w:bookmarkStart w:id="97" w:name="_Toc28194"/>
      <w:r>
        <w:rPr>
          <w:rFonts w:hint="eastAsia" w:ascii="宋体" w:hAnsi="宋体" w:cs="宋体"/>
          <w:b w:val="0"/>
          <w:bCs/>
          <w:i w:val="0"/>
          <w:iCs w:val="0"/>
          <w:color w:val="auto"/>
          <w:kern w:val="2"/>
          <w:sz w:val="24"/>
          <w:szCs w:val="24"/>
          <w:highlight w:val="none"/>
          <w:lang w:val="en-US" w:eastAsia="zh-CN" w:bidi="ar-SA"/>
        </w:rPr>
        <w:t>勐海县</w:t>
      </w:r>
      <w:r>
        <w:rPr>
          <w:rFonts w:hint="eastAsia" w:ascii="宋体" w:hAnsi="宋体" w:eastAsia="宋体" w:cs="宋体"/>
          <w:b w:val="0"/>
          <w:bCs/>
          <w:i w:val="0"/>
          <w:iCs w:val="0"/>
          <w:color w:val="auto"/>
          <w:kern w:val="2"/>
          <w:sz w:val="24"/>
          <w:szCs w:val="24"/>
          <w:highlight w:val="none"/>
          <w:lang w:val="en-US" w:eastAsia="zh-CN" w:bidi="ar-SA"/>
        </w:rPr>
        <w:t>财政局：</w:t>
      </w:r>
      <w:bookmarkStart w:id="98" w:name="_Toc19317"/>
      <w:r>
        <w:rPr>
          <w:rFonts w:hint="eastAsia" w:ascii="宋体" w:hAnsi="宋体" w:eastAsia="宋体" w:cs="宋体"/>
          <w:b w:val="0"/>
          <w:bCs/>
          <w:i w:val="0"/>
          <w:iCs w:val="0"/>
          <w:color w:val="auto"/>
          <w:kern w:val="2"/>
          <w:sz w:val="24"/>
          <w:szCs w:val="24"/>
          <w:highlight w:val="none"/>
          <w:lang w:val="en-US" w:eastAsia="zh-CN" w:bidi="ar-SA"/>
        </w:rPr>
        <w:t>0691-5128126</w:t>
      </w:r>
      <w:bookmarkEnd w:id="97"/>
    </w:p>
    <w:p w14:paraId="04384D79">
      <w:pPr>
        <w:keepNext w:val="0"/>
        <w:keepLines w:val="0"/>
        <w:pageBreakBefore w:val="0"/>
        <w:widowControl w:val="0"/>
        <w:kinsoku/>
        <w:wordWrap/>
        <w:overflowPunct/>
        <w:topLinePunct w:val="0"/>
        <w:autoSpaceDE/>
        <w:autoSpaceDN/>
        <w:bidi w:val="0"/>
        <w:adjustRightInd/>
        <w:snapToGrid/>
        <w:spacing w:line="520" w:lineRule="exact"/>
        <w:jc w:val="both"/>
        <w:textAlignment w:val="auto"/>
        <w:outlineLvl w:val="1"/>
        <w:rPr>
          <w:rFonts w:hint="eastAsia" w:ascii="宋体" w:hAnsi="宋体" w:eastAsia="宋体" w:cs="宋体"/>
          <w:b/>
          <w:bCs/>
          <w:color w:val="auto"/>
          <w:sz w:val="24"/>
          <w:szCs w:val="24"/>
          <w:highlight w:val="none"/>
          <w:lang w:eastAsia="zh-CN"/>
        </w:rPr>
      </w:pPr>
      <w:bookmarkStart w:id="99" w:name="_Toc15397"/>
      <w:bookmarkStart w:id="100" w:name="_Toc22715"/>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eastAsia="zh-CN"/>
        </w:rPr>
        <w:t>、凡对本次采购提出询问，请按以下方式联系。</w:t>
      </w:r>
      <w:bookmarkEnd w:id="86"/>
      <w:bookmarkEnd w:id="87"/>
      <w:bookmarkEnd w:id="88"/>
      <w:bookmarkEnd w:id="89"/>
      <w:bookmarkEnd w:id="94"/>
      <w:bookmarkEnd w:id="95"/>
      <w:bookmarkEnd w:id="96"/>
      <w:bookmarkEnd w:id="98"/>
      <w:bookmarkEnd w:id="99"/>
      <w:bookmarkEnd w:id="100"/>
    </w:p>
    <w:p w14:paraId="1FD966E9">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outlineLvl w:val="2"/>
        <w:rPr>
          <w:rFonts w:hint="eastAsia" w:ascii="宋体" w:hAnsi="宋体" w:eastAsia="宋体" w:cs="宋体"/>
          <w:b/>
          <w:bCs/>
          <w:color w:val="auto"/>
          <w:sz w:val="24"/>
          <w:szCs w:val="24"/>
          <w:highlight w:val="none"/>
          <w:lang w:eastAsia="zh-CN"/>
        </w:rPr>
      </w:pPr>
      <w:bookmarkStart w:id="101" w:name="_Toc35393637"/>
      <w:bookmarkStart w:id="102" w:name="_Toc28359096"/>
      <w:bookmarkStart w:id="103" w:name="_Toc35393806"/>
      <w:bookmarkStart w:id="104" w:name="_Toc28359019"/>
      <w:r>
        <w:rPr>
          <w:rFonts w:hint="eastAsia" w:ascii="宋体" w:hAnsi="宋体" w:cs="宋体"/>
          <w:b/>
          <w:bCs/>
          <w:color w:val="auto"/>
          <w:sz w:val="24"/>
          <w:szCs w:val="24"/>
          <w:highlight w:val="none"/>
          <w:lang w:val="en-US" w:eastAsia="zh-CN"/>
        </w:rPr>
        <w:t>8.1</w:t>
      </w:r>
      <w:r>
        <w:rPr>
          <w:rFonts w:hint="eastAsia" w:ascii="宋体" w:hAnsi="宋体" w:eastAsia="宋体" w:cs="宋体"/>
          <w:b/>
          <w:bCs/>
          <w:color w:val="auto"/>
          <w:sz w:val="24"/>
          <w:szCs w:val="24"/>
          <w:highlight w:val="none"/>
          <w:lang w:eastAsia="zh-CN"/>
        </w:rPr>
        <w:t>采购人信息</w:t>
      </w:r>
      <w:bookmarkEnd w:id="101"/>
      <w:bookmarkEnd w:id="102"/>
      <w:bookmarkEnd w:id="103"/>
      <w:bookmarkEnd w:id="104"/>
    </w:p>
    <w:p w14:paraId="54521FE0">
      <w:pPr>
        <w:keepNext w:val="0"/>
        <w:keepLines w:val="0"/>
        <w:pageBreakBefore w:val="0"/>
        <w:widowControl w:val="0"/>
        <w:kinsoku/>
        <w:wordWrap/>
        <w:overflowPunct/>
        <w:topLinePunct w:val="0"/>
        <w:autoSpaceDE/>
        <w:autoSpaceDN/>
        <w:bidi w:val="0"/>
        <w:adjustRightInd/>
        <w:snapToGrid/>
        <w:spacing w:line="52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勐海县西定哈尼族布朗族乡人民政府</w:t>
      </w:r>
      <w:r>
        <w:rPr>
          <w:rFonts w:hint="eastAsia" w:ascii="宋体" w:hAnsi="宋体" w:eastAsia="宋体" w:cs="宋体"/>
          <w:color w:val="auto"/>
          <w:sz w:val="24"/>
          <w:highlight w:val="none"/>
        </w:rPr>
        <w:t>　　　　　　　　　　　</w:t>
      </w:r>
    </w:p>
    <w:p w14:paraId="5D48CE8B">
      <w:pPr>
        <w:keepNext w:val="0"/>
        <w:keepLines w:val="0"/>
        <w:pageBreakBefore w:val="0"/>
        <w:widowControl w:val="0"/>
        <w:kinsoku/>
        <w:wordWrap/>
        <w:overflowPunct/>
        <w:topLinePunct w:val="0"/>
        <w:autoSpaceDE/>
        <w:autoSpaceDN/>
        <w:bidi w:val="0"/>
        <w:adjustRightInd/>
        <w:snapToGrid/>
        <w:spacing w:line="52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云南省西双版纳傣族自治州勐海县西定乡034乡道西定小学附近</w:t>
      </w:r>
      <w:r>
        <w:rPr>
          <w:rFonts w:hint="eastAsia" w:ascii="宋体" w:hAnsi="宋体" w:eastAsia="宋体" w:cs="宋体"/>
          <w:color w:val="auto"/>
          <w:sz w:val="24"/>
          <w:highlight w:val="none"/>
        </w:rPr>
        <w:t>　　　　　　　　　　　</w:t>
      </w:r>
    </w:p>
    <w:p w14:paraId="1274E913">
      <w:pPr>
        <w:keepNext w:val="0"/>
        <w:keepLines w:val="0"/>
        <w:pageBreakBefore w:val="0"/>
        <w:widowControl w:val="0"/>
        <w:kinsoku/>
        <w:wordWrap/>
        <w:overflowPunct/>
        <w:topLinePunct w:val="0"/>
        <w:autoSpaceDE/>
        <w:autoSpaceDN/>
        <w:bidi w:val="0"/>
        <w:adjustRightInd/>
        <w:snapToGrid/>
        <w:spacing w:line="52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eastAsia="zh-CN"/>
        </w:rPr>
        <w:t>岩温胆 0691-3082560</w:t>
      </w:r>
      <w:r>
        <w:rPr>
          <w:rFonts w:hint="eastAsia" w:ascii="宋体" w:hAnsi="宋体" w:eastAsia="宋体" w:cs="宋体"/>
          <w:color w:val="auto"/>
          <w:sz w:val="24"/>
          <w:highlight w:val="none"/>
        </w:rPr>
        <w:t xml:space="preserve">　　　　　　 　　　 </w:t>
      </w:r>
      <w:bookmarkStart w:id="105" w:name="_Toc28359097"/>
      <w:bookmarkStart w:id="106" w:name="_Toc28359020"/>
      <w:bookmarkStart w:id="107" w:name="_Toc35393807"/>
      <w:bookmarkStart w:id="108" w:name="_Toc35393638"/>
    </w:p>
    <w:p w14:paraId="1C72F6B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8.2</w:t>
      </w:r>
      <w:r>
        <w:rPr>
          <w:rFonts w:hint="eastAsia" w:ascii="宋体" w:hAnsi="宋体" w:eastAsia="宋体" w:cs="宋体"/>
          <w:b/>
          <w:bCs/>
          <w:color w:val="auto"/>
          <w:sz w:val="24"/>
          <w:highlight w:val="none"/>
        </w:rPr>
        <w:t>采购代理机构信息</w:t>
      </w:r>
      <w:bookmarkEnd w:id="105"/>
      <w:bookmarkEnd w:id="106"/>
      <w:bookmarkEnd w:id="107"/>
      <w:bookmarkEnd w:id="108"/>
    </w:p>
    <w:p w14:paraId="202E2C84">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val="en-US" w:eastAsia="zh-CN"/>
        </w:rPr>
        <w:t>云南星骋项目管理有限公司</w:t>
      </w:r>
      <w:r>
        <w:rPr>
          <w:rFonts w:hint="eastAsia" w:ascii="宋体" w:hAnsi="宋体" w:eastAsia="宋体" w:cs="宋体"/>
          <w:color w:val="auto"/>
          <w:sz w:val="24"/>
          <w:highlight w:val="none"/>
        </w:rPr>
        <w:t>　　　</w:t>
      </w:r>
    </w:p>
    <w:p w14:paraId="43EA264B">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宋体" w:hAnsi="宋体" w:eastAsia="宋体" w:cs="宋体"/>
          <w:color w:val="auto"/>
          <w:w w:val="95"/>
          <w:sz w:val="24"/>
          <w:highlight w:val="none"/>
          <w:lang w:val="en-US" w:eastAsia="zh-CN"/>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lang w:val="en-US" w:eastAsia="zh-CN"/>
        </w:rPr>
        <w:t>景洪市西双十二城国际公馆1栋306室　　</w:t>
      </w:r>
    </w:p>
    <w:p w14:paraId="54777D3F">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郑丽凯15198499967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0691-2588800</w:t>
      </w:r>
      <w:r>
        <w:rPr>
          <w:rFonts w:hint="eastAsia" w:ascii="宋体" w:hAnsi="宋体" w:eastAsia="宋体" w:cs="宋体"/>
          <w:color w:val="auto"/>
          <w:sz w:val="24"/>
          <w:highlight w:val="none"/>
          <w:lang w:val="en-US" w:eastAsia="zh-CN"/>
        </w:rPr>
        <w:t>　</w:t>
      </w:r>
    </w:p>
    <w:p w14:paraId="4E03E274">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宋体" w:hAnsi="宋体" w:eastAsia="宋体" w:cs="宋体"/>
          <w:color w:val="auto"/>
          <w:sz w:val="24"/>
          <w:highlight w:val="none"/>
          <w:lang w:val="en-US" w:eastAsia="zh-CN"/>
        </w:rPr>
      </w:pPr>
      <w:bookmarkStart w:id="109" w:name="_Toc28359021"/>
      <w:bookmarkStart w:id="110" w:name="_Toc28359098"/>
      <w:bookmarkStart w:id="111" w:name="_Toc35393639"/>
      <w:bookmarkStart w:id="112" w:name="_Toc35393808"/>
    </w:p>
    <w:p w14:paraId="236AF4B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8.3</w:t>
      </w:r>
      <w:r>
        <w:rPr>
          <w:rFonts w:hint="eastAsia" w:ascii="宋体" w:hAnsi="宋体" w:eastAsia="宋体" w:cs="宋体"/>
          <w:b/>
          <w:bCs/>
          <w:color w:val="auto"/>
          <w:sz w:val="24"/>
          <w:highlight w:val="none"/>
        </w:rPr>
        <w:t>项目联系方式</w:t>
      </w:r>
      <w:bookmarkEnd w:id="109"/>
      <w:bookmarkEnd w:id="110"/>
      <w:bookmarkEnd w:id="111"/>
      <w:bookmarkEnd w:id="112"/>
    </w:p>
    <w:p w14:paraId="54C9854C">
      <w:pPr>
        <w:pStyle w:val="17"/>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项目联系人：郑丽凯</w:t>
      </w:r>
    </w:p>
    <w:p w14:paraId="43D899F3">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szCs w:val="24"/>
          <w:highlight w:val="none"/>
          <w:lang w:val="en-US" w:eastAsia="zh-CN"/>
        </w:rPr>
        <w:t>15198499967、0691-2588800</w:t>
      </w:r>
    </w:p>
    <w:p w14:paraId="23E00DC7">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日</w:t>
      </w:r>
    </w:p>
    <w:p w14:paraId="430FCF53">
      <w:pPr>
        <w:keepNext w:val="0"/>
        <w:keepLines w:val="0"/>
        <w:pageBreakBefore w:val="0"/>
        <w:widowControl w:val="0"/>
        <w:tabs>
          <w:tab w:val="left" w:pos="840"/>
          <w:tab w:val="center" w:pos="4620"/>
        </w:tabs>
        <w:kinsoku/>
        <w:wordWrap/>
        <w:overflowPunct/>
        <w:topLinePunct w:val="0"/>
        <w:autoSpaceDE/>
        <w:autoSpaceDN/>
        <w:bidi w:val="0"/>
        <w:adjustRightInd/>
        <w:snapToGrid/>
        <w:spacing w:before="312" w:beforeLines="100" w:after="312" w:afterLines="100" w:line="500" w:lineRule="exact"/>
        <w:jc w:val="center"/>
        <w:textAlignment w:val="auto"/>
        <w:outlineLvl w:val="9"/>
        <w:rPr>
          <w:rFonts w:hint="eastAsia" w:ascii="宋体" w:hAnsi="宋体" w:eastAsia="宋体" w:cs="宋体"/>
          <w:color w:val="auto"/>
          <w:sz w:val="30"/>
          <w:szCs w:val="30"/>
          <w:highlight w:val="none"/>
        </w:rPr>
      </w:pPr>
      <w:bookmarkStart w:id="113" w:name="_Toc17758"/>
    </w:p>
    <w:p w14:paraId="1C3E8405">
      <w:pPr>
        <w:keepNext w:val="0"/>
        <w:keepLines w:val="0"/>
        <w:pageBreakBefore w:val="0"/>
        <w:widowControl w:val="0"/>
        <w:tabs>
          <w:tab w:val="left" w:pos="840"/>
          <w:tab w:val="center" w:pos="4620"/>
        </w:tabs>
        <w:kinsoku/>
        <w:wordWrap/>
        <w:overflowPunct/>
        <w:topLinePunct w:val="0"/>
        <w:autoSpaceDE/>
        <w:autoSpaceDN/>
        <w:bidi w:val="0"/>
        <w:adjustRightInd/>
        <w:snapToGrid/>
        <w:spacing w:before="312" w:beforeLines="100" w:after="312" w:afterLines="100" w:line="500" w:lineRule="exact"/>
        <w:jc w:val="center"/>
        <w:textAlignment w:val="auto"/>
        <w:outlineLvl w:val="9"/>
        <w:rPr>
          <w:rFonts w:hint="eastAsia" w:ascii="宋体" w:hAnsi="宋体" w:eastAsia="宋体" w:cs="宋体"/>
          <w:color w:val="auto"/>
          <w:sz w:val="30"/>
          <w:szCs w:val="30"/>
          <w:highlight w:val="none"/>
        </w:rPr>
      </w:pPr>
    </w:p>
    <w:p w14:paraId="58D25FBB">
      <w:pPr>
        <w:keepNext w:val="0"/>
        <w:keepLines w:val="0"/>
        <w:pageBreakBefore w:val="0"/>
        <w:widowControl w:val="0"/>
        <w:tabs>
          <w:tab w:val="left" w:pos="840"/>
          <w:tab w:val="center" w:pos="4620"/>
        </w:tabs>
        <w:kinsoku/>
        <w:wordWrap/>
        <w:overflowPunct/>
        <w:topLinePunct w:val="0"/>
        <w:autoSpaceDE/>
        <w:autoSpaceDN/>
        <w:bidi w:val="0"/>
        <w:adjustRightInd/>
        <w:snapToGrid/>
        <w:spacing w:before="312" w:beforeLines="100" w:after="312" w:afterLines="100" w:line="500" w:lineRule="exact"/>
        <w:jc w:val="center"/>
        <w:textAlignment w:val="auto"/>
        <w:outlineLvl w:val="9"/>
        <w:rPr>
          <w:rFonts w:hint="eastAsia" w:ascii="宋体" w:hAnsi="宋体" w:eastAsia="宋体" w:cs="宋体"/>
          <w:color w:val="auto"/>
          <w:sz w:val="30"/>
          <w:szCs w:val="30"/>
          <w:highlight w:val="none"/>
        </w:rPr>
      </w:pPr>
    </w:p>
    <w:p w14:paraId="0907AD04">
      <w:pPr>
        <w:rPr>
          <w:rFonts w:hint="eastAsia" w:ascii="宋体" w:hAnsi="宋体" w:eastAsia="宋体" w:cs="宋体"/>
          <w:color w:val="auto"/>
          <w:sz w:val="30"/>
          <w:szCs w:val="30"/>
          <w:highlight w:val="none"/>
        </w:rPr>
      </w:pPr>
      <w:bookmarkStart w:id="114" w:name="_Toc12816"/>
      <w:r>
        <w:rPr>
          <w:rFonts w:hint="eastAsia" w:ascii="宋体" w:hAnsi="宋体" w:eastAsia="宋体" w:cs="宋体"/>
          <w:color w:val="auto"/>
          <w:sz w:val="30"/>
          <w:szCs w:val="30"/>
          <w:highlight w:val="none"/>
        </w:rPr>
        <w:br w:type="page"/>
      </w:r>
    </w:p>
    <w:p w14:paraId="777BBE6E">
      <w:pPr>
        <w:pStyle w:val="3"/>
        <w:keepNext w:val="0"/>
        <w:keepLines w:val="0"/>
        <w:tabs>
          <w:tab w:val="left" w:pos="840"/>
          <w:tab w:val="center" w:pos="4620"/>
        </w:tabs>
        <w:spacing w:before="312" w:beforeLines="100" w:after="312" w:afterLines="100" w:line="50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w:t>
      </w:r>
      <w:bookmarkStart w:id="115" w:name="_Toc431853127"/>
      <w:bookmarkStart w:id="116" w:name="_Toc122530370"/>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w:t>
      </w:r>
      <w:bookmarkEnd w:id="37"/>
      <w:bookmarkEnd w:id="38"/>
      <w:bookmarkEnd w:id="39"/>
      <w:bookmarkEnd w:id="113"/>
      <w:bookmarkEnd w:id="114"/>
      <w:bookmarkEnd w:id="115"/>
      <w:bookmarkEnd w:id="116"/>
    </w:p>
    <w:p w14:paraId="0B84451B">
      <w:pPr>
        <w:spacing w:line="500" w:lineRule="exact"/>
        <w:jc w:val="center"/>
        <w:outlineLvl w:val="1"/>
        <w:rPr>
          <w:rFonts w:hint="eastAsia" w:ascii="宋体" w:hAnsi="宋体" w:eastAsia="宋体" w:cs="宋体"/>
          <w:color w:val="auto"/>
          <w:sz w:val="28"/>
          <w:szCs w:val="28"/>
          <w:highlight w:val="none"/>
        </w:rPr>
      </w:pPr>
      <w:bookmarkStart w:id="117" w:name="_Toc16833"/>
      <w:bookmarkStart w:id="118" w:name="_Toc14952"/>
      <w:bookmarkStart w:id="119" w:name="_Toc26068"/>
      <w:bookmarkStart w:id="120" w:name="_Toc15517"/>
      <w:bookmarkStart w:id="121" w:name="_Toc13050"/>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须知前附表</w:t>
      </w:r>
      <w:bookmarkEnd w:id="117"/>
      <w:bookmarkEnd w:id="118"/>
      <w:bookmarkEnd w:id="119"/>
      <w:bookmarkEnd w:id="120"/>
      <w:bookmarkEnd w:id="121"/>
    </w:p>
    <w:tbl>
      <w:tblPr>
        <w:tblStyle w:val="2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6"/>
        <w:gridCol w:w="1642"/>
        <w:gridCol w:w="6826"/>
      </w:tblGrid>
      <w:tr w14:paraId="1D86C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blHeader/>
          <w:jc w:val="center"/>
        </w:trPr>
        <w:tc>
          <w:tcPr>
            <w:tcW w:w="352" w:type="pct"/>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14:paraId="7AF7ADA3">
            <w:pPr>
              <w:spacing w:line="3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项号</w:t>
            </w:r>
          </w:p>
        </w:tc>
        <w:tc>
          <w:tcPr>
            <w:tcW w:w="928" w:type="pct"/>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14:paraId="0A37BA5D">
            <w:pPr>
              <w:spacing w:line="3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    容</w:t>
            </w:r>
          </w:p>
        </w:tc>
        <w:tc>
          <w:tcPr>
            <w:tcW w:w="3719" w:type="pct"/>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14:paraId="344E92D0">
            <w:pPr>
              <w:keepNext w:val="0"/>
              <w:keepLines w:val="0"/>
              <w:pageBreakBefore w:val="0"/>
              <w:kinsoku/>
              <w:wordWrap/>
              <w:overflowPunct/>
              <w:autoSpaceDE/>
              <w:autoSpaceDN/>
              <w:bidi w:val="0"/>
              <w:snapToGrid/>
              <w:spacing w:line="46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说明与要求</w:t>
            </w:r>
          </w:p>
        </w:tc>
      </w:tr>
      <w:tr w14:paraId="015605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695C015">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p>
        </w:tc>
        <w:tc>
          <w:tcPr>
            <w:tcW w:w="928" w:type="pct"/>
            <w:tcBorders>
              <w:top w:val="single" w:color="auto" w:sz="4" w:space="0"/>
              <w:left w:val="single" w:color="auto" w:sz="4" w:space="0"/>
              <w:bottom w:val="single" w:color="auto" w:sz="4" w:space="0"/>
              <w:right w:val="single" w:color="auto" w:sz="4" w:space="0"/>
            </w:tcBorders>
            <w:vAlign w:val="center"/>
          </w:tcPr>
          <w:p w14:paraId="7536E711">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eastAsia="zh-CN"/>
              </w:rPr>
              <w:t>购</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eastAsia="zh-CN"/>
              </w:rPr>
              <w:t>人</w:t>
            </w:r>
          </w:p>
        </w:tc>
        <w:tc>
          <w:tcPr>
            <w:tcW w:w="3719" w:type="pct"/>
            <w:tcBorders>
              <w:top w:val="single" w:color="auto" w:sz="4" w:space="0"/>
              <w:left w:val="single" w:color="auto" w:sz="4" w:space="0"/>
              <w:bottom w:val="single" w:color="auto" w:sz="4" w:space="0"/>
              <w:right w:val="single" w:color="auto" w:sz="4" w:space="0"/>
            </w:tcBorders>
            <w:vAlign w:val="center"/>
          </w:tcPr>
          <w:p w14:paraId="36F40F20">
            <w:pPr>
              <w:pStyle w:val="17"/>
              <w:keepNext w:val="0"/>
              <w:keepLines w:val="0"/>
              <w:pageBreakBefore w:val="0"/>
              <w:kinsoku/>
              <w:wordWrap/>
              <w:overflowPunct/>
              <w:autoSpaceDE/>
              <w:autoSpaceDN/>
              <w:bidi w:val="0"/>
              <w:snapToGrid/>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 购 人</w:t>
            </w:r>
            <w:r>
              <w:rPr>
                <w:rFonts w:hint="eastAsia" w:ascii="宋体" w:hAnsi="宋体" w:eastAsia="宋体" w:cs="宋体"/>
                <w:bCs/>
                <w:color w:val="auto"/>
                <w:sz w:val="24"/>
                <w:szCs w:val="24"/>
                <w:highlight w:val="none"/>
              </w:rPr>
              <w:t>：</w:t>
            </w:r>
            <w:r>
              <w:rPr>
                <w:rFonts w:hint="eastAsia" w:hAnsi="宋体" w:cs="宋体"/>
                <w:color w:val="auto"/>
                <w:sz w:val="24"/>
                <w:highlight w:val="none"/>
                <w:lang w:eastAsia="zh-CN"/>
              </w:rPr>
              <w:t>勐海县西定哈尼族布朗族乡人民政府</w:t>
            </w:r>
          </w:p>
          <w:p w14:paraId="58CE8820">
            <w:pPr>
              <w:pStyle w:val="17"/>
              <w:keepNext w:val="0"/>
              <w:keepLines w:val="0"/>
              <w:pageBreakBefore w:val="0"/>
              <w:kinsoku/>
              <w:wordWrap/>
              <w:overflowPunct/>
              <w:autoSpaceDE/>
              <w:autoSpaceDN/>
              <w:bidi w:val="0"/>
              <w:snapToGrid/>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地    址：</w:t>
            </w:r>
            <w:r>
              <w:rPr>
                <w:rFonts w:hint="eastAsia" w:hAnsi="宋体" w:cs="宋体"/>
                <w:color w:val="auto"/>
                <w:sz w:val="24"/>
                <w:highlight w:val="none"/>
                <w:lang w:eastAsia="zh-CN"/>
              </w:rPr>
              <w:t>云南省西双版纳傣族自治州勐海县西定乡034乡道西定小学附近</w:t>
            </w:r>
          </w:p>
          <w:p w14:paraId="5AAFE48E">
            <w:pPr>
              <w:pStyle w:val="17"/>
              <w:keepNext w:val="0"/>
              <w:keepLines w:val="0"/>
              <w:pageBreakBefore w:val="0"/>
              <w:kinsoku/>
              <w:wordWrap/>
              <w:overflowPunct/>
              <w:autoSpaceDE/>
              <w:autoSpaceDN/>
              <w:bidi w:val="0"/>
              <w:snapToGrid/>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联系</w:t>
            </w:r>
            <w:r>
              <w:rPr>
                <w:rFonts w:hint="eastAsia" w:ascii="宋体" w:hAnsi="宋体" w:eastAsia="宋体" w:cs="宋体"/>
                <w:bCs/>
                <w:color w:val="auto"/>
                <w:sz w:val="24"/>
                <w:szCs w:val="24"/>
                <w:highlight w:val="none"/>
                <w:lang w:val="en-US" w:eastAsia="zh-CN"/>
              </w:rPr>
              <w:t>方式</w:t>
            </w:r>
            <w:r>
              <w:rPr>
                <w:rFonts w:hint="eastAsia" w:ascii="宋体" w:hAnsi="宋体" w:eastAsia="宋体" w:cs="宋体"/>
                <w:bCs/>
                <w:color w:val="auto"/>
                <w:sz w:val="24"/>
                <w:szCs w:val="24"/>
                <w:highlight w:val="none"/>
              </w:rPr>
              <w:t>：</w:t>
            </w:r>
            <w:r>
              <w:rPr>
                <w:rFonts w:hint="eastAsia" w:hAnsi="宋体" w:cs="宋体"/>
                <w:bCs/>
                <w:color w:val="auto"/>
                <w:sz w:val="24"/>
                <w:szCs w:val="24"/>
                <w:highlight w:val="none"/>
                <w:lang w:eastAsia="zh-CN"/>
              </w:rPr>
              <w:t>岩温胆 0691-3082560</w:t>
            </w:r>
            <w:r>
              <w:rPr>
                <w:rFonts w:hint="eastAsia" w:ascii="宋体" w:hAnsi="宋体" w:eastAsia="宋体" w:cs="宋体"/>
                <w:bCs/>
                <w:color w:val="auto"/>
                <w:sz w:val="24"/>
                <w:szCs w:val="24"/>
                <w:highlight w:val="none"/>
              </w:rPr>
              <w:t xml:space="preserve">      </w:t>
            </w:r>
          </w:p>
        </w:tc>
      </w:tr>
      <w:tr w14:paraId="34174C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6CB00C4">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p>
        </w:tc>
        <w:tc>
          <w:tcPr>
            <w:tcW w:w="928" w:type="pct"/>
            <w:tcBorders>
              <w:top w:val="single" w:color="auto" w:sz="4" w:space="0"/>
              <w:left w:val="single" w:color="auto" w:sz="4" w:space="0"/>
              <w:bottom w:val="single" w:color="auto" w:sz="4" w:space="0"/>
              <w:right w:val="single" w:color="auto" w:sz="4" w:space="0"/>
            </w:tcBorders>
            <w:vAlign w:val="center"/>
          </w:tcPr>
          <w:p w14:paraId="0DB8060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采购代理机构</w:t>
            </w:r>
          </w:p>
        </w:tc>
        <w:tc>
          <w:tcPr>
            <w:tcW w:w="3719" w:type="pct"/>
            <w:tcBorders>
              <w:top w:val="single" w:color="auto" w:sz="4" w:space="0"/>
              <w:left w:val="single" w:color="auto" w:sz="4" w:space="0"/>
              <w:bottom w:val="single" w:color="auto" w:sz="4" w:space="0"/>
              <w:right w:val="single" w:color="auto" w:sz="4" w:space="0"/>
            </w:tcBorders>
            <w:vAlign w:val="center"/>
          </w:tcPr>
          <w:p w14:paraId="2A42FD6F">
            <w:pPr>
              <w:pStyle w:val="17"/>
              <w:keepNext w:val="0"/>
              <w:keepLines w:val="0"/>
              <w:pageBreakBefore w:val="0"/>
              <w:kinsoku/>
              <w:wordWrap/>
              <w:overflowPunct/>
              <w:autoSpaceDE/>
              <w:autoSpaceDN/>
              <w:bidi w:val="0"/>
              <w:snapToGrid/>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en-US" w:eastAsia="zh-CN"/>
              </w:rPr>
              <w:t>云南星骋项目管理有限公司</w:t>
            </w:r>
          </w:p>
          <w:p w14:paraId="0206959F">
            <w:pPr>
              <w:pStyle w:val="17"/>
              <w:keepNext w:val="0"/>
              <w:keepLines w:val="0"/>
              <w:pageBreakBefore w:val="0"/>
              <w:kinsoku/>
              <w:wordWrap/>
              <w:overflowPunct/>
              <w:autoSpaceDE/>
              <w:autoSpaceDN/>
              <w:bidi w:val="0"/>
              <w:snapToGrid/>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址：景洪市西双十二城国际公馆1栋306室</w:t>
            </w:r>
          </w:p>
          <w:p w14:paraId="652EB280">
            <w:pPr>
              <w:pStyle w:val="17"/>
              <w:keepNext w:val="0"/>
              <w:keepLines w:val="0"/>
              <w:pageBreakBefore w:val="0"/>
              <w:kinsoku/>
              <w:wordWrap/>
              <w:overflowPunct/>
              <w:autoSpaceDE/>
              <w:autoSpaceDN/>
              <w:bidi w:val="0"/>
              <w:snapToGrid/>
              <w:spacing w:line="440" w:lineRule="exact"/>
              <w:rPr>
                <w:rFonts w:hint="eastAsia" w:ascii="宋体" w:hAnsi="宋体" w:eastAsia="宋体" w:cs="宋体"/>
                <w:color w:val="auto"/>
                <w:sz w:val="22"/>
                <w:highlight w:val="none"/>
              </w:rPr>
            </w:pPr>
            <w:r>
              <w:rPr>
                <w:rFonts w:hint="eastAsia" w:ascii="宋体" w:hAnsi="宋体" w:eastAsia="宋体" w:cs="宋体"/>
                <w:bCs/>
                <w:color w:val="auto"/>
                <w:sz w:val="24"/>
                <w:szCs w:val="24"/>
                <w:highlight w:val="none"/>
              </w:rPr>
              <w:t>联系</w:t>
            </w:r>
            <w:r>
              <w:rPr>
                <w:rFonts w:hint="eastAsia" w:ascii="宋体" w:hAnsi="宋体" w:eastAsia="宋体" w:cs="宋体"/>
                <w:bCs/>
                <w:color w:val="auto"/>
                <w:sz w:val="24"/>
                <w:szCs w:val="24"/>
                <w:highlight w:val="none"/>
                <w:lang w:val="en-US" w:eastAsia="zh-CN"/>
              </w:rPr>
              <w:t>方式</w:t>
            </w:r>
            <w:r>
              <w:rPr>
                <w:rFonts w:hint="eastAsia" w:ascii="宋体" w:hAnsi="宋体" w:eastAsia="宋体" w:cs="宋体"/>
                <w:bCs/>
                <w:color w:val="auto"/>
                <w:sz w:val="24"/>
                <w:szCs w:val="24"/>
                <w:highlight w:val="none"/>
              </w:rPr>
              <w:t>：</w:t>
            </w:r>
            <w:r>
              <w:rPr>
                <w:rFonts w:hint="eastAsia" w:ascii="宋体" w:hAnsi="宋体" w:eastAsia="宋体" w:cs="宋体"/>
                <w:color w:val="auto"/>
                <w:sz w:val="24"/>
                <w:highlight w:val="none"/>
                <w:lang w:val="en-US" w:eastAsia="zh-CN"/>
              </w:rPr>
              <w:t>郑丽凯15198499967</w:t>
            </w:r>
            <w:r>
              <w:rPr>
                <w:rFonts w:hint="eastAsia" w:hAnsi="宋体" w:cs="宋体"/>
                <w:color w:val="auto"/>
                <w:sz w:val="24"/>
                <w:highlight w:val="none"/>
                <w:lang w:val="en-US" w:eastAsia="zh-CN"/>
              </w:rPr>
              <w:t>、</w:t>
            </w:r>
            <w:bookmarkStart w:id="1029" w:name="_GoBack"/>
            <w:bookmarkEnd w:id="1029"/>
            <w:r>
              <w:rPr>
                <w:rFonts w:hint="eastAsia" w:ascii="宋体" w:hAnsi="宋体" w:eastAsia="宋体" w:cs="宋体"/>
                <w:color w:val="auto"/>
                <w:sz w:val="24"/>
                <w:szCs w:val="24"/>
                <w:highlight w:val="none"/>
                <w:lang w:val="en-US" w:eastAsia="zh-CN"/>
              </w:rPr>
              <w:t>0691-2588800</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p>
        </w:tc>
      </w:tr>
      <w:tr w14:paraId="07017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110EB706">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p>
        </w:tc>
        <w:tc>
          <w:tcPr>
            <w:tcW w:w="928" w:type="pct"/>
            <w:tcBorders>
              <w:top w:val="single" w:color="auto" w:sz="4" w:space="0"/>
              <w:left w:val="single" w:color="auto" w:sz="4" w:space="0"/>
              <w:bottom w:val="single" w:color="auto" w:sz="4" w:space="0"/>
              <w:right w:val="single" w:color="auto" w:sz="4" w:space="0"/>
            </w:tcBorders>
            <w:vAlign w:val="center"/>
          </w:tcPr>
          <w:p w14:paraId="46314DF8">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项目名称</w:t>
            </w:r>
          </w:p>
        </w:tc>
        <w:tc>
          <w:tcPr>
            <w:tcW w:w="3719" w:type="pct"/>
            <w:tcBorders>
              <w:top w:val="single" w:color="auto" w:sz="4" w:space="0"/>
              <w:left w:val="single" w:color="auto" w:sz="4" w:space="0"/>
              <w:bottom w:val="single" w:color="auto" w:sz="4" w:space="0"/>
              <w:right w:val="single" w:color="auto" w:sz="4" w:space="0"/>
            </w:tcBorders>
            <w:vAlign w:val="center"/>
          </w:tcPr>
          <w:p w14:paraId="58D7ABE0">
            <w:pPr>
              <w:keepNext w:val="0"/>
              <w:keepLines w:val="0"/>
              <w:pageBreakBefore w:val="0"/>
              <w:kinsoku/>
              <w:wordWrap/>
              <w:overflowPunct/>
              <w:autoSpaceDE/>
              <w:autoSpaceDN/>
              <w:bidi w:val="0"/>
              <w:snapToGrid/>
              <w:spacing w:line="44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西定乡曼迈村委会产业发展项目</w:t>
            </w:r>
          </w:p>
        </w:tc>
      </w:tr>
      <w:tr w14:paraId="387265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4834B57">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p>
        </w:tc>
        <w:tc>
          <w:tcPr>
            <w:tcW w:w="928" w:type="pct"/>
            <w:tcBorders>
              <w:top w:val="single" w:color="auto" w:sz="4" w:space="0"/>
              <w:left w:val="single" w:color="auto" w:sz="4" w:space="0"/>
              <w:bottom w:val="single" w:color="auto" w:sz="4" w:space="0"/>
              <w:right w:val="single" w:color="auto" w:sz="4" w:space="0"/>
            </w:tcBorders>
            <w:vAlign w:val="center"/>
          </w:tcPr>
          <w:p w14:paraId="2F20F571">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项目编号</w:t>
            </w:r>
          </w:p>
        </w:tc>
        <w:tc>
          <w:tcPr>
            <w:tcW w:w="3719" w:type="pct"/>
            <w:tcBorders>
              <w:top w:val="single" w:color="auto" w:sz="4" w:space="0"/>
              <w:left w:val="single" w:color="auto" w:sz="4" w:space="0"/>
              <w:bottom w:val="single" w:color="auto" w:sz="4" w:space="0"/>
              <w:right w:val="single" w:color="auto" w:sz="4" w:space="0"/>
            </w:tcBorders>
            <w:vAlign w:val="center"/>
          </w:tcPr>
          <w:p w14:paraId="1F0A5064">
            <w:pPr>
              <w:keepNext w:val="0"/>
              <w:keepLines w:val="0"/>
              <w:pageBreakBefore w:val="0"/>
              <w:kinsoku/>
              <w:wordWrap/>
              <w:overflowPunct/>
              <w:autoSpaceDE/>
              <w:autoSpaceDN/>
              <w:bidi w:val="0"/>
              <w:snapToGrid/>
              <w:spacing w:line="44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YNXCZB202644</w:t>
            </w:r>
          </w:p>
        </w:tc>
      </w:tr>
      <w:tr w14:paraId="2F5FE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7E6CA23">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5</w:t>
            </w:r>
          </w:p>
        </w:tc>
        <w:tc>
          <w:tcPr>
            <w:tcW w:w="928" w:type="pct"/>
            <w:tcBorders>
              <w:top w:val="single" w:color="auto" w:sz="4" w:space="0"/>
              <w:left w:val="single" w:color="auto" w:sz="4" w:space="0"/>
              <w:bottom w:val="single" w:color="auto" w:sz="4" w:space="0"/>
              <w:right w:val="single" w:color="auto" w:sz="4" w:space="0"/>
            </w:tcBorders>
            <w:vAlign w:val="center"/>
          </w:tcPr>
          <w:p w14:paraId="0DE33C2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采购</w:t>
            </w:r>
            <w:r>
              <w:rPr>
                <w:rFonts w:hint="eastAsia" w:ascii="宋体" w:hAnsi="宋体" w:eastAsia="宋体" w:cs="宋体"/>
                <w:bCs/>
                <w:color w:val="auto"/>
                <w:sz w:val="24"/>
                <w:highlight w:val="none"/>
              </w:rPr>
              <w:t>方式</w:t>
            </w:r>
          </w:p>
        </w:tc>
        <w:tc>
          <w:tcPr>
            <w:tcW w:w="3719" w:type="pct"/>
            <w:tcBorders>
              <w:top w:val="single" w:color="auto" w:sz="4" w:space="0"/>
              <w:left w:val="single" w:color="auto" w:sz="4" w:space="0"/>
              <w:bottom w:val="single" w:color="auto" w:sz="4" w:space="0"/>
              <w:right w:val="single" w:color="auto" w:sz="4" w:space="0"/>
            </w:tcBorders>
            <w:vAlign w:val="center"/>
          </w:tcPr>
          <w:p w14:paraId="6B1E47C6">
            <w:pPr>
              <w:keepNext w:val="0"/>
              <w:keepLines w:val="0"/>
              <w:pageBreakBefore w:val="0"/>
              <w:kinsoku/>
              <w:wordWrap/>
              <w:overflowPunct/>
              <w:autoSpaceDE/>
              <w:autoSpaceDN/>
              <w:bidi w:val="0"/>
              <w:snapToGrid/>
              <w:spacing w:line="44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竞争性磋商</w:t>
            </w:r>
          </w:p>
        </w:tc>
      </w:tr>
      <w:tr w14:paraId="4FD000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81CFE8E">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w:t>
            </w:r>
          </w:p>
        </w:tc>
        <w:tc>
          <w:tcPr>
            <w:tcW w:w="928" w:type="pct"/>
            <w:tcBorders>
              <w:top w:val="single" w:color="auto" w:sz="4" w:space="0"/>
              <w:left w:val="single" w:color="auto" w:sz="4" w:space="0"/>
              <w:bottom w:val="single" w:color="auto" w:sz="4" w:space="0"/>
              <w:right w:val="single" w:color="auto" w:sz="4" w:space="0"/>
            </w:tcBorders>
            <w:vAlign w:val="center"/>
          </w:tcPr>
          <w:p w14:paraId="2C0DC6C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采购预算</w:t>
            </w:r>
            <w:r>
              <w:rPr>
                <w:rFonts w:hint="eastAsia" w:ascii="宋体" w:hAnsi="宋体" w:eastAsia="宋体" w:cs="宋体"/>
                <w:color w:val="auto"/>
                <w:sz w:val="24"/>
                <w:highlight w:val="none"/>
              </w:rPr>
              <w:t>金额</w:t>
            </w:r>
          </w:p>
        </w:tc>
        <w:tc>
          <w:tcPr>
            <w:tcW w:w="3719" w:type="pct"/>
            <w:tcBorders>
              <w:top w:val="single" w:color="auto" w:sz="4" w:space="0"/>
              <w:left w:val="single" w:color="auto" w:sz="4" w:space="0"/>
              <w:bottom w:val="single" w:color="auto" w:sz="4" w:space="0"/>
              <w:right w:val="single" w:color="auto" w:sz="4" w:space="0"/>
            </w:tcBorders>
            <w:vAlign w:val="center"/>
          </w:tcPr>
          <w:p w14:paraId="0DC8F6A1">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cs="宋体"/>
                <w:color w:val="auto"/>
                <w:sz w:val="24"/>
                <w:highlight w:val="none"/>
                <w:u w:val="none"/>
                <w:lang w:val="en-US" w:eastAsia="zh-CN"/>
              </w:rPr>
              <w:t>600000.00元</w:t>
            </w:r>
            <w:r>
              <w:rPr>
                <w:rFonts w:hint="eastAsia" w:ascii="宋体" w:hAnsi="宋体" w:eastAsia="宋体" w:cs="宋体"/>
                <w:color w:val="auto"/>
                <w:sz w:val="24"/>
                <w:highlight w:val="none"/>
              </w:rPr>
              <w:t>（大写：人民币</w:t>
            </w:r>
            <w:r>
              <w:rPr>
                <w:rFonts w:hint="eastAsia" w:ascii="宋体" w:hAnsi="宋体" w:cs="宋体"/>
                <w:color w:val="auto"/>
                <w:sz w:val="24"/>
                <w:highlight w:val="none"/>
                <w:lang w:val="en-US" w:eastAsia="zh-CN"/>
              </w:rPr>
              <w:t>陆拾万元整</w:t>
            </w:r>
            <w:r>
              <w:rPr>
                <w:rFonts w:hint="eastAsia" w:ascii="宋体" w:hAnsi="宋体" w:eastAsia="宋体" w:cs="宋体"/>
                <w:color w:val="auto"/>
                <w:sz w:val="24"/>
                <w:highlight w:val="none"/>
              </w:rPr>
              <w:t>）</w:t>
            </w:r>
          </w:p>
        </w:tc>
      </w:tr>
      <w:tr w14:paraId="419A8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18AF6F52">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w:t>
            </w:r>
          </w:p>
        </w:tc>
        <w:tc>
          <w:tcPr>
            <w:tcW w:w="928" w:type="pct"/>
            <w:tcBorders>
              <w:top w:val="single" w:color="auto" w:sz="4" w:space="0"/>
              <w:left w:val="single" w:color="auto" w:sz="4" w:space="0"/>
              <w:bottom w:val="single" w:color="auto" w:sz="4" w:space="0"/>
              <w:right w:val="single" w:color="auto" w:sz="4" w:space="0"/>
            </w:tcBorders>
            <w:vAlign w:val="center"/>
          </w:tcPr>
          <w:p w14:paraId="24236DC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最高投标限价</w:t>
            </w:r>
          </w:p>
        </w:tc>
        <w:tc>
          <w:tcPr>
            <w:tcW w:w="3719" w:type="pct"/>
            <w:tcBorders>
              <w:top w:val="single" w:color="auto" w:sz="4" w:space="0"/>
              <w:left w:val="single" w:color="auto" w:sz="4" w:space="0"/>
              <w:bottom w:val="single" w:color="auto" w:sz="4" w:space="0"/>
              <w:right w:val="single" w:color="auto" w:sz="4" w:space="0"/>
            </w:tcBorders>
            <w:vAlign w:val="center"/>
          </w:tcPr>
          <w:p w14:paraId="178352A9">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小写：599966.43</w:t>
            </w:r>
            <w:r>
              <w:rPr>
                <w:rFonts w:hint="eastAsia" w:ascii="宋体" w:hAnsi="宋体" w:cs="宋体"/>
                <w:color w:val="auto"/>
                <w:sz w:val="24"/>
                <w:highlight w:val="none"/>
                <w:u w:val="none"/>
                <w:lang w:val="en-US" w:eastAsia="zh-CN"/>
              </w:rPr>
              <w:t>元</w:t>
            </w:r>
            <w:r>
              <w:rPr>
                <w:rFonts w:hint="eastAsia" w:ascii="宋体" w:hAnsi="宋体" w:eastAsia="宋体" w:cs="宋体"/>
                <w:color w:val="auto"/>
                <w:sz w:val="24"/>
                <w:highlight w:val="none"/>
              </w:rPr>
              <w:t>（大写：人民币</w:t>
            </w:r>
            <w:r>
              <w:rPr>
                <w:rFonts w:hint="eastAsia" w:ascii="宋体" w:hAnsi="宋体" w:cs="宋体"/>
                <w:color w:val="auto"/>
                <w:sz w:val="24"/>
                <w:highlight w:val="none"/>
                <w:lang w:val="en-US" w:eastAsia="zh-CN"/>
              </w:rPr>
              <w:t>伍拾玖万玖仟玖佰陆拾陆元肆角叁分</w:t>
            </w:r>
            <w:r>
              <w:rPr>
                <w:rFonts w:hint="eastAsia" w:ascii="宋体" w:hAnsi="宋体" w:eastAsia="宋体" w:cs="宋体"/>
                <w:color w:val="auto"/>
                <w:sz w:val="24"/>
                <w:highlight w:val="none"/>
              </w:rPr>
              <w:t>）</w:t>
            </w:r>
          </w:p>
        </w:tc>
      </w:tr>
      <w:tr w14:paraId="62512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49E9544">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928" w:type="pct"/>
            <w:tcBorders>
              <w:top w:val="single" w:color="auto" w:sz="4" w:space="0"/>
              <w:left w:val="single" w:color="auto" w:sz="4" w:space="0"/>
              <w:bottom w:val="single" w:color="auto" w:sz="4" w:space="0"/>
              <w:right w:val="single" w:color="auto" w:sz="4" w:space="0"/>
            </w:tcBorders>
            <w:vAlign w:val="center"/>
          </w:tcPr>
          <w:p w14:paraId="4E55C21B">
            <w:pPr>
              <w:keepNext w:val="0"/>
              <w:keepLines w:val="0"/>
              <w:pageBreakBefore w:val="0"/>
              <w:widowControl/>
              <w:kinsoku/>
              <w:wordWrap/>
              <w:overflowPunct/>
              <w:topLinePunct w:val="0"/>
              <w:autoSpaceDE/>
              <w:autoSpaceDN/>
              <w:bidi w:val="0"/>
              <w:adjustRightInd/>
              <w:snapToGrid/>
              <w:spacing w:line="460" w:lineRule="exact"/>
              <w:jc w:val="center"/>
              <w:textAlignment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eastAsia="zh-CN"/>
              </w:rPr>
              <w:t>项目资金来源</w:t>
            </w:r>
          </w:p>
        </w:tc>
        <w:tc>
          <w:tcPr>
            <w:tcW w:w="3719" w:type="pct"/>
            <w:tcBorders>
              <w:top w:val="single" w:color="auto" w:sz="4" w:space="0"/>
              <w:left w:val="single" w:color="auto" w:sz="4" w:space="0"/>
              <w:bottom w:val="single" w:color="auto" w:sz="4" w:space="0"/>
              <w:right w:val="single" w:color="auto" w:sz="4" w:space="0"/>
            </w:tcBorders>
            <w:vAlign w:val="center"/>
          </w:tcPr>
          <w:p w14:paraId="35F7733E">
            <w:pPr>
              <w:keepNext w:val="0"/>
              <w:keepLines w:val="0"/>
              <w:pageBreakBefore w:val="0"/>
              <w:widowControl/>
              <w:kinsoku/>
              <w:wordWrap/>
              <w:overflowPunct/>
              <w:topLinePunct w:val="0"/>
              <w:autoSpaceDE/>
              <w:autoSpaceDN/>
              <w:bidi w:val="0"/>
              <w:adjustRightInd/>
              <w:snapToGrid/>
              <w:spacing w:line="440" w:lineRule="exact"/>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上级资金</w:t>
            </w:r>
          </w:p>
        </w:tc>
      </w:tr>
      <w:tr w14:paraId="36C7B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6DE37CC">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928" w:type="pct"/>
            <w:tcBorders>
              <w:top w:val="single" w:color="auto" w:sz="4" w:space="0"/>
              <w:left w:val="single" w:color="auto" w:sz="4" w:space="0"/>
              <w:bottom w:val="single" w:color="auto" w:sz="4" w:space="0"/>
              <w:right w:val="single" w:color="auto" w:sz="4" w:space="0"/>
            </w:tcBorders>
            <w:vAlign w:val="center"/>
          </w:tcPr>
          <w:p w14:paraId="6C6ED968">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资金落实情况</w:t>
            </w:r>
          </w:p>
        </w:tc>
        <w:tc>
          <w:tcPr>
            <w:tcW w:w="3719" w:type="pct"/>
            <w:tcBorders>
              <w:top w:val="single" w:color="auto" w:sz="4" w:space="0"/>
              <w:left w:val="single" w:color="auto" w:sz="4" w:space="0"/>
              <w:bottom w:val="single" w:color="auto" w:sz="4" w:space="0"/>
              <w:right w:val="single" w:color="auto" w:sz="4" w:space="0"/>
            </w:tcBorders>
            <w:vAlign w:val="center"/>
          </w:tcPr>
          <w:p w14:paraId="4F0F6551">
            <w:pPr>
              <w:keepNext w:val="0"/>
              <w:keepLines w:val="0"/>
              <w:pageBreakBefore w:val="0"/>
              <w:kinsoku/>
              <w:wordWrap/>
              <w:overflowPunct/>
              <w:autoSpaceDE/>
              <w:autoSpaceDN/>
              <w:bidi w:val="0"/>
              <w:snapToGrid/>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已落实</w:t>
            </w:r>
          </w:p>
        </w:tc>
      </w:tr>
      <w:tr w14:paraId="41DF7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388DFC39">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w:t>
            </w:r>
          </w:p>
        </w:tc>
        <w:tc>
          <w:tcPr>
            <w:tcW w:w="928" w:type="pct"/>
            <w:tcBorders>
              <w:top w:val="single" w:color="auto" w:sz="4" w:space="0"/>
              <w:left w:val="single" w:color="auto" w:sz="4" w:space="0"/>
              <w:bottom w:val="single" w:color="auto" w:sz="4" w:space="0"/>
              <w:right w:val="single" w:color="auto" w:sz="4" w:space="0"/>
            </w:tcBorders>
            <w:vAlign w:val="center"/>
          </w:tcPr>
          <w:p w14:paraId="46D6BD19">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采购需求</w:t>
            </w:r>
          </w:p>
        </w:tc>
        <w:tc>
          <w:tcPr>
            <w:tcW w:w="3719" w:type="pct"/>
            <w:tcBorders>
              <w:top w:val="single" w:color="auto" w:sz="4" w:space="0"/>
              <w:left w:val="single" w:color="auto" w:sz="4" w:space="0"/>
              <w:bottom w:val="single" w:color="auto" w:sz="4" w:space="0"/>
              <w:right w:val="single" w:color="auto" w:sz="4" w:space="0"/>
            </w:tcBorders>
            <w:vAlign w:val="center"/>
          </w:tcPr>
          <w:p w14:paraId="2853DFB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经济作物产业发展蓄水池建设：新建4个120立方钢筋混凝土现浇产业发展蓄水池，并配套DN50pe管及接管等配套管材，同时在水池旁设置安全警示牌。</w:t>
            </w:r>
            <w:r>
              <w:rPr>
                <w:rFonts w:hint="eastAsia" w:ascii="宋体" w:hAnsi="宋体" w:cs="宋体"/>
                <w:color w:val="auto"/>
                <w:sz w:val="24"/>
                <w:highlight w:val="none"/>
                <w:lang w:val="en-US" w:eastAsia="zh-CN"/>
              </w:rPr>
              <w:t>其中，DN50pe管约225米并配套接管管材；设置安全警示牌4个。</w:t>
            </w:r>
            <w:r>
              <w:rPr>
                <w:rFonts w:hint="eastAsia" w:ascii="宋体" w:hAnsi="宋体" w:eastAsia="宋体" w:cs="宋体"/>
                <w:color w:val="auto"/>
                <w:sz w:val="24"/>
                <w:highlight w:val="none"/>
                <w:lang w:val="en-US" w:eastAsia="zh-CN"/>
              </w:rPr>
              <w:t>具体以发布的工程量清单为准。</w:t>
            </w:r>
          </w:p>
        </w:tc>
      </w:tr>
      <w:tr w14:paraId="6DB6D8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A6554DD">
            <w:pPr>
              <w:keepNext w:val="0"/>
              <w:keepLines w:val="0"/>
              <w:pageBreakBefore w:val="0"/>
              <w:kinsoku/>
              <w:wordWrap/>
              <w:overflowPunct/>
              <w:autoSpaceDE/>
              <w:autoSpaceDN/>
              <w:bidi w:val="0"/>
              <w:spacing w:line="5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928" w:type="pct"/>
            <w:tcBorders>
              <w:top w:val="single" w:color="auto" w:sz="4" w:space="0"/>
              <w:left w:val="single" w:color="auto" w:sz="4" w:space="0"/>
              <w:bottom w:val="single" w:color="auto" w:sz="4" w:space="0"/>
              <w:right w:val="single" w:color="auto" w:sz="4" w:space="0"/>
            </w:tcBorders>
            <w:vAlign w:val="center"/>
          </w:tcPr>
          <w:p w14:paraId="257AB1C6">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质量要求</w:t>
            </w:r>
          </w:p>
        </w:tc>
        <w:tc>
          <w:tcPr>
            <w:tcW w:w="3719" w:type="pct"/>
            <w:tcBorders>
              <w:top w:val="single" w:color="auto" w:sz="4" w:space="0"/>
              <w:left w:val="single" w:color="auto" w:sz="4" w:space="0"/>
              <w:bottom w:val="single" w:color="auto" w:sz="4" w:space="0"/>
              <w:right w:val="single" w:color="auto" w:sz="4" w:space="0"/>
            </w:tcBorders>
            <w:vAlign w:val="center"/>
          </w:tcPr>
          <w:p w14:paraId="24A232AB">
            <w:pPr>
              <w:keepNext w:val="0"/>
              <w:keepLines w:val="0"/>
              <w:pageBreakBefore w:val="0"/>
              <w:kinsoku/>
              <w:wordWrap/>
              <w:overflowPunct/>
              <w:autoSpaceDE/>
              <w:autoSpaceDN/>
              <w:bidi w:val="0"/>
              <w:snapToGrid/>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符合现行国家有关工程施工验收规范和标准的要求，一次性验收合格。</w:t>
            </w:r>
          </w:p>
        </w:tc>
      </w:tr>
      <w:tr w14:paraId="72723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7A80AC2">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928" w:type="pct"/>
            <w:tcBorders>
              <w:top w:val="single" w:color="auto" w:sz="4" w:space="0"/>
              <w:left w:val="single" w:color="auto" w:sz="4" w:space="0"/>
              <w:bottom w:val="single" w:color="auto" w:sz="4" w:space="0"/>
              <w:right w:val="single" w:color="auto" w:sz="4" w:space="0"/>
            </w:tcBorders>
            <w:vAlign w:val="center"/>
          </w:tcPr>
          <w:p w14:paraId="1F41BB31">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工期</w:t>
            </w:r>
          </w:p>
        </w:tc>
        <w:tc>
          <w:tcPr>
            <w:tcW w:w="3719" w:type="pct"/>
            <w:tcBorders>
              <w:top w:val="single" w:color="auto" w:sz="4" w:space="0"/>
              <w:left w:val="single" w:color="auto" w:sz="4" w:space="0"/>
              <w:bottom w:val="single" w:color="auto" w:sz="4" w:space="0"/>
              <w:right w:val="single" w:color="auto" w:sz="4" w:space="0"/>
            </w:tcBorders>
            <w:vAlign w:val="center"/>
          </w:tcPr>
          <w:p w14:paraId="764F0366">
            <w:pPr>
              <w:keepNext w:val="0"/>
              <w:keepLines w:val="0"/>
              <w:pageBreakBefore w:val="0"/>
              <w:kinsoku/>
              <w:wordWrap/>
              <w:overflowPunct/>
              <w:autoSpaceDE/>
              <w:autoSpaceDN/>
              <w:bidi w:val="0"/>
              <w:snapToGrid/>
              <w:spacing w:line="440" w:lineRule="exact"/>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合同签订后，按招标人实际通知开工日期起计算</w:t>
            </w:r>
            <w:r>
              <w:rPr>
                <w:rFonts w:hint="eastAsia" w:ascii="宋体" w:hAnsi="宋体" w:cs="宋体"/>
                <w:color w:val="auto"/>
                <w:sz w:val="24"/>
                <w:highlight w:val="none"/>
                <w:lang w:val="en-US" w:eastAsia="zh-CN"/>
              </w:rPr>
              <w:t>120日历天</w:t>
            </w:r>
            <w:r>
              <w:rPr>
                <w:rFonts w:hint="eastAsia" w:ascii="宋体" w:hAnsi="宋体" w:cs="宋体"/>
                <w:color w:val="auto"/>
                <w:sz w:val="24"/>
                <w:highlight w:val="none"/>
                <w:lang w:eastAsia="zh-CN"/>
              </w:rPr>
              <w:t>内完工。</w:t>
            </w:r>
          </w:p>
        </w:tc>
      </w:tr>
      <w:tr w14:paraId="6EB65C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217D452F">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928" w:type="pct"/>
            <w:tcBorders>
              <w:top w:val="single" w:color="auto" w:sz="4" w:space="0"/>
              <w:left w:val="single" w:color="auto" w:sz="4" w:space="0"/>
              <w:bottom w:val="single" w:color="auto" w:sz="4" w:space="0"/>
              <w:right w:val="single" w:color="auto" w:sz="4" w:space="0"/>
            </w:tcBorders>
            <w:vAlign w:val="center"/>
          </w:tcPr>
          <w:p w14:paraId="4B64664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质量保修期</w:t>
            </w:r>
          </w:p>
        </w:tc>
        <w:tc>
          <w:tcPr>
            <w:tcW w:w="3719" w:type="pct"/>
            <w:tcBorders>
              <w:top w:val="single" w:color="auto" w:sz="4" w:space="0"/>
              <w:left w:val="single" w:color="auto" w:sz="4" w:space="0"/>
              <w:bottom w:val="single" w:color="auto" w:sz="4" w:space="0"/>
              <w:right w:val="single" w:color="auto" w:sz="4" w:space="0"/>
            </w:tcBorders>
            <w:vAlign w:val="center"/>
          </w:tcPr>
          <w:p w14:paraId="56D7D287">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根据国务院279号令规定执行。</w:t>
            </w:r>
          </w:p>
        </w:tc>
      </w:tr>
      <w:tr w14:paraId="5520D8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5564905C">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14</w:t>
            </w:r>
          </w:p>
        </w:tc>
        <w:tc>
          <w:tcPr>
            <w:tcW w:w="928" w:type="pct"/>
            <w:tcBorders>
              <w:top w:val="single" w:color="auto" w:sz="4" w:space="0"/>
              <w:left w:val="single" w:color="auto" w:sz="4" w:space="0"/>
              <w:bottom w:val="single" w:color="auto" w:sz="4" w:space="0"/>
              <w:right w:val="single" w:color="auto" w:sz="4" w:space="0"/>
            </w:tcBorders>
            <w:vAlign w:val="center"/>
          </w:tcPr>
          <w:p w14:paraId="34059A5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项目</w:t>
            </w:r>
            <w:r>
              <w:rPr>
                <w:rFonts w:hint="eastAsia" w:ascii="宋体" w:hAnsi="宋体" w:eastAsia="宋体" w:cs="宋体"/>
                <w:bCs/>
                <w:color w:val="auto"/>
                <w:sz w:val="24"/>
                <w:highlight w:val="none"/>
              </w:rPr>
              <w:t>地点</w:t>
            </w:r>
          </w:p>
        </w:tc>
        <w:tc>
          <w:tcPr>
            <w:tcW w:w="3719" w:type="pct"/>
            <w:tcBorders>
              <w:top w:val="single" w:color="auto" w:sz="4" w:space="0"/>
              <w:left w:val="single" w:color="auto" w:sz="4" w:space="0"/>
              <w:bottom w:val="single" w:color="auto" w:sz="4" w:space="0"/>
              <w:right w:val="single" w:color="auto" w:sz="4" w:space="0"/>
            </w:tcBorders>
            <w:vAlign w:val="center"/>
          </w:tcPr>
          <w:p w14:paraId="473BA7B7">
            <w:pPr>
              <w:keepNext w:val="0"/>
              <w:keepLines w:val="0"/>
              <w:pageBreakBefore w:val="0"/>
              <w:kinsoku/>
              <w:wordWrap/>
              <w:overflowPunct/>
              <w:autoSpaceDE/>
              <w:autoSpaceDN/>
              <w:bidi w:val="0"/>
              <w:snapToGrid/>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西定乡曼迈村</w:t>
            </w:r>
            <w:r>
              <w:rPr>
                <w:rFonts w:hint="eastAsia" w:ascii="宋体" w:hAnsi="宋体" w:eastAsia="宋体" w:cs="宋体"/>
                <w:color w:val="auto"/>
                <w:sz w:val="24"/>
                <w:highlight w:val="none"/>
                <w:lang w:val="en-US" w:eastAsia="zh-CN"/>
              </w:rPr>
              <w:t>。</w:t>
            </w:r>
          </w:p>
        </w:tc>
      </w:tr>
      <w:tr w14:paraId="3CD14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5672B589">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color w:val="auto"/>
                <w:sz w:val="24"/>
                <w:highlight w:val="none"/>
                <w:lang w:val="en-US" w:eastAsia="zh-CN"/>
              </w:rPr>
              <w:t>15</w:t>
            </w:r>
          </w:p>
        </w:tc>
        <w:tc>
          <w:tcPr>
            <w:tcW w:w="928" w:type="pct"/>
            <w:tcBorders>
              <w:top w:val="single" w:color="auto" w:sz="4" w:space="0"/>
              <w:left w:val="single" w:color="auto" w:sz="4" w:space="0"/>
              <w:bottom w:val="single" w:color="auto" w:sz="4" w:space="0"/>
              <w:right w:val="single" w:color="auto" w:sz="4" w:space="0"/>
            </w:tcBorders>
            <w:vAlign w:val="center"/>
          </w:tcPr>
          <w:p w14:paraId="08F9C9AB">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供应商资格要求</w:t>
            </w:r>
          </w:p>
        </w:tc>
        <w:tc>
          <w:tcPr>
            <w:tcW w:w="3719" w:type="pct"/>
            <w:tcBorders>
              <w:top w:val="single" w:color="auto" w:sz="4" w:space="0"/>
              <w:left w:val="single" w:color="auto" w:sz="4" w:space="0"/>
              <w:bottom w:val="single" w:color="auto" w:sz="4" w:space="0"/>
              <w:right w:val="single" w:color="auto" w:sz="4" w:space="0"/>
            </w:tcBorders>
            <w:vAlign w:val="center"/>
          </w:tcPr>
          <w:p w14:paraId="03515B4A">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详见“第一章 竞争性磋商公告”。</w:t>
            </w:r>
          </w:p>
        </w:tc>
      </w:tr>
      <w:tr w14:paraId="0C9AD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6EFCCBF6">
            <w:pPr>
              <w:spacing w:line="440" w:lineRule="exact"/>
              <w:jc w:val="center"/>
              <w:rPr>
                <w:rFonts w:hint="default"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16</w:t>
            </w:r>
          </w:p>
        </w:tc>
        <w:tc>
          <w:tcPr>
            <w:tcW w:w="928" w:type="pct"/>
            <w:tcBorders>
              <w:top w:val="single" w:color="auto" w:sz="4" w:space="0"/>
              <w:left w:val="single" w:color="auto" w:sz="4" w:space="0"/>
              <w:bottom w:val="single" w:color="auto" w:sz="4" w:space="0"/>
              <w:right w:val="single" w:color="auto" w:sz="4" w:space="0"/>
            </w:tcBorders>
            <w:vAlign w:val="center"/>
          </w:tcPr>
          <w:p w14:paraId="073BCEF4">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lang w:eastAsia="zh-CN"/>
              </w:rPr>
              <w:t>供应商不得存在的其他情形</w:t>
            </w:r>
          </w:p>
        </w:tc>
        <w:tc>
          <w:tcPr>
            <w:tcW w:w="3719" w:type="pct"/>
            <w:tcBorders>
              <w:top w:val="single" w:color="auto" w:sz="4" w:space="0"/>
              <w:left w:val="single" w:color="auto" w:sz="4" w:space="0"/>
              <w:bottom w:val="single" w:color="auto" w:sz="4" w:space="0"/>
              <w:right w:val="single" w:color="auto" w:sz="4" w:space="0"/>
            </w:tcBorders>
            <w:vAlign w:val="center"/>
          </w:tcPr>
          <w:p w14:paraId="5F20ABD8">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根据《中华人民共和国政府采购法实施条例》第十八条规定：</w:t>
            </w:r>
          </w:p>
          <w:p w14:paraId="1FDDA8CF">
            <w:pPr>
              <w:keepNext w:val="0"/>
              <w:keepLines w:val="0"/>
              <w:pageBreakBefore w:val="0"/>
              <w:widowControl w:val="0"/>
              <w:numPr>
                <w:ilvl w:val="0"/>
                <w:numId w:val="2"/>
              </w:numPr>
              <w:kinsoku/>
              <w:wordWrap/>
              <w:overflowPunct/>
              <w:autoSpaceDE/>
              <w:autoSpaceDN/>
              <w:bidi w:val="0"/>
              <w:snapToGrid/>
              <w:spacing w:line="44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单位负责人为同一人或者存在直接控股、管理关系的不同供应商，不得参加同一合同项下的政府采购活动。</w:t>
            </w:r>
          </w:p>
          <w:p w14:paraId="37068FFD">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（2）除单一来源采购项目外，为采购项目提供整体设计、规范编制或者项目管理、监理、检测等服务的供应商，不得再参加该采购项目的其他采购活动。</w:t>
            </w:r>
          </w:p>
          <w:p w14:paraId="6266E088">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highlight w:val="none"/>
                <w:lang w:eastAsia="zh-CN"/>
              </w:rPr>
              <w:t>注：供应商须</w:t>
            </w:r>
            <w:r>
              <w:rPr>
                <w:rFonts w:hint="eastAsia" w:ascii="宋体" w:hAnsi="宋体" w:eastAsia="宋体" w:cs="宋体"/>
                <w:bCs/>
                <w:color w:val="auto"/>
                <w:sz w:val="24"/>
                <w:highlight w:val="none"/>
              </w:rPr>
              <w:t>针对</w:t>
            </w:r>
            <w:r>
              <w:rPr>
                <w:rFonts w:hint="eastAsia" w:ascii="宋体" w:hAnsi="宋体" w:eastAsia="宋体" w:cs="宋体"/>
                <w:bCs/>
                <w:color w:val="auto"/>
                <w:sz w:val="24"/>
                <w:highlight w:val="none"/>
                <w:lang w:val="en-US" w:eastAsia="zh-CN"/>
              </w:rPr>
              <w:t>以上</w:t>
            </w:r>
            <w:r>
              <w:rPr>
                <w:rFonts w:hint="eastAsia" w:ascii="宋体" w:hAnsi="宋体" w:eastAsia="宋体" w:cs="宋体"/>
                <w:bCs/>
                <w:color w:val="auto"/>
                <w:sz w:val="24"/>
                <w:highlight w:val="none"/>
              </w:rPr>
              <w:t>内容提供书面承诺</w:t>
            </w:r>
            <w:r>
              <w:rPr>
                <w:rFonts w:hint="eastAsia" w:ascii="宋体" w:hAnsi="宋体" w:eastAsia="宋体" w:cs="宋体"/>
                <w:bCs/>
                <w:color w:val="auto"/>
                <w:sz w:val="24"/>
                <w:highlight w:val="none"/>
                <w:lang w:eastAsia="zh-CN"/>
              </w:rPr>
              <w:t>。</w:t>
            </w:r>
          </w:p>
        </w:tc>
      </w:tr>
      <w:tr w14:paraId="651572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68B468EA">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17</w:t>
            </w:r>
          </w:p>
        </w:tc>
        <w:tc>
          <w:tcPr>
            <w:tcW w:w="928" w:type="pct"/>
            <w:tcBorders>
              <w:top w:val="single" w:color="auto" w:sz="4" w:space="0"/>
              <w:left w:val="single" w:color="auto" w:sz="4" w:space="0"/>
              <w:bottom w:val="single" w:color="auto" w:sz="4" w:space="0"/>
              <w:right w:val="single" w:color="auto" w:sz="4" w:space="0"/>
            </w:tcBorders>
            <w:vAlign w:val="center"/>
          </w:tcPr>
          <w:p w14:paraId="583EBE10">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信用信息查询</w:t>
            </w:r>
          </w:p>
        </w:tc>
        <w:tc>
          <w:tcPr>
            <w:tcW w:w="3719" w:type="pct"/>
            <w:tcBorders>
              <w:top w:val="single" w:color="auto" w:sz="4" w:space="0"/>
              <w:left w:val="single" w:color="auto" w:sz="4" w:space="0"/>
              <w:bottom w:val="single" w:color="auto" w:sz="4" w:space="0"/>
              <w:right w:val="single" w:color="auto" w:sz="4" w:space="0"/>
            </w:tcBorders>
            <w:vAlign w:val="center"/>
          </w:tcPr>
          <w:p w14:paraId="5BF8CFEB">
            <w:pPr>
              <w:keepNext w:val="0"/>
              <w:keepLines w:val="0"/>
              <w:pageBreakBefore w:val="0"/>
              <w:widowControl w:val="0"/>
              <w:kinsoku/>
              <w:wordWrap/>
              <w:overflowPunct/>
              <w:autoSpaceDE/>
              <w:autoSpaceDN/>
              <w:bidi w:val="0"/>
              <w:adjustRightInd/>
              <w:snapToGrid/>
              <w:spacing w:line="440" w:lineRule="exact"/>
              <w:jc w:val="left"/>
              <w:textAlignment w:val="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详见“第一章 竞争性磋商公告”。</w:t>
            </w:r>
            <w:r>
              <w:rPr>
                <w:rFonts w:hint="eastAsia" w:ascii="宋体" w:hAnsi="宋体" w:cs="宋体"/>
                <w:color w:val="auto"/>
                <w:sz w:val="24"/>
                <w:highlight w:val="none"/>
                <w:lang w:val="en-US" w:eastAsia="zh-CN"/>
              </w:rPr>
              <w:t xml:space="preserve"> </w:t>
            </w:r>
          </w:p>
        </w:tc>
      </w:tr>
      <w:tr w14:paraId="5AE07D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5FED1E1A">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18</w:t>
            </w:r>
          </w:p>
        </w:tc>
        <w:tc>
          <w:tcPr>
            <w:tcW w:w="928" w:type="pct"/>
            <w:tcBorders>
              <w:top w:val="single" w:color="auto" w:sz="4" w:space="0"/>
              <w:left w:val="single" w:color="auto" w:sz="4" w:space="0"/>
              <w:bottom w:val="single" w:color="auto" w:sz="4" w:space="0"/>
              <w:right w:val="single" w:color="auto" w:sz="4" w:space="0"/>
            </w:tcBorders>
            <w:vAlign w:val="center"/>
          </w:tcPr>
          <w:p w14:paraId="64DA84D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磋商</w:t>
            </w:r>
            <w:r>
              <w:rPr>
                <w:rFonts w:hint="eastAsia" w:ascii="宋体" w:hAnsi="宋体" w:eastAsia="宋体" w:cs="宋体"/>
                <w:bCs/>
                <w:color w:val="auto"/>
                <w:sz w:val="24"/>
                <w:highlight w:val="none"/>
              </w:rPr>
              <w:t>有效期</w:t>
            </w:r>
          </w:p>
        </w:tc>
        <w:tc>
          <w:tcPr>
            <w:tcW w:w="3719" w:type="pct"/>
            <w:tcBorders>
              <w:top w:val="single" w:color="auto" w:sz="4" w:space="0"/>
              <w:left w:val="single" w:color="auto" w:sz="4" w:space="0"/>
              <w:bottom w:val="single" w:color="auto" w:sz="4" w:space="0"/>
              <w:right w:val="single" w:color="auto" w:sz="4" w:space="0"/>
            </w:tcBorders>
            <w:vAlign w:val="center"/>
          </w:tcPr>
          <w:p w14:paraId="765D20FB">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90日历天(提交</w:t>
            </w:r>
            <w:r>
              <w:rPr>
                <w:rFonts w:hint="eastAsia" w:ascii="宋体" w:hAnsi="宋体" w:eastAsia="宋体" w:cs="宋体"/>
                <w:bCs/>
                <w:color w:val="auto"/>
                <w:sz w:val="24"/>
                <w:highlight w:val="none"/>
                <w:lang w:val="en-US" w:eastAsia="zh-CN"/>
              </w:rPr>
              <w:t>响应</w:t>
            </w:r>
            <w:r>
              <w:rPr>
                <w:rFonts w:hint="eastAsia" w:ascii="宋体" w:hAnsi="宋体" w:eastAsia="宋体" w:cs="宋体"/>
                <w:bCs/>
                <w:color w:val="auto"/>
                <w:sz w:val="24"/>
                <w:highlight w:val="none"/>
              </w:rPr>
              <w:t>文件截止之日起计算)。</w:t>
            </w:r>
          </w:p>
        </w:tc>
      </w:tr>
      <w:tr w14:paraId="532486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A1C834F">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19</w:t>
            </w:r>
          </w:p>
        </w:tc>
        <w:tc>
          <w:tcPr>
            <w:tcW w:w="928" w:type="pct"/>
            <w:tcBorders>
              <w:top w:val="single" w:color="auto" w:sz="4" w:space="0"/>
              <w:left w:val="single" w:color="auto" w:sz="4" w:space="0"/>
              <w:bottom w:val="single" w:color="auto" w:sz="4" w:space="0"/>
              <w:right w:val="single" w:color="auto" w:sz="4" w:space="0"/>
            </w:tcBorders>
            <w:vAlign w:val="center"/>
          </w:tcPr>
          <w:p w14:paraId="643BBD98">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rPr>
              <w:t>保证金</w:t>
            </w:r>
          </w:p>
        </w:tc>
        <w:tc>
          <w:tcPr>
            <w:tcW w:w="3719" w:type="pct"/>
            <w:tcBorders>
              <w:top w:val="single" w:color="auto" w:sz="4" w:space="0"/>
              <w:left w:val="single" w:color="auto" w:sz="4" w:space="0"/>
              <w:bottom w:val="single" w:color="auto" w:sz="4" w:space="0"/>
              <w:right w:val="single" w:color="auto" w:sz="4" w:space="0"/>
            </w:tcBorders>
            <w:vAlign w:val="center"/>
          </w:tcPr>
          <w:p w14:paraId="7FF33DA2">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lang w:eastAsia="zh-CN"/>
              </w:rPr>
            </w:pP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保证金缴纳金额：小写：</w:t>
            </w:r>
            <w:r>
              <w:rPr>
                <w:rFonts w:hint="eastAsia" w:hAnsi="宋体" w:cs="宋体"/>
                <w:bCs/>
                <w:color w:val="auto"/>
                <w:kern w:val="2"/>
                <w:highlight w:val="none"/>
                <w:shd w:val="clear" w:color="auto" w:fill="FFFFFF"/>
                <w:lang w:val="en-US" w:eastAsia="zh-CN"/>
              </w:rPr>
              <w:t>5000.00</w:t>
            </w:r>
            <w:r>
              <w:rPr>
                <w:rFonts w:hint="eastAsia" w:ascii="宋体" w:hAnsi="宋体" w:eastAsia="宋体" w:cs="宋体"/>
                <w:bCs/>
                <w:color w:val="auto"/>
                <w:kern w:val="2"/>
                <w:highlight w:val="none"/>
                <w:shd w:val="clear" w:color="auto" w:fill="FFFFFF"/>
              </w:rPr>
              <w:t>元，（大写：人民币</w:t>
            </w:r>
            <w:r>
              <w:rPr>
                <w:rFonts w:hint="eastAsia" w:hAnsi="宋体" w:cs="宋体"/>
                <w:bCs/>
                <w:color w:val="auto"/>
                <w:kern w:val="2"/>
                <w:highlight w:val="none"/>
                <w:shd w:val="clear" w:color="auto" w:fill="FFFFFF"/>
                <w:lang w:val="en-US" w:eastAsia="zh-CN"/>
              </w:rPr>
              <w:t>伍仟元整）</w:t>
            </w:r>
            <w:r>
              <w:rPr>
                <w:rFonts w:hint="eastAsia" w:ascii="宋体" w:hAnsi="宋体" w:eastAsia="宋体" w:cs="宋体"/>
                <w:bCs/>
                <w:color w:val="auto"/>
                <w:kern w:val="2"/>
                <w:highlight w:val="none"/>
                <w:shd w:val="clear" w:color="auto" w:fill="FFFFFF"/>
                <w:lang w:eastAsia="zh-CN"/>
              </w:rPr>
              <w:t>。</w:t>
            </w:r>
          </w:p>
          <w:p w14:paraId="12D28AA4">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保证金的提交方式：银行转账、保证保险、银行保函，</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可根据实际情况，选择保证金的提供或缴纳方式。</w:t>
            </w:r>
          </w:p>
          <w:p w14:paraId="1307BA46">
            <w:pPr>
              <w:pStyle w:val="41"/>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采用银行转账方式：</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保证金应以</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自身的名义提交，并且必须从其基本账户转出，不得以分支机构其他名义提交（按照规定，</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可以为自然人的项目除外）。</w:t>
            </w:r>
          </w:p>
          <w:p w14:paraId="78D86F09">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户    名：</w:t>
            </w:r>
            <w:r>
              <w:rPr>
                <w:rFonts w:hint="eastAsia" w:ascii="宋体" w:hAnsi="宋体" w:eastAsia="宋体" w:cs="宋体"/>
                <w:bCs/>
                <w:color w:val="auto"/>
                <w:kern w:val="2"/>
                <w:highlight w:val="none"/>
                <w:shd w:val="clear" w:color="auto" w:fill="FFFFFF"/>
                <w:lang w:val="en-US" w:eastAsia="zh-CN"/>
              </w:rPr>
              <w:t>云南星骋项目管理有限公司</w:t>
            </w:r>
          </w:p>
          <w:p w14:paraId="074CA8BE">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开户银行：富滇银行股份有限公司西双版纳支行</w:t>
            </w:r>
          </w:p>
          <w:p w14:paraId="2EAC97A9">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 xml:space="preserve">账    号：120691960010000009785    </w:t>
            </w:r>
          </w:p>
          <w:p w14:paraId="11F5556C">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（二）采用投标保证保险方式：1.当</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未能按照响应文件要求履行投标义务而导致采购人受到损失时，由保险公司按照保险合同对采购人的损失承担代偿责任。2.</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在支付</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保证金保险费时，必须使用基本账号资金支付购买，未从基本账户转出支付保费造成经济纠纷的应由企业自行承担。3.在</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保证保险中，</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 xml:space="preserve">为投保人，采购人为被保险人。 </w:t>
            </w:r>
          </w:p>
          <w:p w14:paraId="7663B35A">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（三）采用银行保函方式：</w:t>
            </w:r>
            <w:r>
              <w:rPr>
                <w:rFonts w:hint="eastAsia" w:ascii="宋体" w:hAnsi="宋体" w:eastAsia="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需要使用数字证书（CA）在投标保函管理模块下找到对应项目，选择银行，购买银行保函，并进行分配打印确认回执；若出现未分配导致无法确认的请及时联系相关出函机构。</w:t>
            </w:r>
          </w:p>
          <w:p w14:paraId="39D7CD2B">
            <w:pPr>
              <w:pStyle w:val="41"/>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交纳保证金后</w:t>
            </w:r>
            <w:r>
              <w:rPr>
                <w:rFonts w:hint="eastAsia" w:hAnsi="宋体" w:cs="宋体"/>
                <w:bCs/>
                <w:color w:val="auto"/>
                <w:kern w:val="2"/>
                <w:highlight w:val="none"/>
                <w:shd w:val="clear" w:color="auto" w:fill="FFFFFF"/>
                <w:lang w:val="en-US" w:eastAsia="zh-CN"/>
              </w:rPr>
              <w:t>需要开具投标保证金收据的，</w:t>
            </w:r>
            <w:r>
              <w:rPr>
                <w:rFonts w:hint="eastAsia" w:ascii="宋体" w:hAnsi="宋体" w:eastAsia="宋体" w:cs="宋体"/>
                <w:bCs/>
                <w:color w:val="auto"/>
                <w:kern w:val="2"/>
                <w:highlight w:val="none"/>
                <w:shd w:val="clear" w:color="auto" w:fill="FFFFFF"/>
                <w:lang w:val="en-US" w:eastAsia="zh-CN"/>
              </w:rPr>
              <w:t>请联系云南星骋项目管理有限公司</w:t>
            </w:r>
            <w:r>
              <w:rPr>
                <w:rFonts w:hint="eastAsia" w:ascii="宋体" w:hAnsi="宋体" w:eastAsia="宋体" w:cs="宋体"/>
                <w:bCs/>
                <w:color w:val="auto"/>
                <w:kern w:val="2"/>
                <w:highlight w:val="none"/>
                <w:shd w:val="clear" w:color="auto" w:fill="FFFFFF"/>
              </w:rPr>
              <w:t>，联系人：郑丽凯，电话：15198499967。</w:t>
            </w:r>
          </w:p>
          <w:p w14:paraId="63C066F0">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shd w:val="clear" w:color="auto" w:fill="FFFFFF"/>
                <w:lang w:val="en-US" w:eastAsia="zh-CN"/>
              </w:rPr>
              <w:t>投标</w:t>
            </w:r>
            <w:r>
              <w:rPr>
                <w:rFonts w:hint="eastAsia" w:ascii="宋体" w:hAnsi="宋体" w:eastAsia="宋体" w:cs="宋体"/>
                <w:bCs/>
                <w:color w:val="auto"/>
                <w:sz w:val="24"/>
                <w:szCs w:val="24"/>
                <w:highlight w:val="none"/>
                <w:shd w:val="clear" w:color="auto" w:fill="FFFFFF"/>
              </w:rPr>
              <w:t>保证金交纳截止时间：</w:t>
            </w:r>
            <w:r>
              <w:rPr>
                <w:rFonts w:hint="eastAsia" w:ascii="宋体" w:hAnsi="宋体" w:cs="宋体"/>
                <w:bCs/>
                <w:color w:val="auto"/>
                <w:sz w:val="24"/>
                <w:szCs w:val="24"/>
                <w:highlight w:val="none"/>
                <w:shd w:val="clear" w:color="auto" w:fill="FFFFFF"/>
                <w:lang w:eastAsia="zh-CN"/>
              </w:rPr>
              <w:t>2026年08月06日09时00分</w:t>
            </w:r>
            <w:r>
              <w:rPr>
                <w:rFonts w:hint="eastAsia" w:ascii="宋体" w:hAnsi="宋体" w:eastAsia="宋体" w:cs="宋体"/>
                <w:bCs/>
                <w:color w:val="auto"/>
                <w:sz w:val="24"/>
                <w:szCs w:val="24"/>
                <w:highlight w:val="none"/>
                <w:shd w:val="clear" w:color="auto" w:fill="FFFFFF"/>
              </w:rPr>
              <w:t>。</w:t>
            </w:r>
          </w:p>
        </w:tc>
      </w:tr>
      <w:tr w14:paraId="509D2A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817D693">
            <w:pPr>
              <w:keepNext w:val="0"/>
              <w:keepLines w:val="0"/>
              <w:pageBreakBefore w:val="0"/>
              <w:kinsoku/>
              <w:wordWrap/>
              <w:overflowPunct/>
              <w:autoSpaceDE/>
              <w:autoSpaceDN/>
              <w:bidi w:val="0"/>
              <w:spacing w:line="500" w:lineRule="exact"/>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20</w:t>
            </w:r>
          </w:p>
        </w:tc>
        <w:tc>
          <w:tcPr>
            <w:tcW w:w="928" w:type="pct"/>
            <w:tcBorders>
              <w:top w:val="single" w:color="auto" w:sz="4" w:space="0"/>
              <w:left w:val="single" w:color="auto" w:sz="4" w:space="0"/>
              <w:bottom w:val="single" w:color="auto" w:sz="4" w:space="0"/>
              <w:right w:val="single" w:color="auto" w:sz="4" w:space="0"/>
            </w:tcBorders>
            <w:vAlign w:val="center"/>
          </w:tcPr>
          <w:p w14:paraId="573CD44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投标保证金的退还</w:t>
            </w:r>
          </w:p>
        </w:tc>
        <w:tc>
          <w:tcPr>
            <w:tcW w:w="3719" w:type="pct"/>
            <w:tcBorders>
              <w:top w:val="single" w:color="auto" w:sz="4" w:space="0"/>
              <w:left w:val="single" w:color="auto" w:sz="4" w:space="0"/>
              <w:bottom w:val="single" w:color="auto" w:sz="4" w:space="0"/>
              <w:right w:val="single" w:color="auto" w:sz="4" w:space="0"/>
            </w:tcBorders>
            <w:vAlign w:val="center"/>
          </w:tcPr>
          <w:p w14:paraId="05351D32">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1.未成交</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highlight w:val="none"/>
                <w:lang w:val="en-US" w:eastAsia="zh-CN" w:bidi="ar-SA"/>
              </w:rPr>
              <w:t>的投标保证金在成交结果公示期满后5个工作日内，由代理机构退还。</w:t>
            </w:r>
          </w:p>
          <w:p w14:paraId="4185A38C">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2.成交人的投标保证金在合同签订并上传至交易系统备案后5个工作日内，由代理机构在退还。</w:t>
            </w:r>
          </w:p>
          <w:p w14:paraId="20303009">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3.流标项目经代理机构发布招标异常公告后，5个工作日内由代理机构退还。</w:t>
            </w:r>
          </w:p>
          <w:p w14:paraId="721FDCB6">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ascii="宋体" w:hAnsi="宋体" w:eastAsia="宋体" w:cs="宋体"/>
                <w:bCs/>
                <w:color w:val="auto"/>
                <w:sz w:val="24"/>
                <w:szCs w:val="24"/>
                <w:highlight w:val="none"/>
                <w:shd w:val="clear" w:color="auto" w:fill="FFFFFF"/>
                <w:lang w:val="en-US"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highlight w:val="none"/>
                <w:lang w:val="en-US" w:eastAsia="zh-CN" w:bidi="ar-SA"/>
              </w:rPr>
              <w:t>在投标截止前放弃投标且已交纳投标保证金的，联系代理公司退还。</w:t>
            </w:r>
          </w:p>
        </w:tc>
      </w:tr>
      <w:tr w14:paraId="7EA624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6A1684E9">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21</w:t>
            </w:r>
          </w:p>
        </w:tc>
        <w:tc>
          <w:tcPr>
            <w:tcW w:w="928" w:type="pct"/>
            <w:tcBorders>
              <w:top w:val="single" w:color="auto" w:sz="4" w:space="0"/>
              <w:left w:val="single" w:color="auto" w:sz="4" w:space="0"/>
              <w:bottom w:val="single" w:color="auto" w:sz="4" w:space="0"/>
              <w:right w:val="single" w:color="auto" w:sz="4" w:space="0"/>
            </w:tcBorders>
            <w:vAlign w:val="center"/>
          </w:tcPr>
          <w:p w14:paraId="5DA266D2">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磋商报价的相关要求</w:t>
            </w:r>
          </w:p>
        </w:tc>
        <w:tc>
          <w:tcPr>
            <w:tcW w:w="3719" w:type="pct"/>
            <w:tcBorders>
              <w:top w:val="single" w:color="auto" w:sz="4" w:space="0"/>
              <w:left w:val="single" w:color="auto" w:sz="4" w:space="0"/>
              <w:bottom w:val="single" w:color="auto" w:sz="4" w:space="0"/>
              <w:right w:val="single" w:color="auto" w:sz="4" w:space="0"/>
            </w:tcBorders>
            <w:vAlign w:val="center"/>
          </w:tcPr>
          <w:p w14:paraId="02D4B772">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（1）采购人保留对严重不平衡报价进行调整的权利。</w:t>
            </w:r>
          </w:p>
          <w:p w14:paraId="54F19426">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本工程的报价采用工程量清单计价。供应商所报价格应是完成本项目采购需求规定的全部施工内容并提供相关文件规定的全部费用，包括完成该工程项目的分部分项工程费、措施费、其他项目费、规费、税金、政策性文件规定费用等所有费用。</w:t>
            </w:r>
          </w:p>
          <w:p w14:paraId="5F4F1420">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（3）供应商不能随意调整采购人公布的工程量清单。</w:t>
            </w:r>
          </w:p>
          <w:p w14:paraId="3019762B">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（4）供应商须根据竞争性磋商文件所提出的各项要求，以及自身具体情况，并考虑对采购人的优惠可能进行报价（含税价）。</w:t>
            </w:r>
          </w:p>
          <w:p w14:paraId="4291D031">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（5）供应商可先到工地踏勘以充分了解工地位置、情况、道路、储存空间、装卸限制及任何其他足以影响承包价的情况，任何因忽视或误解工地情况而导致的索赔或工期延长申请将不被批准。</w:t>
            </w:r>
          </w:p>
          <w:p w14:paraId="3E988137">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（6）供应商须全面考虑在将来施工过程中因市场价格波动带来的风险因素。如施工中出现设计修改、材料变更或工程量变更必须经采购人及监理单位（如有）的审核与签证，按实际审定结果进行调整。</w:t>
            </w:r>
          </w:p>
          <w:p w14:paraId="72BC4D0E">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（7）供应商应在响应文件“</w:t>
            </w: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lang w:val="en-US" w:eastAsia="zh-CN"/>
              </w:rPr>
              <w:t>报价一览表”和“已标价工程量清单”中进行首次报价，其响应文件通过初步评审后，供应商根据磋商内容，进行最后报价及确认。</w:t>
            </w:r>
          </w:p>
          <w:p w14:paraId="4610153A">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（8）供应商的首轮报价和二次报价均不得超过最高限价，报价保留小数点后二位，第三位四舍五入，否则其响应文件视为无效标书。</w:t>
            </w:r>
          </w:p>
        </w:tc>
      </w:tr>
      <w:tr w14:paraId="751A4B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A34857C">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22</w:t>
            </w:r>
          </w:p>
        </w:tc>
        <w:tc>
          <w:tcPr>
            <w:tcW w:w="928" w:type="pct"/>
            <w:tcBorders>
              <w:top w:val="single" w:color="auto" w:sz="4" w:space="0"/>
              <w:left w:val="single" w:color="auto" w:sz="4" w:space="0"/>
              <w:bottom w:val="single" w:color="auto" w:sz="4" w:space="0"/>
              <w:right w:val="single" w:color="auto" w:sz="4" w:space="0"/>
            </w:tcBorders>
            <w:vAlign w:val="center"/>
          </w:tcPr>
          <w:p w14:paraId="3F5B401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响应文件的份数</w:t>
            </w:r>
          </w:p>
        </w:tc>
        <w:tc>
          <w:tcPr>
            <w:tcW w:w="3719" w:type="pct"/>
            <w:tcBorders>
              <w:top w:val="single" w:color="auto" w:sz="4" w:space="0"/>
              <w:left w:val="single" w:color="auto" w:sz="4" w:space="0"/>
              <w:bottom w:val="single" w:color="auto" w:sz="4" w:space="0"/>
              <w:right w:val="single" w:color="auto" w:sz="4" w:space="0"/>
            </w:tcBorders>
            <w:vAlign w:val="center"/>
          </w:tcPr>
          <w:p w14:paraId="19C95D1B">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电子响应文件</w:t>
            </w:r>
            <w:r>
              <w:rPr>
                <w:rFonts w:hint="eastAsia" w:ascii="宋体" w:hAnsi="宋体" w:eastAsia="宋体" w:cs="宋体"/>
                <w:bCs/>
                <w:color w:val="auto"/>
                <w:sz w:val="24"/>
                <w:highlight w:val="none"/>
                <w:lang w:val="en-US" w:eastAsia="zh-CN"/>
              </w:rPr>
              <w:t>一份</w:t>
            </w:r>
            <w:r>
              <w:rPr>
                <w:rFonts w:hint="eastAsia" w:ascii="宋体" w:hAnsi="宋体" w:eastAsia="宋体" w:cs="宋体"/>
                <w:bCs/>
                <w:color w:val="auto"/>
                <w:sz w:val="24"/>
                <w:highlight w:val="none"/>
                <w:lang w:eastAsia="zh-CN"/>
              </w:rPr>
              <w:t>，上传至政采云平台（https://www.zcygov.cn）即可。</w:t>
            </w:r>
          </w:p>
        </w:tc>
      </w:tr>
      <w:tr w14:paraId="0107B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2206CE2A">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cs="宋体"/>
                <w:bCs/>
                <w:color w:val="auto"/>
                <w:sz w:val="24"/>
                <w:highlight w:val="none"/>
                <w:lang w:val="en-US" w:eastAsia="zh-CN"/>
              </w:rPr>
              <w:t>23</w:t>
            </w:r>
          </w:p>
        </w:tc>
        <w:tc>
          <w:tcPr>
            <w:tcW w:w="928" w:type="pct"/>
            <w:tcBorders>
              <w:top w:val="single" w:color="auto" w:sz="4" w:space="0"/>
              <w:left w:val="single" w:color="auto" w:sz="4" w:space="0"/>
              <w:bottom w:val="single" w:color="auto" w:sz="4" w:space="0"/>
              <w:right w:val="single" w:color="auto" w:sz="4" w:space="0"/>
            </w:tcBorders>
            <w:vAlign w:val="center"/>
          </w:tcPr>
          <w:p w14:paraId="4CBA05D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编制</w:t>
            </w:r>
          </w:p>
          <w:p w14:paraId="16E6C4CA">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要求</w:t>
            </w:r>
          </w:p>
        </w:tc>
        <w:tc>
          <w:tcPr>
            <w:tcW w:w="3719" w:type="pct"/>
            <w:tcBorders>
              <w:top w:val="single" w:color="auto" w:sz="4" w:space="0"/>
              <w:left w:val="single" w:color="auto" w:sz="4" w:space="0"/>
              <w:bottom w:val="single" w:color="auto" w:sz="4" w:space="0"/>
              <w:right w:val="single" w:color="auto" w:sz="4" w:space="0"/>
            </w:tcBorders>
            <w:vAlign w:val="center"/>
          </w:tcPr>
          <w:p w14:paraId="4DFF3898">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必须使用“政采云电子投标客户端”编制电子响应文件，编制要求详见附件3“电子响应文件编制及报送要求”。</w:t>
            </w:r>
          </w:p>
          <w:p w14:paraId="5F7353C5">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特别注意：</w:t>
            </w:r>
          </w:p>
          <w:p w14:paraId="23B4262A">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1）供应商不得对竞争性磋商文件格式中的内容进行删减或修改，否则作为无效投标处理。</w:t>
            </w:r>
          </w:p>
          <w:p w14:paraId="55B1DFF4">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2）供应商可以在格式内容之外另行说明和增加相关内容，作为响应文件的组成部分。另行说明或自行增加的内容，不得与竞争性磋商文件的强制性审查标准和禁止性规定相抵触。</w:t>
            </w:r>
          </w:p>
          <w:p w14:paraId="5F30289A">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3）按竞争性磋商文件格式在空格（下划线）由供应商填写的内容，确实没有需要填写的，可以在空格中用“/”标示，也可以不填（空白）。但竞争性磋商文件中另有规定的从其规定。</w:t>
            </w:r>
          </w:p>
          <w:p w14:paraId="5C8992F2">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4）响应文件应对竞争性磋商文件提出的所有实质性要求和条件作出实质性响应，并且实质性响应的内容不得互相矛盾。若供应商未按要求作出响应的，将不予通过资格审查。</w:t>
            </w:r>
          </w:p>
          <w:p w14:paraId="5BDE1F6D">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响应文件</w:t>
            </w:r>
            <w:r>
              <w:rPr>
                <w:rFonts w:hint="eastAsia" w:ascii="宋体" w:hAnsi="宋体" w:cs="宋体"/>
                <w:color w:val="auto"/>
                <w:sz w:val="24"/>
                <w:highlight w:val="none"/>
                <w:lang w:val="en-US" w:eastAsia="zh-CN"/>
              </w:rPr>
              <w:t>的编制</w:t>
            </w:r>
            <w:r>
              <w:rPr>
                <w:rFonts w:hint="eastAsia" w:ascii="宋体" w:hAnsi="宋体" w:eastAsia="宋体" w:cs="宋体"/>
                <w:color w:val="auto"/>
                <w:sz w:val="24"/>
                <w:highlight w:val="none"/>
                <w:lang w:val="en-US" w:eastAsia="zh-CN"/>
              </w:rPr>
              <w:t>时间</w:t>
            </w:r>
            <w:r>
              <w:rPr>
                <w:rFonts w:hint="eastAsia" w:ascii="宋体" w:hAnsi="宋体" w:cs="宋体"/>
                <w:color w:val="auto"/>
                <w:sz w:val="24"/>
                <w:highlight w:val="none"/>
                <w:lang w:val="en-US" w:eastAsia="zh-CN"/>
              </w:rPr>
              <w:t>为：</w:t>
            </w:r>
            <w:r>
              <w:rPr>
                <w:rFonts w:hint="eastAsia" w:ascii="宋体" w:hAnsi="宋体" w:cs="宋体"/>
                <w:color w:val="auto"/>
                <w:sz w:val="24"/>
                <w:highlight w:val="none"/>
              </w:rPr>
              <w:t>自</w:t>
            </w:r>
            <w:r>
              <w:rPr>
                <w:rFonts w:hint="eastAsia" w:ascii="宋体" w:hAnsi="宋体" w:cs="宋体"/>
                <w:color w:val="auto"/>
                <w:sz w:val="24"/>
                <w:highlight w:val="none"/>
                <w:lang w:val="en-US" w:eastAsia="zh-CN"/>
              </w:rPr>
              <w:t>竞争性磋商公告</w:t>
            </w:r>
            <w:r>
              <w:rPr>
                <w:rFonts w:hint="eastAsia" w:ascii="宋体" w:hAnsi="宋体" w:cs="宋体"/>
                <w:color w:val="auto"/>
                <w:sz w:val="24"/>
                <w:highlight w:val="none"/>
              </w:rPr>
              <w:t>发布之日起至投标截止时间前</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不得在开标当天，</w:t>
            </w:r>
            <w:r>
              <w:rPr>
                <w:rFonts w:hint="eastAsia" w:ascii="宋体" w:hAnsi="宋体" w:eastAsia="宋体" w:cs="宋体"/>
                <w:color w:val="auto"/>
                <w:sz w:val="24"/>
                <w:highlight w:val="none"/>
                <w:lang w:val="en-US" w:eastAsia="zh-CN"/>
              </w:rPr>
              <w:t>如未按要求编制的</w:t>
            </w:r>
            <w:r>
              <w:rPr>
                <w:rFonts w:hint="eastAsia" w:ascii="宋体" w:hAnsi="宋体" w:eastAsia="宋体" w:cs="宋体"/>
                <w:color w:val="auto"/>
                <w:sz w:val="24"/>
                <w:highlight w:val="none"/>
                <w:lang w:eastAsia="zh-CN"/>
              </w:rPr>
              <w:t>投标无效。</w:t>
            </w:r>
          </w:p>
        </w:tc>
      </w:tr>
      <w:tr w14:paraId="213B7C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A01C33E">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24</w:t>
            </w:r>
          </w:p>
        </w:tc>
        <w:tc>
          <w:tcPr>
            <w:tcW w:w="928" w:type="pct"/>
            <w:tcBorders>
              <w:top w:val="single" w:color="auto" w:sz="4" w:space="0"/>
              <w:left w:val="single" w:color="auto" w:sz="4" w:space="0"/>
              <w:bottom w:val="single" w:color="auto" w:sz="4" w:space="0"/>
              <w:right w:val="single" w:color="auto" w:sz="4" w:space="0"/>
            </w:tcBorders>
            <w:vAlign w:val="center"/>
          </w:tcPr>
          <w:p w14:paraId="66FAD90B">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sz w:val="24"/>
                <w:highlight w:val="none"/>
              </w:rPr>
              <w:t>的签署</w:t>
            </w:r>
          </w:p>
        </w:tc>
        <w:tc>
          <w:tcPr>
            <w:tcW w:w="3719" w:type="pct"/>
            <w:tcBorders>
              <w:top w:val="single" w:color="auto" w:sz="4" w:space="0"/>
              <w:left w:val="single" w:color="auto" w:sz="4" w:space="0"/>
              <w:bottom w:val="single" w:color="auto" w:sz="4" w:space="0"/>
              <w:right w:val="single" w:color="auto" w:sz="4" w:space="0"/>
            </w:tcBorders>
            <w:vAlign w:val="center"/>
          </w:tcPr>
          <w:p w14:paraId="5B171905">
            <w:pPr>
              <w:pStyle w:val="17"/>
              <w:keepNext w:val="0"/>
              <w:keepLines w:val="0"/>
              <w:pageBreakBefore w:val="0"/>
              <w:widowControl w:val="0"/>
              <w:kinsoku/>
              <w:wordWrap/>
              <w:overflowPunct/>
              <w:autoSpaceDE/>
              <w:autoSpaceDN/>
              <w:bidi w:val="0"/>
              <w:snapToGrid/>
              <w:spacing w:line="440" w:lineRule="exact"/>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响应文件中要求加盖供应商单位公章的地方应加盖供应商单位电子签章或单位公章，要求法定代表人或其委托代理人签字的地方应加盖个人电子签名章或签字。响应文件由委托代理人加盖个人电子签名章或签字的，应提供法定代表人签署的法定代表人授权委托书。</w:t>
            </w:r>
          </w:p>
          <w:p w14:paraId="4B8BB510">
            <w:pPr>
              <w:pStyle w:val="17"/>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注：本项目对已标价工程量清单中的编制人及复核人签字盖章不作要求</w:t>
            </w:r>
            <w:r>
              <w:rPr>
                <w:rFonts w:hint="eastAsia" w:ascii="宋体" w:hAnsi="宋体" w:eastAsia="宋体" w:cs="宋体"/>
                <w:color w:val="auto"/>
                <w:sz w:val="24"/>
                <w:szCs w:val="24"/>
                <w:highlight w:val="none"/>
              </w:rPr>
              <w:t>。</w:t>
            </w:r>
          </w:p>
        </w:tc>
      </w:tr>
      <w:tr w14:paraId="31E1FC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9908B2E">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25</w:t>
            </w:r>
          </w:p>
        </w:tc>
        <w:tc>
          <w:tcPr>
            <w:tcW w:w="928" w:type="pct"/>
            <w:tcBorders>
              <w:top w:val="single" w:color="auto" w:sz="4" w:space="0"/>
              <w:left w:val="single" w:color="auto" w:sz="4" w:space="0"/>
              <w:bottom w:val="single" w:color="auto" w:sz="4" w:space="0"/>
              <w:right w:val="single" w:color="auto" w:sz="4" w:space="0"/>
            </w:tcBorders>
            <w:vAlign w:val="center"/>
          </w:tcPr>
          <w:p w14:paraId="34E9AC1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递交及有关内容</w:t>
            </w:r>
          </w:p>
        </w:tc>
        <w:tc>
          <w:tcPr>
            <w:tcW w:w="3719" w:type="pct"/>
            <w:tcBorders>
              <w:top w:val="single" w:color="auto" w:sz="4" w:space="0"/>
              <w:left w:val="single" w:color="auto" w:sz="4" w:space="0"/>
              <w:bottom w:val="single" w:color="auto" w:sz="4" w:space="0"/>
              <w:right w:val="single" w:color="auto" w:sz="4" w:space="0"/>
            </w:tcBorders>
            <w:vAlign w:val="center"/>
          </w:tcPr>
          <w:p w14:paraId="76A986D4">
            <w:pPr>
              <w:keepNext w:val="0"/>
              <w:keepLines w:val="0"/>
              <w:pageBreakBefore w:val="0"/>
              <w:widowControl w:val="0"/>
              <w:kinsoku/>
              <w:wordWrap/>
              <w:overflowPunct/>
              <w:autoSpaceDE/>
              <w:autoSpaceDN/>
              <w:bidi w:val="0"/>
              <w:adjustRightInd w:val="0"/>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为网上递交：网上递交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竞争性磋商</w:t>
            </w:r>
            <w:r>
              <w:rPr>
                <w:rFonts w:hint="eastAsia" w:ascii="宋体" w:hAnsi="宋体" w:eastAsia="宋体" w:cs="宋体"/>
                <w:color w:val="auto"/>
                <w:sz w:val="24"/>
                <w:highlight w:val="none"/>
              </w:rPr>
              <w:t>文件要求，在投标截止时间前将电子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通过政采云平台（https://www.zcygov.cn）上传至指定的开标项目，并打印“上传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回执”，以表明上传成功。同时，应自行核验下载上传成功的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，并进行查看和解密以确保上传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的正确性。</w:t>
            </w:r>
          </w:p>
        </w:tc>
      </w:tr>
      <w:tr w14:paraId="43A20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3F088C49">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color w:val="auto"/>
                <w:sz w:val="24"/>
                <w:szCs w:val="24"/>
                <w:highlight w:val="none"/>
                <w:lang w:val="en-US" w:eastAsia="zh-CN"/>
              </w:rPr>
              <w:t>26</w:t>
            </w:r>
          </w:p>
        </w:tc>
        <w:tc>
          <w:tcPr>
            <w:tcW w:w="928" w:type="pct"/>
            <w:tcBorders>
              <w:top w:val="single" w:color="auto" w:sz="4" w:space="0"/>
              <w:left w:val="single" w:color="auto" w:sz="4" w:space="0"/>
              <w:bottom w:val="single" w:color="auto" w:sz="4" w:space="0"/>
              <w:right w:val="single" w:color="auto" w:sz="4" w:space="0"/>
            </w:tcBorders>
            <w:vAlign w:val="center"/>
          </w:tcPr>
          <w:p w14:paraId="51E680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响应文件提交</w:t>
            </w:r>
            <w:r>
              <w:rPr>
                <w:rFonts w:hint="eastAsia" w:ascii="宋体" w:hAnsi="宋体" w:eastAsia="宋体" w:cs="宋体"/>
                <w:color w:val="auto"/>
                <w:sz w:val="24"/>
                <w:szCs w:val="24"/>
                <w:highlight w:val="none"/>
              </w:rPr>
              <w:t>截止时间及开标时间</w:t>
            </w:r>
          </w:p>
        </w:tc>
        <w:tc>
          <w:tcPr>
            <w:tcW w:w="3719" w:type="pct"/>
            <w:tcBorders>
              <w:top w:val="single" w:color="auto" w:sz="4" w:space="0"/>
              <w:left w:val="single" w:color="auto" w:sz="4" w:space="0"/>
              <w:bottom w:val="single" w:color="auto" w:sz="4" w:space="0"/>
              <w:right w:val="single" w:color="auto" w:sz="4" w:space="0"/>
            </w:tcBorders>
            <w:vAlign w:val="center"/>
          </w:tcPr>
          <w:p w14:paraId="3B3F90D4">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08</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06</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00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分（北京时间）</w:t>
            </w:r>
          </w:p>
        </w:tc>
      </w:tr>
      <w:tr w14:paraId="0453E1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386C2A40">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27</w:t>
            </w:r>
          </w:p>
        </w:tc>
        <w:tc>
          <w:tcPr>
            <w:tcW w:w="928" w:type="pct"/>
            <w:tcBorders>
              <w:top w:val="single" w:color="auto" w:sz="4" w:space="0"/>
              <w:left w:val="single" w:color="auto" w:sz="4" w:space="0"/>
              <w:bottom w:val="single" w:color="auto" w:sz="4" w:space="0"/>
              <w:right w:val="single" w:color="auto" w:sz="4" w:space="0"/>
            </w:tcBorders>
            <w:vAlign w:val="center"/>
          </w:tcPr>
          <w:p w14:paraId="11296F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响应文件提交地点</w:t>
            </w:r>
          </w:p>
        </w:tc>
        <w:tc>
          <w:tcPr>
            <w:tcW w:w="3719" w:type="pct"/>
            <w:tcBorders>
              <w:top w:val="single" w:color="auto" w:sz="4" w:space="0"/>
              <w:left w:val="single" w:color="auto" w:sz="4" w:space="0"/>
              <w:bottom w:val="single" w:color="auto" w:sz="4" w:space="0"/>
              <w:right w:val="single" w:color="auto" w:sz="4" w:space="0"/>
            </w:tcBorders>
            <w:vAlign w:val="center"/>
          </w:tcPr>
          <w:p w14:paraId="2D8EC175">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eastAsia="zh-CN"/>
              </w:rPr>
              <w:t>政采云平台（https://www.zcygov.cn）（</w:t>
            </w:r>
            <w:r>
              <w:rPr>
                <w:rFonts w:hint="eastAsia" w:ascii="宋体" w:hAnsi="宋体" w:eastAsia="宋体" w:cs="宋体"/>
                <w:color w:val="auto"/>
                <w:sz w:val="24"/>
                <w:highlight w:val="none"/>
                <w:lang w:val="en-US" w:eastAsia="zh-CN"/>
              </w:rPr>
              <w:t>网上提交</w:t>
            </w:r>
            <w:r>
              <w:rPr>
                <w:rFonts w:hint="eastAsia" w:ascii="宋体" w:hAnsi="宋体" w:eastAsia="宋体" w:cs="宋体"/>
                <w:color w:val="auto"/>
                <w:sz w:val="24"/>
                <w:highlight w:val="none"/>
                <w:lang w:eastAsia="zh-CN"/>
              </w:rPr>
              <w:t>）</w:t>
            </w:r>
          </w:p>
        </w:tc>
      </w:tr>
      <w:tr w14:paraId="68EDC2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23E4EB14">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28</w:t>
            </w:r>
          </w:p>
        </w:tc>
        <w:tc>
          <w:tcPr>
            <w:tcW w:w="928" w:type="pct"/>
            <w:tcBorders>
              <w:top w:val="single" w:color="auto" w:sz="4" w:space="0"/>
              <w:left w:val="single" w:color="auto" w:sz="4" w:space="0"/>
              <w:bottom w:val="single" w:color="auto" w:sz="4" w:space="0"/>
              <w:right w:val="single" w:color="auto" w:sz="4" w:space="0"/>
            </w:tcBorders>
            <w:vAlign w:val="center"/>
          </w:tcPr>
          <w:p w14:paraId="16E142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响应文件开启地点</w:t>
            </w:r>
          </w:p>
        </w:tc>
        <w:tc>
          <w:tcPr>
            <w:tcW w:w="3719" w:type="pct"/>
            <w:tcBorders>
              <w:top w:val="single" w:color="auto" w:sz="4" w:space="0"/>
              <w:left w:val="single" w:color="auto" w:sz="4" w:space="0"/>
              <w:bottom w:val="single" w:color="auto" w:sz="4" w:space="0"/>
              <w:right w:val="single" w:color="auto" w:sz="4" w:space="0"/>
            </w:tcBorders>
            <w:vAlign w:val="center"/>
          </w:tcPr>
          <w:p w14:paraId="5C4CC6F4">
            <w:pPr>
              <w:keepNext w:val="0"/>
              <w:keepLines w:val="0"/>
              <w:pageBreakBefore w:val="0"/>
              <w:widowControl w:val="0"/>
              <w:kinsoku/>
              <w:wordWrap/>
              <w:overflowPunct/>
              <w:autoSpaceDE/>
              <w:autoSpaceDN/>
              <w:bidi w:val="0"/>
              <w:snapToGrid/>
              <w:spacing w:line="440" w:lineRule="exact"/>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开标时间：</w:t>
            </w:r>
            <w:r>
              <w:rPr>
                <w:rFonts w:hint="eastAsia" w:ascii="宋体" w:hAnsi="宋体" w:cs="宋体"/>
                <w:color w:val="auto"/>
                <w:sz w:val="24"/>
                <w:highlight w:val="none"/>
                <w:lang w:val="en-US" w:eastAsia="zh-CN"/>
              </w:rPr>
              <w:t>2026年08月06日09时00分</w:t>
            </w:r>
            <w:r>
              <w:rPr>
                <w:rFonts w:hint="eastAsia" w:ascii="宋体" w:hAnsi="宋体" w:eastAsia="宋体" w:cs="宋体"/>
                <w:color w:val="auto"/>
                <w:sz w:val="24"/>
                <w:highlight w:val="none"/>
                <w:lang w:val="en-US" w:eastAsia="zh-CN"/>
              </w:rPr>
              <w:t>（北京时间）。</w:t>
            </w:r>
          </w:p>
          <w:p w14:paraId="5D3B75E5">
            <w:pPr>
              <w:keepNext w:val="0"/>
              <w:keepLines w:val="0"/>
              <w:pageBreakBefore w:val="0"/>
              <w:widowControl w:val="0"/>
              <w:kinsoku/>
              <w:wordWrap/>
              <w:overflowPunct/>
              <w:autoSpaceDE/>
              <w:autoSpaceDN/>
              <w:bidi w:val="0"/>
              <w:snapToGrid/>
              <w:spacing w:line="440" w:lineRule="exact"/>
              <w:jc w:val="both"/>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开标地点：</w:t>
            </w:r>
            <w:r>
              <w:rPr>
                <w:rFonts w:hint="eastAsia" w:ascii="宋体" w:hAnsi="宋体" w:eastAsia="宋体" w:cs="宋体"/>
                <w:color w:val="auto"/>
                <w:sz w:val="24"/>
                <w:szCs w:val="24"/>
                <w:highlight w:val="none"/>
                <w:u w:val="single"/>
                <w:lang w:val="en-US" w:eastAsia="zh-CN"/>
              </w:rPr>
              <w:t>云南星骋项目管理有限公司</w:t>
            </w:r>
            <w:r>
              <w:rPr>
                <w:rFonts w:hint="eastAsia" w:ascii="宋体" w:hAnsi="宋体" w:cs="宋体"/>
                <w:color w:val="auto"/>
                <w:sz w:val="24"/>
                <w:szCs w:val="24"/>
                <w:highlight w:val="none"/>
                <w:u w:val="single"/>
                <w:lang w:val="en-US" w:eastAsia="zh-CN"/>
              </w:rPr>
              <w:t>开标室</w:t>
            </w:r>
            <w:r>
              <w:rPr>
                <w:rFonts w:hint="eastAsia" w:ascii="宋体" w:hAnsi="宋体" w:eastAsia="宋体" w:cs="宋体"/>
                <w:color w:val="auto"/>
                <w:sz w:val="24"/>
                <w:szCs w:val="24"/>
                <w:highlight w:val="none"/>
                <w:u w:val="single"/>
              </w:rPr>
              <w:t xml:space="preserve"> (景洪市西双十二城国际公馆1栋306)</w:t>
            </w:r>
            <w:r>
              <w:rPr>
                <w:rFonts w:hint="eastAsia" w:ascii="宋体" w:hAnsi="宋体" w:cs="宋体"/>
                <w:color w:val="auto"/>
                <w:sz w:val="24"/>
                <w:szCs w:val="24"/>
                <w:highlight w:val="none"/>
                <w:u w:val="single"/>
                <w:lang w:val="en-US" w:eastAsia="zh-CN"/>
              </w:rPr>
              <w:t>开标室</w:t>
            </w:r>
            <w:r>
              <w:rPr>
                <w:rFonts w:hint="eastAsia" w:ascii="宋体" w:hAnsi="宋体" w:eastAsia="宋体" w:cs="宋体"/>
                <w:color w:val="auto"/>
                <w:sz w:val="24"/>
                <w:highlight w:val="none"/>
                <w:lang w:val="en-US" w:eastAsia="zh-CN"/>
              </w:rPr>
              <w:t>。</w:t>
            </w:r>
          </w:p>
        </w:tc>
      </w:tr>
      <w:tr w14:paraId="074185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59C635C3">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29</w:t>
            </w:r>
          </w:p>
        </w:tc>
        <w:tc>
          <w:tcPr>
            <w:tcW w:w="928" w:type="pct"/>
            <w:tcBorders>
              <w:top w:val="single" w:color="auto" w:sz="4" w:space="0"/>
              <w:left w:val="single" w:color="auto" w:sz="4" w:space="0"/>
              <w:bottom w:val="single" w:color="auto" w:sz="4" w:space="0"/>
              <w:right w:val="single" w:color="auto" w:sz="4" w:space="0"/>
            </w:tcBorders>
            <w:vAlign w:val="center"/>
          </w:tcPr>
          <w:p w14:paraId="12523871">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响应文件的解密及方式</w:t>
            </w:r>
          </w:p>
        </w:tc>
        <w:tc>
          <w:tcPr>
            <w:tcW w:w="3719" w:type="pct"/>
            <w:tcBorders>
              <w:top w:val="single" w:color="auto" w:sz="4" w:space="0"/>
              <w:left w:val="single" w:color="auto" w:sz="4" w:space="0"/>
              <w:bottom w:val="single" w:color="auto" w:sz="4" w:space="0"/>
              <w:right w:val="single" w:color="auto" w:sz="4" w:space="0"/>
            </w:tcBorders>
            <w:vAlign w:val="center"/>
          </w:tcPr>
          <w:p w14:paraId="18D49513">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上传响应文件时加密使用的CA数字证书是开标时对响应文件进行解密的必要工具，否则将不能解密。因供应商自身原因导致所递交的响应文件无法解密、导入失败的，均视为其撤销响应文件，则视为无效投标，不再进入评标阶段。                      </w:t>
            </w:r>
          </w:p>
          <w:p w14:paraId="446E9CB8">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响应文件的解密方式：</w:t>
            </w:r>
          </w:p>
          <w:p w14:paraId="456AA16C">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远程</w:t>
            </w:r>
            <w:r>
              <w:rPr>
                <w:rFonts w:hint="eastAsia" w:ascii="宋体" w:hAnsi="宋体" w:eastAsia="宋体" w:cs="宋体"/>
                <w:color w:val="auto"/>
                <w:sz w:val="24"/>
                <w:highlight w:val="none"/>
                <w:lang w:val="en-US" w:eastAsia="zh-CN"/>
              </w:rPr>
              <w:t>解密：供应商登录政府采购云平台（https://www.zcygov.cn），按照《供应商电子交易平台操作指南》完成远程解密等相关操作。若供应商未在规定时间完成所有投标文件解密，则视为无效投标，不再进入评审阶段。因开标系统、解密投标文件现场网络、设备及其他特殊原因，导致不能正常解密投标文件的，经核实和上报相关部门同意后，可再次下达网上解密指令来延长解密时间。解密过程中如有问题，可以在线提出异议，由采购代理机构给予回复。在规定的异议询问时间内未提出异议的，则视为对投标文件解密结果无异议。</w:t>
            </w:r>
          </w:p>
        </w:tc>
      </w:tr>
      <w:tr w14:paraId="1A5B1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13690B5E">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928" w:type="pct"/>
            <w:tcBorders>
              <w:top w:val="single" w:color="auto" w:sz="4" w:space="0"/>
              <w:left w:val="single" w:color="auto" w:sz="4" w:space="0"/>
              <w:bottom w:val="single" w:color="auto" w:sz="4" w:space="0"/>
              <w:right w:val="single" w:color="auto" w:sz="4" w:space="0"/>
            </w:tcBorders>
            <w:vAlign w:val="center"/>
          </w:tcPr>
          <w:p w14:paraId="48D8CB5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开标顺序</w:t>
            </w:r>
          </w:p>
        </w:tc>
        <w:tc>
          <w:tcPr>
            <w:tcW w:w="3719" w:type="pct"/>
            <w:tcBorders>
              <w:top w:val="single" w:color="auto" w:sz="4" w:space="0"/>
              <w:left w:val="single" w:color="auto" w:sz="4" w:space="0"/>
              <w:bottom w:val="single" w:color="auto" w:sz="4" w:space="0"/>
              <w:right w:val="single" w:color="auto" w:sz="4" w:space="0"/>
            </w:tcBorders>
            <w:vAlign w:val="center"/>
          </w:tcPr>
          <w:p w14:paraId="53109D83">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lang w:val="en-US" w:eastAsia="zh-CN"/>
              </w:rPr>
              <w:t>按照</w:t>
            </w:r>
            <w:r>
              <w:rPr>
                <w:rFonts w:hint="eastAsia" w:ascii="宋体" w:hAnsi="宋体" w:eastAsia="宋体" w:cs="宋体"/>
                <w:color w:val="auto"/>
                <w:sz w:val="24"/>
                <w:highlight w:val="none"/>
                <w:lang w:eastAsia="zh-CN"/>
              </w:rPr>
              <w:t>政采云平台（https://www.zcygov.cn）</w:t>
            </w:r>
            <w:r>
              <w:rPr>
                <w:rFonts w:hint="eastAsia" w:ascii="宋体" w:hAnsi="宋体" w:eastAsia="宋体" w:cs="宋体"/>
                <w:bCs/>
                <w:color w:val="auto"/>
                <w:sz w:val="24"/>
                <w:highlight w:val="none"/>
                <w:lang w:val="en-US" w:eastAsia="zh-CN"/>
              </w:rPr>
              <w:t>平台自动提取所有供应商的顺序开标。</w:t>
            </w:r>
          </w:p>
        </w:tc>
      </w:tr>
      <w:tr w14:paraId="5F68B8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672FA975">
            <w:pPr>
              <w:spacing w:line="44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31</w:t>
            </w:r>
          </w:p>
        </w:tc>
        <w:tc>
          <w:tcPr>
            <w:tcW w:w="928" w:type="pct"/>
            <w:tcBorders>
              <w:top w:val="single" w:color="auto" w:sz="4" w:space="0"/>
              <w:left w:val="single" w:color="auto" w:sz="4" w:space="0"/>
              <w:bottom w:val="single" w:color="auto" w:sz="4" w:space="0"/>
              <w:right w:val="single" w:color="auto" w:sz="4" w:space="0"/>
            </w:tcBorders>
            <w:vAlign w:val="center"/>
          </w:tcPr>
          <w:p w14:paraId="4C3B58D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评审方法</w:t>
            </w:r>
          </w:p>
        </w:tc>
        <w:tc>
          <w:tcPr>
            <w:tcW w:w="3719" w:type="pct"/>
            <w:tcBorders>
              <w:top w:val="single" w:color="auto" w:sz="4" w:space="0"/>
              <w:left w:val="single" w:color="auto" w:sz="4" w:space="0"/>
              <w:bottom w:val="single" w:color="auto" w:sz="4" w:space="0"/>
              <w:right w:val="single" w:color="auto" w:sz="4" w:space="0"/>
            </w:tcBorders>
            <w:vAlign w:val="center"/>
          </w:tcPr>
          <w:p w14:paraId="7708381D">
            <w:pPr>
              <w:keepNext w:val="0"/>
              <w:keepLines w:val="0"/>
              <w:pageBreakBefore w:val="0"/>
              <w:widowControl w:val="0"/>
              <w:kinsoku/>
              <w:wordWrap/>
              <w:overflowPunct/>
              <w:autoSpaceDE/>
              <w:autoSpaceDN/>
              <w:bidi w:val="0"/>
              <w:snapToGrid/>
              <w:spacing w:line="44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综合评分法</w:t>
            </w:r>
          </w:p>
        </w:tc>
      </w:tr>
      <w:tr w14:paraId="14641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BBF2D8E">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32</w:t>
            </w:r>
          </w:p>
        </w:tc>
        <w:tc>
          <w:tcPr>
            <w:tcW w:w="928" w:type="pct"/>
            <w:tcBorders>
              <w:top w:val="single" w:color="auto" w:sz="4" w:space="0"/>
              <w:left w:val="single" w:color="auto" w:sz="4" w:space="0"/>
              <w:bottom w:val="single" w:color="auto" w:sz="4" w:space="0"/>
              <w:right w:val="single" w:color="auto" w:sz="4" w:space="0"/>
            </w:tcBorders>
            <w:vAlign w:val="center"/>
          </w:tcPr>
          <w:p w14:paraId="58CFF597">
            <w:pPr>
              <w:pStyle w:val="18"/>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的组建</w:t>
            </w:r>
          </w:p>
        </w:tc>
        <w:tc>
          <w:tcPr>
            <w:tcW w:w="3719" w:type="pct"/>
            <w:tcBorders>
              <w:top w:val="single" w:color="auto" w:sz="4" w:space="0"/>
              <w:left w:val="single" w:color="auto" w:sz="4" w:space="0"/>
              <w:bottom w:val="single" w:color="auto" w:sz="4" w:space="0"/>
              <w:right w:val="single" w:color="auto" w:sz="4" w:space="0"/>
            </w:tcBorders>
            <w:vAlign w:val="center"/>
          </w:tcPr>
          <w:p w14:paraId="1E9F23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磋商小组人数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人，其中采购人代表</w:t>
            </w:r>
            <w:r>
              <w:rPr>
                <w:rFonts w:hint="eastAsia" w:ascii="宋体" w:hAnsi="宋体" w:eastAsia="宋体" w:cs="宋体"/>
                <w:color w:val="auto"/>
                <w:sz w:val="24"/>
                <w:highlight w:val="none"/>
                <w:u w:val="single"/>
              </w:rPr>
              <w:t>1</w:t>
            </w:r>
            <w:r>
              <w:rPr>
                <w:rFonts w:hint="eastAsia" w:ascii="宋体" w:hAnsi="宋体" w:eastAsia="宋体" w:cs="宋体"/>
                <w:color w:val="auto"/>
                <w:sz w:val="24"/>
                <w:highlight w:val="none"/>
              </w:rPr>
              <w:t>人，相关专业技术、经济方面专家</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rPr>
              <w:t>人。</w:t>
            </w:r>
          </w:p>
          <w:p w14:paraId="617F88CE">
            <w:pPr>
              <w:pStyle w:val="17"/>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确定方式：</w:t>
            </w:r>
            <w:r>
              <w:rPr>
                <w:rFonts w:hint="eastAsia" w:ascii="宋体" w:hAnsi="宋体" w:eastAsia="宋体" w:cs="宋体"/>
                <w:color w:val="auto"/>
                <w:sz w:val="24"/>
                <w:szCs w:val="24"/>
                <w:highlight w:val="none"/>
                <w:u w:val="single"/>
              </w:rPr>
              <w:t>由1名采购人代表和</w:t>
            </w:r>
            <w:r>
              <w:rPr>
                <w:rFonts w:hint="eastAsia" w:ascii="宋体" w:hAnsi="宋体" w:eastAsia="宋体" w:cs="宋体"/>
                <w:color w:val="auto"/>
                <w:sz w:val="24"/>
                <w:szCs w:val="24"/>
                <w:highlight w:val="none"/>
                <w:u w:val="single"/>
                <w:lang w:eastAsia="zh-CN"/>
              </w:rPr>
              <w:t>云南省政府采购网</w:t>
            </w:r>
            <w:r>
              <w:rPr>
                <w:rFonts w:hint="eastAsia" w:ascii="宋体" w:hAnsi="宋体" w:eastAsia="宋体" w:cs="宋体"/>
                <w:color w:val="auto"/>
                <w:sz w:val="24"/>
                <w:szCs w:val="24"/>
                <w:highlight w:val="none"/>
                <w:u w:val="single"/>
              </w:rPr>
              <w:t>评标专家库中抽取的</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名专家组成</w:t>
            </w:r>
            <w:r>
              <w:rPr>
                <w:rFonts w:hint="eastAsia" w:ascii="宋体" w:hAnsi="宋体" w:eastAsia="宋体" w:cs="宋体"/>
                <w:color w:val="auto"/>
                <w:sz w:val="24"/>
                <w:szCs w:val="24"/>
                <w:highlight w:val="none"/>
              </w:rPr>
              <w:t>。</w:t>
            </w:r>
          </w:p>
        </w:tc>
      </w:tr>
      <w:tr w14:paraId="05B0C6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3809CA20">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33</w:t>
            </w:r>
          </w:p>
        </w:tc>
        <w:tc>
          <w:tcPr>
            <w:tcW w:w="928" w:type="pct"/>
            <w:tcBorders>
              <w:top w:val="single" w:color="auto" w:sz="4" w:space="0"/>
              <w:left w:val="single" w:color="auto" w:sz="4" w:space="0"/>
              <w:bottom w:val="single" w:color="auto" w:sz="4" w:space="0"/>
              <w:right w:val="single" w:color="auto" w:sz="4" w:space="0"/>
            </w:tcBorders>
            <w:vAlign w:val="center"/>
          </w:tcPr>
          <w:p w14:paraId="61E45E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公示</w:t>
            </w:r>
          </w:p>
        </w:tc>
        <w:tc>
          <w:tcPr>
            <w:tcW w:w="3719" w:type="pct"/>
            <w:tcBorders>
              <w:top w:val="single" w:color="auto" w:sz="4" w:space="0"/>
              <w:left w:val="single" w:color="auto" w:sz="4" w:space="0"/>
              <w:bottom w:val="single" w:color="auto" w:sz="4" w:space="0"/>
              <w:right w:val="single" w:color="auto" w:sz="4" w:space="0"/>
            </w:tcBorders>
            <w:vAlign w:val="center"/>
          </w:tcPr>
          <w:p w14:paraId="00FA8EC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公告媒介：</w:t>
            </w:r>
            <w:r>
              <w:rPr>
                <w:rFonts w:hint="eastAsia" w:ascii="宋体" w:hAnsi="宋体" w:eastAsia="宋体" w:cs="宋体"/>
                <w:color w:val="auto"/>
                <w:sz w:val="24"/>
                <w:highlight w:val="none"/>
              </w:rPr>
              <w:t>同</w:t>
            </w:r>
            <w:r>
              <w:rPr>
                <w:rFonts w:hint="eastAsia" w:ascii="宋体" w:hAnsi="宋体" w:cs="宋体"/>
                <w:color w:val="auto"/>
                <w:sz w:val="24"/>
                <w:highlight w:val="none"/>
                <w:lang w:val="en-US" w:eastAsia="zh-CN"/>
              </w:rPr>
              <w:t>竞争性磋商公告</w:t>
            </w:r>
            <w:r>
              <w:rPr>
                <w:rFonts w:hint="eastAsia" w:ascii="宋体" w:hAnsi="宋体" w:eastAsia="宋体" w:cs="宋体"/>
                <w:color w:val="auto"/>
                <w:sz w:val="24"/>
                <w:highlight w:val="none"/>
              </w:rPr>
              <w:t>媒介相同</w:t>
            </w:r>
            <w:r>
              <w:rPr>
                <w:rFonts w:hint="eastAsia" w:ascii="宋体" w:hAnsi="宋体" w:eastAsia="宋体" w:cs="宋体"/>
                <w:color w:val="auto"/>
                <w:sz w:val="24"/>
                <w:highlight w:val="none"/>
                <w:lang w:eastAsia="zh-CN"/>
              </w:rPr>
              <w:t>。</w:t>
            </w:r>
          </w:p>
          <w:p w14:paraId="1C406F5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公告期限</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1个工作日。</w:t>
            </w:r>
          </w:p>
        </w:tc>
      </w:tr>
      <w:tr w14:paraId="73DDE9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F188F85">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34</w:t>
            </w:r>
          </w:p>
        </w:tc>
        <w:tc>
          <w:tcPr>
            <w:tcW w:w="928" w:type="pct"/>
            <w:tcBorders>
              <w:top w:val="single" w:color="auto" w:sz="4" w:space="0"/>
              <w:left w:val="single" w:color="auto" w:sz="4" w:space="0"/>
              <w:bottom w:val="single" w:color="auto" w:sz="4" w:space="0"/>
              <w:right w:val="single" w:color="auto" w:sz="4" w:space="0"/>
            </w:tcBorders>
            <w:vAlign w:val="center"/>
          </w:tcPr>
          <w:p w14:paraId="6A2C9E4F">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代理服务费</w:t>
            </w:r>
          </w:p>
        </w:tc>
        <w:tc>
          <w:tcPr>
            <w:tcW w:w="3719" w:type="pct"/>
            <w:tcBorders>
              <w:top w:val="single" w:color="auto" w:sz="4" w:space="0"/>
              <w:left w:val="single" w:color="auto" w:sz="4" w:space="0"/>
              <w:bottom w:val="single" w:color="auto" w:sz="4" w:space="0"/>
              <w:right w:val="single" w:color="auto" w:sz="4" w:space="0"/>
            </w:tcBorders>
            <w:vAlign w:val="center"/>
          </w:tcPr>
          <w:p w14:paraId="45153E82">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以中标价为基准价按照1%收取代理费服务费，代理服务费由中标人支付。</w:t>
            </w:r>
          </w:p>
          <w:p w14:paraId="55C76722">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付款信息：</w:t>
            </w:r>
          </w:p>
          <w:p w14:paraId="0F2E19C2">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户    名：云南星骋项目管理有限公司</w:t>
            </w:r>
          </w:p>
          <w:p w14:paraId="7751885E">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开户银行：中国工商银行股份有限公司景洪牡丹支行</w:t>
            </w:r>
          </w:p>
          <w:p w14:paraId="02BC5EF7">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账    号：2509023209200249691  </w:t>
            </w:r>
          </w:p>
        </w:tc>
      </w:tr>
      <w:tr w14:paraId="4EAB6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5AEFC45">
            <w:pPr>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4647" w:type="pct"/>
            <w:gridSpan w:val="2"/>
            <w:tcBorders>
              <w:top w:val="single" w:color="auto" w:sz="4" w:space="0"/>
              <w:left w:val="single" w:color="auto" w:sz="4" w:space="0"/>
              <w:bottom w:val="single" w:color="auto" w:sz="4" w:space="0"/>
              <w:right w:val="single" w:color="auto" w:sz="4" w:space="0"/>
            </w:tcBorders>
            <w:vAlign w:val="center"/>
          </w:tcPr>
          <w:p w14:paraId="40C3CE28">
            <w:pPr>
              <w:pStyle w:val="13"/>
              <w:keepNext w:val="0"/>
              <w:keepLines w:val="0"/>
              <w:pageBreakBefore w:val="0"/>
              <w:widowControl w:val="0"/>
              <w:kinsoku/>
              <w:wordWrap/>
              <w:overflowPunct/>
              <w:topLinePunct/>
              <w:autoSpaceDE/>
              <w:autoSpaceDN/>
              <w:bidi w:val="0"/>
              <w:snapToGrid/>
              <w:spacing w:line="44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需要补充的其他内容</w:t>
            </w:r>
          </w:p>
        </w:tc>
      </w:tr>
      <w:tr w14:paraId="250CBC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E9E00C4">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928" w:type="pct"/>
            <w:tcBorders>
              <w:top w:val="single" w:color="auto" w:sz="4" w:space="0"/>
              <w:left w:val="single" w:color="auto" w:sz="4" w:space="0"/>
              <w:bottom w:val="single" w:color="auto" w:sz="4" w:space="0"/>
              <w:right w:val="single" w:color="auto" w:sz="4" w:space="0"/>
            </w:tcBorders>
            <w:vAlign w:val="center"/>
          </w:tcPr>
          <w:p w14:paraId="3CF6B05B">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技术支持</w:t>
            </w:r>
          </w:p>
        </w:tc>
        <w:tc>
          <w:tcPr>
            <w:tcW w:w="3719" w:type="pct"/>
            <w:tcBorders>
              <w:top w:val="single" w:color="auto" w:sz="4" w:space="0"/>
              <w:left w:val="single" w:color="auto" w:sz="4" w:space="0"/>
              <w:bottom w:val="single" w:color="auto" w:sz="4" w:space="0"/>
              <w:right w:val="single" w:color="auto" w:sz="4" w:space="0"/>
            </w:tcBorders>
            <w:vAlign w:val="center"/>
          </w:tcPr>
          <w:p w14:paraId="547DC30C">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highlight w:val="none"/>
                <w:lang w:val="zh-CN"/>
              </w:rPr>
              <w:t>若 对 项 目 采 购 电 子 交 易 系 统 操 作 有 疑 问 ， 可 登 录 “ 政 采 云 ” 平 台（https://www.zcygov.cn/），点击右侧咨询小采，获取采小蜜智能服务管家帮助，或拨打政采云服务热线 95763 获取热线服务帮助（服务时间：工作日8：00-20：00）。</w:t>
            </w:r>
          </w:p>
        </w:tc>
      </w:tr>
      <w:tr w14:paraId="4BCFD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E4022F8">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928" w:type="pct"/>
            <w:tcBorders>
              <w:top w:val="single" w:color="auto" w:sz="4" w:space="0"/>
              <w:left w:val="single" w:color="auto" w:sz="4" w:space="0"/>
              <w:bottom w:val="single" w:color="auto" w:sz="4" w:space="0"/>
              <w:right w:val="single" w:color="auto" w:sz="4" w:space="0"/>
            </w:tcBorders>
            <w:vAlign w:val="center"/>
          </w:tcPr>
          <w:p w14:paraId="7FB9184C">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采购标的对应的中小企业划分标准所属行业</w:t>
            </w:r>
          </w:p>
        </w:tc>
        <w:tc>
          <w:tcPr>
            <w:tcW w:w="3719" w:type="pct"/>
            <w:tcBorders>
              <w:top w:val="single" w:color="auto" w:sz="4" w:space="0"/>
              <w:left w:val="single" w:color="auto" w:sz="4" w:space="0"/>
              <w:bottom w:val="single" w:color="auto" w:sz="4" w:space="0"/>
              <w:right w:val="single" w:color="auto" w:sz="4" w:space="0"/>
            </w:tcBorders>
            <w:vAlign w:val="center"/>
          </w:tcPr>
          <w:p w14:paraId="6ACA0BC5">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标的名称：</w:t>
            </w:r>
            <w:r>
              <w:rPr>
                <w:rFonts w:hint="eastAsia" w:hAnsi="宋体" w:cs="宋体"/>
                <w:color w:val="auto"/>
                <w:sz w:val="24"/>
                <w:szCs w:val="24"/>
                <w:highlight w:val="none"/>
                <w:lang w:eastAsia="zh-CN"/>
              </w:rPr>
              <w:t>西定乡曼迈村委会产业发展项目</w:t>
            </w:r>
            <w:r>
              <w:rPr>
                <w:rFonts w:hint="eastAsia" w:ascii="宋体" w:hAnsi="宋体" w:eastAsia="宋体" w:cs="宋体"/>
                <w:color w:val="auto"/>
                <w:sz w:val="24"/>
                <w:szCs w:val="24"/>
                <w:highlight w:val="none"/>
              </w:rPr>
              <w:t>。</w:t>
            </w:r>
          </w:p>
          <w:p w14:paraId="38D77672">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本项目对应的中小企业划分标准所属行业为</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建筑业</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lang w:val="zh-CN"/>
              </w:rPr>
              <w:t>。</w:t>
            </w:r>
          </w:p>
          <w:p w14:paraId="59CA3A89">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根据营业收入、资产总额等指标确定，具体详见《关于印发中小企业划型标准规定的通知》（工信部联企业〔2011〕300 号）文件。</w:t>
            </w:r>
          </w:p>
          <w:p w14:paraId="669E149C">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highlight w:val="none"/>
                <w:lang w:eastAsia="zh-CN"/>
              </w:rPr>
              <w:t>建筑业：</w:t>
            </w:r>
            <w:r>
              <w:rPr>
                <w:rFonts w:hint="eastAsia" w:ascii="宋体" w:hAnsi="宋体" w:eastAsia="宋体" w:cs="宋体"/>
                <w:color w:val="auto"/>
                <w:sz w:val="24"/>
                <w:highlight w:val="none"/>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378F9D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56D978E">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lang w:val="en-US" w:eastAsia="zh-CN"/>
              </w:rPr>
              <w:t>）</w:t>
            </w:r>
          </w:p>
        </w:tc>
        <w:tc>
          <w:tcPr>
            <w:tcW w:w="928" w:type="pct"/>
            <w:tcBorders>
              <w:top w:val="single" w:color="auto" w:sz="4" w:space="0"/>
              <w:left w:val="single" w:color="auto" w:sz="4" w:space="0"/>
              <w:bottom w:val="single" w:color="auto" w:sz="4" w:space="0"/>
              <w:right w:val="single" w:color="auto" w:sz="4" w:space="0"/>
            </w:tcBorders>
            <w:vAlign w:val="center"/>
          </w:tcPr>
          <w:p w14:paraId="1C5E53FE">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投标费用</w:t>
            </w:r>
          </w:p>
        </w:tc>
        <w:tc>
          <w:tcPr>
            <w:tcW w:w="3719" w:type="pct"/>
            <w:tcBorders>
              <w:top w:val="single" w:color="auto" w:sz="4" w:space="0"/>
              <w:left w:val="single" w:color="auto" w:sz="4" w:space="0"/>
              <w:bottom w:val="single" w:color="auto" w:sz="4" w:space="0"/>
              <w:right w:val="single" w:color="auto" w:sz="4" w:space="0"/>
            </w:tcBorders>
            <w:vAlign w:val="center"/>
          </w:tcPr>
          <w:p w14:paraId="44F1CAFC">
            <w:pPr>
              <w:pStyle w:val="17"/>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不论投标结果如何，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均应自行承担所有关与编写和提交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有关的全部费用。</w:t>
            </w:r>
          </w:p>
        </w:tc>
      </w:tr>
      <w:tr w14:paraId="05FE2B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26209A9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p>
        </w:tc>
        <w:tc>
          <w:tcPr>
            <w:tcW w:w="928" w:type="pct"/>
            <w:tcBorders>
              <w:top w:val="single" w:color="auto" w:sz="4" w:space="0"/>
              <w:left w:val="single" w:color="auto" w:sz="4" w:space="0"/>
              <w:bottom w:val="single" w:color="auto" w:sz="4" w:space="0"/>
              <w:right w:val="single" w:color="auto" w:sz="4" w:space="0"/>
            </w:tcBorders>
            <w:vAlign w:val="center"/>
          </w:tcPr>
          <w:p w14:paraId="7D7349DB">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细微偏差澄清</w:t>
            </w:r>
          </w:p>
        </w:tc>
        <w:tc>
          <w:tcPr>
            <w:tcW w:w="3719" w:type="pct"/>
            <w:tcBorders>
              <w:top w:val="single" w:color="auto" w:sz="4" w:space="0"/>
              <w:left w:val="single" w:color="auto" w:sz="4" w:space="0"/>
              <w:bottom w:val="single" w:color="auto" w:sz="4" w:space="0"/>
              <w:right w:val="single" w:color="auto" w:sz="4" w:space="0"/>
            </w:tcBorders>
            <w:vAlign w:val="center"/>
          </w:tcPr>
          <w:p w14:paraId="300BFDB1">
            <w:pPr>
              <w:pStyle w:val="17"/>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采购人将以书面方式要求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中的细微偏差内容作为必要的澄清或补正。对此，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不得拒绝。澄清或补正应以书面方式进行并不得超过</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实质内容。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的澄清或补正内容将作为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拒不按照要求对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进行澄清或补正的，采购人将按否决投标处理，并没收其投标担保。采购人不接受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主动提出的澄清或补正。</w:t>
            </w:r>
          </w:p>
        </w:tc>
      </w:tr>
      <w:tr w14:paraId="525F8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73CB7B6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p>
        </w:tc>
        <w:tc>
          <w:tcPr>
            <w:tcW w:w="928" w:type="pct"/>
            <w:tcBorders>
              <w:top w:val="single" w:color="auto" w:sz="4" w:space="0"/>
              <w:left w:val="single" w:color="auto" w:sz="4" w:space="0"/>
              <w:bottom w:val="single" w:color="auto" w:sz="4" w:space="0"/>
              <w:right w:val="single" w:color="auto" w:sz="4" w:space="0"/>
            </w:tcBorders>
            <w:vAlign w:val="center"/>
          </w:tcPr>
          <w:p w14:paraId="2EA0B44C">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评审实质性要求和条件</w:t>
            </w:r>
          </w:p>
        </w:tc>
        <w:tc>
          <w:tcPr>
            <w:tcW w:w="3719" w:type="pct"/>
            <w:tcBorders>
              <w:top w:val="single" w:color="auto" w:sz="4" w:space="0"/>
              <w:left w:val="single" w:color="auto" w:sz="4" w:space="0"/>
              <w:bottom w:val="single" w:color="auto" w:sz="4" w:space="0"/>
              <w:right w:val="single" w:color="auto" w:sz="4" w:space="0"/>
            </w:tcBorders>
            <w:vAlign w:val="center"/>
          </w:tcPr>
          <w:p w14:paraId="4D118F00">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具体内容：</w:t>
            </w:r>
          </w:p>
          <w:p w14:paraId="19686A23">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资格条件</w:t>
            </w:r>
          </w:p>
          <w:p w14:paraId="175F900F">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签署和盖章要求</w:t>
            </w:r>
          </w:p>
          <w:p w14:paraId="59C1B6F4">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3)投标保证金缴纳要求</w:t>
            </w:r>
          </w:p>
          <w:p w14:paraId="6183C5BC">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4)投标报价要求</w:t>
            </w:r>
          </w:p>
          <w:p w14:paraId="63AA9522">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格式要求</w:t>
            </w:r>
          </w:p>
          <w:p w14:paraId="0DF3000C">
            <w:pPr>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6)</w:t>
            </w:r>
            <w:r>
              <w:rPr>
                <w:rFonts w:hint="eastAsia" w:ascii="宋体" w:hAnsi="宋体" w:eastAsia="宋体" w:cs="宋体"/>
                <w:bCs/>
                <w:color w:val="auto"/>
                <w:sz w:val="24"/>
                <w:highlight w:val="none"/>
                <w:lang w:eastAsia="zh-CN"/>
              </w:rPr>
              <w:t>竞争性磋商文件</w:t>
            </w:r>
            <w:r>
              <w:rPr>
                <w:rFonts w:hint="eastAsia" w:ascii="宋体" w:hAnsi="宋体" w:eastAsia="宋体" w:cs="宋体"/>
                <w:bCs/>
                <w:color w:val="auto"/>
                <w:sz w:val="24"/>
                <w:highlight w:val="none"/>
              </w:rPr>
              <w:t>要求</w:t>
            </w:r>
            <w:r>
              <w:rPr>
                <w:rFonts w:hint="eastAsia" w:ascii="宋体" w:hAnsi="宋体" w:eastAsia="宋体" w:cs="宋体"/>
                <w:bCs/>
                <w:color w:val="auto"/>
                <w:sz w:val="24"/>
                <w:highlight w:val="none"/>
                <w:lang w:eastAsia="zh-CN"/>
              </w:rPr>
              <w:t>的承诺书及</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rPr>
              <w:t>提交的材料</w:t>
            </w:r>
          </w:p>
        </w:tc>
      </w:tr>
      <w:tr w14:paraId="76389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08A7EFA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p>
        </w:tc>
        <w:tc>
          <w:tcPr>
            <w:tcW w:w="928" w:type="pct"/>
            <w:tcBorders>
              <w:top w:val="single" w:color="auto" w:sz="4" w:space="0"/>
              <w:left w:val="single" w:color="auto" w:sz="4" w:space="0"/>
              <w:bottom w:val="single" w:color="auto" w:sz="4" w:space="0"/>
              <w:right w:val="single" w:color="auto" w:sz="4" w:space="0"/>
            </w:tcBorders>
            <w:vAlign w:val="center"/>
          </w:tcPr>
          <w:p w14:paraId="4C6E6E03">
            <w:pPr>
              <w:pStyle w:val="17"/>
              <w:spacing w:line="480" w:lineRule="exact"/>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实质性要求</w:t>
            </w:r>
          </w:p>
        </w:tc>
        <w:tc>
          <w:tcPr>
            <w:tcW w:w="3719" w:type="pct"/>
            <w:tcBorders>
              <w:top w:val="single" w:color="auto" w:sz="4" w:space="0"/>
              <w:left w:val="single" w:color="auto" w:sz="4" w:space="0"/>
              <w:bottom w:val="single" w:color="auto" w:sz="4" w:space="0"/>
              <w:right w:val="single" w:color="auto" w:sz="4" w:space="0"/>
            </w:tcBorders>
            <w:vAlign w:val="center"/>
          </w:tcPr>
          <w:p w14:paraId="1859F356">
            <w:pPr>
              <w:pStyle w:val="17"/>
              <w:keepNext w:val="0"/>
              <w:keepLines w:val="0"/>
              <w:pageBreakBefore w:val="0"/>
              <w:widowControl w:val="0"/>
              <w:kinsoku/>
              <w:wordWrap/>
              <w:overflowPunct/>
              <w:autoSpaceDE/>
              <w:autoSpaceDN/>
              <w:bidi w:val="0"/>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是指本</w:t>
            </w:r>
            <w:r>
              <w:rPr>
                <w:rFonts w:hint="eastAsia" w:ascii="宋体" w:hAnsi="宋体" w:eastAsia="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中对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所提出的相关要求。</w:t>
            </w:r>
          </w:p>
        </w:tc>
      </w:tr>
      <w:tr w14:paraId="75F60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14:paraId="46F221C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w:t>
            </w:r>
          </w:p>
        </w:tc>
        <w:tc>
          <w:tcPr>
            <w:tcW w:w="928" w:type="pct"/>
            <w:tcBorders>
              <w:top w:val="single" w:color="auto" w:sz="4" w:space="0"/>
              <w:left w:val="single" w:color="auto" w:sz="4" w:space="0"/>
              <w:bottom w:val="single" w:color="auto" w:sz="4" w:space="0"/>
              <w:right w:val="single" w:color="auto" w:sz="4" w:space="0"/>
            </w:tcBorders>
            <w:vAlign w:val="center"/>
          </w:tcPr>
          <w:p w14:paraId="310F239C">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词义解释</w:t>
            </w:r>
          </w:p>
        </w:tc>
        <w:tc>
          <w:tcPr>
            <w:tcW w:w="3719" w:type="pct"/>
            <w:tcBorders>
              <w:top w:val="single" w:color="auto" w:sz="4" w:space="0"/>
              <w:left w:val="single" w:color="auto" w:sz="4" w:space="0"/>
              <w:bottom w:val="single" w:color="auto" w:sz="4" w:space="0"/>
              <w:right w:val="single" w:color="auto" w:sz="4" w:space="0"/>
            </w:tcBorders>
            <w:vAlign w:val="center"/>
          </w:tcPr>
          <w:p w14:paraId="1EEF22B9">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、采购人等均指：采购人；</w:t>
            </w:r>
          </w:p>
          <w:p w14:paraId="6CB71841">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、采购代理机构均指：采购代理机构</w:t>
            </w:r>
            <w:r>
              <w:rPr>
                <w:rFonts w:hint="eastAsia" w:ascii="宋体" w:hAnsi="宋体" w:eastAsia="宋体" w:cs="宋体"/>
                <w:color w:val="auto"/>
                <w:sz w:val="24"/>
                <w:szCs w:val="24"/>
                <w:highlight w:val="none"/>
                <w:lang w:eastAsia="zh-CN"/>
              </w:rPr>
              <w:t>。</w:t>
            </w:r>
          </w:p>
          <w:p w14:paraId="6F14265F">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、供应商、竞标人等均指：</w:t>
            </w:r>
            <w:r>
              <w:rPr>
                <w:rFonts w:hint="eastAsia" w:ascii="宋体" w:hAnsi="宋体" w:eastAsia="宋体" w:cs="宋体"/>
                <w:color w:val="auto"/>
                <w:sz w:val="24"/>
                <w:szCs w:val="24"/>
                <w:highlight w:val="none"/>
                <w:lang w:eastAsia="zh-CN"/>
              </w:rPr>
              <w:t>供应商。</w:t>
            </w:r>
          </w:p>
        </w:tc>
      </w:tr>
      <w:tr w14:paraId="5F32F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2" w:type="pct"/>
            <w:tcBorders>
              <w:top w:val="single" w:color="auto" w:sz="4" w:space="0"/>
              <w:left w:val="single" w:color="auto" w:sz="4" w:space="0"/>
              <w:bottom w:val="single" w:color="auto" w:sz="4" w:space="0"/>
              <w:right w:val="single" w:color="auto" w:sz="4" w:space="0"/>
            </w:tcBorders>
            <w:shd w:val="clear" w:color="auto" w:fill="auto"/>
            <w:vAlign w:val="center"/>
          </w:tcPr>
          <w:p w14:paraId="32025372">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w:t>
            </w:r>
          </w:p>
        </w:tc>
        <w:tc>
          <w:tcPr>
            <w:tcW w:w="928" w:type="pct"/>
            <w:tcBorders>
              <w:top w:val="single" w:color="auto" w:sz="4" w:space="0"/>
              <w:left w:val="single" w:color="auto" w:sz="4" w:space="0"/>
              <w:bottom w:val="single" w:color="auto" w:sz="4" w:space="0"/>
              <w:right w:val="single" w:color="auto" w:sz="4" w:space="0"/>
            </w:tcBorders>
            <w:shd w:val="clear" w:color="auto" w:fill="auto"/>
            <w:vAlign w:val="center"/>
          </w:tcPr>
          <w:p w14:paraId="31DDA3AE">
            <w:pPr>
              <w:pStyle w:val="17"/>
              <w:spacing w:line="440" w:lineRule="exact"/>
              <w:jc w:val="center"/>
              <w:rPr>
                <w:rFonts w:hint="eastAsia" w:hAnsi="宋体" w:cs="宋体"/>
                <w:color w:val="auto"/>
                <w:sz w:val="24"/>
                <w:szCs w:val="24"/>
                <w:highlight w:val="none"/>
              </w:rPr>
            </w:pPr>
            <w:r>
              <w:rPr>
                <w:rFonts w:hint="eastAsia" w:hAnsi="宋体" w:cs="宋体"/>
                <w:color w:val="auto"/>
                <w:sz w:val="24"/>
                <w:szCs w:val="24"/>
                <w:highlight w:val="none"/>
              </w:rPr>
              <w:t>政府采购异常</w:t>
            </w:r>
          </w:p>
          <w:p w14:paraId="545851C2">
            <w:pPr>
              <w:pStyle w:val="17"/>
              <w:spacing w:line="440" w:lineRule="exact"/>
              <w:jc w:val="center"/>
              <w:rPr>
                <w:rFonts w:hint="eastAsia"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rPr>
              <w:t>低价</w:t>
            </w:r>
          </w:p>
        </w:tc>
        <w:tc>
          <w:tcPr>
            <w:tcW w:w="3719" w:type="pct"/>
            <w:tcBorders>
              <w:top w:val="single" w:color="auto" w:sz="4" w:space="0"/>
              <w:left w:val="single" w:color="auto" w:sz="4" w:space="0"/>
              <w:bottom w:val="single" w:color="auto" w:sz="4" w:space="0"/>
              <w:right w:val="single" w:color="auto" w:sz="4" w:space="0"/>
            </w:tcBorders>
            <w:shd w:val="clear" w:color="auto" w:fill="auto"/>
            <w:vAlign w:val="center"/>
          </w:tcPr>
          <w:p w14:paraId="6618A568">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（一）政府采购评审中出现下列情形之一的，评审委员会应当启动异常低价投标（响应）审查程序： </w:t>
            </w:r>
          </w:p>
          <w:p w14:paraId="3856EAD6">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1.投标（响应）报价低于全部通过符合性审查供应商投标（响应）报价平均值50%的，即投标（响应）报价&lt;全部通过符合性审查供应商投标（响应）报价平均值×50%； </w:t>
            </w:r>
          </w:p>
          <w:p w14:paraId="75C4CFAB">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2.投标（响应）报价低于通过符合性审查的次低报价供应商投标（响应）报价50%的，即投标（响应）报价&lt;通过符合性审查的次低报价供应商投标（响应）报价×50%； </w:t>
            </w:r>
          </w:p>
          <w:p w14:paraId="578B21ED">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3.投标（响应）报价低于采购项目最高限价45%的，即投标（响应）报价&lt;采购项目最高限价×45%； </w:t>
            </w:r>
          </w:p>
          <w:p w14:paraId="29BD001E">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4.评审委员会基于专业判断，认为供应商报价过低，有可能影响产品质量或者不能诚信履约的其他情形。 </w:t>
            </w:r>
          </w:p>
          <w:p w14:paraId="522A77F0">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采购人可以结合具体项目实际情况，提高上述第1项至第3项中启动异常低价投标（响应）审查的数值标准，但是最高不得超过65%。 </w:t>
            </w:r>
          </w:p>
          <w:p w14:paraId="754F33ED">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相关法律法规对供应商报价有规定的，从其规定。 </w:t>
            </w:r>
          </w:p>
          <w:p w14:paraId="04315BFC">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D4C6F59">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54918CB">
            <w:pPr>
              <w:pStyle w:val="17"/>
              <w:spacing w:line="420" w:lineRule="exact"/>
              <w:jc w:val="left"/>
              <w:rPr>
                <w:rFonts w:hint="eastAsia" w:hAnsi="宋体" w:cs="宋体"/>
                <w:color w:val="auto"/>
                <w:sz w:val="24"/>
                <w:szCs w:val="24"/>
                <w:highlight w:val="none"/>
              </w:rPr>
            </w:pPr>
            <w:r>
              <w:rPr>
                <w:rFonts w:hint="eastAsia" w:hAnsi="宋体" w:cs="宋体"/>
                <w:color w:val="auto"/>
                <w:sz w:val="24"/>
                <w:szCs w:val="24"/>
                <w:highlight w:val="none"/>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5F27D63">
            <w:pPr>
              <w:pStyle w:val="17"/>
              <w:spacing w:line="420" w:lineRule="exact"/>
              <w:jc w:val="left"/>
              <w:rPr>
                <w:rFonts w:hint="eastAsia" w:ascii="宋体" w:hAnsi="宋体" w:eastAsia="宋体" w:cs="宋体"/>
                <w:bCs/>
                <w:color w:val="auto"/>
                <w:kern w:val="2"/>
                <w:sz w:val="24"/>
                <w:szCs w:val="21"/>
                <w:highlight w:val="none"/>
                <w:lang w:val="en-US" w:eastAsia="zh-CN" w:bidi="ar-SA"/>
              </w:rPr>
            </w:pPr>
            <w:r>
              <w:rPr>
                <w:rFonts w:hint="eastAsia" w:hAnsi="宋体" w:cs="宋体"/>
                <w:color w:val="auto"/>
                <w:sz w:val="24"/>
                <w:szCs w:val="24"/>
                <w:highlight w:val="none"/>
              </w:rPr>
              <w:t>　　异常低价投标（响应）审查的启动原因、审查意见和审查结果应当在评审报告中记录，并随供应商提供的相关书面说明及证明材料，以及评审委员会有关互联网浏览、查询历史一并归档。 </w:t>
            </w:r>
          </w:p>
        </w:tc>
      </w:tr>
    </w:tbl>
    <w:p w14:paraId="29275A51">
      <w:pPr>
        <w:rPr>
          <w:rFonts w:hint="eastAsia" w:ascii="宋体" w:hAnsi="宋体" w:eastAsia="宋体" w:cs="宋体"/>
          <w:b/>
          <w:bCs/>
          <w:color w:val="auto"/>
          <w:spacing w:val="14"/>
          <w:sz w:val="30"/>
          <w:szCs w:val="30"/>
          <w:highlight w:val="none"/>
          <w:lang w:val="en-US" w:eastAsia="zh-CN"/>
        </w:rPr>
      </w:pPr>
      <w:r>
        <w:rPr>
          <w:rFonts w:hint="eastAsia" w:ascii="宋体" w:hAnsi="宋体" w:eastAsia="宋体" w:cs="宋体"/>
          <w:b/>
          <w:bCs/>
          <w:color w:val="auto"/>
          <w:spacing w:val="14"/>
          <w:sz w:val="30"/>
          <w:szCs w:val="30"/>
          <w:highlight w:val="none"/>
          <w:lang w:val="en-US" w:eastAsia="zh-CN"/>
        </w:rPr>
        <w:br w:type="page"/>
      </w:r>
    </w:p>
    <w:p w14:paraId="0DBC5AE2">
      <w:pPr>
        <w:spacing w:before="468" w:beforeLines="150" w:line="600" w:lineRule="exact"/>
        <w:jc w:val="center"/>
        <w:rPr>
          <w:rFonts w:hint="eastAsia" w:ascii="宋体" w:hAnsi="宋体" w:eastAsia="宋体" w:cs="宋体"/>
          <w:b/>
          <w:bCs/>
          <w:color w:val="auto"/>
          <w:spacing w:val="14"/>
          <w:sz w:val="30"/>
          <w:szCs w:val="30"/>
          <w:highlight w:val="none"/>
        </w:rPr>
      </w:pPr>
      <w:r>
        <w:rPr>
          <w:rFonts w:hint="eastAsia" w:ascii="宋体" w:hAnsi="宋体" w:eastAsia="宋体" w:cs="宋体"/>
          <w:b/>
          <w:bCs/>
          <w:color w:val="auto"/>
          <w:spacing w:val="14"/>
          <w:sz w:val="30"/>
          <w:szCs w:val="30"/>
          <w:highlight w:val="none"/>
          <w:lang w:val="en-US" w:eastAsia="zh-CN"/>
        </w:rPr>
        <w:t>供应商</w:t>
      </w:r>
      <w:r>
        <w:rPr>
          <w:rFonts w:hint="eastAsia" w:ascii="宋体" w:hAnsi="宋体" w:eastAsia="宋体" w:cs="宋体"/>
          <w:b/>
          <w:bCs/>
          <w:color w:val="auto"/>
          <w:spacing w:val="14"/>
          <w:sz w:val="30"/>
          <w:szCs w:val="30"/>
          <w:highlight w:val="none"/>
        </w:rPr>
        <w:t>须知</w:t>
      </w:r>
    </w:p>
    <w:p w14:paraId="13E90280">
      <w:pPr>
        <w:pStyle w:val="5"/>
        <w:pageBreakBefore w:val="0"/>
        <w:widowControl/>
        <w:tabs>
          <w:tab w:val="left" w:pos="576"/>
        </w:tabs>
        <w:kinsoku/>
        <w:wordWrap/>
        <w:overflowPunct/>
        <w:topLinePunct w:val="0"/>
        <w:autoSpaceDE/>
        <w:autoSpaceDN/>
        <w:bidi w:val="0"/>
        <w:adjustRightInd/>
        <w:snapToGrid/>
        <w:spacing w:before="0" w:after="0" w:line="540" w:lineRule="exact"/>
        <w:ind w:right="15" w:rightChars="7"/>
        <w:textAlignment w:val="auto"/>
        <w:outlineLvl w:val="1"/>
        <w:rPr>
          <w:rFonts w:hint="eastAsia" w:ascii="宋体" w:hAnsi="宋体" w:eastAsia="宋体" w:cs="宋体"/>
          <w:color w:val="auto"/>
          <w:sz w:val="28"/>
          <w:szCs w:val="28"/>
          <w:highlight w:val="none"/>
          <w:lang w:val="zh-CN"/>
        </w:rPr>
      </w:pPr>
      <w:bookmarkStart w:id="122" w:name="_Toc10263"/>
      <w:bookmarkStart w:id="123" w:name="_Toc31728"/>
      <w:bookmarkStart w:id="124" w:name="_Toc6172"/>
      <w:bookmarkStart w:id="125" w:name="_Toc280780634"/>
      <w:bookmarkStart w:id="126" w:name="_Toc14113"/>
      <w:bookmarkStart w:id="127" w:name="_Toc13775"/>
      <w:r>
        <w:rPr>
          <w:rFonts w:hint="eastAsia" w:ascii="宋体" w:hAnsi="宋体" w:eastAsia="宋体" w:cs="宋体"/>
          <w:color w:val="auto"/>
          <w:sz w:val="28"/>
          <w:szCs w:val="28"/>
          <w:highlight w:val="none"/>
          <w:lang w:val="zh-CN"/>
        </w:rPr>
        <w:t>一、总</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则</w:t>
      </w:r>
      <w:bookmarkEnd w:id="122"/>
      <w:bookmarkEnd w:id="123"/>
      <w:bookmarkEnd w:id="124"/>
      <w:bookmarkEnd w:id="125"/>
      <w:bookmarkEnd w:id="126"/>
      <w:bookmarkEnd w:id="127"/>
    </w:p>
    <w:p w14:paraId="687C4CE4">
      <w:pPr>
        <w:pageBreakBefore w:val="0"/>
        <w:kinsoku/>
        <w:wordWrap/>
        <w:overflowPunct/>
        <w:topLinePunct w:val="0"/>
        <w:autoSpaceDE/>
        <w:autoSpaceDN/>
        <w:bidi w:val="0"/>
        <w:adjustRightInd/>
        <w:snapToGrid/>
        <w:spacing w:line="540" w:lineRule="exact"/>
        <w:ind w:right="15" w:rightChars="7"/>
        <w:textAlignment w:val="auto"/>
        <w:rPr>
          <w:rFonts w:hint="eastAsia" w:ascii="宋体" w:hAnsi="宋体" w:eastAsia="宋体" w:cs="宋体"/>
          <w:b/>
          <w:bCs/>
          <w:color w:val="auto"/>
          <w:kern w:val="1"/>
          <w:sz w:val="24"/>
          <w:highlight w:val="none"/>
          <w:lang w:bidi="ar"/>
        </w:rPr>
      </w:pPr>
      <w:bookmarkStart w:id="128" w:name="_Toc485249599"/>
      <w:bookmarkStart w:id="129" w:name="_Toc453658154"/>
      <w:r>
        <w:rPr>
          <w:rFonts w:hint="eastAsia" w:ascii="宋体" w:hAnsi="宋体" w:cs="宋体"/>
          <w:b/>
          <w:bCs/>
          <w:color w:val="auto"/>
          <w:kern w:val="1"/>
          <w:sz w:val="24"/>
          <w:highlight w:val="none"/>
          <w:lang w:val="en-US" w:eastAsia="zh-CN" w:bidi="ar"/>
        </w:rPr>
        <w:t>1.1</w:t>
      </w:r>
      <w:r>
        <w:rPr>
          <w:rFonts w:hint="eastAsia" w:ascii="宋体" w:hAnsi="宋体" w:eastAsia="宋体" w:cs="宋体"/>
          <w:b/>
          <w:bCs/>
          <w:color w:val="auto"/>
          <w:kern w:val="1"/>
          <w:sz w:val="24"/>
          <w:highlight w:val="none"/>
          <w:lang w:bidi="ar"/>
        </w:rPr>
        <w:t>项目概况</w:t>
      </w:r>
      <w:bookmarkEnd w:id="128"/>
      <w:bookmarkEnd w:id="129"/>
    </w:p>
    <w:p w14:paraId="31E6899F">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w:t>
      </w:r>
      <w:r>
        <w:rPr>
          <w:rFonts w:hint="eastAsia" w:ascii="宋体" w:hAnsi="宋体" w:cs="宋体"/>
          <w:color w:val="auto"/>
          <w:kern w:val="1"/>
          <w:sz w:val="24"/>
          <w:highlight w:val="none"/>
          <w:lang w:val="en-US" w:eastAsia="zh-CN" w:bidi="ar"/>
        </w:rPr>
        <w:t>1.1</w:t>
      </w:r>
      <w:r>
        <w:rPr>
          <w:rFonts w:hint="eastAsia" w:ascii="宋体" w:hAnsi="宋体" w:eastAsia="宋体" w:cs="宋体"/>
          <w:color w:val="auto"/>
          <w:kern w:val="1"/>
          <w:sz w:val="24"/>
          <w:highlight w:val="none"/>
          <w:lang w:bidi="ar"/>
        </w:rPr>
        <w:t>根据中华人民共和国财政部令第74号《政府采购非招标采购方式管理办法》</w:t>
      </w:r>
      <w:r>
        <w:rPr>
          <w:rFonts w:hint="eastAsia" w:ascii="宋体" w:hAnsi="宋体" w:cs="宋体"/>
          <w:color w:val="auto"/>
          <w:kern w:val="1"/>
          <w:sz w:val="24"/>
          <w:highlight w:val="none"/>
          <w:lang w:eastAsia="zh-CN" w:bidi="ar"/>
        </w:rPr>
        <w:t>、</w:t>
      </w:r>
      <w:r>
        <w:rPr>
          <w:rFonts w:hint="eastAsia" w:ascii="宋体" w:hAnsi="宋体" w:eastAsia="宋体" w:cs="宋体"/>
          <w:color w:val="auto"/>
          <w:kern w:val="1"/>
          <w:sz w:val="24"/>
          <w:highlight w:val="none"/>
          <w:lang w:bidi="ar"/>
        </w:rPr>
        <w:t>《政府采购竞争性磋商采购方式管理暂行办法》等有关法律、法规和规章的规定，本项目已获主管部门批准，现对本项目采用竞争性磋商方式进行采购。</w:t>
      </w:r>
    </w:p>
    <w:p w14:paraId="43FBCD7B">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1.2 本项目采购人、采购代理机构：见“供应商须知前附表 ”。</w:t>
      </w:r>
    </w:p>
    <w:p w14:paraId="4D8FCE0B">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1.3 项目名称及项目编号：见“供应商须知前附表 ”。</w:t>
      </w:r>
    </w:p>
    <w:p w14:paraId="3E0D350E">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1.4 本项目采购需求：见“供应商须知前附表 ”。</w:t>
      </w:r>
    </w:p>
    <w:p w14:paraId="037511D1">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1.5 本项目资金来源：见“供应商须知前附表 ”。</w:t>
      </w:r>
    </w:p>
    <w:p w14:paraId="08C5F30C">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1.6 本项目质量要求：见“供应商须知前附表 ”。</w:t>
      </w:r>
    </w:p>
    <w:p w14:paraId="10CA808D">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 xml:space="preserve">1.7 </w:t>
      </w:r>
      <w:r>
        <w:rPr>
          <w:rFonts w:hint="eastAsia" w:ascii="宋体" w:hAnsi="宋体" w:cs="宋体"/>
          <w:color w:val="auto"/>
          <w:kern w:val="1"/>
          <w:sz w:val="24"/>
          <w:highlight w:val="none"/>
          <w:lang w:val="en-US" w:eastAsia="zh-CN" w:bidi="ar"/>
        </w:rPr>
        <w:t>本项目地点</w:t>
      </w:r>
      <w:r>
        <w:rPr>
          <w:rFonts w:hint="eastAsia" w:ascii="宋体" w:hAnsi="宋体" w:eastAsia="宋体" w:cs="宋体"/>
          <w:color w:val="auto"/>
          <w:kern w:val="1"/>
          <w:sz w:val="24"/>
          <w:highlight w:val="none"/>
          <w:lang w:bidi="ar"/>
        </w:rPr>
        <w:t>：见“供应商须知前附表 ”。</w:t>
      </w:r>
    </w:p>
    <w:p w14:paraId="3E05A82A">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bidi="ar"/>
        </w:rPr>
        <w:t xml:space="preserve">1.8 </w:t>
      </w:r>
      <w:r>
        <w:rPr>
          <w:rFonts w:hint="eastAsia" w:ascii="宋体" w:hAnsi="宋体" w:cs="宋体"/>
          <w:color w:val="auto"/>
          <w:kern w:val="1"/>
          <w:sz w:val="24"/>
          <w:highlight w:val="none"/>
          <w:lang w:val="en-US" w:eastAsia="zh-CN" w:bidi="ar"/>
        </w:rPr>
        <w:t>本项目工期</w:t>
      </w:r>
      <w:r>
        <w:rPr>
          <w:rFonts w:hint="eastAsia" w:ascii="宋体" w:hAnsi="宋体" w:eastAsia="宋体" w:cs="宋体"/>
          <w:color w:val="auto"/>
          <w:kern w:val="1"/>
          <w:sz w:val="24"/>
          <w:highlight w:val="none"/>
          <w:lang w:bidi="ar"/>
        </w:rPr>
        <w:t>：见“供应商须知前附表 ”。</w:t>
      </w:r>
    </w:p>
    <w:p w14:paraId="31257058">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bookmarkStart w:id="130" w:name="_Toc7770"/>
      <w:bookmarkStart w:id="131" w:name="_Toc3035"/>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2</w:t>
      </w:r>
      <w:r>
        <w:rPr>
          <w:rFonts w:hint="eastAsia" w:ascii="宋体" w:hAnsi="宋体" w:eastAsia="宋体" w:cs="宋体"/>
          <w:b/>
          <w:bCs/>
          <w:color w:val="auto"/>
          <w:kern w:val="1"/>
          <w:sz w:val="24"/>
          <w:highlight w:val="none"/>
          <w:lang w:val="zh-CN" w:bidi="ar"/>
        </w:rPr>
        <w:t xml:space="preserve"> 供应商资格要求</w:t>
      </w:r>
    </w:p>
    <w:p w14:paraId="204CE48F">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(1)资格要求：见供应商须知前附表；</w:t>
      </w:r>
    </w:p>
    <w:p w14:paraId="7216A5B1">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w:t>
      </w:r>
      <w:r>
        <w:rPr>
          <w:rFonts w:hint="eastAsia" w:ascii="宋体" w:hAnsi="宋体" w:eastAsia="宋体" w:cs="宋体"/>
          <w:b w:val="0"/>
          <w:bCs w:val="0"/>
          <w:color w:val="auto"/>
          <w:kern w:val="1"/>
          <w:sz w:val="24"/>
          <w:highlight w:val="none"/>
          <w:lang w:val="en-US" w:eastAsia="zh-CN" w:bidi="ar"/>
        </w:rPr>
        <w:t>2</w:t>
      </w:r>
      <w:r>
        <w:rPr>
          <w:rFonts w:hint="eastAsia" w:ascii="宋体" w:hAnsi="宋体" w:eastAsia="宋体" w:cs="宋体"/>
          <w:b w:val="0"/>
          <w:bCs w:val="0"/>
          <w:color w:val="auto"/>
          <w:kern w:val="1"/>
          <w:sz w:val="24"/>
          <w:highlight w:val="none"/>
          <w:lang w:val="zh-CN" w:bidi="ar"/>
        </w:rPr>
        <w:t>)其他要求：见供应商须知前附表。</w:t>
      </w:r>
    </w:p>
    <w:p w14:paraId="419A6B69">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3</w:t>
      </w:r>
      <w:r>
        <w:rPr>
          <w:rFonts w:hint="eastAsia" w:ascii="宋体" w:hAnsi="宋体" w:eastAsia="宋体" w:cs="宋体"/>
          <w:b/>
          <w:bCs/>
          <w:color w:val="auto"/>
          <w:kern w:val="1"/>
          <w:sz w:val="24"/>
          <w:highlight w:val="none"/>
          <w:lang w:val="zh-CN" w:bidi="ar"/>
        </w:rPr>
        <w:t xml:space="preserve"> 费用承担</w:t>
      </w:r>
    </w:p>
    <w:p w14:paraId="647FB7C5">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bCs/>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供应商准备和参加投标活动发生的费用自理。</w:t>
      </w:r>
    </w:p>
    <w:p w14:paraId="3D910D4F">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4</w:t>
      </w:r>
      <w:r>
        <w:rPr>
          <w:rFonts w:hint="eastAsia" w:ascii="宋体" w:hAnsi="宋体" w:eastAsia="宋体" w:cs="宋体"/>
          <w:b/>
          <w:bCs/>
          <w:color w:val="auto"/>
          <w:kern w:val="1"/>
          <w:sz w:val="24"/>
          <w:highlight w:val="none"/>
          <w:lang w:val="zh-CN" w:bidi="ar"/>
        </w:rPr>
        <w:t xml:space="preserve"> 保密</w:t>
      </w:r>
    </w:p>
    <w:p w14:paraId="7ED5C806">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bCs/>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参与招标投标活动的各方应对竞争性磋商文件和响应文件中的商业和技术等秘密保密，则应承担相应的法律责任。</w:t>
      </w:r>
    </w:p>
    <w:p w14:paraId="70D06FC1">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5</w:t>
      </w:r>
      <w:r>
        <w:rPr>
          <w:rFonts w:hint="eastAsia" w:ascii="宋体" w:hAnsi="宋体" w:eastAsia="宋体" w:cs="宋体"/>
          <w:b/>
          <w:bCs/>
          <w:color w:val="auto"/>
          <w:kern w:val="1"/>
          <w:sz w:val="24"/>
          <w:highlight w:val="none"/>
          <w:lang w:val="zh-CN" w:bidi="ar"/>
        </w:rPr>
        <w:t>语言文字</w:t>
      </w:r>
    </w:p>
    <w:p w14:paraId="0E639C54">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响应文件使用的语言文字为中文。专用术语使用外文的，应附有中文注释。</w:t>
      </w:r>
    </w:p>
    <w:p w14:paraId="3638B09F">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6</w:t>
      </w:r>
      <w:r>
        <w:rPr>
          <w:rFonts w:hint="eastAsia" w:ascii="宋体" w:hAnsi="宋体" w:eastAsia="宋体" w:cs="宋体"/>
          <w:b/>
          <w:bCs/>
          <w:color w:val="auto"/>
          <w:kern w:val="1"/>
          <w:sz w:val="24"/>
          <w:highlight w:val="none"/>
          <w:lang w:val="zh-CN" w:bidi="ar"/>
        </w:rPr>
        <w:t xml:space="preserve"> 计量单位</w:t>
      </w:r>
    </w:p>
    <w:p w14:paraId="3A04F4DB">
      <w:pPr>
        <w:pageBreakBefore w:val="0"/>
        <w:kinsoku/>
        <w:wordWrap/>
        <w:overflowPunct/>
        <w:topLinePunct w:val="0"/>
        <w:bidi w:val="0"/>
        <w:snapToGrid/>
        <w:spacing w:line="540" w:lineRule="exact"/>
        <w:ind w:right="15" w:rightChars="7" w:firstLine="240" w:firstLineChars="1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所有计量均采用中华人民共和国法定计量单位。</w:t>
      </w:r>
    </w:p>
    <w:p w14:paraId="7C9CC6D4">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7</w:t>
      </w:r>
      <w:r>
        <w:rPr>
          <w:rFonts w:hint="eastAsia" w:ascii="宋体" w:hAnsi="宋体" w:eastAsia="宋体" w:cs="宋体"/>
          <w:b/>
          <w:bCs/>
          <w:color w:val="auto"/>
          <w:kern w:val="1"/>
          <w:sz w:val="24"/>
          <w:highlight w:val="none"/>
          <w:lang w:val="zh-CN" w:bidi="ar"/>
        </w:rPr>
        <w:t xml:space="preserve"> 现场踏勘</w:t>
      </w:r>
    </w:p>
    <w:p w14:paraId="0BA062AF">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本项目不组织现场踏勘</w:t>
      </w:r>
    </w:p>
    <w:p w14:paraId="78627120">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8</w:t>
      </w:r>
      <w:r>
        <w:rPr>
          <w:rFonts w:hint="eastAsia" w:ascii="宋体" w:hAnsi="宋体" w:eastAsia="宋体" w:cs="宋体"/>
          <w:b/>
          <w:bCs/>
          <w:color w:val="auto"/>
          <w:kern w:val="1"/>
          <w:sz w:val="24"/>
          <w:highlight w:val="none"/>
          <w:lang w:val="zh-CN" w:bidi="ar"/>
        </w:rPr>
        <w:t>开标前答疑会</w:t>
      </w:r>
    </w:p>
    <w:p w14:paraId="79D85B8A">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本项目不召开标前答疑会</w:t>
      </w:r>
    </w:p>
    <w:p w14:paraId="2A4155B7">
      <w:pPr>
        <w:pageBreakBefore w:val="0"/>
        <w:kinsoku/>
        <w:wordWrap/>
        <w:overflowPunct/>
        <w:topLinePunct w:val="0"/>
        <w:bidi w:val="0"/>
        <w:snapToGrid/>
        <w:spacing w:line="540" w:lineRule="exact"/>
        <w:ind w:right="15" w:rightChars="7"/>
        <w:textAlignment w:val="auto"/>
        <w:outlineLvl w:val="1"/>
        <w:rPr>
          <w:rFonts w:hint="eastAsia" w:ascii="宋体" w:hAnsi="宋体" w:eastAsia="宋体" w:cs="宋体"/>
          <w:b/>
          <w:bCs/>
          <w:color w:val="auto"/>
          <w:kern w:val="1"/>
          <w:sz w:val="24"/>
          <w:highlight w:val="none"/>
          <w:lang w:val="zh-CN" w:bidi="ar"/>
        </w:rPr>
      </w:pPr>
      <w:bookmarkStart w:id="132" w:name="_Toc26979"/>
      <w:bookmarkStart w:id="133" w:name="_Toc8928"/>
      <w:bookmarkStart w:id="134" w:name="_Toc22165"/>
      <w:bookmarkStart w:id="135" w:name="_Toc6105"/>
      <w:bookmarkStart w:id="136" w:name="_Toc13318"/>
      <w:bookmarkStart w:id="137" w:name="_Toc796"/>
      <w:r>
        <w:rPr>
          <w:rFonts w:hint="eastAsia" w:ascii="宋体" w:hAnsi="宋体" w:eastAsia="宋体" w:cs="宋体"/>
          <w:b/>
          <w:bCs/>
          <w:color w:val="auto"/>
          <w:kern w:val="1"/>
          <w:sz w:val="24"/>
          <w:highlight w:val="none"/>
          <w:lang w:val="zh-CN" w:bidi="ar"/>
        </w:rPr>
        <w:t>二、</w:t>
      </w:r>
      <w:bookmarkEnd w:id="132"/>
      <w:r>
        <w:rPr>
          <w:rFonts w:hint="eastAsia" w:ascii="宋体" w:hAnsi="宋体" w:eastAsia="宋体" w:cs="宋体"/>
          <w:b/>
          <w:bCs/>
          <w:color w:val="auto"/>
          <w:kern w:val="1"/>
          <w:sz w:val="24"/>
          <w:highlight w:val="none"/>
          <w:lang w:val="zh-CN" w:bidi="ar"/>
        </w:rPr>
        <w:t>竞争性磋商文件</w:t>
      </w:r>
      <w:bookmarkEnd w:id="133"/>
      <w:bookmarkEnd w:id="134"/>
      <w:bookmarkEnd w:id="135"/>
      <w:bookmarkEnd w:id="136"/>
      <w:bookmarkEnd w:id="137"/>
    </w:p>
    <w:p w14:paraId="52E3B403">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bookmarkStart w:id="138" w:name="_Toc485249602"/>
      <w:bookmarkStart w:id="139" w:name="_Toc453658158"/>
      <w:r>
        <w:rPr>
          <w:rFonts w:hint="eastAsia" w:ascii="宋体" w:hAnsi="宋体" w:eastAsia="宋体" w:cs="宋体"/>
          <w:color w:val="auto"/>
          <w:kern w:val="1"/>
          <w:sz w:val="24"/>
          <w:szCs w:val="24"/>
          <w:highlight w:val="none"/>
        </w:rPr>
        <w:t>2.1</w:t>
      </w:r>
      <w:r>
        <w:rPr>
          <w:rFonts w:hint="eastAsia" w:ascii="宋体" w:hAnsi="宋体" w:eastAsia="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的构成</w:t>
      </w:r>
      <w:bookmarkEnd w:id="138"/>
      <w:bookmarkEnd w:id="139"/>
    </w:p>
    <w:p w14:paraId="3ED74396">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2.1.1</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由目录所列内容和根据本须知所发出的答疑和补遗等组成。</w:t>
      </w:r>
    </w:p>
    <w:p w14:paraId="44C53178">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2.1.2</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应认真阅读</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中全部内容，如果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没有按照</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要求提交全部资料或者</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没有对</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在各方面都做出实质性响应，则其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将被拒绝。</w:t>
      </w:r>
    </w:p>
    <w:p w14:paraId="388FFF36">
      <w:pPr>
        <w:pStyle w:val="6"/>
        <w:pageBreakBefore w:val="0"/>
        <w:widowControl/>
        <w:kinsoku/>
        <w:wordWrap/>
        <w:overflowPunct/>
        <w:topLinePunct w:val="0"/>
        <w:bidi w:val="0"/>
        <w:snapToGrid/>
        <w:spacing w:before="0" w:after="0" w:line="540" w:lineRule="exact"/>
        <w:ind w:right="15" w:rightChars="7"/>
        <w:textAlignment w:val="auto"/>
        <w:outlineLvl w:val="2"/>
        <w:rPr>
          <w:rFonts w:hint="default" w:ascii="宋体" w:hAnsi="宋体" w:eastAsia="宋体" w:cs="宋体"/>
          <w:color w:val="auto"/>
          <w:kern w:val="1"/>
          <w:sz w:val="24"/>
          <w:szCs w:val="24"/>
          <w:highlight w:val="none"/>
          <w:lang w:val="en-US" w:eastAsia="zh-CN"/>
        </w:rPr>
      </w:pPr>
      <w:bookmarkStart w:id="140" w:name="_Toc485249603"/>
      <w:bookmarkStart w:id="141" w:name="_Toc453658159"/>
      <w:r>
        <w:rPr>
          <w:rFonts w:hint="eastAsia" w:ascii="宋体" w:hAnsi="宋体" w:eastAsia="宋体" w:cs="宋体"/>
          <w:color w:val="auto"/>
          <w:kern w:val="1"/>
          <w:sz w:val="24"/>
          <w:szCs w:val="24"/>
          <w:highlight w:val="none"/>
        </w:rPr>
        <w:t>2.2</w:t>
      </w:r>
      <w:r>
        <w:rPr>
          <w:rFonts w:hint="eastAsia" w:ascii="宋体" w:hAnsi="宋体" w:eastAsia="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的澄清</w:t>
      </w:r>
      <w:bookmarkEnd w:id="140"/>
      <w:bookmarkEnd w:id="141"/>
      <w:r>
        <w:rPr>
          <w:rFonts w:hint="eastAsia" w:ascii="宋体" w:hAnsi="宋体" w:eastAsia="宋体" w:cs="宋体"/>
          <w:color w:val="auto"/>
          <w:kern w:val="1"/>
          <w:sz w:val="24"/>
          <w:szCs w:val="24"/>
          <w:highlight w:val="none"/>
          <w:lang w:eastAsia="zh-CN"/>
        </w:rPr>
        <w:t>、</w:t>
      </w:r>
      <w:r>
        <w:rPr>
          <w:rFonts w:hint="eastAsia" w:ascii="宋体" w:hAnsi="宋体" w:eastAsia="宋体" w:cs="宋体"/>
          <w:color w:val="auto"/>
          <w:kern w:val="1"/>
          <w:sz w:val="24"/>
          <w:szCs w:val="24"/>
          <w:highlight w:val="none"/>
          <w:lang w:val="en-US" w:eastAsia="zh-CN"/>
        </w:rPr>
        <w:t>修改</w:t>
      </w:r>
    </w:p>
    <w:p w14:paraId="564AD23F">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val="zh-CN" w:eastAsia="zh-CN" w:bidi="ar"/>
        </w:rPr>
      </w:pPr>
      <w:bookmarkStart w:id="142" w:name="_Toc485249605"/>
      <w:bookmarkStart w:id="143" w:name="_Toc453658161"/>
      <w:bookmarkStart w:id="144" w:name="_Toc31860"/>
      <w:bookmarkStart w:id="145" w:name="_Toc11018"/>
      <w:bookmarkStart w:id="146" w:name="_Toc25339"/>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1供应商应仔细阅读和检查竞争性磋商文件的全部内容。如发现缺页或附件不全，应及时向采购人提出，以便补齐。供应商对竞争性磋商文件有疑问的，凭企业数字证书（CA）登录政采云平台（https://www.zcygov.cn），通过在线方式向采购人、采购代理机构提出询问；采购人、采购代理机构在3个工作日内对供应商依法提出的询问作出答复，但答复的内容不得涉及商业秘密。</w:t>
      </w:r>
    </w:p>
    <w:p w14:paraId="1828030A">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val="zh-CN" w:eastAsia="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2采购人、采购代理机构可以对已发出的竞争性磋商文件进行必要的澄清或者修改，澄清或者修改的内容作为竞争性磋商文件的组成部分。澄清或者修改的内容可能影响响应文件编制的，采购人、采购代理机构在提交响应文件截止时间5日前，通过政采云平台（https://www.zcygov.cn）通知所有获取竞争性磋商文件的供应商；不足5日的，采购人、采购代理机构将顺延提交响应文件截止时间。</w:t>
      </w:r>
    </w:p>
    <w:p w14:paraId="0FD7C802">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val="zh-CN" w:eastAsia="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.3供应商应及时登录政采云平台（https://www.zcygov.cn）中查看有关该项目竞争性磋商文件的澄清或者修改内容。因供应商自身原因未及时获知澄清或者修改内容而导致的任何后果将由供应商自行承担。</w:t>
      </w:r>
    </w:p>
    <w:p w14:paraId="41B6A4DA">
      <w:pPr>
        <w:pageBreakBefore w:val="0"/>
        <w:kinsoku/>
        <w:wordWrap/>
        <w:overflowPunct/>
        <w:topLinePunct w:val="0"/>
        <w:bidi w:val="0"/>
        <w:snapToGrid/>
        <w:spacing w:line="540" w:lineRule="exact"/>
        <w:ind w:right="15" w:rightChars="7"/>
        <w:textAlignment w:val="auto"/>
        <w:outlineLvl w:val="1"/>
        <w:rPr>
          <w:rFonts w:hint="eastAsia" w:ascii="宋体" w:hAnsi="宋体" w:eastAsia="宋体" w:cs="宋体"/>
          <w:b/>
          <w:bCs/>
          <w:color w:val="auto"/>
          <w:kern w:val="1"/>
          <w:sz w:val="24"/>
          <w:highlight w:val="none"/>
          <w:lang w:val="zh-CN" w:bidi="ar"/>
        </w:rPr>
      </w:pPr>
      <w:bookmarkStart w:id="147" w:name="_Toc10326"/>
      <w:bookmarkStart w:id="148" w:name="_Toc8228"/>
      <w:bookmarkStart w:id="149" w:name="_Toc14793"/>
      <w:bookmarkStart w:id="150" w:name="_Toc17734"/>
      <w:r>
        <w:rPr>
          <w:rFonts w:hint="eastAsia" w:ascii="宋体" w:hAnsi="宋体" w:eastAsia="宋体" w:cs="宋体"/>
          <w:b/>
          <w:bCs/>
          <w:color w:val="auto"/>
          <w:kern w:val="1"/>
          <w:sz w:val="24"/>
          <w:highlight w:val="none"/>
          <w:lang w:val="zh-CN" w:bidi="ar"/>
        </w:rPr>
        <w:t>三、响应文件的编制</w:t>
      </w:r>
      <w:bookmarkEnd w:id="142"/>
      <w:bookmarkEnd w:id="143"/>
      <w:bookmarkEnd w:id="144"/>
      <w:bookmarkEnd w:id="145"/>
      <w:bookmarkEnd w:id="146"/>
      <w:bookmarkEnd w:id="147"/>
      <w:bookmarkEnd w:id="148"/>
      <w:bookmarkEnd w:id="149"/>
      <w:bookmarkEnd w:id="150"/>
    </w:p>
    <w:p w14:paraId="31AD8BC7">
      <w:pPr>
        <w:pageBreakBefore w:val="0"/>
        <w:kinsoku/>
        <w:wordWrap/>
        <w:overflowPunct/>
        <w:topLinePunct w:val="0"/>
        <w:bidi w:val="0"/>
        <w:snapToGrid/>
        <w:spacing w:line="540" w:lineRule="exact"/>
        <w:ind w:right="15" w:rightChars="7"/>
        <w:textAlignment w:val="auto"/>
        <w:outlineLvl w:val="2"/>
        <w:rPr>
          <w:rFonts w:hint="eastAsia" w:ascii="宋体" w:hAnsi="宋体" w:eastAsia="宋体" w:cs="宋体"/>
          <w:b/>
          <w:bCs/>
          <w:color w:val="auto"/>
          <w:kern w:val="1"/>
          <w:sz w:val="24"/>
          <w:highlight w:val="none"/>
          <w:lang w:val="zh-CN" w:bidi="ar"/>
        </w:rPr>
      </w:pPr>
      <w:bookmarkStart w:id="151" w:name="_Toc485249606"/>
      <w:bookmarkStart w:id="152" w:name="_Toc453658162"/>
      <w:r>
        <w:rPr>
          <w:rFonts w:hint="eastAsia" w:ascii="宋体" w:hAnsi="宋体" w:eastAsia="宋体" w:cs="宋体"/>
          <w:b/>
          <w:bCs/>
          <w:color w:val="auto"/>
          <w:kern w:val="1"/>
          <w:sz w:val="24"/>
          <w:highlight w:val="none"/>
          <w:lang w:val="zh-CN" w:bidi="ar"/>
        </w:rPr>
        <w:t>3.1</w:t>
      </w:r>
      <w:r>
        <w:rPr>
          <w:rFonts w:hint="eastAsia" w:ascii="宋体" w:hAnsi="宋体" w:eastAsia="宋体" w:cs="宋体"/>
          <w:b/>
          <w:bCs/>
          <w:color w:val="auto"/>
          <w:kern w:val="1"/>
          <w:sz w:val="24"/>
          <w:highlight w:val="none"/>
          <w:lang w:val="zh-CN" w:eastAsia="zh-CN" w:bidi="ar"/>
        </w:rPr>
        <w:t>投标</w:t>
      </w:r>
      <w:r>
        <w:rPr>
          <w:rFonts w:hint="eastAsia" w:ascii="宋体" w:hAnsi="宋体" w:eastAsia="宋体" w:cs="宋体"/>
          <w:b/>
          <w:bCs/>
          <w:color w:val="auto"/>
          <w:kern w:val="1"/>
          <w:sz w:val="24"/>
          <w:highlight w:val="none"/>
          <w:lang w:val="zh-CN" w:bidi="ar"/>
        </w:rPr>
        <w:t>的语言及度量衡单位</w:t>
      </w:r>
      <w:bookmarkEnd w:id="151"/>
      <w:bookmarkEnd w:id="152"/>
    </w:p>
    <w:p w14:paraId="1484C5BB">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color w:val="auto"/>
          <w:kern w:val="1"/>
          <w:sz w:val="24"/>
          <w:highlight w:val="none"/>
        </w:rPr>
      </w:pPr>
      <w:r>
        <w:rPr>
          <w:rFonts w:hint="eastAsia" w:ascii="宋体" w:hAnsi="宋体" w:eastAsia="宋体" w:cs="宋体"/>
          <w:b w:val="0"/>
          <w:bCs w:val="0"/>
          <w:color w:val="auto"/>
          <w:kern w:val="1"/>
          <w:sz w:val="24"/>
          <w:highlight w:val="none"/>
          <w:lang w:val="zh-CN" w:bidi="ar"/>
        </w:rPr>
        <w:t>3.1.1</w:t>
      </w:r>
      <w:r>
        <w:rPr>
          <w:rFonts w:hint="eastAsia" w:ascii="宋体" w:hAnsi="宋体" w:eastAsia="宋体" w:cs="宋体"/>
          <w:b w:val="0"/>
          <w:bCs w:val="0"/>
          <w:color w:val="auto"/>
          <w:kern w:val="1"/>
          <w:sz w:val="24"/>
          <w:highlight w:val="none"/>
          <w:lang w:val="zh-CN" w:eastAsia="zh-CN" w:bidi="ar"/>
        </w:rPr>
        <w:t>供应商</w:t>
      </w:r>
      <w:r>
        <w:rPr>
          <w:rFonts w:hint="eastAsia" w:ascii="宋体" w:hAnsi="宋体" w:eastAsia="宋体" w:cs="宋体"/>
          <w:b w:val="0"/>
          <w:bCs w:val="0"/>
          <w:color w:val="auto"/>
          <w:kern w:val="1"/>
          <w:sz w:val="24"/>
          <w:highlight w:val="none"/>
          <w:lang w:val="zh-CN" w:bidi="ar"/>
        </w:rPr>
        <w:t>提交的</w:t>
      </w:r>
      <w:r>
        <w:rPr>
          <w:rFonts w:hint="eastAsia" w:ascii="宋体" w:hAnsi="宋体" w:eastAsia="宋体" w:cs="宋体"/>
          <w:b w:val="0"/>
          <w:bCs w:val="0"/>
          <w:color w:val="auto"/>
          <w:kern w:val="1"/>
          <w:sz w:val="24"/>
          <w:highlight w:val="none"/>
          <w:lang w:val="zh-CN" w:eastAsia="zh-CN" w:bidi="ar"/>
        </w:rPr>
        <w:t>响应文件</w:t>
      </w:r>
      <w:r>
        <w:rPr>
          <w:rFonts w:hint="eastAsia" w:ascii="宋体" w:hAnsi="宋体" w:eastAsia="宋体" w:cs="宋体"/>
          <w:color w:val="auto"/>
          <w:kern w:val="1"/>
          <w:sz w:val="24"/>
          <w:highlight w:val="none"/>
          <w:lang w:bidi="ar"/>
        </w:rPr>
        <w:t>以及</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与采购代理机构就有关</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活动的所有来往函电均应使用中文。</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可以提交用其他语言打印的资料，但有关的段落必须翻译成中文，在有差异和矛盾时以中文为准。字体要便于辨识，以正楷、宋体为好。</w:t>
      </w:r>
    </w:p>
    <w:p w14:paraId="3DAEC07F">
      <w:pPr>
        <w:pageBreakBefore w:val="0"/>
        <w:kinsoku/>
        <w:wordWrap/>
        <w:overflowPunct/>
        <w:topLinePunct w:val="0"/>
        <w:bidi w:val="0"/>
        <w:snapToGrid/>
        <w:spacing w:line="540" w:lineRule="exact"/>
        <w:ind w:right="15" w:rightChars="7" w:firstLine="51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3.1.2用非中文版印刷的产品说明书、技术资料等，</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应提供符合我国有关法律、法规的中文译本，并以中文译本为准。</w:t>
      </w:r>
    </w:p>
    <w:p w14:paraId="7A6C4967">
      <w:pPr>
        <w:pageBreakBefore w:val="0"/>
        <w:kinsoku/>
        <w:wordWrap/>
        <w:overflowPunct/>
        <w:topLinePunct w:val="0"/>
        <w:bidi w:val="0"/>
        <w:snapToGrid/>
        <w:spacing w:line="540" w:lineRule="exact"/>
        <w:ind w:right="15" w:rightChars="7" w:firstLine="480" w:firstLineChars="20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3.1.3</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中所使用的度量衡单位，除</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中有特殊要求外，所有计量均采用中华人民共和国法定计量单位。</w:t>
      </w:r>
    </w:p>
    <w:p w14:paraId="1682FCED">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bookmarkStart w:id="153" w:name="_Toc453658163"/>
      <w:bookmarkStart w:id="154" w:name="_Toc485249607"/>
      <w:r>
        <w:rPr>
          <w:rFonts w:hint="eastAsia" w:ascii="宋体" w:hAnsi="宋体" w:eastAsia="宋体" w:cs="宋体"/>
          <w:color w:val="auto"/>
          <w:kern w:val="1"/>
          <w:sz w:val="24"/>
          <w:szCs w:val="24"/>
          <w:highlight w:val="none"/>
        </w:rPr>
        <w:t>3.2</w:t>
      </w:r>
      <w:r>
        <w:rPr>
          <w:rFonts w:hint="eastAsia" w:ascii="宋体" w:hAnsi="宋体" w:eastAsia="宋体" w:cs="宋体"/>
          <w:color w:val="auto"/>
          <w:kern w:val="1"/>
          <w:sz w:val="24"/>
          <w:szCs w:val="24"/>
          <w:highlight w:val="none"/>
          <w:lang w:eastAsia="zh-CN"/>
        </w:rPr>
        <w:t>响应文件</w:t>
      </w:r>
      <w:r>
        <w:rPr>
          <w:rFonts w:hint="eastAsia" w:ascii="宋体" w:hAnsi="宋体" w:eastAsia="宋体" w:cs="宋体"/>
          <w:color w:val="auto"/>
          <w:kern w:val="1"/>
          <w:sz w:val="24"/>
          <w:szCs w:val="24"/>
          <w:highlight w:val="none"/>
        </w:rPr>
        <w:t>的构成</w:t>
      </w:r>
      <w:bookmarkEnd w:id="153"/>
      <w:bookmarkEnd w:id="154"/>
    </w:p>
    <w:p w14:paraId="4EBAD618">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3.2.1</w:t>
      </w:r>
      <w:bookmarkStart w:id="155" w:name="_Toc144974546"/>
      <w:r>
        <w:rPr>
          <w:rFonts w:hint="eastAsia" w:ascii="宋体" w:hAnsi="宋体" w:eastAsia="宋体" w:cs="宋体"/>
          <w:color w:val="auto"/>
          <w:kern w:val="1"/>
          <w:sz w:val="24"/>
          <w:highlight w:val="none"/>
          <w:lang w:eastAsia="zh-CN"/>
        </w:rPr>
        <w:t>响应文件</w:t>
      </w:r>
      <w:r>
        <w:rPr>
          <w:rFonts w:hint="eastAsia" w:ascii="宋体" w:hAnsi="宋体" w:eastAsia="宋体" w:cs="宋体"/>
          <w:color w:val="auto"/>
          <w:kern w:val="1"/>
          <w:sz w:val="24"/>
          <w:highlight w:val="none"/>
        </w:rPr>
        <w:t>应</w:t>
      </w:r>
      <w:r>
        <w:rPr>
          <w:rFonts w:hint="eastAsia" w:ascii="宋体" w:hAnsi="宋体" w:eastAsia="宋体" w:cs="宋体"/>
          <w:bCs/>
          <w:color w:val="auto"/>
          <w:kern w:val="1"/>
          <w:sz w:val="24"/>
          <w:highlight w:val="none"/>
          <w:lang w:bidi="ar"/>
        </w:rPr>
        <w:t>按照</w:t>
      </w:r>
      <w:r>
        <w:rPr>
          <w:rFonts w:hint="eastAsia" w:ascii="宋体" w:hAnsi="宋体" w:eastAsia="宋体" w:cs="宋体"/>
          <w:bCs/>
          <w:color w:val="auto"/>
          <w:kern w:val="1"/>
          <w:sz w:val="24"/>
          <w:highlight w:val="none"/>
          <w:lang w:eastAsia="zh-CN" w:bidi="ar"/>
        </w:rPr>
        <w:t>竞争性磋商文件</w:t>
      </w:r>
      <w:r>
        <w:rPr>
          <w:rFonts w:hint="eastAsia" w:ascii="宋体" w:hAnsi="宋体" w:eastAsia="宋体" w:cs="宋体"/>
          <w:bCs/>
          <w:color w:val="auto"/>
          <w:kern w:val="1"/>
          <w:sz w:val="24"/>
          <w:highlight w:val="none"/>
          <w:lang w:bidi="ar"/>
        </w:rPr>
        <w:t>第</w:t>
      </w:r>
      <w:r>
        <w:rPr>
          <w:rFonts w:hint="eastAsia" w:ascii="宋体" w:hAnsi="宋体" w:eastAsia="宋体" w:cs="宋体"/>
          <w:bCs/>
          <w:color w:val="auto"/>
          <w:kern w:val="1"/>
          <w:sz w:val="24"/>
          <w:highlight w:val="none"/>
          <w:lang w:eastAsia="zh-CN" w:bidi="ar"/>
        </w:rPr>
        <w:t>五</w:t>
      </w:r>
      <w:r>
        <w:rPr>
          <w:rFonts w:hint="eastAsia" w:ascii="宋体" w:hAnsi="宋体" w:eastAsia="宋体" w:cs="宋体"/>
          <w:bCs/>
          <w:color w:val="auto"/>
          <w:kern w:val="1"/>
          <w:sz w:val="24"/>
          <w:highlight w:val="none"/>
          <w:lang w:bidi="ar"/>
        </w:rPr>
        <w:t>章“</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”格式进行编写，如有必要，可以增加附页，作为</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的组成部分。</w:t>
      </w:r>
    </w:p>
    <w:p w14:paraId="22BD6BD7">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3.2.2</w:t>
      </w:r>
      <w:r>
        <w:rPr>
          <w:rFonts w:hint="eastAsia" w:ascii="宋体" w:hAnsi="宋体" w:eastAsia="宋体" w:cs="宋体"/>
          <w:bCs/>
          <w:color w:val="auto"/>
          <w:kern w:val="1"/>
          <w:sz w:val="24"/>
          <w:highlight w:val="none"/>
          <w:lang w:eastAsia="zh-CN" w:bidi="ar"/>
        </w:rPr>
        <w:t>第五章</w:t>
      </w:r>
      <w:r>
        <w:rPr>
          <w:rFonts w:hint="eastAsia" w:ascii="宋体" w:hAnsi="宋体" w:eastAsia="宋体" w:cs="宋体"/>
          <w:bCs/>
          <w:color w:val="auto"/>
          <w:kern w:val="1"/>
          <w:sz w:val="24"/>
          <w:highlight w:val="none"/>
          <w:lang w:bidi="ar"/>
        </w:rPr>
        <w:t>中未提供格式的由</w:t>
      </w:r>
      <w:r>
        <w:rPr>
          <w:rFonts w:hint="eastAsia" w:ascii="宋体" w:hAnsi="宋体" w:eastAsia="宋体" w:cs="宋体"/>
          <w:bCs/>
          <w:color w:val="auto"/>
          <w:kern w:val="1"/>
          <w:sz w:val="24"/>
          <w:highlight w:val="none"/>
          <w:lang w:eastAsia="zh-CN" w:bidi="ar"/>
        </w:rPr>
        <w:t>供应商</w:t>
      </w:r>
      <w:r>
        <w:rPr>
          <w:rFonts w:hint="eastAsia" w:ascii="宋体" w:hAnsi="宋体" w:eastAsia="宋体" w:cs="宋体"/>
          <w:bCs/>
          <w:color w:val="auto"/>
          <w:kern w:val="1"/>
          <w:sz w:val="24"/>
          <w:highlight w:val="none"/>
          <w:lang w:bidi="ar"/>
        </w:rPr>
        <w:t>自拟。</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中提供的所有证明材料均为彩色扫描件，且清晰可辨，</w:t>
      </w:r>
      <w:r>
        <w:rPr>
          <w:rFonts w:hint="eastAsia" w:ascii="宋体" w:hAnsi="宋体" w:eastAsia="宋体" w:cs="宋体"/>
          <w:bCs/>
          <w:color w:val="auto"/>
          <w:kern w:val="1"/>
          <w:sz w:val="24"/>
          <w:highlight w:val="none"/>
          <w:lang w:eastAsia="zh-CN" w:bidi="ar"/>
        </w:rPr>
        <w:t>并对所提供的</w:t>
      </w:r>
      <w:r>
        <w:rPr>
          <w:rFonts w:hint="eastAsia" w:ascii="宋体" w:hAnsi="宋体" w:eastAsia="宋体" w:cs="宋体"/>
          <w:bCs/>
          <w:color w:val="auto"/>
          <w:kern w:val="1"/>
          <w:sz w:val="24"/>
          <w:highlight w:val="none"/>
          <w:lang w:bidi="ar"/>
        </w:rPr>
        <w:t>投标材料真实有效</w:t>
      </w:r>
      <w:r>
        <w:rPr>
          <w:rFonts w:hint="eastAsia" w:ascii="宋体" w:hAnsi="宋体" w:eastAsia="宋体" w:cs="宋体"/>
          <w:bCs/>
          <w:color w:val="auto"/>
          <w:kern w:val="1"/>
          <w:sz w:val="24"/>
          <w:highlight w:val="none"/>
          <w:lang w:eastAsia="zh-CN" w:bidi="ar"/>
        </w:rPr>
        <w:t>性进行承诺，</w:t>
      </w:r>
      <w:r>
        <w:rPr>
          <w:rFonts w:hint="eastAsia" w:ascii="宋体" w:hAnsi="宋体" w:eastAsia="宋体" w:cs="宋体"/>
          <w:bCs/>
          <w:color w:val="auto"/>
          <w:kern w:val="1"/>
          <w:sz w:val="24"/>
          <w:highlight w:val="none"/>
          <w:lang w:bidi="ar"/>
        </w:rPr>
        <w:t>如因</w:t>
      </w:r>
      <w:r>
        <w:rPr>
          <w:rFonts w:hint="eastAsia" w:ascii="宋体" w:hAnsi="宋体" w:eastAsia="宋体" w:cs="宋体"/>
          <w:bCs/>
          <w:color w:val="auto"/>
          <w:kern w:val="1"/>
          <w:sz w:val="24"/>
          <w:highlight w:val="none"/>
          <w:lang w:eastAsia="zh-CN" w:bidi="ar"/>
        </w:rPr>
        <w:t>供应商</w:t>
      </w:r>
      <w:r>
        <w:rPr>
          <w:rFonts w:hint="eastAsia" w:ascii="宋体" w:hAnsi="宋体" w:eastAsia="宋体" w:cs="宋体"/>
          <w:bCs/>
          <w:color w:val="auto"/>
          <w:kern w:val="1"/>
          <w:sz w:val="24"/>
          <w:highlight w:val="none"/>
          <w:lang w:bidi="ar"/>
        </w:rPr>
        <w:t>提供的证明材料模糊或不可辨认，造成废标或不被</w:t>
      </w:r>
      <w:r>
        <w:rPr>
          <w:rFonts w:hint="eastAsia" w:ascii="宋体" w:hAnsi="宋体" w:cs="宋体"/>
          <w:bCs/>
          <w:color w:val="auto"/>
          <w:kern w:val="1"/>
          <w:sz w:val="24"/>
          <w:highlight w:val="none"/>
          <w:lang w:val="en-US" w:eastAsia="zh-CN" w:bidi="ar"/>
        </w:rPr>
        <w:t>竞争性磋商小组</w:t>
      </w:r>
      <w:r>
        <w:rPr>
          <w:rFonts w:hint="eastAsia" w:ascii="宋体" w:hAnsi="宋体" w:eastAsia="宋体" w:cs="宋体"/>
          <w:bCs/>
          <w:color w:val="auto"/>
          <w:kern w:val="1"/>
          <w:sz w:val="24"/>
          <w:highlight w:val="none"/>
          <w:lang w:bidi="ar"/>
        </w:rPr>
        <w:t>认定为评审依据，后果自行承担。</w:t>
      </w:r>
    </w:p>
    <w:p w14:paraId="7D76287F">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响应文件中的任何改动之处应加盖供应商企业电子签章或单位公章，并由供应商的法定代表人或其委托代理人个人电子签名章或签字确认。竞争性磋商文件要求在响应文件中提供的所有书面承诺均应加盖法定代表人电子签名章或签字并加盖供应商企业电子签章或单位公章，响应文件签字和盖章的其他要求见供应商须知前附表。</w:t>
      </w:r>
    </w:p>
    <w:p w14:paraId="466A37E4">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kern w:val="1"/>
          <w:sz w:val="24"/>
          <w:highlight w:val="none"/>
          <w:lang w:val="en-US" w:eastAsia="zh-CN" w:bidi="ar"/>
        </w:rPr>
        <w:t>3.2.3</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应对</w:t>
      </w:r>
      <w:r>
        <w:rPr>
          <w:rFonts w:hint="eastAsia" w:ascii="宋体" w:hAnsi="宋体" w:eastAsia="宋体" w:cs="宋体"/>
          <w:bCs/>
          <w:color w:val="auto"/>
          <w:kern w:val="1"/>
          <w:sz w:val="24"/>
          <w:highlight w:val="none"/>
          <w:lang w:eastAsia="zh-CN" w:bidi="ar"/>
        </w:rPr>
        <w:t>竞争性磋商文件</w:t>
      </w:r>
      <w:r>
        <w:rPr>
          <w:rFonts w:hint="eastAsia" w:ascii="宋体" w:hAnsi="宋体" w:eastAsia="宋体" w:cs="宋体"/>
          <w:bCs/>
          <w:color w:val="auto"/>
          <w:kern w:val="1"/>
          <w:sz w:val="24"/>
          <w:highlight w:val="none"/>
          <w:lang w:bidi="ar"/>
        </w:rPr>
        <w:t>有关的</w:t>
      </w:r>
      <w:r>
        <w:rPr>
          <w:rFonts w:hint="eastAsia" w:ascii="宋体" w:hAnsi="宋体" w:cs="宋体"/>
          <w:bCs/>
          <w:color w:val="auto"/>
          <w:kern w:val="1"/>
          <w:sz w:val="24"/>
          <w:highlight w:val="none"/>
          <w:lang w:val="en-US" w:eastAsia="zh-CN" w:bidi="ar"/>
        </w:rPr>
        <w:t>采购需求</w:t>
      </w:r>
      <w:r>
        <w:rPr>
          <w:rFonts w:hint="eastAsia" w:ascii="宋体" w:hAnsi="宋体" w:eastAsia="宋体" w:cs="宋体"/>
          <w:bCs/>
          <w:color w:val="auto"/>
          <w:kern w:val="1"/>
          <w:sz w:val="24"/>
          <w:highlight w:val="none"/>
          <w:lang w:bidi="ar"/>
        </w:rPr>
        <w:t>、投标有效期、</w:t>
      </w:r>
      <w:r>
        <w:rPr>
          <w:rFonts w:hint="eastAsia" w:ascii="宋体" w:hAnsi="宋体" w:eastAsia="宋体" w:cs="宋体"/>
          <w:bCs/>
          <w:color w:val="auto"/>
          <w:kern w:val="1"/>
          <w:sz w:val="24"/>
          <w:highlight w:val="none"/>
          <w:lang w:eastAsia="zh-CN" w:bidi="ar"/>
        </w:rPr>
        <w:t>质量要求</w:t>
      </w:r>
      <w:r>
        <w:rPr>
          <w:rFonts w:hint="eastAsia" w:ascii="宋体" w:hAnsi="宋体" w:eastAsia="宋体" w:cs="宋体"/>
          <w:bCs/>
          <w:color w:val="auto"/>
          <w:kern w:val="1"/>
          <w:sz w:val="24"/>
          <w:highlight w:val="none"/>
          <w:lang w:bidi="ar"/>
        </w:rPr>
        <w:t>、</w:t>
      </w:r>
      <w:r>
        <w:rPr>
          <w:rFonts w:hint="eastAsia" w:ascii="宋体" w:hAnsi="宋体" w:cs="宋体"/>
          <w:bCs/>
          <w:color w:val="auto"/>
          <w:kern w:val="1"/>
          <w:sz w:val="24"/>
          <w:highlight w:val="none"/>
          <w:lang w:val="en-US" w:eastAsia="zh-CN" w:bidi="ar"/>
        </w:rPr>
        <w:t>工期</w:t>
      </w:r>
      <w:r>
        <w:rPr>
          <w:rFonts w:hint="eastAsia" w:ascii="宋体" w:hAnsi="宋体" w:eastAsia="宋体" w:cs="宋体"/>
          <w:bCs/>
          <w:color w:val="auto"/>
          <w:kern w:val="1"/>
          <w:sz w:val="24"/>
          <w:highlight w:val="none"/>
          <w:lang w:bidi="ar"/>
        </w:rPr>
        <w:t>、</w:t>
      </w:r>
      <w:r>
        <w:rPr>
          <w:rFonts w:hint="eastAsia" w:ascii="宋体" w:hAnsi="宋体" w:cs="宋体"/>
          <w:bCs/>
          <w:color w:val="auto"/>
          <w:kern w:val="1"/>
          <w:sz w:val="24"/>
          <w:highlight w:val="none"/>
          <w:lang w:val="en-US" w:eastAsia="zh-CN" w:bidi="ar"/>
        </w:rPr>
        <w:t>项目</w:t>
      </w:r>
      <w:r>
        <w:rPr>
          <w:rFonts w:hint="eastAsia" w:ascii="宋体" w:hAnsi="宋体" w:eastAsia="宋体" w:cs="宋体"/>
          <w:bCs/>
          <w:color w:val="auto"/>
          <w:kern w:val="1"/>
          <w:sz w:val="24"/>
          <w:highlight w:val="none"/>
          <w:lang w:bidi="ar"/>
        </w:rPr>
        <w:t>地点等作出响应承诺</w:t>
      </w:r>
      <w:r>
        <w:rPr>
          <w:rFonts w:hint="eastAsia" w:ascii="宋体" w:hAnsi="宋体" w:eastAsia="宋体" w:cs="宋体"/>
          <w:bCs/>
          <w:color w:val="auto"/>
          <w:kern w:val="1"/>
          <w:sz w:val="24"/>
          <w:highlight w:val="none"/>
          <w:lang w:eastAsia="zh-CN" w:bidi="ar"/>
        </w:rPr>
        <w:t>，否则将不予通过</w:t>
      </w:r>
      <w:r>
        <w:rPr>
          <w:rFonts w:hint="eastAsia" w:ascii="宋体" w:hAnsi="宋体" w:eastAsia="宋体" w:cs="宋体"/>
          <w:color w:val="auto"/>
          <w:kern w:val="1"/>
          <w:sz w:val="24"/>
          <w:highlight w:val="none"/>
          <w:lang w:eastAsia="zh-CN"/>
        </w:rPr>
        <w:t>资格审查</w:t>
      </w:r>
      <w:r>
        <w:rPr>
          <w:rFonts w:hint="eastAsia" w:ascii="宋体" w:hAnsi="宋体" w:eastAsia="宋体" w:cs="宋体"/>
          <w:color w:val="auto"/>
          <w:kern w:val="1"/>
          <w:sz w:val="24"/>
          <w:highlight w:val="none"/>
        </w:rPr>
        <w:t>。</w:t>
      </w:r>
    </w:p>
    <w:p w14:paraId="014D15DB">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bookmarkStart w:id="156" w:name="_Toc453658164"/>
      <w:bookmarkStart w:id="157" w:name="_Toc485249608"/>
      <w:r>
        <w:rPr>
          <w:rFonts w:hint="eastAsia" w:ascii="宋体" w:hAnsi="宋体" w:eastAsia="宋体" w:cs="宋体"/>
          <w:color w:val="auto"/>
          <w:kern w:val="1"/>
          <w:sz w:val="24"/>
          <w:szCs w:val="24"/>
          <w:highlight w:val="none"/>
        </w:rPr>
        <w:t>3.3</w:t>
      </w:r>
      <w:r>
        <w:rPr>
          <w:rFonts w:hint="eastAsia" w:ascii="宋体" w:hAnsi="宋体" w:eastAsia="宋体" w:cs="宋体"/>
          <w:color w:val="auto"/>
          <w:kern w:val="1"/>
          <w:sz w:val="24"/>
          <w:szCs w:val="24"/>
          <w:highlight w:val="none"/>
          <w:lang w:val="en-US" w:eastAsia="zh-CN"/>
        </w:rPr>
        <w:t>磋商</w:t>
      </w:r>
      <w:r>
        <w:rPr>
          <w:rFonts w:hint="eastAsia" w:ascii="宋体" w:hAnsi="宋体" w:eastAsia="宋体" w:cs="宋体"/>
          <w:color w:val="auto"/>
          <w:kern w:val="1"/>
          <w:sz w:val="24"/>
          <w:szCs w:val="24"/>
          <w:highlight w:val="none"/>
        </w:rPr>
        <w:t>报价</w:t>
      </w:r>
      <w:bookmarkEnd w:id="156"/>
      <w:bookmarkEnd w:id="157"/>
    </w:p>
    <w:p w14:paraId="11F97B41">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3.3.1磋商报价编制依据为竞争性磋商文件和</w:t>
      </w:r>
      <w:r>
        <w:rPr>
          <w:rFonts w:hint="eastAsia" w:ascii="宋体" w:hAnsi="宋体" w:cs="宋体"/>
          <w:color w:val="auto"/>
          <w:kern w:val="1"/>
          <w:sz w:val="24"/>
          <w:highlight w:val="none"/>
          <w:lang w:val="en-US" w:eastAsia="zh-CN" w:bidi="ar"/>
        </w:rPr>
        <w:t>施工图</w:t>
      </w:r>
      <w:r>
        <w:rPr>
          <w:rFonts w:hint="eastAsia" w:ascii="宋体" w:hAnsi="宋体" w:eastAsia="宋体" w:cs="宋体"/>
          <w:color w:val="auto"/>
          <w:kern w:val="1"/>
          <w:sz w:val="24"/>
          <w:highlight w:val="none"/>
          <w:lang w:val="en-US" w:eastAsia="zh-CN" w:bidi="ar"/>
        </w:rPr>
        <w:t>，还应按照以下计价依据进行编制：</w:t>
      </w:r>
    </w:p>
    <w:p w14:paraId="05283BDE">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1.《建设工程工程量清单计价标准》（GB/T 50500-2024）</w:t>
      </w:r>
    </w:p>
    <w:p w14:paraId="11735989">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2.云南省住房和城乡建设厅关于发布《建设工程相关专业工程量计算标准云南省过渡期使用指南》的通知-云建科[2025]72号</w:t>
      </w:r>
    </w:p>
    <w:p w14:paraId="6BDF3B60">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3.《云南省建设工程造价计价标准(2020版)》</w:t>
      </w:r>
    </w:p>
    <w:p w14:paraId="1503AB34">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 xml:space="preserve">4.《云南省建设工程造价计价规则及机械仪器仪表台班费用定额》(DBJ53/T-58-2020) </w:t>
      </w:r>
    </w:p>
    <w:p w14:paraId="4D329F2B">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 xml:space="preserve">5.《云南省建筑工程计价标准》(DBJ53/T-61-2020) </w:t>
      </w:r>
    </w:p>
    <w:p w14:paraId="02FB13F5">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6.建筑材料价格：2026年5月《西双版纳地区建设材料价格信息》勐海价加运至施工现场运费</w:t>
      </w:r>
    </w:p>
    <w:p w14:paraId="5B186C53">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7.2023年人工费调整文件云建科(2023)54号</w:t>
      </w:r>
    </w:p>
    <w:p w14:paraId="74CF09EA">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8.西双版纳星辉建筑工程设计有限责任公司设计的施工图</w:t>
      </w:r>
      <w:r>
        <w:rPr>
          <w:rFonts w:hint="eastAsia" w:ascii="宋体" w:hAnsi="宋体" w:cs="宋体"/>
          <w:color w:val="auto"/>
          <w:kern w:val="1"/>
          <w:sz w:val="24"/>
          <w:highlight w:val="none"/>
          <w:lang w:val="en-US" w:eastAsia="zh-CN" w:bidi="ar"/>
        </w:rPr>
        <w:t>。</w:t>
      </w:r>
      <w:r>
        <w:rPr>
          <w:rFonts w:hint="eastAsia" w:ascii="宋体" w:hAnsi="宋体" w:eastAsia="宋体" w:cs="宋体"/>
          <w:color w:val="auto"/>
          <w:kern w:val="1"/>
          <w:sz w:val="24"/>
          <w:highlight w:val="none"/>
          <w:lang w:val="en-US" w:eastAsia="zh-CN" w:bidi="ar"/>
        </w:rPr>
        <w:t xml:space="preserve"> </w:t>
      </w:r>
      <w:r>
        <w:rPr>
          <w:rFonts w:hint="eastAsia" w:ascii="宋体" w:hAnsi="宋体" w:cs="宋体"/>
          <w:color w:val="auto"/>
          <w:kern w:val="1"/>
          <w:sz w:val="24"/>
          <w:highlight w:val="none"/>
          <w:lang w:val="en-US" w:eastAsia="zh-CN" w:bidi="ar"/>
        </w:rPr>
        <w:t xml:space="preserve">   </w:t>
      </w:r>
    </w:p>
    <w:p w14:paraId="47249BE4">
      <w:pPr>
        <w:keepNext w:val="0"/>
        <w:keepLines w:val="0"/>
        <w:pageBreakBefore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3.3.2 磋商报价的相关要求：详见供应商须知前附表。</w:t>
      </w:r>
    </w:p>
    <w:p w14:paraId="58D75159">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bookmarkStart w:id="158" w:name="_Toc485249609"/>
      <w:r>
        <w:rPr>
          <w:rFonts w:hint="eastAsia" w:ascii="宋体" w:hAnsi="宋体" w:eastAsia="宋体" w:cs="宋体"/>
          <w:color w:val="auto"/>
          <w:kern w:val="1"/>
          <w:sz w:val="24"/>
          <w:szCs w:val="24"/>
          <w:highlight w:val="none"/>
        </w:rPr>
        <w:t>3.4</w:t>
      </w:r>
      <w:r>
        <w:rPr>
          <w:rFonts w:hint="eastAsia" w:ascii="宋体" w:hAnsi="宋体" w:eastAsia="宋体" w:cs="宋体"/>
          <w:color w:val="auto"/>
          <w:kern w:val="1"/>
          <w:sz w:val="24"/>
          <w:szCs w:val="24"/>
          <w:highlight w:val="none"/>
          <w:lang w:val="en-US" w:eastAsia="zh-CN"/>
        </w:rPr>
        <w:t>磋商</w:t>
      </w:r>
      <w:r>
        <w:rPr>
          <w:rFonts w:hint="eastAsia" w:ascii="宋体" w:hAnsi="宋体" w:eastAsia="宋体" w:cs="宋体"/>
          <w:color w:val="auto"/>
          <w:kern w:val="1"/>
          <w:sz w:val="24"/>
          <w:szCs w:val="24"/>
          <w:highlight w:val="none"/>
        </w:rPr>
        <w:t>保证金</w:t>
      </w:r>
      <w:bookmarkEnd w:id="158"/>
    </w:p>
    <w:p w14:paraId="66298457">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3.4.1</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须在</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递交截止日期前提供</w:t>
      </w:r>
      <w:r>
        <w:rPr>
          <w:rFonts w:hint="eastAsia" w:ascii="宋体" w:hAnsi="宋体" w:cs="宋体"/>
          <w:color w:val="auto"/>
          <w:kern w:val="1"/>
          <w:sz w:val="24"/>
          <w:highlight w:val="none"/>
          <w:lang w:val="en-US" w:eastAsia="zh-CN" w:bidi="ar"/>
        </w:rPr>
        <w:t>磋商</w:t>
      </w:r>
      <w:r>
        <w:rPr>
          <w:rFonts w:hint="eastAsia" w:ascii="宋体" w:hAnsi="宋体" w:eastAsia="宋体" w:cs="宋体"/>
          <w:color w:val="auto"/>
          <w:kern w:val="1"/>
          <w:sz w:val="24"/>
          <w:highlight w:val="none"/>
          <w:lang w:bidi="ar"/>
        </w:rPr>
        <w:t>保证金。</w:t>
      </w:r>
    </w:p>
    <w:p w14:paraId="215A34DE">
      <w:pPr>
        <w:pageBreakBefore w:val="0"/>
        <w:kinsoku/>
        <w:wordWrap/>
        <w:overflowPunct/>
        <w:topLinePunct w:val="0"/>
        <w:autoSpaceDE w:val="0"/>
        <w:autoSpaceDN w:val="0"/>
        <w:bidi w:val="0"/>
        <w:snapToGrid/>
        <w:spacing w:line="540" w:lineRule="exact"/>
        <w:ind w:left="57" w:leftChars="27" w:right="15" w:rightChars="7" w:firstLine="480" w:firstLineChars="200"/>
        <w:textAlignment w:val="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3.4.2 </w:t>
      </w:r>
      <w:r>
        <w:rPr>
          <w:rFonts w:hint="eastAsia" w:ascii="宋体" w:hAnsi="宋体" w:eastAsia="宋体" w:cs="宋体"/>
          <w:bCs/>
          <w:color w:val="auto"/>
          <w:sz w:val="24"/>
          <w:highlight w:val="none"/>
          <w:lang w:eastAsia="zh-CN" w:bidi="ar"/>
        </w:rPr>
        <w:t>投标</w:t>
      </w:r>
      <w:r>
        <w:rPr>
          <w:rFonts w:hint="eastAsia" w:ascii="宋体" w:hAnsi="宋体" w:eastAsia="宋体" w:cs="宋体"/>
          <w:bCs/>
          <w:color w:val="auto"/>
          <w:sz w:val="24"/>
          <w:highlight w:val="none"/>
          <w:lang w:bidi="ar"/>
        </w:rPr>
        <w:t>保证金的形式及金额：见</w:t>
      </w:r>
      <w:r>
        <w:rPr>
          <w:rFonts w:hint="eastAsia" w:ascii="宋体" w:hAnsi="宋体" w:eastAsia="宋体" w:cs="宋体"/>
          <w:bCs/>
          <w:color w:val="auto"/>
          <w:sz w:val="24"/>
          <w:highlight w:val="none"/>
          <w:lang w:eastAsia="zh-CN" w:bidi="ar"/>
        </w:rPr>
        <w:t>供应商</w:t>
      </w:r>
      <w:r>
        <w:rPr>
          <w:rFonts w:hint="eastAsia" w:ascii="宋体" w:hAnsi="宋体" w:eastAsia="宋体" w:cs="宋体"/>
          <w:bCs/>
          <w:color w:val="auto"/>
          <w:sz w:val="24"/>
          <w:highlight w:val="none"/>
          <w:lang w:bidi="ar"/>
        </w:rPr>
        <w:t>须知前附表。</w:t>
      </w:r>
    </w:p>
    <w:p w14:paraId="11164705">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3.4.3未按上述3.4.1规定提交磋商保证金的，其响应文件作无效标书处理。</w:t>
      </w:r>
    </w:p>
    <w:p w14:paraId="6DE2D618">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 xml:space="preserve"> 采购代理机构应当在成交通知书发出后5个工作日内退还未成交供应商的磋商保证金，在采购合同签订后5个工作日内退还成交供应商的磋商保证金。</w:t>
      </w:r>
    </w:p>
    <w:p w14:paraId="75E483CB">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3.4.</w:t>
      </w:r>
      <w:r>
        <w:rPr>
          <w:rFonts w:hint="eastAsia" w:ascii="宋体" w:hAnsi="宋体" w:cs="宋体"/>
          <w:color w:val="auto"/>
          <w:kern w:val="1"/>
          <w:sz w:val="24"/>
          <w:highlight w:val="none"/>
          <w:lang w:val="en-US" w:eastAsia="zh-CN" w:bidi="ar"/>
        </w:rPr>
        <w:t>5</w:t>
      </w:r>
      <w:r>
        <w:rPr>
          <w:rFonts w:hint="eastAsia" w:ascii="宋体" w:hAnsi="宋体" w:eastAsia="宋体" w:cs="宋体"/>
          <w:color w:val="auto"/>
          <w:kern w:val="1"/>
          <w:sz w:val="24"/>
          <w:highlight w:val="none"/>
          <w:lang w:bidi="ar"/>
        </w:rPr>
        <w:t>下列任何情况之一发生时，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保证金将被没收:</w:t>
      </w:r>
    </w:p>
    <w:p w14:paraId="529C5227">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 xml:space="preserve">(1) </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在</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中规定的</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有效期内撤回其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w:t>
      </w:r>
    </w:p>
    <w:p w14:paraId="3FCA6023">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(2) 成交人未在规定时间内交纳</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所规定的费用的；</w:t>
      </w:r>
    </w:p>
    <w:p w14:paraId="0CBF3490">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eastAsia="zh-CN" w:bidi="ar"/>
        </w:rPr>
      </w:pPr>
      <w:r>
        <w:rPr>
          <w:rFonts w:hint="eastAsia" w:ascii="宋体" w:hAnsi="宋体" w:eastAsia="宋体" w:cs="宋体"/>
          <w:color w:val="auto"/>
          <w:kern w:val="1"/>
          <w:sz w:val="24"/>
          <w:highlight w:val="none"/>
          <w:lang w:bidi="ar"/>
        </w:rPr>
        <w:t>(3) 成交人未能在规定期限内（自发成交通知书之日30日历天）签订合同的</w:t>
      </w:r>
      <w:r>
        <w:rPr>
          <w:rFonts w:hint="eastAsia" w:ascii="宋体" w:hAnsi="宋体" w:cs="宋体"/>
          <w:color w:val="auto"/>
          <w:kern w:val="1"/>
          <w:sz w:val="24"/>
          <w:highlight w:val="none"/>
          <w:lang w:eastAsia="zh-CN" w:bidi="ar"/>
        </w:rPr>
        <w:t>；</w:t>
      </w:r>
    </w:p>
    <w:p w14:paraId="443B6B8E">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)供应商与采购人、其他供应商或者采购代理机构恶意串通的。</w:t>
      </w:r>
    </w:p>
    <w:p w14:paraId="61016905">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bookmarkStart w:id="159" w:name="_Toc453658165"/>
      <w:bookmarkStart w:id="160" w:name="_Toc485249610"/>
      <w:r>
        <w:rPr>
          <w:rFonts w:hint="eastAsia" w:ascii="宋体" w:hAnsi="宋体" w:eastAsia="宋体" w:cs="宋体"/>
          <w:color w:val="auto"/>
          <w:kern w:val="1"/>
          <w:sz w:val="24"/>
          <w:szCs w:val="24"/>
          <w:highlight w:val="none"/>
        </w:rPr>
        <w:t>3.5</w:t>
      </w:r>
      <w:r>
        <w:rPr>
          <w:rFonts w:hint="eastAsia" w:ascii="宋体" w:hAnsi="宋体" w:eastAsia="宋体" w:cs="宋体"/>
          <w:color w:val="auto"/>
          <w:kern w:val="1"/>
          <w:sz w:val="24"/>
          <w:szCs w:val="24"/>
          <w:highlight w:val="none"/>
          <w:lang w:eastAsia="zh-CN"/>
        </w:rPr>
        <w:t>投标</w:t>
      </w:r>
      <w:r>
        <w:rPr>
          <w:rFonts w:hint="eastAsia" w:ascii="宋体" w:hAnsi="宋体" w:eastAsia="宋体" w:cs="宋体"/>
          <w:color w:val="auto"/>
          <w:kern w:val="1"/>
          <w:sz w:val="24"/>
          <w:szCs w:val="24"/>
          <w:highlight w:val="none"/>
        </w:rPr>
        <w:t>有效期</w:t>
      </w:r>
      <w:bookmarkEnd w:id="159"/>
      <w:bookmarkEnd w:id="160"/>
    </w:p>
    <w:p w14:paraId="4A666037">
      <w:pPr>
        <w:pageBreakBefore w:val="0"/>
        <w:kinsoku/>
        <w:wordWrap/>
        <w:overflowPunct/>
        <w:topLinePunct w:val="0"/>
        <w:bidi w:val="0"/>
        <w:snapToGrid/>
        <w:spacing w:line="54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3.5.1</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的</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应从规定的开标之日起，在“</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须知前附表”所规定的以日历天计算的</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有效期内有效。</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有效期比规定的时间短的应视为非响应标予以拒绝。</w:t>
      </w:r>
    </w:p>
    <w:p w14:paraId="1AED768F">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1"/>
          <w:sz w:val="24"/>
          <w:highlight w:val="none"/>
          <w:lang w:bidi="ar"/>
        </w:rPr>
        <w:t>3.5.2因特殊情况需要延长有效期的，采购代理机构以网上公布形式通知所有</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b w:val="0"/>
          <w:bCs w:val="0"/>
          <w:color w:val="auto"/>
          <w:kern w:val="2"/>
          <w:sz w:val="24"/>
          <w:szCs w:val="24"/>
          <w:highlight w:val="none"/>
          <w:lang w:val="en-US" w:eastAsia="zh-CN" w:bidi="ar-SA"/>
        </w:rPr>
        <w:t>延长有效期，并在发布公告的媒介进行公示。</w:t>
      </w:r>
    </w:p>
    <w:p w14:paraId="289E2E7B">
      <w:pPr>
        <w:pageBreakBefore w:val="0"/>
        <w:kinsoku/>
        <w:wordWrap/>
        <w:overflowPunct/>
        <w:topLinePunct w:val="0"/>
        <w:bidi w:val="0"/>
        <w:snapToGrid/>
        <w:spacing w:line="540" w:lineRule="exact"/>
        <w:textAlignment w:val="auto"/>
        <w:outlineLvl w:val="1"/>
        <w:rPr>
          <w:rFonts w:hint="eastAsia" w:ascii="宋体" w:hAnsi="宋体" w:eastAsia="宋体" w:cs="宋体"/>
          <w:b w:val="0"/>
          <w:bCs w:val="0"/>
          <w:color w:val="auto"/>
          <w:kern w:val="2"/>
          <w:sz w:val="24"/>
          <w:szCs w:val="24"/>
          <w:highlight w:val="none"/>
          <w:lang w:val="en-US" w:eastAsia="zh-CN" w:bidi="ar-SA"/>
        </w:rPr>
      </w:pPr>
      <w:bookmarkStart w:id="161" w:name="_Toc25026"/>
      <w:bookmarkStart w:id="162" w:name="_Toc11631"/>
      <w:bookmarkStart w:id="163" w:name="_Toc17466"/>
      <w:bookmarkStart w:id="164" w:name="_Toc24147"/>
      <w:bookmarkStart w:id="165" w:name="_Toc10330"/>
      <w:bookmarkStart w:id="166" w:name="_Toc30253"/>
      <w:bookmarkStart w:id="167" w:name="_Toc347742318"/>
      <w:bookmarkStart w:id="168" w:name="_Toc319592623"/>
      <w:bookmarkStart w:id="169" w:name="_Toc347844276"/>
      <w:bookmarkStart w:id="170" w:name="_Toc347844139"/>
      <w:r>
        <w:rPr>
          <w:rFonts w:hint="eastAsia" w:ascii="宋体" w:hAnsi="宋体" w:eastAsia="宋体" w:cs="宋体"/>
          <w:b/>
          <w:bCs/>
          <w:color w:val="auto"/>
          <w:kern w:val="2"/>
          <w:sz w:val="24"/>
          <w:szCs w:val="24"/>
          <w:highlight w:val="none"/>
          <w:lang w:val="en-US" w:eastAsia="zh-CN" w:bidi="ar-SA"/>
        </w:rPr>
        <w:t>四、响应文件的递交</w:t>
      </w:r>
      <w:bookmarkEnd w:id="161"/>
      <w:bookmarkEnd w:id="162"/>
      <w:r>
        <w:rPr>
          <w:rFonts w:hint="eastAsia" w:ascii="宋体" w:hAnsi="宋体" w:cs="宋体"/>
          <w:b/>
          <w:bCs/>
          <w:color w:val="auto"/>
          <w:kern w:val="2"/>
          <w:sz w:val="24"/>
          <w:szCs w:val="24"/>
          <w:highlight w:val="none"/>
          <w:lang w:val="en-US" w:eastAsia="zh-CN" w:bidi="ar-SA"/>
        </w:rPr>
        <w:t>及解密</w:t>
      </w:r>
      <w:bookmarkEnd w:id="163"/>
      <w:bookmarkEnd w:id="164"/>
      <w:bookmarkEnd w:id="165"/>
      <w:bookmarkEnd w:id="166"/>
    </w:p>
    <w:p w14:paraId="77942A73">
      <w:pPr>
        <w:pageBreakBefore w:val="0"/>
        <w:kinsoku/>
        <w:wordWrap/>
        <w:overflowPunct/>
        <w:topLinePunct w:val="0"/>
        <w:bidi w:val="0"/>
        <w:snapToGrid/>
        <w:spacing w:line="540" w:lineRule="exact"/>
        <w:textAlignment w:val="auto"/>
        <w:outlineLvl w:val="2"/>
        <w:rPr>
          <w:rFonts w:hint="eastAsia" w:ascii="宋体" w:hAnsi="宋体" w:eastAsia="宋体" w:cs="宋体"/>
          <w:b/>
          <w:bCs/>
          <w:color w:val="auto"/>
          <w:kern w:val="2"/>
          <w:sz w:val="24"/>
          <w:szCs w:val="24"/>
          <w:highlight w:val="none"/>
          <w:lang w:val="en-US" w:eastAsia="zh-CN" w:bidi="ar-SA"/>
        </w:rPr>
      </w:pPr>
      <w:bookmarkStart w:id="171" w:name="_Toc308439043"/>
      <w:bookmarkStart w:id="172" w:name="_Toc347844138"/>
      <w:bookmarkStart w:id="173" w:name="_Toc144974526"/>
      <w:bookmarkStart w:id="174" w:name="_Toc319592622"/>
      <w:bookmarkStart w:id="175" w:name="_Toc179632576"/>
      <w:bookmarkStart w:id="176" w:name="_Toc152042334"/>
      <w:bookmarkStart w:id="177" w:name="_Toc152045558"/>
      <w:bookmarkStart w:id="178" w:name="_Toc347844275"/>
      <w:bookmarkStart w:id="179" w:name="_Toc347742317"/>
      <w:r>
        <w:rPr>
          <w:rFonts w:hint="eastAsia" w:ascii="宋体" w:hAnsi="宋体" w:eastAsia="宋体" w:cs="宋体"/>
          <w:b/>
          <w:bCs/>
          <w:color w:val="auto"/>
          <w:kern w:val="2"/>
          <w:sz w:val="24"/>
          <w:szCs w:val="24"/>
          <w:highlight w:val="none"/>
          <w:lang w:val="en-US" w:eastAsia="zh-CN" w:bidi="ar-SA"/>
        </w:rPr>
        <w:t>4.1响应文件的递交</w:t>
      </w:r>
    </w:p>
    <w:p w14:paraId="448339C4">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b w:val="0"/>
          <w:bCs w:val="0"/>
          <w:color w:val="auto"/>
          <w:kern w:val="2"/>
          <w:sz w:val="24"/>
          <w:szCs w:val="24"/>
          <w:highlight w:val="none"/>
          <w:lang w:val="en-US" w:eastAsia="zh-CN" w:bidi="ar-SA"/>
        </w:rPr>
        <w:t>4.1.1供应商</w:t>
      </w:r>
      <w:r>
        <w:rPr>
          <w:rFonts w:hint="eastAsia" w:ascii="宋体" w:hAnsi="宋体" w:eastAsia="宋体" w:cs="宋体"/>
          <w:color w:val="auto"/>
          <w:sz w:val="24"/>
          <w:highlight w:val="none"/>
        </w:rPr>
        <w:t>应在</w:t>
      </w:r>
      <w:r>
        <w:rPr>
          <w:rFonts w:hint="eastAsia" w:ascii="宋体" w:hAnsi="宋体" w:eastAsia="宋体" w:cs="宋体"/>
          <w:color w:val="auto"/>
          <w:kern w:val="1"/>
          <w:sz w:val="24"/>
          <w:highlight w:val="none"/>
          <w:lang w:bidi="ar"/>
        </w:rPr>
        <w:t>“</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须知前附表”</w:t>
      </w:r>
      <w:r>
        <w:rPr>
          <w:rFonts w:hint="eastAsia" w:ascii="宋体" w:hAnsi="宋体" w:eastAsia="宋体" w:cs="宋体"/>
          <w:b w:val="0"/>
          <w:bCs w:val="0"/>
          <w:color w:val="auto"/>
          <w:kern w:val="2"/>
          <w:sz w:val="24"/>
          <w:szCs w:val="24"/>
          <w:highlight w:val="none"/>
          <w:lang w:val="en-US" w:eastAsia="zh-CN" w:bidi="ar-SA"/>
        </w:rPr>
        <w:t>规定的</w:t>
      </w:r>
      <w:r>
        <w:rPr>
          <w:rFonts w:hint="eastAsia" w:ascii="宋体" w:hAnsi="宋体" w:eastAsia="宋体" w:cs="宋体"/>
          <w:color w:val="auto"/>
          <w:sz w:val="24"/>
          <w:highlight w:val="none"/>
        </w:rPr>
        <w:t>投标截止时间前递交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1024AEE8">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4.1.2网上</w:t>
      </w:r>
      <w:r>
        <w:rPr>
          <w:rFonts w:hint="eastAsia" w:ascii="宋体" w:hAnsi="宋体" w:eastAsia="宋体" w:cs="宋体"/>
          <w:color w:val="auto"/>
          <w:sz w:val="24"/>
          <w:highlight w:val="none"/>
          <w:lang w:eastAsia="zh-CN"/>
        </w:rPr>
        <w:t>递交</w:t>
      </w:r>
      <w:r>
        <w:rPr>
          <w:rFonts w:hint="eastAsia" w:ascii="宋体" w:hAnsi="宋体" w:eastAsia="宋体" w:cs="宋体"/>
          <w:color w:val="auto"/>
          <w:sz w:val="24"/>
          <w:highlight w:val="none"/>
        </w:rPr>
        <w:t>：</w:t>
      </w:r>
      <w:r>
        <w:rPr>
          <w:rFonts w:hint="eastAsia" w:ascii="宋体" w:hAnsi="宋体" w:eastAsia="宋体" w:cs="宋体"/>
          <w:b w:val="0"/>
          <w:bCs w:val="0"/>
          <w:color w:val="auto"/>
          <w:sz w:val="24"/>
          <w:highlight w:val="none"/>
          <w:lang w:val="en-US" w:eastAsia="zh-CN"/>
        </w:rPr>
        <w:t>网上递交网址为：政采云平台（https://www.zcygov.cn），供应商须在投标截止时间前完</w:t>
      </w:r>
      <w:r>
        <w:rPr>
          <w:rFonts w:hint="eastAsia" w:ascii="宋体" w:hAnsi="宋体" w:eastAsia="宋体" w:cs="宋体"/>
          <w:b w:val="0"/>
          <w:bCs w:val="0"/>
          <w:color w:val="auto"/>
          <w:kern w:val="2"/>
          <w:sz w:val="24"/>
          <w:szCs w:val="24"/>
          <w:highlight w:val="none"/>
          <w:lang w:val="en-US" w:eastAsia="zh-CN" w:bidi="ar-SA"/>
        </w:rPr>
        <w:t>成所有响应文件的上传，网上确认电子签名，并打印“上传响应文件回执”，投标截止时间前未完成响应文件传输的，视为撤回响应文件（如因</w:t>
      </w:r>
      <w:r>
        <w:rPr>
          <w:rFonts w:hint="eastAsia" w:ascii="宋体" w:hAnsi="宋体" w:eastAsia="宋体" w:cs="宋体"/>
          <w:color w:val="auto"/>
          <w:sz w:val="24"/>
          <w:szCs w:val="24"/>
          <w:highlight w:val="none"/>
        </w:rPr>
        <w:t>修改重新上传</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后，需再次确认并打印回执）</w:t>
      </w:r>
      <w:r>
        <w:rPr>
          <w:rFonts w:hint="eastAsia" w:ascii="宋体" w:hAnsi="宋体" w:eastAsia="宋体" w:cs="宋体"/>
          <w:color w:val="auto"/>
          <w:sz w:val="24"/>
          <w:highlight w:val="none"/>
        </w:rPr>
        <w:t>。</w:t>
      </w:r>
    </w:p>
    <w:p w14:paraId="0A00FE16">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4.1.3</w:t>
      </w:r>
      <w:r>
        <w:rPr>
          <w:rFonts w:hint="eastAsia" w:ascii="宋体" w:hAnsi="宋体" w:eastAsia="宋体" w:cs="宋体"/>
          <w:color w:val="auto"/>
          <w:sz w:val="24"/>
          <w:highlight w:val="none"/>
        </w:rPr>
        <w:t xml:space="preserve"> 响应文件开启地点：见供应商须知前附表。</w:t>
      </w:r>
    </w:p>
    <w:p w14:paraId="702262A7">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4.1.4</w:t>
      </w:r>
      <w:r>
        <w:rPr>
          <w:rFonts w:hint="eastAsia" w:ascii="宋体" w:hAnsi="宋体" w:eastAsia="宋体" w:cs="宋体"/>
          <w:color w:val="auto"/>
          <w:sz w:val="24"/>
          <w:highlight w:val="none"/>
        </w:rPr>
        <w:t>响应文件解密方式：见供应商须知前附表。</w:t>
      </w:r>
    </w:p>
    <w:p w14:paraId="3DE33601">
      <w:pPr>
        <w:pageBreakBefore w:val="0"/>
        <w:kinsoku/>
        <w:wordWrap/>
        <w:overflowPunct/>
        <w:topLinePunct w:val="0"/>
        <w:bidi w:val="0"/>
        <w:snapToGrid/>
        <w:spacing w:line="540" w:lineRule="exact"/>
        <w:textAlignment w:val="auto"/>
        <w:outlineLvl w:val="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4.2响应文件的修改与撤回</w:t>
      </w:r>
    </w:p>
    <w:p w14:paraId="65FEF4E1">
      <w:pPr>
        <w:pageBreakBefore w:val="0"/>
        <w:kinsoku/>
        <w:wordWrap/>
        <w:overflowPunct/>
        <w:topLinePunct w:val="0"/>
        <w:bidi w:val="0"/>
        <w:snapToGrid/>
        <w:spacing w:line="54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4.2.1</w:t>
      </w:r>
      <w:r>
        <w:rPr>
          <w:rFonts w:hint="eastAsia" w:ascii="宋体" w:hAnsi="宋体" w:eastAsia="宋体" w:cs="宋体"/>
          <w:b w:val="0"/>
          <w:bCs w:val="0"/>
          <w:color w:val="auto"/>
          <w:sz w:val="24"/>
          <w:highlight w:val="none"/>
          <w:lang w:val="en-US" w:eastAsia="zh-CN"/>
        </w:rPr>
        <w:t>在投标截止时间前，供应商可以修改或撤回已递交的响应文件，已递交的响应文件，无须以书面形式通知</w:t>
      </w:r>
      <w:r>
        <w:rPr>
          <w:rFonts w:hint="eastAsia" w:ascii="宋体" w:hAnsi="宋体" w:eastAsia="宋体" w:cs="宋体"/>
          <w:color w:val="auto"/>
          <w:sz w:val="24"/>
          <w:highlight w:val="none"/>
        </w:rPr>
        <w:t>采购人。</w:t>
      </w:r>
    </w:p>
    <w:p w14:paraId="1364CA37">
      <w:pPr>
        <w:pageBreakBefore w:val="0"/>
        <w:kinsoku/>
        <w:wordWrap/>
        <w:overflowPunct/>
        <w:topLinePunct w:val="0"/>
        <w:bidi w:val="0"/>
        <w:snapToGrid/>
        <w:spacing w:line="540" w:lineRule="exact"/>
        <w:ind w:firstLine="540" w:firstLineChars="225"/>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4.2.2修改的响应文件应按照附件3“电子响应文件编制及报送要求”规定进行编制及提交。</w:t>
      </w:r>
    </w:p>
    <w:bookmarkEnd w:id="171"/>
    <w:bookmarkEnd w:id="172"/>
    <w:bookmarkEnd w:id="173"/>
    <w:bookmarkEnd w:id="174"/>
    <w:bookmarkEnd w:id="175"/>
    <w:bookmarkEnd w:id="176"/>
    <w:bookmarkEnd w:id="177"/>
    <w:bookmarkEnd w:id="178"/>
    <w:bookmarkEnd w:id="179"/>
    <w:p w14:paraId="3512B094">
      <w:pPr>
        <w:pStyle w:val="6"/>
        <w:pageBreakBefore w:val="0"/>
        <w:widowControl/>
        <w:kinsoku/>
        <w:wordWrap/>
        <w:overflowPunct/>
        <w:topLinePunct w:val="0"/>
        <w:bidi w:val="0"/>
        <w:snapToGrid/>
        <w:spacing w:before="0" w:after="0" w:line="540" w:lineRule="exact"/>
        <w:ind w:right="15" w:rightChars="7"/>
        <w:textAlignment w:val="auto"/>
        <w:outlineLvl w:val="2"/>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 xml:space="preserve">4.3 </w:t>
      </w:r>
      <w:r>
        <w:rPr>
          <w:rFonts w:hint="eastAsia" w:ascii="宋体" w:hAnsi="宋体" w:eastAsia="宋体" w:cs="宋体"/>
          <w:color w:val="auto"/>
          <w:kern w:val="1"/>
          <w:sz w:val="24"/>
          <w:szCs w:val="24"/>
          <w:highlight w:val="none"/>
          <w:lang w:eastAsia="zh-CN"/>
        </w:rPr>
        <w:t>响应文件</w:t>
      </w:r>
      <w:r>
        <w:rPr>
          <w:rFonts w:hint="eastAsia" w:ascii="宋体" w:hAnsi="宋体" w:eastAsia="宋体" w:cs="宋体"/>
          <w:color w:val="auto"/>
          <w:kern w:val="1"/>
          <w:sz w:val="24"/>
          <w:szCs w:val="24"/>
          <w:highlight w:val="none"/>
        </w:rPr>
        <w:t>计算错误的修正</w:t>
      </w:r>
      <w:bookmarkEnd w:id="167"/>
      <w:bookmarkEnd w:id="168"/>
      <w:bookmarkEnd w:id="169"/>
      <w:bookmarkEnd w:id="170"/>
    </w:p>
    <w:p w14:paraId="1A2D037C">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bookmarkStart w:id="180" w:name="_Toc338336056"/>
      <w:bookmarkStart w:id="181" w:name="_Toc338431215"/>
      <w:bookmarkStart w:id="182" w:name="_Toc338754059"/>
      <w:r>
        <w:rPr>
          <w:rFonts w:hint="eastAsia" w:ascii="宋体" w:hAnsi="宋体" w:eastAsia="宋体" w:cs="宋体"/>
          <w:bCs/>
          <w:color w:val="auto"/>
          <w:sz w:val="24"/>
          <w:highlight w:val="none"/>
        </w:rPr>
        <w:t>4.3.1</w:t>
      </w:r>
      <w:r>
        <w:rPr>
          <w:rFonts w:hint="eastAsia" w:ascii="宋体" w:hAnsi="宋体" w:cs="宋体"/>
          <w:bCs/>
          <w:color w:val="auto"/>
          <w:sz w:val="24"/>
          <w:highlight w:val="none"/>
          <w:lang w:eastAsia="zh-CN"/>
        </w:rPr>
        <w:t>磋商小组</w:t>
      </w:r>
      <w:r>
        <w:rPr>
          <w:rFonts w:hint="eastAsia" w:ascii="宋体" w:hAnsi="宋体" w:eastAsia="宋体" w:cs="宋体"/>
          <w:bCs/>
          <w:color w:val="auto"/>
          <w:sz w:val="24"/>
          <w:highlight w:val="none"/>
        </w:rPr>
        <w:t>将对确定为实质上响应</w:t>
      </w:r>
      <w:r>
        <w:rPr>
          <w:rFonts w:hint="eastAsia" w:ascii="宋体" w:hAnsi="宋体" w:eastAsia="宋体" w:cs="宋体"/>
          <w:bCs/>
          <w:color w:val="auto"/>
          <w:sz w:val="24"/>
          <w:highlight w:val="none"/>
          <w:lang w:eastAsia="zh-CN"/>
        </w:rPr>
        <w:t>竞争性磋商文件</w:t>
      </w:r>
      <w:r>
        <w:rPr>
          <w:rFonts w:hint="eastAsia" w:ascii="宋体" w:hAnsi="宋体" w:eastAsia="宋体" w:cs="宋体"/>
          <w:bCs/>
          <w:color w:val="auto"/>
          <w:sz w:val="24"/>
          <w:highlight w:val="none"/>
        </w:rPr>
        <w:t>要求的</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进行校核，看其是否有计算或表达上的错误，修正错误的原则如下：</w:t>
      </w:r>
    </w:p>
    <w:bookmarkEnd w:id="180"/>
    <w:bookmarkEnd w:id="181"/>
    <w:bookmarkEnd w:id="182"/>
    <w:p w14:paraId="75990E65">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bookmarkStart w:id="183" w:name="_Toc342589815"/>
      <w:bookmarkStart w:id="184" w:name="_Toc339895575"/>
      <w:bookmarkStart w:id="185" w:name="_Toc338431217"/>
      <w:bookmarkStart w:id="186" w:name="_Toc342416490"/>
      <w:bookmarkStart w:id="187" w:name="_Toc338336058"/>
      <w:bookmarkStart w:id="188" w:name="_Toc339114211"/>
      <w:bookmarkStart w:id="189" w:name="_Toc338754061"/>
      <w:bookmarkStart w:id="190" w:name="_Toc339869497"/>
      <w:bookmarkStart w:id="191" w:name="_Toc344110666"/>
      <w:r>
        <w:rPr>
          <w:rFonts w:hint="eastAsia" w:ascii="宋体" w:hAnsi="宋体" w:eastAsia="宋体" w:cs="宋体"/>
          <w:bCs/>
          <w:color w:val="auto"/>
          <w:sz w:val="24"/>
          <w:highlight w:val="none"/>
        </w:rPr>
        <w:t>4.3.2</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的大写金额和小写金额不一致的，以大写金额为准；总价金额与按单价汇总金额不一致的，以单价金额计算结果为准；单价金额小数点有明显错位的，应以总价为准，并修改单价；对不同文本</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的解释发生异议的，以中文文本为准。</w:t>
      </w:r>
    </w:p>
    <w:bookmarkEnd w:id="183"/>
    <w:bookmarkEnd w:id="184"/>
    <w:bookmarkEnd w:id="185"/>
    <w:bookmarkEnd w:id="186"/>
    <w:bookmarkEnd w:id="187"/>
    <w:bookmarkEnd w:id="188"/>
    <w:bookmarkEnd w:id="189"/>
    <w:bookmarkEnd w:id="190"/>
    <w:bookmarkEnd w:id="191"/>
    <w:p w14:paraId="12CEF318">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bookmarkStart w:id="192" w:name="_Toc342416492"/>
      <w:bookmarkStart w:id="193" w:name="_Toc338336060"/>
      <w:bookmarkStart w:id="194" w:name="_Toc339869499"/>
      <w:bookmarkStart w:id="195" w:name="_Toc342589817"/>
      <w:bookmarkStart w:id="196" w:name="_Toc339895577"/>
      <w:bookmarkStart w:id="197" w:name="_Toc339114213"/>
      <w:bookmarkStart w:id="198" w:name="_Toc344110668"/>
      <w:bookmarkStart w:id="199" w:name="_Toc338754063"/>
      <w:bookmarkStart w:id="200" w:name="_Toc338431219"/>
      <w:r>
        <w:rPr>
          <w:rFonts w:hint="eastAsia" w:ascii="宋体" w:hAnsi="宋体" w:eastAsia="宋体" w:cs="宋体"/>
          <w:bCs/>
          <w:color w:val="auto"/>
          <w:sz w:val="24"/>
          <w:highlight w:val="none"/>
        </w:rPr>
        <w:t>4.3.3按上述修正错误的原则及方法调整或修正</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的投标报价，</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同意后，调整后的投标报价对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起约束作用。</w:t>
      </w:r>
    </w:p>
    <w:bookmarkEnd w:id="192"/>
    <w:bookmarkEnd w:id="193"/>
    <w:bookmarkEnd w:id="194"/>
    <w:bookmarkEnd w:id="195"/>
    <w:bookmarkEnd w:id="196"/>
    <w:bookmarkEnd w:id="197"/>
    <w:bookmarkEnd w:id="198"/>
    <w:bookmarkEnd w:id="199"/>
    <w:bookmarkEnd w:id="200"/>
    <w:p w14:paraId="32765B51">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4.3.4对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中含义不明确、同类问题表述不一致的或者有明显文字和计算错误的内容，</w:t>
      </w:r>
      <w:r>
        <w:rPr>
          <w:rFonts w:hint="eastAsia" w:ascii="宋体" w:hAnsi="宋体" w:cs="宋体"/>
          <w:bCs/>
          <w:color w:val="auto"/>
          <w:sz w:val="24"/>
          <w:highlight w:val="none"/>
          <w:lang w:val="en-US" w:eastAsia="zh-CN"/>
        </w:rPr>
        <w:t>磋商小组</w:t>
      </w:r>
      <w:r>
        <w:rPr>
          <w:rFonts w:hint="eastAsia" w:ascii="宋体" w:hAnsi="宋体" w:eastAsia="宋体" w:cs="宋体"/>
          <w:bCs/>
          <w:color w:val="auto"/>
          <w:sz w:val="24"/>
          <w:highlight w:val="none"/>
        </w:rPr>
        <w:t>可以电子形式（应当由</w:t>
      </w:r>
      <w:r>
        <w:rPr>
          <w:rFonts w:hint="eastAsia" w:ascii="宋体" w:hAnsi="宋体" w:cs="宋体"/>
          <w:bCs/>
          <w:color w:val="auto"/>
          <w:sz w:val="24"/>
          <w:highlight w:val="none"/>
          <w:lang w:val="en-US" w:eastAsia="zh-CN"/>
        </w:rPr>
        <w:t>磋商小组成员</w:t>
      </w:r>
      <w:r>
        <w:rPr>
          <w:rFonts w:hint="eastAsia" w:ascii="宋体" w:hAnsi="宋体" w:eastAsia="宋体" w:cs="宋体"/>
          <w:bCs/>
          <w:color w:val="auto"/>
          <w:sz w:val="24"/>
          <w:highlight w:val="none"/>
        </w:rPr>
        <w:t>签字）要求</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作出必要的澄清、说明或者纠正。</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的澄清、说明或者补正应当采用电子形式，由其授权的代</w:t>
      </w:r>
      <w:r>
        <w:rPr>
          <w:rFonts w:hint="eastAsia" w:ascii="宋体" w:hAnsi="宋体" w:eastAsia="宋体" w:cs="宋体"/>
          <w:bCs/>
          <w:color w:val="auto"/>
          <w:sz w:val="24"/>
          <w:highlight w:val="none"/>
          <w:lang w:eastAsia="zh-CN"/>
        </w:rPr>
        <w:t>表签字，并不得超出响应文件的范围或者改变响应文件的实质性内容。</w:t>
      </w:r>
    </w:p>
    <w:p w14:paraId="767B6235">
      <w:pPr>
        <w:pageBreakBefore w:val="0"/>
        <w:kinsoku/>
        <w:wordWrap/>
        <w:overflowPunct/>
        <w:topLinePunct w:val="0"/>
        <w:bidi w:val="0"/>
        <w:snapToGrid/>
        <w:spacing w:line="540" w:lineRule="exact"/>
        <w:textAlignment w:val="auto"/>
        <w:outlineLvl w:val="1"/>
        <w:rPr>
          <w:rFonts w:hint="eastAsia" w:ascii="宋体" w:hAnsi="宋体" w:eastAsia="宋体" w:cs="宋体"/>
          <w:bCs/>
          <w:color w:val="auto"/>
          <w:sz w:val="24"/>
          <w:highlight w:val="none"/>
          <w:lang w:eastAsia="zh-CN"/>
        </w:rPr>
      </w:pPr>
      <w:bookmarkStart w:id="201" w:name="_Toc9699"/>
      <w:bookmarkStart w:id="202" w:name="_Toc16966"/>
      <w:bookmarkStart w:id="203" w:name="_Toc19222"/>
      <w:bookmarkStart w:id="204" w:name="_Toc20370"/>
      <w:bookmarkStart w:id="205" w:name="_Toc22281"/>
      <w:bookmarkStart w:id="206" w:name="_Toc641"/>
      <w:bookmarkStart w:id="207" w:name="_Toc319592635"/>
      <w:bookmarkStart w:id="208" w:name="_Toc152042346"/>
      <w:bookmarkStart w:id="209" w:name="_Toc144974538"/>
      <w:bookmarkStart w:id="210" w:name="_Toc347844151"/>
      <w:bookmarkStart w:id="211" w:name="_Toc347742330"/>
      <w:bookmarkStart w:id="212" w:name="_Toc347844288"/>
      <w:bookmarkStart w:id="213" w:name="_Toc152045570"/>
      <w:bookmarkStart w:id="214" w:name="_Toc308439055"/>
      <w:bookmarkStart w:id="215" w:name="_Toc179632588"/>
      <w:r>
        <w:rPr>
          <w:rFonts w:hint="eastAsia" w:ascii="宋体" w:hAnsi="宋体" w:eastAsia="宋体" w:cs="宋体"/>
          <w:b/>
          <w:bCs w:val="0"/>
          <w:color w:val="auto"/>
          <w:sz w:val="24"/>
          <w:highlight w:val="none"/>
          <w:lang w:eastAsia="zh-CN"/>
        </w:rPr>
        <w:t>五、开标与评标</w:t>
      </w:r>
      <w:bookmarkEnd w:id="201"/>
      <w:bookmarkEnd w:id="202"/>
      <w:bookmarkEnd w:id="203"/>
      <w:bookmarkEnd w:id="204"/>
      <w:bookmarkEnd w:id="205"/>
      <w:bookmarkEnd w:id="206"/>
    </w:p>
    <w:p w14:paraId="54410620">
      <w:pPr>
        <w:pageBreakBefore w:val="0"/>
        <w:kinsoku/>
        <w:wordWrap/>
        <w:overflowPunct/>
        <w:topLinePunct w:val="0"/>
        <w:bidi w:val="0"/>
        <w:snapToGrid/>
        <w:spacing w:line="540" w:lineRule="exact"/>
        <w:textAlignment w:val="auto"/>
        <w:outlineLvl w:val="2"/>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5.1开标</w:t>
      </w:r>
    </w:p>
    <w:p w14:paraId="01398228">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5.1.1开标方式：见供应商须知前附表。采购代理机构将在规定的开标时间和地点组织公开开标。采购人代表、</w:t>
      </w:r>
      <w:r>
        <w:rPr>
          <w:rFonts w:hint="eastAsia" w:ascii="宋体" w:hAnsi="宋体" w:cs="宋体"/>
          <w:bCs/>
          <w:color w:val="auto"/>
          <w:sz w:val="24"/>
          <w:highlight w:val="none"/>
          <w:lang w:val="en-US" w:eastAsia="zh-CN"/>
        </w:rPr>
        <w:t>供应商代表、</w:t>
      </w:r>
      <w:r>
        <w:rPr>
          <w:rFonts w:hint="eastAsia" w:ascii="宋体" w:hAnsi="宋体" w:eastAsia="宋体" w:cs="宋体"/>
          <w:bCs/>
          <w:color w:val="auto"/>
          <w:sz w:val="24"/>
          <w:highlight w:val="none"/>
          <w:lang w:eastAsia="zh-CN"/>
        </w:rPr>
        <w:t>有关监督部门及有关工作人员参加。</w:t>
      </w:r>
    </w:p>
    <w:p w14:paraId="22189945">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eastAsia="zh-CN"/>
        </w:rPr>
      </w:pPr>
      <w:bookmarkStart w:id="216" w:name="_Toc2396"/>
      <w:bookmarkStart w:id="217" w:name="_Toc31887"/>
      <w:bookmarkStart w:id="218" w:name="_Toc460"/>
      <w:bookmarkStart w:id="219" w:name="_Toc2500"/>
      <w:bookmarkStart w:id="220" w:name="_Toc25470"/>
      <w:bookmarkStart w:id="221" w:name="_Toc12303"/>
      <w:bookmarkStart w:id="222" w:name="_Toc24882"/>
      <w:r>
        <w:rPr>
          <w:rFonts w:hint="eastAsia" w:ascii="宋体" w:hAnsi="宋体" w:eastAsia="宋体" w:cs="宋体"/>
          <w:bCs/>
          <w:color w:val="auto"/>
          <w:sz w:val="24"/>
          <w:highlight w:val="none"/>
          <w:lang w:val="en-US" w:eastAsia="zh-CN"/>
        </w:rPr>
        <w:t>5.1.2</w:t>
      </w:r>
      <w:r>
        <w:rPr>
          <w:rFonts w:hint="eastAsia" w:ascii="宋体" w:hAnsi="宋体" w:eastAsia="宋体" w:cs="宋体"/>
          <w:bCs/>
          <w:color w:val="auto"/>
          <w:sz w:val="24"/>
          <w:highlight w:val="none"/>
          <w:lang w:eastAsia="zh-CN"/>
        </w:rPr>
        <w:t>开标地点：云南星骋项目管理有限公司</w:t>
      </w:r>
      <w:r>
        <w:rPr>
          <w:rFonts w:hint="eastAsia" w:ascii="宋体" w:hAnsi="宋体" w:cs="宋体"/>
          <w:bCs/>
          <w:color w:val="auto"/>
          <w:sz w:val="24"/>
          <w:highlight w:val="none"/>
          <w:lang w:val="en-US" w:eastAsia="zh-CN"/>
        </w:rPr>
        <w:t>开标室</w:t>
      </w:r>
      <w:r>
        <w:rPr>
          <w:rFonts w:hint="eastAsia" w:ascii="宋体" w:hAnsi="宋体" w:eastAsia="宋体" w:cs="宋体"/>
          <w:bCs/>
          <w:color w:val="auto"/>
          <w:sz w:val="24"/>
          <w:highlight w:val="none"/>
          <w:lang w:eastAsia="zh-CN"/>
        </w:rPr>
        <w:t>(景洪市勐海路西双十二城国际公馆1栋306)。</w:t>
      </w:r>
      <w:bookmarkEnd w:id="216"/>
      <w:bookmarkEnd w:id="217"/>
      <w:bookmarkEnd w:id="218"/>
      <w:bookmarkEnd w:id="219"/>
      <w:bookmarkEnd w:id="220"/>
      <w:bookmarkEnd w:id="221"/>
      <w:bookmarkEnd w:id="222"/>
    </w:p>
    <w:p w14:paraId="545814FA">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val="en-US" w:eastAsia="zh-CN"/>
        </w:rPr>
      </w:pPr>
      <w:bookmarkStart w:id="223" w:name="_Toc18264"/>
      <w:bookmarkStart w:id="224" w:name="_Toc22064"/>
      <w:bookmarkStart w:id="225" w:name="_Toc21807"/>
      <w:bookmarkStart w:id="226" w:name="_Toc25223"/>
      <w:bookmarkStart w:id="227" w:name="_Toc15268"/>
      <w:bookmarkStart w:id="228" w:name="_Toc8445"/>
      <w:bookmarkStart w:id="229" w:name="_Toc24691"/>
      <w:r>
        <w:rPr>
          <w:rFonts w:hint="eastAsia" w:ascii="宋体" w:hAnsi="宋体" w:eastAsia="宋体" w:cs="宋体"/>
          <w:bCs/>
          <w:color w:val="auto"/>
          <w:sz w:val="24"/>
          <w:highlight w:val="none"/>
          <w:lang w:eastAsia="zh-CN"/>
        </w:rPr>
        <w:t>5.1.</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开标时间：</w:t>
      </w:r>
      <w:bookmarkEnd w:id="223"/>
      <w:bookmarkEnd w:id="224"/>
      <w:bookmarkEnd w:id="225"/>
      <w:bookmarkEnd w:id="226"/>
      <w:bookmarkEnd w:id="227"/>
      <w:bookmarkEnd w:id="228"/>
      <w:bookmarkEnd w:id="229"/>
      <w:r>
        <w:rPr>
          <w:rFonts w:hint="eastAsia" w:ascii="宋体" w:hAnsi="宋体" w:cs="宋体"/>
          <w:bCs/>
          <w:color w:val="auto"/>
          <w:sz w:val="24"/>
          <w:highlight w:val="none"/>
          <w:lang w:val="en-US" w:eastAsia="zh-CN"/>
        </w:rPr>
        <w:t>2026年08月06日09时00分</w:t>
      </w:r>
      <w:r>
        <w:rPr>
          <w:rFonts w:hint="eastAsia" w:ascii="宋体" w:hAnsi="宋体" w:eastAsia="宋体" w:cs="宋体"/>
          <w:bCs/>
          <w:color w:val="auto"/>
          <w:sz w:val="24"/>
          <w:highlight w:val="none"/>
          <w:lang w:eastAsia="zh-CN"/>
        </w:rPr>
        <w:t>。</w:t>
      </w:r>
    </w:p>
    <w:p w14:paraId="6B8FC711">
      <w:pPr>
        <w:keepNext w:val="0"/>
        <w:keepLines w:val="0"/>
        <w:pageBreakBefore w:val="0"/>
        <w:widowControl w:val="0"/>
        <w:kinsoku/>
        <w:wordWrap/>
        <w:overflowPunct/>
        <w:topLinePunct w:val="0"/>
        <w:autoSpaceDE/>
        <w:autoSpaceDN/>
        <w:bidi w:val="0"/>
        <w:adjustRightInd/>
        <w:snapToGrid/>
        <w:spacing w:line="540" w:lineRule="exact"/>
        <w:ind w:firstLine="482" w:firstLineChars="200"/>
        <w:contextualSpacing/>
        <w:jc w:val="left"/>
        <w:textAlignment w:val="auto"/>
        <w:rPr>
          <w:rFonts w:hint="eastAsia" w:ascii="宋体" w:hAnsi="宋体" w:eastAsia="宋体" w:cs="宋体"/>
          <w:b/>
          <w:bCs/>
          <w:color w:val="auto"/>
          <w:spacing w:val="6"/>
          <w:sz w:val="24"/>
          <w:szCs w:val="24"/>
          <w:highlight w:val="none"/>
          <w:lang w:val="en-US"/>
        </w:rPr>
      </w:pPr>
      <w:r>
        <w:rPr>
          <w:rFonts w:hint="eastAsia" w:ascii="宋体" w:hAnsi="宋体" w:eastAsia="宋体" w:cs="宋体"/>
          <w:b/>
          <w:bCs/>
          <w:color w:val="auto"/>
          <w:sz w:val="24"/>
          <w:szCs w:val="24"/>
          <w:highlight w:val="none"/>
          <w:lang w:val="en-US" w:eastAsia="zh-CN"/>
        </w:rPr>
        <w:t>5.1.</w:t>
      </w:r>
      <w:r>
        <w:rPr>
          <w:rFonts w:hint="eastAsia" w:ascii="宋体" w:hAnsi="宋体" w:cs="宋体"/>
          <w:b/>
          <w:bCs/>
          <w:color w:val="auto"/>
          <w:sz w:val="24"/>
          <w:szCs w:val="24"/>
          <w:highlight w:val="none"/>
          <w:lang w:val="en-US" w:eastAsia="zh-CN"/>
        </w:rPr>
        <w:t>4</w:t>
      </w:r>
      <w:r>
        <w:rPr>
          <w:rFonts w:hint="eastAsia" w:ascii="宋体" w:hAnsi="宋体" w:cs="宋体"/>
          <w:b/>
          <w:bCs/>
          <w:color w:val="auto"/>
          <w:spacing w:val="6"/>
          <w:sz w:val="24"/>
          <w:szCs w:val="24"/>
          <w:highlight w:val="none"/>
          <w:lang w:eastAsia="zh-CN"/>
        </w:rPr>
        <w:t>无效响应文件情形</w:t>
      </w:r>
      <w:r>
        <w:rPr>
          <w:rFonts w:hint="eastAsia" w:ascii="宋体" w:hAnsi="宋体" w:eastAsia="宋体" w:cs="宋体"/>
          <w:b/>
          <w:bCs/>
          <w:color w:val="auto"/>
          <w:spacing w:val="6"/>
          <w:sz w:val="24"/>
          <w:szCs w:val="24"/>
          <w:highlight w:val="none"/>
          <w:lang w:val="en-US" w:eastAsia="zh-CN"/>
        </w:rPr>
        <w:t>。</w:t>
      </w:r>
    </w:p>
    <w:p w14:paraId="4701B4D3">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（1）不符合本竞争性磋商文件第三章“评审办法”中资格审查和符合性审查要求之一的，属于无效响应文件的情形。</w:t>
      </w:r>
    </w:p>
    <w:p w14:paraId="0CAB57F7">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val="en-US" w:eastAsia="zh-CN"/>
        </w:rPr>
        <w:t>竞争性磋商小组认为供应商的最后报价明显低于其他供应商的报价，有可能影响产品质量或者不能诚信履约的，应当要求其在评审现场合理的时间内提供书面说明，必要时提交相关证明材料；竞争性磋商小组要求提交的相关证明材料包含但不限于以下内容：（1）成本构成，包含本身成本、人工费用、机械费用、材料费、税收等说明。（2）在满足竞争性磋商文件各项需求的前提下，能支撑低报价的优势说明等；供应商不能证明其报价合理性的，竞争性磋商小组应当将其响应文件作无效文件处理。</w:t>
      </w:r>
    </w:p>
    <w:p w14:paraId="4DE45EEB">
      <w:pPr>
        <w:pStyle w:val="17"/>
        <w:pageBreakBefore w:val="0"/>
        <w:widowControl w:val="0"/>
        <w:kinsoku/>
        <w:wordWrap/>
        <w:overflowPunct/>
        <w:topLinePunct w:val="0"/>
        <w:autoSpaceDE/>
        <w:autoSpaceDN/>
        <w:bidi w:val="0"/>
        <w:adjustRightInd w:val="0"/>
        <w:snapToGrid/>
        <w:spacing w:line="540" w:lineRule="exact"/>
        <w:contextualSpacing/>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w:t>
      </w:r>
      <w:r>
        <w:rPr>
          <w:rFonts w:hint="eastAsia" w:ascii="宋体" w:hAnsi="宋体" w:eastAsia="宋体" w:cs="宋体"/>
          <w:b/>
          <w:color w:val="auto"/>
          <w:sz w:val="24"/>
          <w:szCs w:val="24"/>
          <w:highlight w:val="none"/>
        </w:rPr>
        <w:t>评标</w:t>
      </w:r>
    </w:p>
    <w:p w14:paraId="0131D67F">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5.2.1</w:t>
      </w:r>
      <w:r>
        <w:rPr>
          <w:rFonts w:hint="eastAsia" w:ascii="宋体" w:hAnsi="宋体" w:eastAsia="宋体" w:cs="宋体"/>
          <w:color w:val="auto"/>
          <w:sz w:val="24"/>
          <w:szCs w:val="24"/>
          <w:highlight w:val="none"/>
        </w:rPr>
        <w:t xml:space="preserve"> 竞争性磋商小组</w:t>
      </w:r>
    </w:p>
    <w:p w14:paraId="0496F971">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评审由采购人依法组建的竞争性磋商小组负责，竞争性磋商小组由3人以上（含3人）单数组成。</w:t>
      </w:r>
    </w:p>
    <w:p w14:paraId="57BD61CA">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竞争性磋商小组成员与参加采购活动的供应商存在下列利害关系之一的，应当回避:</w:t>
      </w:r>
    </w:p>
    <w:p w14:paraId="662F4839">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(1)参加采购活动前三年内，与供应商存在劳动关系，或者担任过供应商的董事、监事，或者是供应商的控股股东或实际控制人。</w:t>
      </w:r>
    </w:p>
    <w:p w14:paraId="2777A6CC">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(2)与供应商的法定代表人或者负责人有夫妻、直系血亲、三代以内旁系血亲或者近姻亲关系。</w:t>
      </w:r>
    </w:p>
    <w:p w14:paraId="5FC7A31E">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(3)与供应商有其他可能影响政府采购活动公平、公正进行的关系。</w:t>
      </w:r>
    </w:p>
    <w:p w14:paraId="2D37E2B3">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竞争性磋商小组成员发现本人与参加采购活动的供应商有利害关系的，应当主动提出回避。采购人或者采购代理机构发现竞争性磋商小组成员与参加采购活动的供应商有利害关系的，应当要求其回避。</w:t>
      </w:r>
    </w:p>
    <w:p w14:paraId="2B4C15BE">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 评审中因竞争性磋商小组成员缺席、回避或者健康等特殊原因导致竞争性磋商小组组成不符合竞争性磋商文件规定的，采购人或者采购代理机构应当按规定补足后继续评审。被更换的竞争性磋商小组成员所作出的评审意见无效。无法及时补足竞争性磋商小组成员的，采购人或者采购代理机构应当停止评审活动，封存所有响应文件和评审资料，重新组建竞争性磋商小组进行评审。原竞争性磋商小组所作出的评审意见无效。采购人或者采购代理机构应当将变更、重新组建竞争性磋商小组的情况予以记录，并随竞争性磋商文件一并存档。</w:t>
      </w:r>
    </w:p>
    <w:p w14:paraId="31626DBA">
      <w:pPr>
        <w:pStyle w:val="17"/>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5.2.2</w:t>
      </w:r>
      <w:r>
        <w:rPr>
          <w:rFonts w:hint="eastAsia" w:ascii="宋体" w:hAnsi="宋体" w:eastAsia="宋体" w:cs="宋体"/>
          <w:color w:val="auto"/>
          <w:sz w:val="24"/>
          <w:szCs w:val="24"/>
          <w:highlight w:val="none"/>
        </w:rPr>
        <w:t>评标原则：评标活动遵循“公开、公平、公正、诚实信用”的原则。</w:t>
      </w:r>
    </w:p>
    <w:p w14:paraId="513ED2BD">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5.2.3</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eastAsia="zh-CN"/>
        </w:rPr>
        <w:t>程序</w:t>
      </w:r>
      <w:r>
        <w:rPr>
          <w:rFonts w:hint="eastAsia" w:ascii="宋体" w:hAnsi="宋体" w:eastAsia="宋体" w:cs="宋体"/>
          <w:color w:val="auto"/>
          <w:sz w:val="24"/>
          <w:szCs w:val="24"/>
          <w:highlight w:val="none"/>
        </w:rPr>
        <w:t>：</w:t>
      </w:r>
    </w:p>
    <w:p w14:paraId="26FE479F">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竞争性磋商小组对</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的响应文件进行初步评审，包括资格性检查及符合性检查。</w:t>
      </w:r>
    </w:p>
    <w:p w14:paraId="1EF30D42">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竞争性磋商小组所有成员集中与单一</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分别进行磋商，并给予所有参加磋商的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平等的磋商机会，通过初步评审的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才能进行磋商。</w:t>
      </w:r>
    </w:p>
    <w:p w14:paraId="50E299AD">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竞争性磋商小组要求所有实质性响应的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在规定的时间内提交最后报价，以及对磋商过程中需补充的有关内容进行承诺，并在报价和承诺上签字。</w:t>
      </w:r>
    </w:p>
    <w:p w14:paraId="3D751FEE">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经磋商确定最终采购需求和提交最后报价的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后，由竞争性磋商小组采用综合评分法对提交最后报价的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的响应文件和最后报价进行综合评分。</w:t>
      </w:r>
    </w:p>
    <w:p w14:paraId="75DDCBF2">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竞争性磋商小组编写评审报告。</w:t>
      </w:r>
    </w:p>
    <w:p w14:paraId="0009848C">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评审会议结束。</w:t>
      </w:r>
    </w:p>
    <w:p w14:paraId="44826E76">
      <w:pPr>
        <w:pStyle w:val="17"/>
        <w:pageBreakBefore w:val="0"/>
        <w:widowControl w:val="0"/>
        <w:kinsoku/>
        <w:wordWrap/>
        <w:overflowPunct/>
        <w:topLinePunct w:val="0"/>
        <w:autoSpaceDE/>
        <w:autoSpaceDN/>
        <w:bidi w:val="0"/>
        <w:adjustRightInd w:val="0"/>
        <w:snapToGrid/>
        <w:spacing w:line="54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5.2.4</w:t>
      </w:r>
      <w:r>
        <w:rPr>
          <w:rFonts w:hint="eastAsia" w:ascii="宋体" w:hAnsi="宋体" w:eastAsia="宋体" w:cs="宋体"/>
          <w:b/>
          <w:color w:val="auto"/>
          <w:sz w:val="24"/>
          <w:szCs w:val="24"/>
          <w:highlight w:val="none"/>
        </w:rPr>
        <w:t xml:space="preserve"> 终止采购活动的情形：</w:t>
      </w:r>
    </w:p>
    <w:p w14:paraId="21B53071">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因情况变化，不再符合规定的竞争性磋商采购方式适用情形的。</w:t>
      </w:r>
    </w:p>
    <w:p w14:paraId="57418656">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出现影响采购公正的违法、违规行为的。</w:t>
      </w:r>
    </w:p>
    <w:p w14:paraId="36DDC5BA">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除市场竞争不充分的科研项目和需要扶持的科技成果转化项目外，在采购过程中符合要求的供应商或者报价未超过采购预算的供应商不足3家的。</w:t>
      </w:r>
    </w:p>
    <w:p w14:paraId="3204C44B">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将终止竞争性磋商采购活动，发布项目终止公告并说明原因，重新开展采购活动。</w:t>
      </w:r>
    </w:p>
    <w:p w14:paraId="0526E50B">
      <w:pPr>
        <w:keepNext w:val="0"/>
        <w:keepLines w:val="0"/>
        <w:pageBreakBefore w:val="0"/>
        <w:widowControl w:val="0"/>
        <w:kinsoku/>
        <w:wordWrap/>
        <w:overflowPunct/>
        <w:topLinePunct w:val="0"/>
        <w:autoSpaceDE/>
        <w:autoSpaceDN/>
        <w:bidi w:val="0"/>
        <w:adjustRightInd/>
        <w:snapToGrid/>
        <w:spacing w:line="540" w:lineRule="exact"/>
        <w:ind w:firstLine="506" w:firstLineChars="200"/>
        <w:contextualSpacing/>
        <w:jc w:val="left"/>
        <w:textAlignment w:val="auto"/>
        <w:rPr>
          <w:rFonts w:hint="eastAsia" w:ascii="宋体" w:hAnsi="宋体" w:eastAsia="宋体" w:cs="宋体"/>
          <w:b/>
          <w:bCs/>
          <w:color w:val="auto"/>
          <w:spacing w:val="6"/>
          <w:sz w:val="24"/>
          <w:szCs w:val="24"/>
          <w:highlight w:val="none"/>
          <w:lang w:val="zh-CN"/>
        </w:rPr>
      </w:pPr>
      <w:r>
        <w:rPr>
          <w:rFonts w:hint="eastAsia" w:ascii="宋体" w:hAnsi="宋体" w:eastAsia="宋体" w:cs="宋体"/>
          <w:b/>
          <w:bCs/>
          <w:color w:val="auto"/>
          <w:spacing w:val="6"/>
          <w:sz w:val="24"/>
          <w:szCs w:val="24"/>
          <w:highlight w:val="none"/>
          <w:lang w:val="en-US" w:eastAsia="zh-CN"/>
        </w:rPr>
        <w:t>5.2.5</w:t>
      </w:r>
      <w:r>
        <w:rPr>
          <w:rFonts w:hint="eastAsia" w:ascii="宋体" w:hAnsi="宋体" w:eastAsia="宋体" w:cs="宋体"/>
          <w:b/>
          <w:bCs/>
          <w:color w:val="auto"/>
          <w:spacing w:val="6"/>
          <w:sz w:val="24"/>
          <w:szCs w:val="24"/>
          <w:highlight w:val="none"/>
          <w:lang w:val="zh-CN"/>
        </w:rPr>
        <w:t xml:space="preserve"> 供应商存在下列情况之一的，</w:t>
      </w:r>
      <w:r>
        <w:rPr>
          <w:rFonts w:hint="eastAsia" w:ascii="宋体" w:hAnsi="宋体" w:eastAsia="宋体" w:cs="宋体"/>
          <w:b/>
          <w:bCs/>
          <w:color w:val="auto"/>
          <w:spacing w:val="6"/>
          <w:sz w:val="24"/>
          <w:szCs w:val="24"/>
          <w:highlight w:val="none"/>
          <w:lang w:val="zh-CN" w:eastAsia="zh-CN"/>
        </w:rPr>
        <w:t>其</w:t>
      </w:r>
      <w:r>
        <w:rPr>
          <w:rFonts w:hint="eastAsia" w:ascii="宋体" w:hAnsi="宋体" w:eastAsia="宋体" w:cs="宋体"/>
          <w:b/>
          <w:bCs/>
          <w:color w:val="auto"/>
          <w:spacing w:val="6"/>
          <w:sz w:val="24"/>
          <w:szCs w:val="24"/>
          <w:highlight w:val="none"/>
          <w:lang w:val="zh-CN"/>
        </w:rPr>
        <w:t>投标无效</w:t>
      </w:r>
      <w:r>
        <w:rPr>
          <w:rFonts w:hint="eastAsia" w:ascii="宋体" w:hAnsi="宋体" w:eastAsia="宋体" w:cs="宋体"/>
          <w:b/>
          <w:bCs/>
          <w:color w:val="auto"/>
          <w:spacing w:val="6"/>
          <w:sz w:val="24"/>
          <w:szCs w:val="24"/>
          <w:highlight w:val="none"/>
          <w:lang w:val="en-US" w:eastAsia="zh-CN"/>
        </w:rPr>
        <w:t>。</w:t>
      </w:r>
    </w:p>
    <w:p w14:paraId="076269B2">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 未按照竞争性磋商文件的规定提交投标保证金的；</w:t>
      </w:r>
    </w:p>
    <w:p w14:paraId="75E83CE2">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 响应文件未按竞争性磋商文件要求签署、盖章的；</w:t>
      </w:r>
    </w:p>
    <w:p w14:paraId="518E787A">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 不具备竞争性磋商文件中规定的资格要求的；</w:t>
      </w:r>
    </w:p>
    <w:p w14:paraId="441014B7">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 报价超过竞争性磋商文件中规定的预算金额或者最高限价的；</w:t>
      </w:r>
    </w:p>
    <w:p w14:paraId="1E96676B">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响应文件含有采购人不能接受的附加条件的；</w:t>
      </w:r>
    </w:p>
    <w:p w14:paraId="0D3386BC">
      <w:pPr>
        <w:pageBreakBefore w:val="0"/>
        <w:widowControl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 法律、法规和竞争性磋商文件规定的其他无效情形。</w:t>
      </w:r>
    </w:p>
    <w:p w14:paraId="67443778">
      <w:pPr>
        <w:keepNext w:val="0"/>
        <w:keepLines w:val="0"/>
        <w:pageBreakBefore w:val="0"/>
        <w:widowControl w:val="0"/>
        <w:kinsoku/>
        <w:wordWrap/>
        <w:overflowPunct/>
        <w:topLinePunct w:val="0"/>
        <w:autoSpaceDE/>
        <w:autoSpaceDN/>
        <w:bidi w:val="0"/>
        <w:adjustRightInd/>
        <w:snapToGrid/>
        <w:spacing w:line="540" w:lineRule="exact"/>
        <w:ind w:firstLine="506" w:firstLineChars="200"/>
        <w:contextualSpacing/>
        <w:jc w:val="left"/>
        <w:textAlignment w:val="auto"/>
        <w:rPr>
          <w:rFonts w:hint="eastAsia" w:ascii="宋体" w:hAnsi="宋体" w:eastAsia="宋体" w:cs="宋体"/>
          <w:b/>
          <w:bCs/>
          <w:color w:val="auto"/>
          <w:spacing w:val="6"/>
          <w:sz w:val="24"/>
          <w:szCs w:val="24"/>
          <w:highlight w:val="none"/>
          <w:lang w:val="zh-CN" w:eastAsia="zh-CN"/>
        </w:rPr>
      </w:pPr>
      <w:r>
        <w:rPr>
          <w:rFonts w:hint="eastAsia" w:ascii="宋体" w:hAnsi="宋体" w:eastAsia="宋体" w:cs="宋体"/>
          <w:b/>
          <w:bCs/>
          <w:color w:val="auto"/>
          <w:spacing w:val="6"/>
          <w:sz w:val="24"/>
          <w:szCs w:val="24"/>
          <w:highlight w:val="none"/>
          <w:lang w:val="en-US" w:eastAsia="zh-CN"/>
        </w:rPr>
        <w:t>5.2.6</w:t>
      </w:r>
      <w:r>
        <w:rPr>
          <w:rFonts w:hint="eastAsia" w:ascii="宋体" w:hAnsi="宋体" w:eastAsia="宋体" w:cs="宋体"/>
          <w:b/>
          <w:bCs/>
          <w:color w:val="auto"/>
          <w:spacing w:val="6"/>
          <w:sz w:val="24"/>
          <w:szCs w:val="24"/>
          <w:highlight w:val="none"/>
          <w:lang w:val="zh-CN" w:eastAsia="zh-CN"/>
        </w:rPr>
        <w:t>有下列情形之一的，视为供应商串通投标，其投标无效</w:t>
      </w:r>
      <w:r>
        <w:rPr>
          <w:rFonts w:hint="eastAsia" w:ascii="宋体" w:hAnsi="宋体" w:eastAsia="宋体" w:cs="宋体"/>
          <w:b/>
          <w:bCs/>
          <w:color w:val="auto"/>
          <w:spacing w:val="6"/>
          <w:sz w:val="24"/>
          <w:szCs w:val="24"/>
          <w:highlight w:val="none"/>
          <w:lang w:val="en-US" w:eastAsia="zh-CN"/>
        </w:rPr>
        <w:t>。</w:t>
      </w:r>
    </w:p>
    <w:p w14:paraId="14608796">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(1)不同供应商的响应文件由同一单位或者个人编制；</w:t>
      </w:r>
    </w:p>
    <w:p w14:paraId="64A84572">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(2)不同供应商委托同一单位或者个人办理投标事宜；</w:t>
      </w:r>
    </w:p>
    <w:p w14:paraId="18DCBF00">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(3)不同供应商的响应文件载明的项目管理成员或者联系人员为同一人；</w:t>
      </w:r>
    </w:p>
    <w:p w14:paraId="7802A0E0">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(4)不同供应商的响应文件异常一致或者投标报价呈规律性差异；</w:t>
      </w:r>
    </w:p>
    <w:p w14:paraId="3C1FE8F8">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(5)不同供应商的响应文件相互混装；</w:t>
      </w:r>
    </w:p>
    <w:p w14:paraId="6F2F8202">
      <w:pPr>
        <w:pageBreakBefore w:val="0"/>
        <w:widowControl w:val="0"/>
        <w:kinsoku/>
        <w:wordWrap/>
        <w:overflowPunct/>
        <w:topLinePunct w:val="0"/>
        <w:autoSpaceDE/>
        <w:autoSpaceDN/>
        <w:bidi w:val="0"/>
        <w:snapToGrid/>
        <w:spacing w:line="540" w:lineRule="exact"/>
        <w:ind w:right="15" w:rightChars="7"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val="0"/>
          <w:color w:val="auto"/>
          <w:kern w:val="1"/>
          <w:sz w:val="24"/>
          <w:highlight w:val="none"/>
          <w:lang w:val="zh-CN" w:bidi="ar"/>
        </w:rPr>
        <w:t>(6)不同供应商的</w:t>
      </w:r>
      <w:r>
        <w:rPr>
          <w:rFonts w:hint="eastAsia" w:ascii="宋体" w:hAnsi="宋体" w:cs="宋体"/>
          <w:b w:val="0"/>
          <w:bCs w:val="0"/>
          <w:color w:val="auto"/>
          <w:kern w:val="1"/>
          <w:sz w:val="24"/>
          <w:highlight w:val="none"/>
          <w:lang w:val="en-US" w:eastAsia="zh-CN" w:bidi="ar"/>
        </w:rPr>
        <w:t>磋商</w:t>
      </w:r>
      <w:r>
        <w:rPr>
          <w:rFonts w:hint="eastAsia" w:ascii="宋体" w:hAnsi="宋体" w:eastAsia="宋体" w:cs="宋体"/>
          <w:b w:val="0"/>
          <w:bCs w:val="0"/>
          <w:color w:val="auto"/>
          <w:kern w:val="1"/>
          <w:sz w:val="24"/>
          <w:highlight w:val="none"/>
          <w:lang w:val="zh-CN" w:bidi="ar"/>
        </w:rPr>
        <w:t>保证金从同一单位或者个人的账户转出。</w:t>
      </w:r>
    </w:p>
    <w:p w14:paraId="1AB59E76">
      <w:pPr>
        <w:pStyle w:val="17"/>
        <w:pageBreakBefore w:val="0"/>
        <w:widowControl w:val="0"/>
        <w:kinsoku/>
        <w:wordWrap/>
        <w:overflowPunct/>
        <w:topLinePunct w:val="0"/>
        <w:autoSpaceDE/>
        <w:autoSpaceDN/>
        <w:bidi w:val="0"/>
        <w:adjustRightInd w:val="0"/>
        <w:snapToGrid/>
        <w:spacing w:line="54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5.2.7</w:t>
      </w:r>
      <w:r>
        <w:rPr>
          <w:rFonts w:hint="eastAsia" w:ascii="宋体" w:hAnsi="宋体" w:eastAsia="宋体" w:cs="宋体"/>
          <w:b/>
          <w:color w:val="auto"/>
          <w:sz w:val="24"/>
          <w:szCs w:val="24"/>
          <w:highlight w:val="none"/>
        </w:rPr>
        <w:t>评标过程的保密性</w:t>
      </w:r>
    </w:p>
    <w:p w14:paraId="02CEE5C0">
      <w:pPr>
        <w:pageBreakBefore w:val="0"/>
        <w:widowControl w:val="0"/>
        <w:kinsoku/>
        <w:wordWrap/>
        <w:overflowPunct/>
        <w:topLinePunct w:val="0"/>
        <w:autoSpaceDE/>
        <w:autoSpaceDN/>
        <w:bidi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开标后，直至向中标的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授予合同时止，凡与审查、澄清、评价和比较投标的有关资料以及授标意见等，均不得向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及评标无关的其他人透露。</w:t>
      </w:r>
    </w:p>
    <w:p w14:paraId="56478754">
      <w:pPr>
        <w:pageBreakBefore w:val="0"/>
        <w:widowControl w:val="0"/>
        <w:kinsoku/>
        <w:wordWrap/>
        <w:overflowPunct/>
        <w:topLinePunct w:val="0"/>
        <w:autoSpaceDE/>
        <w:autoSpaceDN/>
        <w:bidi w:val="0"/>
        <w:snapToGrid/>
        <w:spacing w:line="540" w:lineRule="exact"/>
        <w:ind w:right="15" w:rightChars="7"/>
        <w:textAlignment w:val="auto"/>
        <w:outlineLvl w:val="1"/>
        <w:rPr>
          <w:rFonts w:hint="eastAsia" w:ascii="宋体" w:hAnsi="宋体" w:eastAsia="宋体" w:cs="宋体"/>
          <w:b/>
          <w:bCs/>
          <w:color w:val="auto"/>
          <w:kern w:val="1"/>
          <w:sz w:val="24"/>
          <w:highlight w:val="none"/>
          <w:lang w:val="en-US" w:eastAsia="zh-CN" w:bidi="ar"/>
        </w:rPr>
      </w:pPr>
      <w:bookmarkStart w:id="230" w:name="_Toc8738"/>
      <w:bookmarkStart w:id="231" w:name="_Toc12967"/>
      <w:bookmarkStart w:id="232" w:name="_Toc20273"/>
      <w:bookmarkStart w:id="233" w:name="_Toc23685"/>
      <w:bookmarkStart w:id="234" w:name="_Toc12591"/>
      <w:bookmarkStart w:id="235" w:name="_Toc15485"/>
      <w:r>
        <w:rPr>
          <w:rFonts w:hint="eastAsia" w:ascii="宋体" w:hAnsi="宋体" w:eastAsia="宋体" w:cs="宋体"/>
          <w:b/>
          <w:bCs/>
          <w:color w:val="auto"/>
          <w:kern w:val="1"/>
          <w:sz w:val="24"/>
          <w:highlight w:val="none"/>
          <w:lang w:val="en-US" w:eastAsia="zh-CN" w:bidi="ar"/>
        </w:rPr>
        <w:t>六、中标通知和合同授予</w:t>
      </w:r>
      <w:bookmarkEnd w:id="230"/>
      <w:bookmarkEnd w:id="231"/>
      <w:bookmarkEnd w:id="232"/>
      <w:bookmarkEnd w:id="233"/>
      <w:bookmarkEnd w:id="234"/>
      <w:bookmarkEnd w:id="235"/>
    </w:p>
    <w:p w14:paraId="23318FAE">
      <w:pPr>
        <w:pStyle w:val="5"/>
        <w:pageBreakBefore w:val="0"/>
        <w:widowControl w:val="0"/>
        <w:kinsoku/>
        <w:wordWrap/>
        <w:overflowPunct/>
        <w:topLinePunct w:val="0"/>
        <w:autoSpaceDE/>
        <w:autoSpaceDN/>
        <w:bidi w:val="0"/>
        <w:adjustRightInd/>
        <w:snapToGrid/>
        <w:spacing w:before="0" w:after="0" w:line="540" w:lineRule="exact"/>
        <w:ind w:firstLine="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rPr>
        <w:t>定标</w:t>
      </w:r>
    </w:p>
    <w:p w14:paraId="1AD12910">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6.1.1</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w:t>
      </w:r>
      <w:r>
        <w:rPr>
          <w:rFonts w:hint="eastAsia" w:ascii="宋体" w:hAnsi="宋体" w:eastAsia="宋体" w:cs="宋体"/>
          <w:color w:val="auto"/>
          <w:sz w:val="24"/>
          <w:szCs w:val="24"/>
          <w:highlight w:val="none"/>
        </w:rPr>
        <w:t>根据评标原则和评标办法择优确定推荐中标单位，采购人将按推荐顺序进行最终审查后确定中标单位。</w:t>
      </w:r>
    </w:p>
    <w:p w14:paraId="6DE7D941">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6.1.2</w:t>
      </w:r>
      <w:r>
        <w:rPr>
          <w:rFonts w:hint="eastAsia" w:ascii="宋体" w:hAnsi="宋体" w:eastAsia="宋体" w:cs="宋体"/>
          <w:color w:val="auto"/>
          <w:sz w:val="24"/>
          <w:szCs w:val="24"/>
          <w:highlight w:val="none"/>
        </w:rPr>
        <w:t>本次招标合同将授予满足</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要求、投标价合理、技术支持和服务能力好的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6842E290">
      <w:pPr>
        <w:pStyle w:val="5"/>
        <w:pageBreakBefore w:val="0"/>
        <w:widowControl w:val="0"/>
        <w:kinsoku/>
        <w:wordWrap/>
        <w:overflowPunct/>
        <w:topLinePunct w:val="0"/>
        <w:autoSpaceDE/>
        <w:autoSpaceDN/>
        <w:bidi w:val="0"/>
        <w:adjustRightInd/>
        <w:snapToGrid/>
        <w:spacing w:before="0" w:after="0" w:line="540" w:lineRule="exact"/>
        <w:ind w:firstLine="0"/>
        <w:contextualSpacing/>
        <w:textAlignment w:val="auto"/>
        <w:rPr>
          <w:rFonts w:hint="eastAsia" w:ascii="宋体" w:hAnsi="宋体" w:eastAsia="宋体" w:cs="宋体"/>
          <w:color w:val="auto"/>
          <w:sz w:val="24"/>
          <w:szCs w:val="24"/>
          <w:highlight w:val="none"/>
        </w:rPr>
      </w:pPr>
      <w:bookmarkStart w:id="236" w:name="_Toc124133181"/>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中标通知</w:t>
      </w:r>
      <w:bookmarkEnd w:id="236"/>
    </w:p>
    <w:p w14:paraId="333EE4E2">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招标代理公司根据评标结果和采购人定标确认后，在</w:t>
      </w:r>
      <w:r>
        <w:rPr>
          <w:rFonts w:hint="eastAsia" w:ascii="宋体" w:hAnsi="宋体" w:eastAsia="宋体" w:cs="宋体"/>
          <w:color w:val="auto"/>
          <w:sz w:val="24"/>
          <w:szCs w:val="24"/>
          <w:highlight w:val="none"/>
          <w:lang w:eastAsia="zh-CN"/>
        </w:rPr>
        <w:t>相关媒介</w:t>
      </w:r>
      <w:r>
        <w:rPr>
          <w:rFonts w:hint="eastAsia" w:ascii="宋体" w:hAnsi="宋体" w:eastAsia="宋体" w:cs="宋体"/>
          <w:color w:val="auto"/>
          <w:sz w:val="24"/>
          <w:szCs w:val="24"/>
          <w:highlight w:val="none"/>
        </w:rPr>
        <w:t>上发布中标公告，中标公告期限为1个工作日，同时</w:t>
      </w:r>
      <w:r>
        <w:rPr>
          <w:rFonts w:hint="eastAsia" w:ascii="宋体" w:hAnsi="宋体" w:eastAsia="宋体" w:cs="宋体"/>
          <w:color w:val="auto"/>
          <w:sz w:val="24"/>
          <w:szCs w:val="24"/>
          <w:highlight w:val="none"/>
          <w:lang w:eastAsia="zh-CN"/>
        </w:rPr>
        <w:t>招标代理公司</w:t>
      </w:r>
      <w:r>
        <w:rPr>
          <w:rFonts w:hint="eastAsia" w:ascii="宋体" w:hAnsi="宋体" w:eastAsia="宋体" w:cs="宋体"/>
          <w:color w:val="auto"/>
          <w:sz w:val="24"/>
          <w:szCs w:val="24"/>
          <w:highlight w:val="none"/>
        </w:rPr>
        <w:t>根据招标结果和采购人定标确认后向中标人发出《中标通知书》。</w:t>
      </w:r>
    </w:p>
    <w:p w14:paraId="00B34927">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6.2.2</w:t>
      </w:r>
      <w:r>
        <w:rPr>
          <w:rFonts w:hint="eastAsia" w:ascii="宋体" w:hAnsi="宋体" w:eastAsia="宋体" w:cs="宋体"/>
          <w:color w:val="auto"/>
          <w:sz w:val="24"/>
          <w:szCs w:val="24"/>
          <w:highlight w:val="none"/>
        </w:rPr>
        <w:t>《中标通知书》为合同的组成部分。</w:t>
      </w:r>
    </w:p>
    <w:p w14:paraId="4950372F">
      <w:pPr>
        <w:pStyle w:val="5"/>
        <w:pageBreakBefore w:val="0"/>
        <w:widowControl w:val="0"/>
        <w:kinsoku/>
        <w:wordWrap/>
        <w:overflowPunct/>
        <w:topLinePunct w:val="0"/>
        <w:autoSpaceDE/>
        <w:autoSpaceDN/>
        <w:bidi w:val="0"/>
        <w:adjustRightInd/>
        <w:snapToGrid/>
        <w:spacing w:before="0" w:after="0" w:line="540" w:lineRule="exact"/>
        <w:ind w:firstLine="0"/>
        <w:contextualSpacing/>
        <w:textAlignment w:val="auto"/>
        <w:rPr>
          <w:rFonts w:hint="eastAsia" w:ascii="宋体" w:hAnsi="宋体" w:eastAsia="宋体" w:cs="宋体"/>
          <w:color w:val="auto"/>
          <w:sz w:val="24"/>
          <w:szCs w:val="24"/>
          <w:highlight w:val="none"/>
        </w:rPr>
      </w:pPr>
      <w:bookmarkStart w:id="237" w:name="_Toc124133182"/>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rPr>
        <w:t>签订合同</w:t>
      </w:r>
      <w:bookmarkEnd w:id="237"/>
    </w:p>
    <w:p w14:paraId="334B1D79">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6.3.1</w:t>
      </w:r>
      <w:r>
        <w:rPr>
          <w:rFonts w:hint="eastAsia" w:ascii="宋体" w:hAnsi="宋体" w:eastAsia="宋体" w:cs="宋体"/>
          <w:color w:val="auto"/>
          <w:sz w:val="24"/>
          <w:szCs w:val="24"/>
          <w:highlight w:val="none"/>
        </w:rPr>
        <w:t xml:space="preserve"> 采购人应当自中标通知书发出之日起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和中标人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的规定，与中标人签订书面合同。所签订的合同不得对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确定的事项和中标人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作实质性修改。</w:t>
      </w:r>
    </w:p>
    <w:p w14:paraId="5A7F55FE">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6.3.2</w:t>
      </w:r>
      <w:r>
        <w:rPr>
          <w:rFonts w:hint="eastAsia" w:ascii="宋体" w:hAnsi="宋体" w:eastAsia="宋体" w:cs="宋体"/>
          <w:color w:val="auto"/>
          <w:sz w:val="24"/>
          <w:szCs w:val="24"/>
          <w:highlight w:val="none"/>
        </w:rPr>
        <w:t>中标候选人放弃中标、因不可抗力不能履行合同、不按照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 xml:space="preserve">要求提交履约保证金，或者被查实存在影响中标结果的违法行为等情形，不符合中标条件的，采购人将按照竞争性磋商小组成员提出的中标候选人名单排序依次确定其他中标候选人为中标人，也可以重新招标。 </w:t>
      </w:r>
    </w:p>
    <w:p w14:paraId="718CD867">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中标人不得以任何形式将本项目转包和分包。</w:t>
      </w:r>
    </w:p>
    <w:bookmarkEnd w:id="207"/>
    <w:bookmarkEnd w:id="208"/>
    <w:bookmarkEnd w:id="209"/>
    <w:bookmarkEnd w:id="210"/>
    <w:bookmarkEnd w:id="211"/>
    <w:bookmarkEnd w:id="212"/>
    <w:bookmarkEnd w:id="213"/>
    <w:bookmarkEnd w:id="214"/>
    <w:bookmarkEnd w:id="215"/>
    <w:p w14:paraId="3E72EDC0">
      <w:pPr>
        <w:pageBreakBefore w:val="0"/>
        <w:widowControl w:val="0"/>
        <w:kinsoku/>
        <w:wordWrap/>
        <w:overflowPunct/>
        <w:topLinePunct w:val="0"/>
        <w:autoSpaceDE/>
        <w:autoSpaceDN/>
        <w:bidi w:val="0"/>
        <w:adjustRightInd/>
        <w:snapToGrid/>
        <w:spacing w:line="540" w:lineRule="exact"/>
        <w:contextualSpacing/>
        <w:textAlignment w:val="auto"/>
        <w:outlineLvl w:val="1"/>
        <w:rPr>
          <w:rFonts w:hint="eastAsia" w:ascii="宋体" w:hAnsi="宋体" w:eastAsia="宋体" w:cs="宋体"/>
          <w:b/>
          <w:bCs/>
          <w:color w:val="auto"/>
          <w:sz w:val="24"/>
          <w:szCs w:val="24"/>
          <w:highlight w:val="none"/>
          <w:lang w:val="zh-CN"/>
        </w:rPr>
      </w:pPr>
      <w:bookmarkStart w:id="238" w:name="_Toc308439059"/>
      <w:bookmarkStart w:id="239" w:name="_Toc28643"/>
      <w:bookmarkStart w:id="240" w:name="_Toc18994"/>
      <w:bookmarkStart w:id="241" w:name="_Toc12694"/>
      <w:bookmarkStart w:id="242" w:name="_Toc144974542"/>
      <w:bookmarkStart w:id="243" w:name="_Toc347844156"/>
      <w:bookmarkStart w:id="244" w:name="_Toc18026"/>
      <w:bookmarkStart w:id="245" w:name="_Toc152042350"/>
      <w:bookmarkStart w:id="246" w:name="_Toc347844293"/>
      <w:bookmarkStart w:id="247" w:name="_Toc319592639"/>
      <w:bookmarkStart w:id="248" w:name="_Toc8500"/>
      <w:bookmarkStart w:id="249" w:name="_Toc179632592"/>
      <w:bookmarkStart w:id="250" w:name="_Toc152045574"/>
      <w:bookmarkStart w:id="251" w:name="_Toc9795"/>
      <w:bookmarkStart w:id="252" w:name="_Toc347742335"/>
      <w:r>
        <w:rPr>
          <w:rFonts w:hint="eastAsia" w:ascii="宋体" w:hAnsi="宋体" w:eastAsia="宋体" w:cs="宋体"/>
          <w:b/>
          <w:bCs/>
          <w:color w:val="auto"/>
          <w:sz w:val="24"/>
          <w:szCs w:val="24"/>
          <w:highlight w:val="none"/>
          <w:lang w:val="zh-CN"/>
        </w:rPr>
        <w:t>七、纪律和监督</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05B74032">
      <w:pPr>
        <w:pageBreakBefore w:val="0"/>
        <w:widowControl w:val="0"/>
        <w:kinsoku/>
        <w:wordWrap/>
        <w:overflowPunct/>
        <w:topLinePunct w:val="0"/>
        <w:autoSpaceDE/>
        <w:autoSpaceDN/>
        <w:bidi w:val="0"/>
        <w:adjustRightInd/>
        <w:snapToGrid/>
        <w:spacing w:line="540" w:lineRule="exact"/>
        <w:ind w:firstLine="480" w:firstLineChars="200"/>
        <w:contextualSpacing/>
        <w:textAlignment w:val="auto"/>
        <w:outlineLvl w:val="2"/>
        <w:rPr>
          <w:rFonts w:hint="eastAsia" w:ascii="宋体" w:hAnsi="宋体" w:eastAsia="宋体" w:cs="宋体"/>
          <w:b w:val="0"/>
          <w:bCs w:val="0"/>
          <w:color w:val="auto"/>
          <w:sz w:val="24"/>
          <w:szCs w:val="24"/>
          <w:highlight w:val="none"/>
        </w:rPr>
      </w:pPr>
      <w:bookmarkStart w:id="253" w:name="_Toc319592640"/>
      <w:bookmarkStart w:id="254" w:name="_Toc308439060"/>
      <w:bookmarkStart w:id="255" w:name="_Toc179632593"/>
      <w:bookmarkStart w:id="256" w:name="_Toc152045575"/>
      <w:bookmarkStart w:id="257" w:name="_Toc347844157"/>
      <w:bookmarkStart w:id="258" w:name="_Toc347844294"/>
      <w:bookmarkStart w:id="259" w:name="_Toc152042351"/>
      <w:bookmarkStart w:id="260" w:name="_Toc144974543"/>
      <w:bookmarkStart w:id="261" w:name="_Toc347742336"/>
      <w:r>
        <w:rPr>
          <w:rFonts w:hint="eastAsia" w:ascii="宋体" w:hAnsi="宋体" w:eastAsia="宋体" w:cs="宋体"/>
          <w:b w:val="0"/>
          <w:bCs w:val="0"/>
          <w:color w:val="auto"/>
          <w:sz w:val="24"/>
          <w:szCs w:val="24"/>
          <w:highlight w:val="none"/>
          <w:lang w:val="en-US" w:eastAsia="zh-CN"/>
        </w:rPr>
        <w:t>7.1</w:t>
      </w:r>
      <w:r>
        <w:rPr>
          <w:rFonts w:hint="eastAsia" w:ascii="宋体" w:hAnsi="宋体" w:eastAsia="宋体" w:cs="宋体"/>
          <w:b w:val="0"/>
          <w:bCs w:val="0"/>
          <w:color w:val="auto"/>
          <w:sz w:val="24"/>
          <w:szCs w:val="24"/>
          <w:highlight w:val="none"/>
        </w:rPr>
        <w:t>对采购人的纪律要求</w:t>
      </w:r>
      <w:bookmarkEnd w:id="253"/>
      <w:bookmarkEnd w:id="254"/>
      <w:bookmarkEnd w:id="255"/>
      <w:bookmarkEnd w:id="256"/>
      <w:bookmarkEnd w:id="257"/>
      <w:bookmarkEnd w:id="258"/>
      <w:bookmarkEnd w:id="259"/>
      <w:bookmarkEnd w:id="260"/>
      <w:bookmarkEnd w:id="261"/>
    </w:p>
    <w:p w14:paraId="31F81444">
      <w:pPr>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采购人不得泄漏招标投标活动中应当保密的情况和资料，不得与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串通损害国家利益、社会公共利益或者他人合法权益。</w:t>
      </w:r>
    </w:p>
    <w:p w14:paraId="154F82E1">
      <w:pPr>
        <w:pStyle w:val="48"/>
        <w:keepNext w:val="0"/>
        <w:keepLines w:val="0"/>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Cs w:val="24"/>
          <w:highlight w:val="none"/>
        </w:rPr>
      </w:pPr>
      <w:bookmarkStart w:id="262" w:name="_Toc308439061"/>
      <w:bookmarkStart w:id="263" w:name="_Toc347844158"/>
      <w:bookmarkStart w:id="264" w:name="_Toc179632594"/>
      <w:bookmarkStart w:id="265" w:name="_Toc319592641"/>
      <w:bookmarkStart w:id="266" w:name="_Toc144974544"/>
      <w:bookmarkStart w:id="267" w:name="_Toc347742337"/>
      <w:bookmarkStart w:id="268" w:name="_Toc152045576"/>
      <w:bookmarkStart w:id="269" w:name="_Toc347844295"/>
      <w:bookmarkStart w:id="270" w:name="_Toc152042352"/>
      <w:r>
        <w:rPr>
          <w:rFonts w:hint="eastAsia" w:ascii="宋体" w:hAnsi="宋体" w:eastAsia="宋体" w:cs="宋体"/>
          <w:bCs/>
          <w:color w:val="auto"/>
          <w:szCs w:val="24"/>
          <w:highlight w:val="none"/>
          <w:lang w:val="en-US" w:eastAsia="zh-CN"/>
        </w:rPr>
        <w:t>7.2</w:t>
      </w:r>
      <w:r>
        <w:rPr>
          <w:rFonts w:hint="eastAsia" w:ascii="宋体" w:hAnsi="宋体" w:eastAsia="宋体" w:cs="宋体"/>
          <w:bCs/>
          <w:color w:val="auto"/>
          <w:szCs w:val="24"/>
          <w:highlight w:val="none"/>
        </w:rPr>
        <w:t>对</w:t>
      </w:r>
      <w:r>
        <w:rPr>
          <w:rFonts w:hint="eastAsia" w:ascii="宋体" w:hAnsi="宋体" w:eastAsia="宋体" w:cs="宋体"/>
          <w:bCs/>
          <w:color w:val="auto"/>
          <w:szCs w:val="24"/>
          <w:highlight w:val="none"/>
          <w:lang w:eastAsia="zh-CN"/>
        </w:rPr>
        <w:t>供应商</w:t>
      </w:r>
      <w:r>
        <w:rPr>
          <w:rFonts w:hint="eastAsia" w:ascii="宋体" w:hAnsi="宋体" w:eastAsia="宋体" w:cs="宋体"/>
          <w:bCs/>
          <w:color w:val="auto"/>
          <w:szCs w:val="24"/>
          <w:highlight w:val="none"/>
        </w:rPr>
        <w:t>的纪律要求</w:t>
      </w:r>
      <w:bookmarkEnd w:id="262"/>
      <w:bookmarkEnd w:id="263"/>
      <w:bookmarkEnd w:id="264"/>
      <w:bookmarkEnd w:id="265"/>
      <w:bookmarkEnd w:id="266"/>
      <w:bookmarkEnd w:id="267"/>
      <w:bookmarkEnd w:id="268"/>
      <w:bookmarkEnd w:id="269"/>
      <w:bookmarkEnd w:id="270"/>
    </w:p>
    <w:p w14:paraId="23A3C712">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不得相互串通投标或者与</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串通投标，不得向采购人或者</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成员行贿谋取中标，不得以他人名义投标或者以其他方式弄虚作假骗取中标；</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不得以任何方式干扰、影响评标工作。</w:t>
      </w:r>
    </w:p>
    <w:p w14:paraId="6CF1B845">
      <w:pPr>
        <w:pStyle w:val="48"/>
        <w:keepNext w:val="0"/>
        <w:keepLines w:val="0"/>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Cs w:val="24"/>
          <w:highlight w:val="none"/>
        </w:rPr>
      </w:pPr>
      <w:bookmarkStart w:id="271" w:name="_Toc319592642"/>
      <w:bookmarkStart w:id="272" w:name="_Toc152042353"/>
      <w:bookmarkStart w:id="273" w:name="_Toc347844296"/>
      <w:bookmarkStart w:id="274" w:name="_Toc308439062"/>
      <w:bookmarkStart w:id="275" w:name="_Toc347844159"/>
      <w:bookmarkStart w:id="276" w:name="_Toc152045577"/>
      <w:bookmarkStart w:id="277" w:name="_Toc347742338"/>
      <w:bookmarkStart w:id="278" w:name="_Toc179632595"/>
      <w:bookmarkStart w:id="279" w:name="_Toc144974545"/>
      <w:r>
        <w:rPr>
          <w:rFonts w:hint="eastAsia" w:ascii="宋体" w:hAnsi="宋体" w:eastAsia="宋体" w:cs="宋体"/>
          <w:bCs/>
          <w:color w:val="auto"/>
          <w:szCs w:val="24"/>
          <w:highlight w:val="none"/>
          <w:lang w:val="en-US" w:eastAsia="zh-CN"/>
        </w:rPr>
        <w:t>7.3</w:t>
      </w:r>
      <w:r>
        <w:rPr>
          <w:rFonts w:hint="eastAsia" w:ascii="宋体" w:hAnsi="宋体" w:eastAsia="宋体" w:cs="宋体"/>
          <w:bCs/>
          <w:color w:val="auto"/>
          <w:szCs w:val="24"/>
          <w:highlight w:val="none"/>
        </w:rPr>
        <w:t xml:space="preserve"> 对竞争性磋商小组成员的纪律要求</w:t>
      </w:r>
      <w:bookmarkEnd w:id="271"/>
      <w:bookmarkEnd w:id="272"/>
      <w:bookmarkEnd w:id="273"/>
      <w:bookmarkEnd w:id="274"/>
      <w:bookmarkEnd w:id="275"/>
      <w:bookmarkEnd w:id="276"/>
      <w:bookmarkEnd w:id="277"/>
      <w:bookmarkEnd w:id="278"/>
      <w:bookmarkEnd w:id="279"/>
    </w:p>
    <w:p w14:paraId="78ACD147">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成员不得收受他人的财物或者其他好处，不得向他人透漏对响应文件的评审和比较、成交候选人的推荐情况以及评标有关的其他情况。在评审活动中，</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成员不得擅离职守，影响评标程序正常进行，不得使用评标办法没有规定的评审因素和标准进行评标。</w:t>
      </w:r>
    </w:p>
    <w:p w14:paraId="11954D75">
      <w:pPr>
        <w:pStyle w:val="48"/>
        <w:keepNext w:val="0"/>
        <w:keepLines w:val="0"/>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Cs w:val="24"/>
          <w:highlight w:val="none"/>
        </w:rPr>
      </w:pPr>
      <w:bookmarkStart w:id="280" w:name="_Toc152042354"/>
      <w:bookmarkStart w:id="281" w:name="_Toc319592643"/>
      <w:bookmarkStart w:id="282" w:name="_Toc347742339"/>
      <w:bookmarkStart w:id="283" w:name="_Toc152045578"/>
      <w:bookmarkStart w:id="284" w:name="_Toc347844160"/>
      <w:bookmarkStart w:id="285" w:name="_Toc179632596"/>
      <w:bookmarkStart w:id="286" w:name="_Toc308439063"/>
      <w:bookmarkStart w:id="287" w:name="_Toc347844297"/>
      <w:r>
        <w:rPr>
          <w:rFonts w:hint="eastAsia" w:ascii="宋体" w:hAnsi="宋体" w:eastAsia="宋体" w:cs="宋体"/>
          <w:bCs/>
          <w:color w:val="auto"/>
          <w:szCs w:val="24"/>
          <w:highlight w:val="none"/>
          <w:lang w:val="en-US" w:eastAsia="zh-CN"/>
        </w:rPr>
        <w:t>7.4</w:t>
      </w:r>
      <w:r>
        <w:rPr>
          <w:rFonts w:hint="eastAsia" w:ascii="宋体" w:hAnsi="宋体" w:eastAsia="宋体" w:cs="宋体"/>
          <w:bCs/>
          <w:color w:val="auto"/>
          <w:szCs w:val="24"/>
          <w:highlight w:val="none"/>
        </w:rPr>
        <w:t xml:space="preserve"> 对与评标活动有关的工作人员的纪律要求</w:t>
      </w:r>
      <w:bookmarkEnd w:id="280"/>
      <w:bookmarkEnd w:id="281"/>
      <w:bookmarkEnd w:id="282"/>
      <w:bookmarkEnd w:id="283"/>
      <w:bookmarkEnd w:id="284"/>
      <w:bookmarkEnd w:id="285"/>
      <w:bookmarkEnd w:id="286"/>
      <w:bookmarkEnd w:id="287"/>
    </w:p>
    <w:p w14:paraId="558493E4">
      <w:pPr>
        <w:pageBreakBefore w:val="0"/>
        <w:kinsoku/>
        <w:wordWrap/>
        <w:overflowPunct/>
        <w:topLinePunct w:val="0"/>
        <w:bidi w:val="0"/>
        <w:snapToGrid/>
        <w:spacing w:line="540" w:lineRule="exact"/>
        <w:ind w:firstLine="480" w:firstLineChars="200"/>
        <w:textAlignment w:val="auto"/>
        <w:rPr>
          <w:rFonts w:hint="eastAsia" w:ascii="宋体" w:hAnsi="宋体" w:eastAsia="宋体" w:cs="宋体"/>
          <w:bCs/>
          <w:color w:val="auto"/>
          <w:sz w:val="24"/>
          <w:highlight w:val="none"/>
        </w:rPr>
      </w:pPr>
      <w:bookmarkStart w:id="288" w:name="_Toc152042355"/>
      <w:r>
        <w:rPr>
          <w:rFonts w:hint="eastAsia" w:ascii="宋体" w:hAnsi="宋体" w:eastAsia="宋体" w:cs="宋体"/>
          <w:bCs/>
          <w:color w:val="auto"/>
          <w:sz w:val="24"/>
          <w:highlight w:val="none"/>
        </w:rPr>
        <w:t>与评标活动有关的工作人员不得收受他人的财物或者其他好处，不得向他人透漏对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的评审和比较、成交候选人的推荐情况以及评标有关的其他情况。在评标活动中，与评标活动有关的工作人员不得擅离职守，影响评标程序正常进行。</w:t>
      </w:r>
      <w:bookmarkEnd w:id="288"/>
      <w:bookmarkStart w:id="289" w:name="_Toc10510"/>
      <w:bookmarkStart w:id="290" w:name="_Toc13255"/>
    </w:p>
    <w:p w14:paraId="1CDC28CC">
      <w:pPr>
        <w:pageBreakBefore w:val="0"/>
        <w:numPr>
          <w:ilvl w:val="0"/>
          <w:numId w:val="4"/>
        </w:numPr>
        <w:kinsoku/>
        <w:wordWrap/>
        <w:overflowPunct/>
        <w:topLinePunct w:val="0"/>
        <w:bidi w:val="0"/>
        <w:snapToGrid/>
        <w:spacing w:line="540" w:lineRule="exact"/>
        <w:textAlignment w:val="auto"/>
        <w:outlineLvl w:val="1"/>
        <w:rPr>
          <w:rFonts w:hint="eastAsia" w:ascii="宋体" w:hAnsi="宋体" w:eastAsia="宋体" w:cs="宋体"/>
          <w:b/>
          <w:bCs/>
          <w:color w:val="auto"/>
          <w:sz w:val="24"/>
          <w:szCs w:val="24"/>
          <w:highlight w:val="none"/>
          <w:lang w:val="zh-CN"/>
        </w:rPr>
      </w:pPr>
      <w:bookmarkStart w:id="291" w:name="_Toc25873"/>
      <w:bookmarkStart w:id="292" w:name="_Toc30452"/>
      <w:bookmarkStart w:id="293" w:name="_Toc17255"/>
      <w:bookmarkStart w:id="294" w:name="_Toc27717"/>
      <w:bookmarkStart w:id="295" w:name="_Toc28145"/>
      <w:bookmarkStart w:id="296" w:name="_Toc29112"/>
      <w:r>
        <w:rPr>
          <w:rFonts w:hint="eastAsia" w:ascii="宋体" w:hAnsi="宋体" w:eastAsia="宋体" w:cs="宋体"/>
          <w:b/>
          <w:bCs/>
          <w:color w:val="auto"/>
          <w:sz w:val="24"/>
          <w:szCs w:val="24"/>
          <w:highlight w:val="none"/>
          <w:lang w:val="zh-CN"/>
        </w:rPr>
        <w:t>质疑和投诉</w:t>
      </w:r>
      <w:bookmarkEnd w:id="289"/>
      <w:bookmarkEnd w:id="290"/>
      <w:bookmarkEnd w:id="291"/>
      <w:bookmarkEnd w:id="292"/>
      <w:bookmarkEnd w:id="293"/>
      <w:bookmarkEnd w:id="294"/>
      <w:bookmarkEnd w:id="295"/>
      <w:bookmarkEnd w:id="296"/>
    </w:p>
    <w:p w14:paraId="47600B3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auto"/>
          <w:kern w:val="1"/>
          <w:sz w:val="24"/>
          <w:highlight w:val="none"/>
          <w:lang w:val="zh-CN" w:bidi="ar"/>
        </w:rPr>
      </w:pPr>
      <w:r>
        <w:rPr>
          <w:rFonts w:hint="eastAsia" w:ascii="宋体" w:hAnsi="宋体" w:eastAsia="宋体" w:cs="宋体"/>
          <w:color w:val="auto"/>
          <w:kern w:val="1"/>
          <w:sz w:val="24"/>
          <w:highlight w:val="none"/>
          <w:lang w:val="en-US" w:eastAsia="zh-CN" w:bidi="ar"/>
        </w:rPr>
        <w:t>8.1</w:t>
      </w:r>
      <w:r>
        <w:rPr>
          <w:rFonts w:hint="eastAsia" w:ascii="宋体" w:hAnsi="宋体" w:eastAsia="宋体" w:cs="宋体"/>
          <w:color w:val="auto"/>
          <w:kern w:val="1"/>
          <w:sz w:val="24"/>
          <w:highlight w:val="none"/>
          <w:lang w:val="zh-CN" w:bidi="ar"/>
        </w:rPr>
        <w:t>供应商对政府事项、采购活动有疑问的，可以向采购人或者采购代理机构提出询问，并及时作出答复，但答复的内容不得涉及商业秘密。供应商认为招标过程和成交结果使自己的合法权益受到损害的，应当在知道或者应知其权益受到损害之日起七个工作日内，以书面形式向采购人或者本代理机构提出质疑，质疑内容不得含有虚假、恶意成分。依照谁主张谁举证的原则，提出质疑时必须同时提交相关证据材料和证明事实的确切来源。供应商须在法定质疑期内一次性提出针对同一采购程序环节的质疑。</w:t>
      </w:r>
    </w:p>
    <w:p w14:paraId="5A8688BC">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1"/>
          <w:sz w:val="24"/>
          <w:highlight w:val="none"/>
          <w:lang w:val="zh-CN" w:bidi="ar"/>
        </w:rPr>
        <w:t>质疑受理单位：</w:t>
      </w:r>
      <w:r>
        <w:rPr>
          <w:rFonts w:hint="eastAsia" w:ascii="宋体" w:hAnsi="宋体" w:eastAsia="宋体" w:cs="宋体"/>
          <w:color w:val="auto"/>
          <w:sz w:val="24"/>
          <w:highlight w:val="none"/>
          <w:lang w:val="en-US" w:eastAsia="zh-CN"/>
        </w:rPr>
        <w:t>云南星骋项目管理有限公司</w:t>
      </w:r>
      <w:r>
        <w:rPr>
          <w:rFonts w:hint="eastAsia" w:ascii="宋体" w:hAnsi="宋体" w:eastAsia="宋体" w:cs="宋体"/>
          <w:color w:val="auto"/>
          <w:kern w:val="1"/>
          <w:sz w:val="24"/>
          <w:highlight w:val="none"/>
          <w:lang w:val="zh-CN" w:bidi="ar"/>
        </w:rPr>
        <w:t>，电话：</w:t>
      </w:r>
      <w:r>
        <w:rPr>
          <w:rFonts w:hint="eastAsia" w:ascii="宋体" w:hAnsi="宋体" w:eastAsia="宋体" w:cs="宋体"/>
          <w:color w:val="auto"/>
          <w:kern w:val="1"/>
          <w:sz w:val="24"/>
          <w:highlight w:val="none"/>
          <w:lang w:bidi="ar"/>
        </w:rPr>
        <w:t>15198499967</w:t>
      </w:r>
      <w:r>
        <w:rPr>
          <w:rFonts w:hint="eastAsia" w:ascii="宋体" w:hAnsi="宋体" w:eastAsia="宋体" w:cs="宋体"/>
          <w:color w:val="auto"/>
          <w:kern w:val="0"/>
          <w:sz w:val="24"/>
          <w:highlight w:val="none"/>
        </w:rPr>
        <w:t>。</w:t>
      </w:r>
    </w:p>
    <w:p w14:paraId="4F0FCFB6">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提出质疑应当提交质疑函和必要的证明材料。质疑函应当包括下列内容：</w:t>
      </w:r>
    </w:p>
    <w:p w14:paraId="69170454">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的姓名或者名称、地址、邮编、联系人及联系电话；</w:t>
      </w:r>
    </w:p>
    <w:p w14:paraId="4FB3884F">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（二）质疑项目的名称、编号；</w:t>
      </w:r>
    </w:p>
    <w:p w14:paraId="1DFC45F1">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（三）具体、明确的质疑事项和与质疑事项相关的请求；</w:t>
      </w:r>
    </w:p>
    <w:p w14:paraId="5AF4A1CB">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（四）事实依据；</w:t>
      </w:r>
    </w:p>
    <w:p w14:paraId="3AB779AB">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（五）必要的法律依据；</w:t>
      </w:r>
    </w:p>
    <w:p w14:paraId="5E4BCD3A">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（六）提出质疑的日期。</w:t>
      </w:r>
    </w:p>
    <w:p w14:paraId="12A33A09">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为自然人的，应当由本人签字；</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为法人或者其他组织的，应当由法定代表人、主要负责人，或者其授权代表签字或者盖章，并加盖公章。</w:t>
      </w:r>
    </w:p>
    <w:p w14:paraId="3A19A9C6">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质疑书需提供盖鲜章的原件，并实行实名制，应由法定代表人或其授权代理人签字并加盖单位鲜章，拒绝接受其他任何形式的质疑文件，质疑书需派人亲自送达质疑受理单位。</w:t>
      </w:r>
    </w:p>
    <w:p w14:paraId="65A98D39">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采购人、采购代理机构将在收到</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的书面质疑后七个工作日内做出书面答复，但答复的内容不涉及商业秘密。</w:t>
      </w:r>
    </w:p>
    <w:p w14:paraId="6C582470">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auto"/>
          <w:kern w:val="0"/>
          <w:sz w:val="24"/>
          <w:highlight w:val="none"/>
          <w:lang w:eastAsia="zh-CN"/>
        </w:rPr>
      </w:pPr>
      <w:r>
        <w:rPr>
          <w:rFonts w:hint="eastAsia" w:ascii="宋体" w:hAnsi="宋体" w:eastAsia="宋体" w:cs="宋体"/>
          <w:color w:val="auto"/>
          <w:kern w:val="1"/>
          <w:sz w:val="24"/>
          <w:highlight w:val="none"/>
          <w:lang w:val="en-US" w:eastAsia="zh-CN" w:bidi="ar"/>
        </w:rPr>
        <w:t>8.2</w:t>
      </w:r>
      <w:r>
        <w:rPr>
          <w:rFonts w:hint="eastAsia" w:ascii="宋体" w:hAnsi="宋体" w:eastAsia="宋体" w:cs="宋体"/>
          <w:color w:val="auto"/>
          <w:kern w:val="0"/>
          <w:sz w:val="24"/>
          <w:highlight w:val="none"/>
        </w:rPr>
        <w:t>投诉人必须首先经过质疑程序，在对采购人、采购代理机构的答复不满意，或者采购人、采购代理机构未在规定的时间内做出答复的，可以在答复期满后十五个工作日内书面向</w:t>
      </w:r>
      <w:r>
        <w:rPr>
          <w:rFonts w:hint="eastAsia" w:ascii="宋体" w:hAnsi="宋体" w:cs="宋体"/>
          <w:color w:val="auto"/>
          <w:kern w:val="0"/>
          <w:sz w:val="24"/>
          <w:highlight w:val="none"/>
          <w:lang w:val="en-US" w:eastAsia="zh-CN"/>
        </w:rPr>
        <w:t>勐海县财政</w:t>
      </w:r>
      <w:r>
        <w:rPr>
          <w:rFonts w:hint="eastAsia" w:ascii="宋体" w:hAnsi="宋体" w:eastAsia="宋体" w:cs="宋体"/>
          <w:color w:val="auto"/>
          <w:kern w:val="0"/>
          <w:sz w:val="24"/>
          <w:highlight w:val="none"/>
        </w:rPr>
        <w:t>局政府采购管理办公室投诉</w:t>
      </w:r>
      <w:r>
        <w:rPr>
          <w:rFonts w:hint="eastAsia" w:ascii="宋体" w:hAnsi="宋体" w:eastAsia="宋体" w:cs="宋体"/>
          <w:color w:val="auto"/>
          <w:kern w:val="0"/>
          <w:sz w:val="24"/>
          <w:highlight w:val="none"/>
          <w:lang w:eastAsia="zh-CN"/>
        </w:rPr>
        <w:t>。</w:t>
      </w:r>
    </w:p>
    <w:p w14:paraId="75632C64">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诉书应当署名签字并加盖单位公章后送达，派人送达投诉机关时需由法定代表人或委托代理人在送达日期下签字确认。其中：由法定代表人直接投诉的，投诉书需由法定代表人的署名签字。法定代表人直接递交的需携带本人身份证明、营业执照副本两项材料的原件（原件核对后退回）及加盖公章的复印件，以上材料也可以提供经公证的公证书。</w:t>
      </w:r>
    </w:p>
    <w:p w14:paraId="63FFB68D">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委托代理人代理投诉的，投诉书需有法定代表人和委托代理人的署名签字。委托代理人需持法定代表人授权委托书（包括法定代表人身份证明复印件）、代理人身份证明、营业执照副本三项材料的原件（代理人身份证明和营业执照副本原件核对后退回）及加盖单位公章的复印件，以上材料也可提供经公证的公证书。</w:t>
      </w:r>
    </w:p>
    <w:p w14:paraId="7F1CB38E">
      <w:pPr>
        <w:pageBreakBefore w:val="0"/>
        <w:widowControl/>
        <w:kinsoku/>
        <w:wordWrap/>
        <w:overflowPunct/>
        <w:topLinePunct w:val="0"/>
        <w:bidi w:val="0"/>
        <w:snapToGrid/>
        <w:spacing w:line="540" w:lineRule="exact"/>
        <w:textAlignment w:val="auto"/>
        <w:outlineLvl w:val="1"/>
        <w:rPr>
          <w:rFonts w:hint="eastAsia" w:ascii="宋体" w:hAnsi="宋体" w:eastAsia="宋体" w:cs="宋体"/>
          <w:b/>
          <w:bCs/>
          <w:color w:val="auto"/>
          <w:kern w:val="0"/>
          <w:sz w:val="24"/>
          <w:highlight w:val="none"/>
          <w:lang w:val="zh-CN" w:eastAsia="zh-CN"/>
        </w:rPr>
      </w:pPr>
      <w:bookmarkStart w:id="297" w:name="_Toc1593"/>
      <w:bookmarkStart w:id="298" w:name="_Toc21783"/>
      <w:bookmarkStart w:id="299" w:name="_Toc13857"/>
      <w:bookmarkStart w:id="300" w:name="_Toc6102"/>
      <w:bookmarkStart w:id="301" w:name="_Toc17529"/>
      <w:bookmarkStart w:id="302" w:name="_Toc16760"/>
      <w:r>
        <w:rPr>
          <w:rFonts w:hint="eastAsia" w:ascii="宋体" w:hAnsi="宋体" w:eastAsia="宋体" w:cs="宋体"/>
          <w:b/>
          <w:bCs/>
          <w:color w:val="auto"/>
          <w:kern w:val="0"/>
          <w:sz w:val="24"/>
          <w:highlight w:val="none"/>
          <w:lang w:val="zh-CN" w:eastAsia="zh-CN"/>
        </w:rPr>
        <w:t>九、解释权</w:t>
      </w:r>
      <w:bookmarkEnd w:id="297"/>
      <w:bookmarkEnd w:id="298"/>
      <w:bookmarkEnd w:id="299"/>
      <w:bookmarkEnd w:id="300"/>
      <w:bookmarkEnd w:id="301"/>
      <w:bookmarkEnd w:id="302"/>
    </w:p>
    <w:p w14:paraId="771C0D0D">
      <w:pPr>
        <w:pageBreakBefore w:val="0"/>
        <w:widowControl/>
        <w:kinsoku/>
        <w:wordWrap/>
        <w:overflowPunct/>
        <w:topLinePunct w:val="0"/>
        <w:bidi w:val="0"/>
        <w:snapToGrid/>
        <w:spacing w:line="54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本竞争性磋商文件的解释权属于采购人及采购代理机构。</w:t>
      </w:r>
    </w:p>
    <w:p w14:paraId="0FBBBCF0">
      <w:pPr>
        <w:pageBreakBefore w:val="0"/>
        <w:widowControl/>
        <w:kinsoku/>
        <w:wordWrap/>
        <w:overflowPunct/>
        <w:topLinePunct w:val="0"/>
        <w:bidi w:val="0"/>
        <w:snapToGrid/>
        <w:spacing w:line="540" w:lineRule="exact"/>
        <w:textAlignment w:val="auto"/>
        <w:outlineLvl w:val="1"/>
        <w:rPr>
          <w:rFonts w:hint="eastAsia" w:ascii="宋体" w:hAnsi="宋体" w:eastAsia="宋体" w:cs="宋体"/>
          <w:color w:val="auto"/>
          <w:kern w:val="0"/>
          <w:sz w:val="24"/>
          <w:highlight w:val="none"/>
          <w:lang w:val="zh-CN" w:eastAsia="zh-CN"/>
        </w:rPr>
      </w:pPr>
      <w:bookmarkStart w:id="303" w:name="_Toc21369"/>
      <w:bookmarkStart w:id="304" w:name="_Toc3809"/>
      <w:bookmarkStart w:id="305" w:name="_Toc21435"/>
      <w:bookmarkStart w:id="306" w:name="_Toc19116"/>
      <w:bookmarkStart w:id="307" w:name="_Toc21329"/>
      <w:bookmarkStart w:id="308" w:name="_Toc17495"/>
      <w:r>
        <w:rPr>
          <w:rFonts w:hint="eastAsia" w:ascii="宋体" w:hAnsi="宋体" w:eastAsia="宋体" w:cs="宋体"/>
          <w:b/>
          <w:bCs/>
          <w:color w:val="auto"/>
          <w:kern w:val="0"/>
          <w:sz w:val="24"/>
          <w:highlight w:val="none"/>
          <w:lang w:val="zh-CN" w:eastAsia="zh-CN"/>
        </w:rPr>
        <w:t>十、相关费用</w:t>
      </w:r>
      <w:bookmarkEnd w:id="303"/>
      <w:bookmarkEnd w:id="304"/>
      <w:bookmarkEnd w:id="305"/>
      <w:bookmarkEnd w:id="306"/>
      <w:bookmarkEnd w:id="307"/>
      <w:bookmarkEnd w:id="308"/>
    </w:p>
    <w:p w14:paraId="10B009F8">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lang w:val="en-US" w:eastAsia="zh-CN"/>
        </w:rPr>
        <w:t>供应商准备和参加投标活动的费用自理。不管投标结果如何，采购代理机构和委托方均无义务承担任何责任。代理服务费由中标人</w:t>
      </w:r>
      <w:r>
        <w:rPr>
          <w:rFonts w:hint="eastAsia" w:ascii="宋体" w:hAnsi="宋体" w:eastAsia="宋体" w:cs="宋体"/>
          <w:color w:val="auto"/>
          <w:kern w:val="0"/>
          <w:sz w:val="24"/>
          <w:highlight w:val="none"/>
        </w:rPr>
        <w:t>支付，请各</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在投标时考虑相关费</w:t>
      </w:r>
      <w:r>
        <w:rPr>
          <w:rFonts w:hint="eastAsia" w:ascii="宋体" w:hAnsi="宋体" w:eastAsia="宋体" w:cs="宋体"/>
          <w:color w:val="auto"/>
          <w:kern w:val="0"/>
          <w:sz w:val="24"/>
          <w:szCs w:val="24"/>
          <w:highlight w:val="none"/>
        </w:rPr>
        <w:t>用进行报价。</w:t>
      </w:r>
    </w:p>
    <w:p w14:paraId="56FD559B">
      <w:pPr>
        <w:keepNext w:val="0"/>
        <w:keepLines w:val="0"/>
        <w:pageBreakBefore w:val="0"/>
        <w:kinsoku/>
        <w:wordWrap/>
        <w:overflowPunct/>
        <w:topLinePunct w:val="0"/>
        <w:autoSpaceDE/>
        <w:autoSpaceDN/>
        <w:bidi w:val="0"/>
        <w:adjustRightInd/>
        <w:snapToGrid/>
        <w:spacing w:line="540" w:lineRule="exact"/>
        <w:contextualSpacing/>
        <w:jc w:val="both"/>
        <w:textAlignment w:val="auto"/>
        <w:outlineLvl w:val="1"/>
        <w:rPr>
          <w:rFonts w:hint="eastAsia" w:ascii="宋体" w:hAnsi="宋体" w:eastAsia="宋体" w:cs="宋体"/>
          <w:b/>
          <w:bCs/>
          <w:color w:val="auto"/>
          <w:sz w:val="24"/>
          <w:szCs w:val="24"/>
          <w:highlight w:val="none"/>
        </w:rPr>
      </w:pPr>
      <w:bookmarkStart w:id="309" w:name="_Toc16888"/>
      <w:bookmarkStart w:id="310" w:name="_Toc18152"/>
      <w:bookmarkStart w:id="311" w:name="_Toc19395"/>
      <w:bookmarkStart w:id="312" w:name="_Toc12186"/>
      <w:bookmarkStart w:id="313" w:name="_Toc22434"/>
      <w:bookmarkStart w:id="314" w:name="_Toc13698"/>
      <w:bookmarkStart w:id="315" w:name="_Toc30438"/>
      <w:bookmarkStart w:id="316" w:name="_Toc15670"/>
      <w:r>
        <w:rPr>
          <w:rFonts w:hint="eastAsia" w:ascii="宋体" w:hAnsi="宋体" w:eastAsia="宋体" w:cs="宋体"/>
          <w:b/>
          <w:bCs/>
          <w:color w:val="auto"/>
          <w:kern w:val="0"/>
          <w:sz w:val="24"/>
          <w:szCs w:val="24"/>
          <w:highlight w:val="none"/>
          <w:lang w:val="zh-CN" w:eastAsia="zh-CN"/>
        </w:rPr>
        <w:t>十一、</w:t>
      </w:r>
      <w:bookmarkEnd w:id="309"/>
      <w:bookmarkEnd w:id="310"/>
      <w:r>
        <w:rPr>
          <w:rFonts w:hint="eastAsia" w:ascii="宋体" w:hAnsi="宋体" w:eastAsia="宋体" w:cs="宋体"/>
          <w:b/>
          <w:bCs/>
          <w:color w:val="auto"/>
          <w:sz w:val="24"/>
          <w:szCs w:val="24"/>
          <w:highlight w:val="none"/>
        </w:rPr>
        <w:t>其他</w:t>
      </w:r>
      <w:bookmarkEnd w:id="311"/>
      <w:bookmarkEnd w:id="312"/>
      <w:bookmarkEnd w:id="313"/>
      <w:bookmarkEnd w:id="314"/>
      <w:bookmarkEnd w:id="315"/>
      <w:bookmarkEnd w:id="316"/>
    </w:p>
    <w:p w14:paraId="1C19F77D">
      <w:pPr>
        <w:keepNext w:val="0"/>
        <w:keepLines w:val="0"/>
        <w:pageBreakBefore w:val="0"/>
        <w:kinsoku/>
        <w:wordWrap/>
        <w:overflowPunct/>
        <w:topLinePunct w:val="0"/>
        <w:autoSpaceDE/>
        <w:autoSpaceDN/>
        <w:bidi w:val="0"/>
        <w:adjustRightInd/>
        <w:snapToGrid/>
        <w:spacing w:line="540" w:lineRule="exact"/>
        <w:ind w:firstLine="482" w:firstLineChars="200"/>
        <w:contextualSpacing/>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11.1</w:t>
      </w:r>
      <w:r>
        <w:rPr>
          <w:rFonts w:hint="eastAsia" w:ascii="宋体" w:hAnsi="宋体" w:eastAsia="宋体" w:cs="宋体"/>
          <w:b/>
          <w:color w:val="auto"/>
          <w:sz w:val="24"/>
          <w:szCs w:val="24"/>
          <w:highlight w:val="none"/>
        </w:rPr>
        <w:t>补充：</w:t>
      </w:r>
    </w:p>
    <w:p w14:paraId="03D81E49">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11.1.1</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须知前附表”第</w:t>
      </w:r>
      <w:r>
        <w:rPr>
          <w:rFonts w:hint="eastAsia" w:ascii="宋体" w:hAnsi="宋体" w:cs="宋体"/>
          <w:color w:val="auto"/>
          <w:sz w:val="24"/>
          <w:szCs w:val="24"/>
          <w:highlight w:val="none"/>
          <w:lang w:val="en-US" w:eastAsia="zh-CN"/>
        </w:rPr>
        <w:t>35</w:t>
      </w:r>
      <w:r>
        <w:rPr>
          <w:rFonts w:hint="eastAsia" w:ascii="宋体" w:hAnsi="宋体" w:eastAsia="宋体" w:cs="宋体"/>
          <w:color w:val="auto"/>
          <w:sz w:val="24"/>
          <w:szCs w:val="24"/>
          <w:highlight w:val="none"/>
        </w:rPr>
        <w:t>项：需要补充的其他内容。</w:t>
      </w:r>
    </w:p>
    <w:p w14:paraId="78C7A756">
      <w:pPr>
        <w:keepNext w:val="0"/>
        <w:keepLines w:val="0"/>
        <w:pageBreakBefore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color w:val="auto"/>
          <w:sz w:val="24"/>
          <w:szCs w:val="24"/>
          <w:highlight w:val="none"/>
        </w:rPr>
      </w:pPr>
      <w:bookmarkStart w:id="317" w:name="_Toc500772213"/>
      <w:r>
        <w:rPr>
          <w:rFonts w:hint="eastAsia" w:ascii="宋体" w:hAnsi="宋体" w:eastAsia="宋体" w:cs="宋体"/>
          <w:color w:val="auto"/>
          <w:sz w:val="24"/>
          <w:szCs w:val="24"/>
          <w:highlight w:val="none"/>
          <w:lang w:val="en-US" w:eastAsia="zh-CN"/>
        </w:rPr>
        <w:t>11.2</w:t>
      </w:r>
      <w:r>
        <w:rPr>
          <w:rFonts w:hint="eastAsia" w:ascii="宋体" w:hAnsi="宋体" w:eastAsia="宋体" w:cs="宋体"/>
          <w:b/>
          <w:bCs/>
          <w:color w:val="auto"/>
          <w:sz w:val="24"/>
          <w:szCs w:val="24"/>
          <w:highlight w:val="none"/>
        </w:rPr>
        <w:t>关于中小企业</w:t>
      </w:r>
      <w:bookmarkEnd w:id="317"/>
    </w:p>
    <w:p w14:paraId="45FF102C">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11.2.1</w:t>
      </w:r>
      <w:r>
        <w:rPr>
          <w:rFonts w:hint="eastAsia" w:ascii="宋体" w:hAnsi="宋体" w:eastAsia="宋体" w:cs="宋体"/>
          <w:color w:val="auto"/>
          <w:sz w:val="24"/>
          <w:szCs w:val="24"/>
          <w:highlight w:val="none"/>
        </w:rPr>
        <w:t>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8A4D71C">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11.2.2</w:t>
      </w:r>
      <w:r>
        <w:rPr>
          <w:rFonts w:hint="eastAsia" w:ascii="宋体" w:hAnsi="宋体" w:eastAsia="宋体" w:cs="宋体"/>
          <w:color w:val="auto"/>
          <w:sz w:val="24"/>
          <w:szCs w:val="24"/>
          <w:highlight w:val="none"/>
        </w:rPr>
        <w:t xml:space="preserve"> 在政府采购活动中，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提供的货物、工程或者服务符合下列情形的，享受本办法规定的中小企业扶持政策：</w:t>
      </w:r>
    </w:p>
    <w:p w14:paraId="07C5C35C">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4EBB654B">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FFE95E9">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122906B8">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提供的货物既有中小企业制造货物，也有大型企业制造货物的，不享受本办法规定的中小企业扶持政策。</w:t>
      </w:r>
    </w:p>
    <w:p w14:paraId="165FB6AA">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9FF37C7">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11.2.2</w:t>
      </w:r>
      <w:r>
        <w:rPr>
          <w:rFonts w:hint="eastAsia" w:ascii="宋体" w:hAnsi="宋体" w:eastAsia="宋体" w:cs="宋体"/>
          <w:color w:val="auto"/>
          <w:sz w:val="24"/>
          <w:szCs w:val="24"/>
          <w:highlight w:val="none"/>
        </w:rPr>
        <w:t>中小企业参加政府采购活动，应当出具本办法规定的《中小企业声明函》，否则不得享受相关中小企业扶持政策。任何单位和个人不得要求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提供《中小企业声明函》之外的中小企业身份证明文件。</w:t>
      </w:r>
    </w:p>
    <w:p w14:paraId="37168709">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11.2.3</w:t>
      </w:r>
      <w:r>
        <w:rPr>
          <w:rFonts w:hint="eastAsia" w:ascii="宋体" w:hAnsi="宋体" w:eastAsia="宋体" w:cs="宋体"/>
          <w:color w:val="auto"/>
          <w:sz w:val="24"/>
          <w:szCs w:val="24"/>
          <w:highlight w:val="none"/>
        </w:rPr>
        <w:t>依据《关于印发&lt;政府采购促进中小企业发展管理办法&gt;的通知》（财库〔2020〕46号）的规定，享受扶持政策获得政府采购合同的，小微企业不得将合同分包给大中型企业，中型企业不得将合同分包给大型企业。</w:t>
      </w:r>
    </w:p>
    <w:p w14:paraId="7CD34EBB">
      <w:pPr>
        <w:keepNext w:val="0"/>
        <w:keepLines w:val="0"/>
        <w:pageBreakBefore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11.3</w:t>
      </w:r>
      <w:r>
        <w:rPr>
          <w:rFonts w:hint="eastAsia" w:ascii="宋体" w:hAnsi="宋体" w:eastAsia="宋体" w:cs="宋体"/>
          <w:b/>
          <w:bCs/>
          <w:color w:val="auto"/>
          <w:sz w:val="24"/>
          <w:szCs w:val="24"/>
          <w:highlight w:val="none"/>
        </w:rPr>
        <w:t>残疾人福利性单位声明</w:t>
      </w:r>
    </w:p>
    <w:p w14:paraId="383662CA">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6110B953">
      <w:pPr>
        <w:keepNext w:val="0"/>
        <w:keepLines w:val="0"/>
        <w:pageBreakBefore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11.4</w:t>
      </w:r>
      <w:r>
        <w:rPr>
          <w:rFonts w:hint="eastAsia" w:ascii="宋体" w:hAnsi="宋体" w:eastAsia="宋体" w:cs="宋体"/>
          <w:b/>
          <w:bCs/>
          <w:color w:val="auto"/>
          <w:sz w:val="24"/>
          <w:szCs w:val="24"/>
          <w:highlight w:val="none"/>
        </w:rPr>
        <w:t>关于监狱企业</w:t>
      </w:r>
    </w:p>
    <w:p w14:paraId="5C875974">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87B454">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监狱企业视同小型、微型企业，享受评审中价格扣除等政策。监狱企业参加政府采购活动时，应当提供由省级以上监狱管理局、戒毒管理局（含新疆生产建设兵团）出具的属于监狱企业的证明文件。</w:t>
      </w:r>
    </w:p>
    <w:p w14:paraId="405E964C">
      <w:pPr>
        <w:pageBreakBefore w:val="0"/>
        <w:kinsoku/>
        <w:wordWrap/>
        <w:overflowPunct/>
        <w:topLinePunct w:val="0"/>
        <w:bidi w:val="0"/>
        <w:snapToGrid/>
        <w:spacing w:line="540" w:lineRule="exact"/>
        <w:ind w:firstLine="482" w:firstLineChars="200"/>
        <w:contextualSpacing/>
        <w:textAlignment w:val="auto"/>
        <w:rPr>
          <w:rFonts w:hint="eastAsia" w:ascii="宋体" w:hAnsi="宋体" w:eastAsia="宋体" w:cs="宋体"/>
          <w:b/>
          <w:bCs/>
          <w:color w:val="auto"/>
          <w:kern w:val="0"/>
          <w:sz w:val="24"/>
          <w:szCs w:val="24"/>
          <w:highlight w:val="none"/>
          <w:lang w:val="zh-CN" w:eastAsia="zh-CN"/>
        </w:rPr>
      </w:pPr>
      <w:bookmarkStart w:id="318" w:name="_Toc27594"/>
      <w:bookmarkStart w:id="319" w:name="_Toc1700"/>
      <w:bookmarkStart w:id="320" w:name="_Toc4736"/>
      <w:bookmarkStart w:id="321" w:name="_Toc31909"/>
      <w:bookmarkStart w:id="322" w:name="_Toc17094"/>
      <w:r>
        <w:rPr>
          <w:rFonts w:hint="eastAsia" w:ascii="宋体" w:hAnsi="宋体" w:eastAsia="宋体" w:cs="宋体"/>
          <w:b/>
          <w:bCs/>
          <w:color w:val="auto"/>
          <w:kern w:val="0"/>
          <w:sz w:val="24"/>
          <w:szCs w:val="24"/>
          <w:highlight w:val="none"/>
          <w:lang w:val="zh-CN" w:eastAsia="zh-CN"/>
        </w:rPr>
        <w:t>十二、</w:t>
      </w:r>
      <w:bookmarkEnd w:id="318"/>
      <w:bookmarkEnd w:id="319"/>
      <w:bookmarkEnd w:id="320"/>
      <w:bookmarkEnd w:id="321"/>
      <w:bookmarkEnd w:id="322"/>
      <w:bookmarkStart w:id="323" w:name="_Toc24227"/>
      <w:bookmarkStart w:id="324" w:name="_Toc28256"/>
      <w:bookmarkStart w:id="325" w:name="_Toc30801"/>
      <w:bookmarkStart w:id="326" w:name="_Toc12490"/>
      <w:bookmarkStart w:id="327" w:name="_Toc31585"/>
      <w:r>
        <w:rPr>
          <w:rFonts w:hint="eastAsia" w:ascii="宋体" w:hAnsi="宋体" w:eastAsia="宋体" w:cs="宋体"/>
          <w:b/>
          <w:bCs/>
          <w:color w:val="auto"/>
          <w:kern w:val="0"/>
          <w:sz w:val="24"/>
          <w:szCs w:val="24"/>
          <w:highlight w:val="none"/>
          <w:lang w:val="zh-CN" w:eastAsia="zh-CN"/>
        </w:rPr>
        <w:t>未尽事宜</w:t>
      </w:r>
      <w:bookmarkEnd w:id="323"/>
      <w:bookmarkEnd w:id="324"/>
      <w:bookmarkEnd w:id="325"/>
      <w:bookmarkEnd w:id="326"/>
      <w:bookmarkEnd w:id="327"/>
    </w:p>
    <w:p w14:paraId="531C0875">
      <w:pPr>
        <w:pageBreakBefore w:val="0"/>
        <w:kinsoku/>
        <w:wordWrap/>
        <w:overflowPunct/>
        <w:topLinePunct w:val="0"/>
        <w:bidi w:val="0"/>
        <w:snapToGrid/>
        <w:spacing w:line="5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未尽</w:t>
      </w:r>
      <w:r>
        <w:rPr>
          <w:rFonts w:hint="eastAsia" w:ascii="宋体" w:hAnsi="宋体" w:eastAsia="宋体" w:cs="宋体"/>
          <w:color w:val="auto"/>
          <w:kern w:val="1"/>
          <w:sz w:val="24"/>
          <w:szCs w:val="24"/>
          <w:highlight w:val="none"/>
          <w:lang w:bidi="ar"/>
        </w:rPr>
        <w:t>事宜，按</w:t>
      </w:r>
      <w:r>
        <w:rPr>
          <w:rFonts w:hint="eastAsia" w:ascii="宋体" w:hAnsi="宋体" w:eastAsia="宋体" w:cs="宋体"/>
          <w:color w:val="auto"/>
          <w:sz w:val="24"/>
          <w:szCs w:val="24"/>
          <w:highlight w:val="none"/>
        </w:rPr>
        <w:t>《政府采购竞争性磋商采购方式管理暂行办法》</w:t>
      </w:r>
      <w:r>
        <w:rPr>
          <w:rFonts w:hint="eastAsia" w:ascii="宋体" w:hAnsi="宋体" w:eastAsia="宋体" w:cs="宋体"/>
          <w:color w:val="auto"/>
          <w:kern w:val="1"/>
          <w:sz w:val="24"/>
          <w:szCs w:val="24"/>
          <w:highlight w:val="none"/>
          <w:lang w:bidi="ar"/>
        </w:rPr>
        <w:t>及有关法律法规的规定执行。</w:t>
      </w:r>
    </w:p>
    <w:bookmarkEnd w:id="155"/>
    <w:p w14:paraId="127613CE">
      <w:pPr>
        <w:rPr>
          <w:rFonts w:hint="eastAsia" w:asciiTheme="minorEastAsia" w:hAnsiTheme="minorEastAsia" w:eastAsiaTheme="minorEastAsia" w:cstheme="minorEastAsia"/>
          <w:color w:val="auto"/>
          <w:sz w:val="24"/>
          <w:szCs w:val="24"/>
          <w:highlight w:val="none"/>
        </w:rPr>
      </w:pPr>
      <w:bookmarkStart w:id="328" w:name="_Toc18703"/>
      <w:bookmarkStart w:id="329" w:name="_Toc7280"/>
      <w:r>
        <w:rPr>
          <w:rFonts w:hint="eastAsia" w:asciiTheme="minorEastAsia" w:hAnsiTheme="minorEastAsia" w:eastAsiaTheme="minorEastAsia" w:cstheme="minorEastAsia"/>
          <w:color w:val="auto"/>
          <w:sz w:val="24"/>
          <w:szCs w:val="24"/>
          <w:highlight w:val="none"/>
        </w:rPr>
        <w:br w:type="page"/>
      </w:r>
    </w:p>
    <w:p w14:paraId="1C24E97E">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p>
    <w:p w14:paraId="2B37606A">
      <w:pPr>
        <w:keepNext w:val="0"/>
        <w:keepLines w:val="0"/>
        <w:pageBreakBefore w:val="0"/>
        <w:widowControl w:val="0"/>
        <w:kinsoku/>
        <w:wordWrap/>
        <w:overflowPunct/>
        <w:topLinePunct w:val="0"/>
        <w:autoSpaceDE/>
        <w:autoSpaceDN/>
        <w:bidi w:val="0"/>
        <w:adjustRightInd/>
        <w:snapToGrid/>
        <w:spacing w:before="15" w:line="500" w:lineRule="exact"/>
        <w:ind w:right="11"/>
        <w:jc w:val="center"/>
        <w:textAlignment w:val="auto"/>
        <w:outlineLvl w:val="9"/>
        <w:rPr>
          <w:rFonts w:hint="eastAsia" w:ascii="宋体" w:hAnsi="宋体" w:eastAsia="宋体" w:cs="宋体"/>
          <w:b/>
          <w:color w:val="auto"/>
          <w:sz w:val="30"/>
          <w:szCs w:val="30"/>
          <w:highlight w:val="none"/>
        </w:rPr>
      </w:pPr>
      <w:bookmarkStart w:id="330" w:name="_Toc29782"/>
      <w:bookmarkStart w:id="331" w:name="_Toc5588"/>
      <w:bookmarkStart w:id="332" w:name="_Toc26148"/>
      <w:bookmarkStart w:id="333" w:name="_Toc12378"/>
      <w:r>
        <w:rPr>
          <w:rFonts w:hint="eastAsia" w:ascii="宋体" w:hAnsi="宋体" w:eastAsia="宋体" w:cs="宋体"/>
          <w:b/>
          <w:color w:val="auto"/>
          <w:sz w:val="30"/>
          <w:szCs w:val="30"/>
          <w:highlight w:val="none"/>
        </w:rPr>
        <w:t>问题澄清通知</w:t>
      </w:r>
      <w:bookmarkEnd w:id="330"/>
      <w:bookmarkEnd w:id="331"/>
      <w:bookmarkEnd w:id="332"/>
      <w:bookmarkEnd w:id="333"/>
    </w:p>
    <w:p w14:paraId="09B7E4A5">
      <w:pPr>
        <w:pStyle w:val="2"/>
        <w:pageBreakBefore w:val="0"/>
        <w:tabs>
          <w:tab w:val="left" w:pos="2937"/>
        </w:tabs>
        <w:kinsoku/>
        <w:wordWrap/>
        <w:overflowPunct/>
        <w:topLinePunct w:val="0"/>
        <w:autoSpaceDE/>
        <w:bidi w:val="0"/>
        <w:adjustRightInd/>
        <w:spacing w:before="157" w:line="500" w:lineRule="exact"/>
        <w:ind w:right="2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w:t>
      </w:r>
    </w:p>
    <w:p w14:paraId="118A70D1">
      <w:pPr>
        <w:pStyle w:val="2"/>
        <w:pageBreakBefore w:val="0"/>
        <w:kinsoku/>
        <w:wordWrap/>
        <w:overflowPunct/>
        <w:topLinePunct w:val="0"/>
        <w:autoSpaceDE/>
        <w:bidi w:val="0"/>
        <w:adjustRightInd/>
        <w:spacing w:before="4" w:line="500" w:lineRule="exact"/>
        <w:textAlignment w:val="auto"/>
        <w:rPr>
          <w:rFonts w:hint="eastAsia" w:ascii="宋体" w:hAnsi="宋体" w:eastAsia="宋体" w:cs="宋体"/>
          <w:color w:val="auto"/>
          <w:sz w:val="28"/>
          <w:szCs w:val="28"/>
          <w:highlight w:val="none"/>
        </w:rPr>
      </w:pPr>
    </w:p>
    <w:p w14:paraId="11FE06DA">
      <w:pPr>
        <w:pStyle w:val="2"/>
        <w:pageBreakBefore w:val="0"/>
        <w:tabs>
          <w:tab w:val="left" w:pos="2305"/>
        </w:tabs>
        <w:kinsoku/>
        <w:wordWrap/>
        <w:overflowPunct/>
        <w:topLinePunct w:val="0"/>
        <w:autoSpaceDE/>
        <w:bidi w:val="0"/>
        <w:adjustRightInd/>
        <w:spacing w:before="37" w:line="500" w:lineRule="exact"/>
        <w:ind w:left="100" w:right="113"/>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供应商</w:t>
      </w:r>
      <w:r>
        <w:rPr>
          <w:rFonts w:hint="eastAsia" w:ascii="宋体" w:hAnsi="宋体" w:eastAsia="宋体" w:cs="宋体"/>
          <w:color w:val="auto"/>
          <w:spacing w:val="0"/>
          <w:sz w:val="24"/>
          <w:szCs w:val="24"/>
          <w:highlight w:val="none"/>
        </w:rPr>
        <w:t>名称）</w:t>
      </w:r>
      <w:r>
        <w:rPr>
          <w:rFonts w:hint="eastAsia" w:ascii="宋体" w:hAnsi="宋体" w:eastAsia="宋体" w:cs="宋体"/>
          <w:color w:val="auto"/>
          <w:spacing w:val="0"/>
          <w:sz w:val="24"/>
          <w:szCs w:val="24"/>
          <w:highlight w:val="none"/>
          <w:lang w:eastAsia="zh-CN"/>
        </w:rPr>
        <w:t>：</w:t>
      </w:r>
    </w:p>
    <w:p w14:paraId="7A7D4002">
      <w:pPr>
        <w:pStyle w:val="2"/>
        <w:pageBreakBefore w:val="0"/>
        <w:kinsoku/>
        <w:wordWrap/>
        <w:overflowPunct/>
        <w:topLinePunct w:val="0"/>
        <w:autoSpaceDE/>
        <w:bidi w:val="0"/>
        <w:adjustRightInd/>
        <w:spacing w:before="7" w:line="500" w:lineRule="exact"/>
        <w:textAlignment w:val="auto"/>
        <w:rPr>
          <w:rFonts w:hint="eastAsia" w:ascii="宋体" w:hAnsi="宋体" w:eastAsia="宋体" w:cs="宋体"/>
          <w:color w:val="auto"/>
          <w:sz w:val="24"/>
          <w:szCs w:val="24"/>
          <w:highlight w:val="none"/>
        </w:rPr>
      </w:pPr>
    </w:p>
    <w:p w14:paraId="1E3E1F96">
      <w:pPr>
        <w:pStyle w:val="2"/>
        <w:keepNext w:val="0"/>
        <w:keepLines w:val="0"/>
        <w:pageBreakBefore w:val="0"/>
        <w:widowControl w:val="0"/>
        <w:kinsoku/>
        <w:wordWrap/>
        <w:overflowPunct/>
        <w:topLinePunct w:val="0"/>
        <w:autoSpaceDE/>
        <w:autoSpaceDN/>
        <w:bidi w:val="0"/>
        <w:adjustRightInd/>
        <w:snapToGrid/>
        <w:spacing w:before="37" w:line="500" w:lineRule="exact"/>
        <w:ind w:left="100" w:right="113"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竞争性磋商小组</w:t>
      </w:r>
      <w:r>
        <w:rPr>
          <w:rFonts w:hint="eastAsia" w:ascii="宋体" w:hAnsi="宋体" w:eastAsia="宋体" w:cs="宋体"/>
          <w:color w:val="auto"/>
          <w:sz w:val="24"/>
          <w:szCs w:val="24"/>
          <w:highlight w:val="none"/>
        </w:rPr>
        <w:t>对你方的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进行了仔细的审查，现需你方对下列问题以书面形式予以澄清、说明或</w:t>
      </w:r>
      <w:r>
        <w:rPr>
          <w:rFonts w:hint="eastAsia" w:ascii="宋体" w:hAnsi="宋体" w:eastAsia="宋体" w:cs="宋体"/>
          <w:color w:val="auto"/>
          <w:sz w:val="24"/>
          <w:szCs w:val="24"/>
          <w:highlight w:val="none"/>
          <w:lang w:val="en-US" w:eastAsia="zh-CN"/>
        </w:rPr>
        <w:t>更正</w:t>
      </w:r>
      <w:r>
        <w:rPr>
          <w:rFonts w:hint="eastAsia" w:ascii="宋体" w:hAnsi="宋体" w:eastAsia="宋体" w:cs="宋体"/>
          <w:color w:val="auto"/>
          <w:sz w:val="24"/>
          <w:szCs w:val="24"/>
          <w:highlight w:val="none"/>
        </w:rPr>
        <w:t>：</w:t>
      </w:r>
    </w:p>
    <w:p w14:paraId="57891486">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6D826358">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247A0D00">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2681C2E">
      <w:pPr>
        <w:pStyle w:val="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请将上述问题的澄清、说明或</w:t>
      </w:r>
      <w:r>
        <w:rPr>
          <w:rFonts w:hint="eastAsia" w:ascii="宋体" w:hAnsi="宋体" w:eastAsia="宋体" w:cs="宋体"/>
          <w:color w:val="auto"/>
          <w:sz w:val="24"/>
          <w:szCs w:val="24"/>
          <w:highlight w:val="none"/>
          <w:lang w:val="en-US" w:eastAsia="zh-CN"/>
        </w:rPr>
        <w:t>更正</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日</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z w:val="24"/>
          <w:szCs w:val="24"/>
          <w:highlight w:val="none"/>
        </w:rPr>
        <w:t>时前递交至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rPr>
        <w:t>（详细地址）或传真至</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（传真号码）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采用传真方式的，应在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时</w:t>
      </w:r>
      <w:r>
        <w:rPr>
          <w:rFonts w:hint="eastAsia" w:ascii="宋体" w:hAnsi="宋体" w:eastAsia="宋体" w:cs="宋体"/>
          <w:color w:val="auto"/>
          <w:sz w:val="24"/>
          <w:szCs w:val="24"/>
          <w:highlight w:val="none"/>
        </w:rPr>
        <w:t>前</w:t>
      </w:r>
      <w:r>
        <w:rPr>
          <w:rFonts w:hint="eastAsia" w:ascii="宋体" w:hAnsi="宋体" w:eastAsia="宋体" w:cs="宋体"/>
          <w:color w:val="auto"/>
          <w:spacing w:val="-3"/>
          <w:sz w:val="24"/>
          <w:szCs w:val="24"/>
          <w:highlight w:val="none"/>
        </w:rPr>
        <w:t>将</w:t>
      </w:r>
      <w:r>
        <w:rPr>
          <w:rFonts w:hint="eastAsia" w:ascii="宋体" w:hAnsi="宋体" w:eastAsia="宋体" w:cs="宋体"/>
          <w:color w:val="auto"/>
          <w:sz w:val="24"/>
          <w:szCs w:val="24"/>
          <w:highlight w:val="none"/>
        </w:rPr>
        <w:t>原件</w:t>
      </w:r>
      <w:r>
        <w:rPr>
          <w:rFonts w:hint="eastAsia" w:ascii="宋体" w:hAnsi="宋体" w:eastAsia="宋体" w:cs="宋体"/>
          <w:color w:val="auto"/>
          <w:spacing w:val="-3"/>
          <w:sz w:val="24"/>
          <w:szCs w:val="24"/>
          <w:highlight w:val="none"/>
        </w:rPr>
        <w:t>递</w:t>
      </w:r>
      <w:r>
        <w:rPr>
          <w:rFonts w:hint="eastAsia" w:ascii="宋体" w:hAnsi="宋体" w:eastAsia="宋体" w:cs="宋体"/>
          <w:color w:val="auto"/>
          <w:sz w:val="24"/>
          <w:szCs w:val="24"/>
          <w:highlight w:val="none"/>
        </w:rPr>
        <w:t>交</w:t>
      </w:r>
      <w:r>
        <w:rPr>
          <w:rFonts w:hint="eastAsia" w:ascii="宋体" w:hAnsi="宋体" w:eastAsia="宋体" w:cs="宋体"/>
          <w:color w:val="auto"/>
          <w:spacing w:val="-3"/>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详</w:t>
      </w:r>
      <w:r>
        <w:rPr>
          <w:rFonts w:hint="eastAsia" w:ascii="宋体" w:hAnsi="宋体" w:eastAsia="宋体" w:cs="宋体"/>
          <w:color w:val="auto"/>
          <w:spacing w:val="-3"/>
          <w:sz w:val="24"/>
          <w:szCs w:val="24"/>
          <w:highlight w:val="none"/>
        </w:rPr>
        <w:t>细</w:t>
      </w:r>
      <w:r>
        <w:rPr>
          <w:rFonts w:hint="eastAsia" w:ascii="宋体" w:hAnsi="宋体" w:eastAsia="宋体" w:cs="宋体"/>
          <w:color w:val="auto"/>
          <w:sz w:val="24"/>
          <w:szCs w:val="24"/>
          <w:highlight w:val="none"/>
        </w:rPr>
        <w:t>地</w:t>
      </w:r>
      <w:r>
        <w:rPr>
          <w:rFonts w:hint="eastAsia" w:ascii="宋体" w:hAnsi="宋体" w:eastAsia="宋体" w:cs="宋体"/>
          <w:color w:val="auto"/>
          <w:spacing w:val="-3"/>
          <w:sz w:val="24"/>
          <w:szCs w:val="24"/>
          <w:highlight w:val="none"/>
        </w:rPr>
        <w:t>址）</w:t>
      </w:r>
      <w:r>
        <w:rPr>
          <w:rFonts w:hint="eastAsia" w:ascii="宋体" w:hAnsi="宋体" w:eastAsia="宋体" w:cs="宋体"/>
          <w:color w:val="auto"/>
          <w:spacing w:val="-3"/>
          <w:sz w:val="24"/>
          <w:szCs w:val="24"/>
          <w:highlight w:val="none"/>
          <w:lang w:eastAsia="zh-CN"/>
        </w:rPr>
        <w:t>。</w:t>
      </w:r>
    </w:p>
    <w:p w14:paraId="75748CD7">
      <w:pPr>
        <w:pStyle w:val="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auto"/>
          <w:sz w:val="24"/>
          <w:szCs w:val="24"/>
          <w:highlight w:val="none"/>
        </w:rPr>
      </w:pPr>
    </w:p>
    <w:p w14:paraId="40D31C52">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p>
    <w:p w14:paraId="42D7F74F">
      <w:pPr>
        <w:pStyle w:val="6"/>
        <w:pageBreakBefore w:val="0"/>
        <w:kinsoku/>
        <w:wordWrap/>
        <w:overflowPunct/>
        <w:topLinePunct w:val="0"/>
        <w:autoSpaceDE/>
        <w:bidi w:val="0"/>
        <w:adjustRightInd/>
        <w:spacing w:line="500" w:lineRule="exact"/>
        <w:textAlignment w:val="auto"/>
        <w:outlineLvl w:val="9"/>
        <w:rPr>
          <w:rFonts w:hint="eastAsia" w:ascii="宋体" w:hAnsi="宋体" w:eastAsia="宋体" w:cs="宋体"/>
          <w:color w:val="auto"/>
          <w:sz w:val="24"/>
          <w:szCs w:val="24"/>
          <w:highlight w:val="none"/>
        </w:rPr>
      </w:pPr>
    </w:p>
    <w:p w14:paraId="1C24B41F">
      <w:pPr>
        <w:pStyle w:val="2"/>
        <w:keepNext w:val="0"/>
        <w:keepLines w:val="0"/>
        <w:pageBreakBefore w:val="0"/>
        <w:widowControl w:val="0"/>
        <w:tabs>
          <w:tab w:val="left" w:pos="7032"/>
        </w:tabs>
        <w:kinsoku/>
        <w:wordWrap/>
        <w:overflowPunct/>
        <w:topLinePunct w:val="0"/>
        <w:autoSpaceDE/>
        <w:autoSpaceDN/>
        <w:bidi w:val="0"/>
        <w:adjustRightInd/>
        <w:snapToGrid/>
        <w:spacing w:before="37" w:line="500" w:lineRule="exact"/>
        <w:ind w:right="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竞争性磋商小组</w:t>
      </w:r>
      <w:r>
        <w:rPr>
          <w:rFonts w:hint="eastAsia" w:ascii="宋体" w:hAnsi="宋体" w:eastAsia="宋体" w:cs="宋体"/>
          <w:color w:val="auto"/>
          <w:sz w:val="24"/>
          <w:szCs w:val="24"/>
          <w:highlight w:val="none"/>
        </w:rPr>
        <w:t>授权的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章）</w:t>
      </w:r>
    </w:p>
    <w:p w14:paraId="291046BD">
      <w:pPr>
        <w:pStyle w:val="2"/>
        <w:keepNext w:val="0"/>
        <w:keepLines w:val="0"/>
        <w:pageBreakBefore w:val="0"/>
        <w:widowControl w:val="0"/>
        <w:tabs>
          <w:tab w:val="left" w:pos="6080"/>
          <w:tab w:val="left" w:pos="6890"/>
          <w:tab w:val="left" w:pos="7555"/>
        </w:tabs>
        <w:kinsoku/>
        <w:wordWrap/>
        <w:overflowPunct/>
        <w:topLinePunct w:val="0"/>
        <w:autoSpaceDE/>
        <w:autoSpaceDN/>
        <w:bidi w:val="0"/>
        <w:adjustRightInd/>
        <w:snapToGrid/>
        <w:spacing w:before="36" w:line="500" w:lineRule="exact"/>
        <w:ind w:left="4960" w:leftChars="2362" w:right="113" w:firstLine="360" w:firstLineChars="150"/>
        <w:jc w:val="righ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4C734540">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highlight w:val="none"/>
        </w:rPr>
      </w:pPr>
      <w:bookmarkStart w:id="334" w:name="_bookmark78"/>
      <w:bookmarkEnd w:id="334"/>
    </w:p>
    <w:p w14:paraId="5B33A2B7">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7A5EFAF9">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145390DD">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06EEC444">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p w14:paraId="1C8C9052">
      <w:pPr>
        <w:pageBreakBefore w:val="0"/>
        <w:kinsoku/>
        <w:wordWrap/>
        <w:overflowPunct/>
        <w:topLinePunct w:val="0"/>
        <w:autoSpaceDE/>
        <w:bidi w:val="0"/>
        <w:adjustRightInd/>
        <w:spacing w:before="168" w:line="500" w:lineRule="exact"/>
        <w:ind w:right="16"/>
        <w:jc w:val="center"/>
        <w:textAlignment w:val="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问题的澄清</w:t>
      </w:r>
    </w:p>
    <w:p w14:paraId="1200CFE5">
      <w:pPr>
        <w:pStyle w:val="2"/>
        <w:pageBreakBefore w:val="0"/>
        <w:tabs>
          <w:tab w:val="left" w:pos="5947"/>
        </w:tabs>
        <w:kinsoku/>
        <w:wordWrap/>
        <w:overflowPunct/>
        <w:topLinePunct w:val="0"/>
        <w:autoSpaceDE/>
        <w:bidi w:val="0"/>
        <w:adjustRightInd/>
        <w:spacing w:before="113" w:line="500" w:lineRule="exact"/>
        <w:ind w:left="3566" w:right="113"/>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w:t>
      </w:r>
    </w:p>
    <w:p w14:paraId="1E7D8EC4">
      <w:pPr>
        <w:pStyle w:val="2"/>
        <w:pageBreakBefore w:val="0"/>
        <w:kinsoku/>
        <w:wordWrap/>
        <w:overflowPunct/>
        <w:topLinePunct w:val="0"/>
        <w:autoSpaceDE/>
        <w:bidi w:val="0"/>
        <w:adjustRightInd/>
        <w:spacing w:before="37" w:line="500" w:lineRule="exact"/>
        <w:ind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竞争性磋商小组</w:t>
      </w:r>
      <w:r>
        <w:rPr>
          <w:rFonts w:hint="eastAsia" w:ascii="宋体" w:hAnsi="宋体" w:eastAsia="宋体" w:cs="宋体"/>
          <w:color w:val="auto"/>
          <w:sz w:val="24"/>
          <w:szCs w:val="24"/>
          <w:highlight w:val="none"/>
        </w:rPr>
        <w:t>：</w:t>
      </w:r>
    </w:p>
    <w:p w14:paraId="4A250F90">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）已收悉，现澄清、说明或</w:t>
      </w:r>
      <w:r>
        <w:rPr>
          <w:rFonts w:hint="eastAsia" w:ascii="宋体" w:hAnsi="宋体" w:eastAsia="宋体" w:cs="宋体"/>
          <w:color w:val="auto"/>
          <w:sz w:val="24"/>
          <w:szCs w:val="24"/>
          <w:highlight w:val="none"/>
          <w:lang w:eastAsia="zh-CN"/>
        </w:rPr>
        <w:t>更正</w:t>
      </w:r>
      <w:r>
        <w:rPr>
          <w:rFonts w:hint="eastAsia" w:ascii="宋体" w:hAnsi="宋体" w:eastAsia="宋体" w:cs="宋体"/>
          <w:color w:val="auto"/>
          <w:sz w:val="24"/>
          <w:szCs w:val="24"/>
          <w:highlight w:val="none"/>
        </w:rPr>
        <w:t>如下：</w:t>
      </w:r>
    </w:p>
    <w:p w14:paraId="50130FF9">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321F1EA5">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1549B043">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D4C9B11">
      <w:pPr>
        <w:pStyle w:val="2"/>
        <w:pageBreakBefore w:val="0"/>
        <w:kinsoku/>
        <w:wordWrap/>
        <w:overflowPunct/>
        <w:topLinePunct w:val="0"/>
        <w:autoSpaceDE/>
        <w:bidi w:val="0"/>
        <w:adjustRightInd/>
        <w:spacing w:before="1" w:line="500" w:lineRule="exact"/>
        <w:ind w:left="100" w:right="113" w:firstLine="419"/>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上述问题澄清、说明或</w:t>
      </w:r>
      <w:r>
        <w:rPr>
          <w:rFonts w:hint="eastAsia" w:ascii="宋体" w:hAnsi="宋体" w:eastAsia="宋体" w:cs="宋体"/>
          <w:color w:val="auto"/>
          <w:sz w:val="24"/>
          <w:szCs w:val="24"/>
          <w:highlight w:val="none"/>
          <w:lang w:eastAsia="zh-CN"/>
        </w:rPr>
        <w:t>更正</w:t>
      </w:r>
      <w:r>
        <w:rPr>
          <w:rFonts w:hint="eastAsia" w:ascii="宋体" w:hAnsi="宋体" w:eastAsia="宋体" w:cs="宋体"/>
          <w:color w:val="auto"/>
          <w:sz w:val="24"/>
          <w:szCs w:val="24"/>
          <w:highlight w:val="none"/>
        </w:rPr>
        <w:t>，不改变我方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的实质性内容，构成我方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w:t>
      </w:r>
      <w:r>
        <w:rPr>
          <w:rFonts w:hint="eastAsia" w:ascii="宋体" w:hAnsi="宋体" w:eastAsia="宋体" w:cs="宋体"/>
          <w:color w:val="auto"/>
          <w:sz w:val="24"/>
          <w:szCs w:val="24"/>
          <w:highlight w:val="none"/>
          <w:lang w:eastAsia="zh-CN"/>
        </w:rPr>
        <w:t>。</w:t>
      </w:r>
    </w:p>
    <w:p w14:paraId="6E9DD5F5">
      <w:pPr>
        <w:pStyle w:val="2"/>
        <w:pageBreakBefore w:val="0"/>
        <w:kinsoku/>
        <w:wordWrap/>
        <w:overflowPunct/>
        <w:topLinePunct w:val="0"/>
        <w:autoSpaceDE/>
        <w:bidi w:val="0"/>
        <w:adjustRightInd/>
        <w:spacing w:before="5" w:line="500" w:lineRule="exact"/>
        <w:textAlignment w:val="auto"/>
        <w:rPr>
          <w:rFonts w:hint="eastAsia" w:ascii="宋体" w:hAnsi="宋体" w:eastAsia="宋体" w:cs="宋体"/>
          <w:color w:val="auto"/>
          <w:sz w:val="24"/>
          <w:szCs w:val="24"/>
          <w:highlight w:val="none"/>
        </w:rPr>
      </w:pPr>
    </w:p>
    <w:p w14:paraId="45A7D677">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p>
    <w:p w14:paraId="3133F11F">
      <w:pPr>
        <w:pStyle w:val="2"/>
        <w:pageBreakBefore w:val="0"/>
        <w:tabs>
          <w:tab w:val="left" w:pos="7382"/>
        </w:tabs>
        <w:kinsoku/>
        <w:wordWrap/>
        <w:overflowPunct/>
        <w:topLinePunct w:val="0"/>
        <w:autoSpaceDE/>
        <w:bidi w:val="0"/>
        <w:adjustRightInd/>
        <w:spacing w:line="500" w:lineRule="exact"/>
        <w:ind w:left="3043"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u w:val="single"/>
          <w:lang w:val="en-US" w:eastAsia="zh-CN"/>
        </w:rPr>
        <w:t xml:space="preserve">                                  </w:t>
      </w:r>
    </w:p>
    <w:p w14:paraId="13663A32">
      <w:pPr>
        <w:pStyle w:val="2"/>
        <w:pageBreakBefore w:val="0"/>
        <w:tabs>
          <w:tab w:val="left" w:pos="6612"/>
        </w:tabs>
        <w:kinsoku/>
        <w:wordWrap/>
        <w:overflowPunct/>
        <w:topLinePunct w:val="0"/>
        <w:autoSpaceDE/>
        <w:bidi w:val="0"/>
        <w:adjustRightInd/>
        <w:spacing w:before="36" w:line="500" w:lineRule="exact"/>
        <w:ind w:left="3041"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kern w:val="1"/>
          <w:sz w:val="24"/>
          <w:szCs w:val="24"/>
          <w:highlight w:val="none"/>
          <w:lang w:val="en-US" w:eastAsia="zh-CN" w:bidi="ar-SA"/>
        </w:rPr>
        <w:t>或其授权代表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9E3B504">
      <w:pPr>
        <w:pStyle w:val="2"/>
        <w:pageBreakBefore w:val="0"/>
        <w:tabs>
          <w:tab w:val="left" w:pos="6434"/>
          <w:tab w:val="left" w:pos="7483"/>
          <w:tab w:val="left" w:pos="8533"/>
        </w:tabs>
        <w:kinsoku/>
        <w:wordWrap/>
        <w:overflowPunct/>
        <w:topLinePunct w:val="0"/>
        <w:autoSpaceDE/>
        <w:bidi w:val="0"/>
        <w:adjustRightInd/>
        <w:spacing w:before="37" w:line="500" w:lineRule="exact"/>
        <w:ind w:left="5595"/>
        <w:textAlignment w:val="auto"/>
        <w:rPr>
          <w:rFonts w:hint="eastAsia" w:asciiTheme="minorEastAsia" w:hAnsiTheme="minorEastAsia" w:eastAsiaTheme="minorEastAsia" w:cstheme="minorEastAsia"/>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41A7F101">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3BC407F2">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kern w:val="1"/>
          <w:sz w:val="28"/>
          <w:szCs w:val="28"/>
          <w:highlight w:val="none"/>
          <w:lang w:val="en-US" w:eastAsia="zh-CN" w:bidi="ar-SA"/>
        </w:rPr>
      </w:pPr>
    </w:p>
    <w:p w14:paraId="3F3DBC4C">
      <w:pPr>
        <w:pageBreakBefore w:val="0"/>
        <w:kinsoku/>
        <w:wordWrap/>
        <w:overflowPunct/>
        <w:topLinePunct w:val="0"/>
        <w:autoSpaceDE/>
        <w:autoSpaceDN w:val="0"/>
        <w:bidi w:val="0"/>
        <w:adjustRightInd/>
        <w:spacing w:line="500" w:lineRule="exact"/>
        <w:ind w:firstLine="482" w:firstLineChars="200"/>
        <w:jc w:val="left"/>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供应商的澄清、说明或者更正应当由法定代表人或其授权代表签字或者加盖公章。由授权代表签字的，应当附法定代表人授权书。</w:t>
      </w:r>
    </w:p>
    <w:p w14:paraId="039BF082">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br w:type="page"/>
      </w:r>
      <w:r>
        <w:rPr>
          <w:rFonts w:hint="eastAsia" w:asciiTheme="minorEastAsia" w:hAnsiTheme="minorEastAsia" w:eastAsiaTheme="minorEastAsia" w:cstheme="minorEastAsia"/>
          <w:b w:val="0"/>
          <w:bCs w:val="0"/>
          <w:color w:val="auto"/>
          <w:sz w:val="24"/>
          <w:szCs w:val="24"/>
          <w:highlight w:val="none"/>
        </w:rPr>
        <w:t>附件</w:t>
      </w:r>
      <w:r>
        <w:rPr>
          <w:rFonts w:hint="eastAsia" w:asciiTheme="minorEastAsia" w:hAnsiTheme="minorEastAsia" w:eastAsiaTheme="minorEastAsia" w:cstheme="minorEastAsia"/>
          <w:b w:val="0"/>
          <w:bCs w:val="0"/>
          <w:color w:val="auto"/>
          <w:sz w:val="24"/>
          <w:szCs w:val="24"/>
          <w:highlight w:val="none"/>
          <w:lang w:eastAsia="zh-CN"/>
        </w:rPr>
        <w:t>3</w:t>
      </w:r>
      <w:r>
        <w:rPr>
          <w:rFonts w:hint="eastAsia" w:asciiTheme="minorEastAsia" w:hAnsiTheme="minorEastAsia" w:eastAsiaTheme="minorEastAsia" w:cstheme="minorEastAsia"/>
          <w:b w:val="0"/>
          <w:bCs w:val="0"/>
          <w:color w:val="auto"/>
          <w:sz w:val="24"/>
          <w:szCs w:val="24"/>
          <w:highlight w:val="none"/>
        </w:rPr>
        <w:t>：</w:t>
      </w:r>
    </w:p>
    <w:p w14:paraId="5493AF80">
      <w:pPr>
        <w:keepNext w:val="0"/>
        <w:keepLines w:val="0"/>
        <w:pageBreakBefore w:val="0"/>
        <w:widowControl w:val="0"/>
        <w:kinsoku/>
        <w:wordWrap/>
        <w:overflowPunct/>
        <w:topLinePunct w:val="0"/>
        <w:autoSpaceDE/>
        <w:autoSpaceDN w:val="0"/>
        <w:bidi w:val="0"/>
        <w:adjustRightInd/>
        <w:snapToGrid/>
        <w:spacing w:after="240" w:afterLines="100" w:line="470" w:lineRule="exact"/>
        <w:jc w:val="center"/>
        <w:textAlignment w:val="auto"/>
        <w:outlineLvl w:val="9"/>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电子</w:t>
      </w:r>
      <w:r>
        <w:rPr>
          <w:rFonts w:hint="eastAsia" w:asciiTheme="minorEastAsia" w:hAnsiTheme="minorEastAsia" w:eastAsiaTheme="minorEastAsia" w:cstheme="minorEastAsia"/>
          <w:b/>
          <w:bCs/>
          <w:color w:val="auto"/>
          <w:sz w:val="30"/>
          <w:szCs w:val="30"/>
          <w:highlight w:val="none"/>
          <w:lang w:eastAsia="zh-CN"/>
        </w:rPr>
        <w:t>响应</w:t>
      </w:r>
      <w:r>
        <w:rPr>
          <w:rFonts w:hint="eastAsia" w:asciiTheme="minorEastAsia" w:hAnsiTheme="minorEastAsia" w:eastAsiaTheme="minorEastAsia" w:cstheme="minorEastAsia"/>
          <w:b/>
          <w:bCs/>
          <w:color w:val="auto"/>
          <w:sz w:val="30"/>
          <w:szCs w:val="30"/>
          <w:highlight w:val="none"/>
        </w:rPr>
        <w:t>文件编制及</w:t>
      </w:r>
      <w:r>
        <w:rPr>
          <w:rFonts w:hint="eastAsia" w:asciiTheme="minorEastAsia" w:hAnsiTheme="minorEastAsia" w:eastAsiaTheme="minorEastAsia" w:cstheme="minorEastAsia"/>
          <w:b/>
          <w:bCs/>
          <w:color w:val="auto"/>
          <w:sz w:val="30"/>
          <w:szCs w:val="30"/>
          <w:highlight w:val="none"/>
          <w:lang w:eastAsia="zh-CN"/>
        </w:rPr>
        <w:t>报送</w:t>
      </w:r>
      <w:r>
        <w:rPr>
          <w:rFonts w:hint="eastAsia" w:asciiTheme="minorEastAsia" w:hAnsiTheme="minorEastAsia" w:eastAsiaTheme="minorEastAsia" w:cstheme="minorEastAsia"/>
          <w:b/>
          <w:bCs/>
          <w:color w:val="auto"/>
          <w:sz w:val="30"/>
          <w:szCs w:val="30"/>
          <w:highlight w:val="none"/>
        </w:rPr>
        <w:t>要求</w:t>
      </w:r>
    </w:p>
    <w:p w14:paraId="089C98F3">
      <w:pPr>
        <w:pStyle w:val="2"/>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供应商必须使用“政采云电子投标客户端”编制电子响应文件，并生成电子签名的响应文件（此文件必须网上提交）。</w:t>
      </w:r>
    </w:p>
    <w:p w14:paraId="013CA3D8">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政采云电子投标客户端”提供数字证书（CA）对响应文件进行加密功能。供应商应对网上提交的电子响应文件进行加密，并使用加密的数字证书（CA）对其提交的电子响应文件进行解密。供应商对其提交的电子响应文件不进行加密的，视为无效文件。供应商使用某个数字证书（CA）对响应文件进行了数字证书（CA）加密，需要在解密响应文件时使用该数字证书（CA）进行解密，才能读取或导入响应文件，因供应商原因造成电子响应文件未解密的视为无效，不再进入评审阶段。</w:t>
      </w:r>
    </w:p>
    <w:p w14:paraId="03938C3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响应文件网上提交网址为：政采云平台（https://www.zcygov.cn），供应商须在提交响应文件截止时间前完成所有响应文件的上传，网上确认电子签名，响应文件提交截止时间前未完成响应文件传输的，视为未按要求提交响应文件。</w:t>
      </w:r>
    </w:p>
    <w:p w14:paraId="0EAF4C1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4.供应商须按本附件“电子响应文件编制及报送要求”规定编制及网上递交电子响应文件。</w:t>
      </w:r>
    </w:p>
    <w:p w14:paraId="2386144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5.该响应文件制作及报送要求如果与竞争性磋商文件规定不一致，以此“电子响应文件编制及报送要求”为准。</w:t>
      </w:r>
    </w:p>
    <w:p w14:paraId="1CF86136">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注：不同单位的响应文件若芯片序列号、硬盘序列号、网卡序列号一致，视为由同一台电脑编制！</w:t>
      </w:r>
    </w:p>
    <w:p w14:paraId="48DA33CD">
      <w:pPr>
        <w:pStyle w:val="55"/>
        <w:keepNext w:val="0"/>
        <w:keepLines w:val="0"/>
        <w:pageBreakBefore w:val="0"/>
        <w:widowControl w:val="0"/>
        <w:kinsoku/>
        <w:wordWrap w:val="0"/>
        <w:overflowPunct/>
        <w:topLinePunct w:val="0"/>
        <w:autoSpaceDE/>
        <w:autoSpaceDN/>
        <w:bidi w:val="0"/>
        <w:adjustRightInd/>
        <w:snapToGrid/>
        <w:spacing w:before="0" w:after="0" w:line="470" w:lineRule="exact"/>
        <w:ind w:firstLine="482" w:firstLineChars="200"/>
        <w:jc w:val="left"/>
        <w:textAlignment w:val="auto"/>
        <w:outlineLvl w:val="9"/>
        <w:rPr>
          <w:rFonts w:hint="eastAsia" w:ascii="宋体" w:hAnsi="宋体" w:eastAsia="宋体" w:cs="宋体"/>
          <w:color w:val="auto"/>
          <w:sz w:val="24"/>
          <w:szCs w:val="24"/>
          <w:highlight w:val="none"/>
        </w:rPr>
      </w:pPr>
    </w:p>
    <w:p w14:paraId="19A5F86A">
      <w:pPr>
        <w:pStyle w:val="55"/>
        <w:keepNext w:val="0"/>
        <w:keepLines w:val="0"/>
        <w:pageBreakBefore w:val="0"/>
        <w:widowControl w:val="0"/>
        <w:kinsoku/>
        <w:wordWrap w:val="0"/>
        <w:overflowPunct/>
        <w:topLinePunct w:val="0"/>
        <w:autoSpaceDE/>
        <w:autoSpaceDN/>
        <w:bidi w:val="0"/>
        <w:adjustRightInd/>
        <w:snapToGrid/>
        <w:spacing w:before="0" w:after="0" w:line="470" w:lineRule="exact"/>
        <w:ind w:firstLine="482" w:firstLineChars="200"/>
        <w:jc w:val="left"/>
        <w:textAlignment w:val="auto"/>
        <w:outlineLvl w:val="9"/>
        <w:rPr>
          <w:rFonts w:hint="eastAsia" w:ascii="宋体" w:hAnsi="宋体" w:eastAsia="宋体" w:cs="宋体"/>
          <w:color w:val="auto"/>
          <w:sz w:val="24"/>
          <w:szCs w:val="24"/>
          <w:highlight w:val="none"/>
        </w:rPr>
      </w:pPr>
    </w:p>
    <w:bookmarkEnd w:id="328"/>
    <w:bookmarkEnd w:id="329"/>
    <w:p w14:paraId="1D960C8B">
      <w:pPr>
        <w:keepNext w:val="0"/>
        <w:keepLines w:val="0"/>
        <w:pageBreakBefore w:val="0"/>
        <w:widowControl w:val="0"/>
        <w:kinsoku/>
        <w:overflowPunct/>
        <w:topLinePunct w:val="0"/>
        <w:autoSpaceDE/>
        <w:autoSpaceDN/>
        <w:bidi w:val="0"/>
        <w:adjustRightInd/>
        <w:snapToGrid/>
        <w:spacing w:line="500" w:lineRule="exact"/>
        <w:jc w:val="center"/>
        <w:textAlignment w:val="auto"/>
        <w:outlineLvl w:val="9"/>
        <w:rPr>
          <w:rFonts w:hint="eastAsia" w:ascii="宋体" w:hAnsi="宋体" w:eastAsia="宋体" w:cs="宋体"/>
          <w:b/>
          <w:color w:val="auto"/>
          <w:kern w:val="44"/>
          <w:sz w:val="32"/>
          <w:szCs w:val="32"/>
          <w:highlight w:val="none"/>
        </w:rPr>
      </w:pPr>
    </w:p>
    <w:p w14:paraId="5ADA7917">
      <w:pPr>
        <w:keepNext w:val="0"/>
        <w:keepLines w:val="0"/>
        <w:pageBreakBefore w:val="0"/>
        <w:widowControl w:val="0"/>
        <w:kinsoku/>
        <w:overflowPunct/>
        <w:topLinePunct w:val="0"/>
        <w:autoSpaceDE/>
        <w:autoSpaceDN/>
        <w:bidi w:val="0"/>
        <w:adjustRightInd/>
        <w:snapToGrid/>
        <w:spacing w:line="500" w:lineRule="exact"/>
        <w:jc w:val="both"/>
        <w:textAlignment w:val="auto"/>
        <w:outlineLvl w:val="9"/>
        <w:rPr>
          <w:rFonts w:hint="eastAsia" w:ascii="宋体" w:hAnsi="宋体" w:eastAsia="宋体" w:cs="宋体"/>
          <w:b/>
          <w:color w:val="auto"/>
          <w:kern w:val="44"/>
          <w:sz w:val="32"/>
          <w:szCs w:val="32"/>
          <w:highlight w:val="none"/>
        </w:rPr>
      </w:pPr>
    </w:p>
    <w:p w14:paraId="7C59DA05">
      <w:pPr>
        <w:keepNext w:val="0"/>
        <w:keepLines w:val="0"/>
        <w:pageBreakBefore w:val="0"/>
        <w:widowControl w:val="0"/>
        <w:kinsoku/>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color w:val="auto"/>
          <w:kern w:val="44"/>
          <w:sz w:val="30"/>
          <w:szCs w:val="30"/>
          <w:highlight w:val="none"/>
        </w:rPr>
      </w:pPr>
      <w:bookmarkStart w:id="335" w:name="_Toc19792"/>
    </w:p>
    <w:p w14:paraId="6D30E4B2">
      <w:pPr>
        <w:keepNext w:val="0"/>
        <w:keepLines w:val="0"/>
        <w:pageBreakBefore w:val="0"/>
        <w:widowControl w:val="0"/>
        <w:kinsoku/>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color w:val="auto"/>
          <w:kern w:val="44"/>
          <w:sz w:val="30"/>
          <w:szCs w:val="30"/>
          <w:highlight w:val="none"/>
        </w:rPr>
      </w:pPr>
    </w:p>
    <w:p w14:paraId="57C23564">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color w:val="auto"/>
          <w:kern w:val="44"/>
          <w:sz w:val="30"/>
          <w:szCs w:val="30"/>
          <w:highlight w:val="none"/>
        </w:rPr>
      </w:pPr>
    </w:p>
    <w:p w14:paraId="056172C1">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color w:val="auto"/>
          <w:kern w:val="44"/>
          <w:sz w:val="30"/>
          <w:szCs w:val="30"/>
          <w:highlight w:val="none"/>
        </w:rPr>
      </w:pPr>
      <w:bookmarkStart w:id="336" w:name="_Toc6971"/>
      <w:bookmarkStart w:id="337" w:name="_Toc19592"/>
      <w:bookmarkStart w:id="338" w:name="_Toc995"/>
    </w:p>
    <w:p w14:paraId="7D1F3F7A">
      <w:pPr>
        <w:spacing w:line="500" w:lineRule="exact"/>
        <w:jc w:val="center"/>
        <w:outlineLvl w:val="0"/>
        <w:rPr>
          <w:rFonts w:hint="eastAsia" w:ascii="宋体" w:hAnsi="宋体" w:eastAsia="宋体" w:cs="宋体"/>
          <w:b/>
          <w:bCs w:val="0"/>
          <w:color w:val="auto"/>
          <w:sz w:val="30"/>
          <w:szCs w:val="30"/>
          <w:highlight w:val="none"/>
        </w:rPr>
      </w:pPr>
      <w:bookmarkStart w:id="339" w:name="_Toc786"/>
      <w:r>
        <w:rPr>
          <w:rFonts w:hint="eastAsia" w:ascii="宋体" w:hAnsi="宋体" w:eastAsia="宋体" w:cs="宋体"/>
          <w:b/>
          <w:bCs w:val="0"/>
          <w:color w:val="auto"/>
          <w:kern w:val="44"/>
          <w:sz w:val="30"/>
          <w:szCs w:val="30"/>
          <w:highlight w:val="none"/>
        </w:rPr>
        <w:t>第三章  评审办法</w:t>
      </w:r>
      <w:bookmarkEnd w:id="130"/>
      <w:bookmarkEnd w:id="131"/>
      <w:bookmarkEnd w:id="335"/>
      <w:bookmarkEnd w:id="336"/>
      <w:bookmarkEnd w:id="337"/>
      <w:bookmarkEnd w:id="338"/>
      <w:bookmarkEnd w:id="339"/>
    </w:p>
    <w:p w14:paraId="408EC725">
      <w:pPr>
        <w:pStyle w:val="2"/>
        <w:spacing w:line="400" w:lineRule="exact"/>
        <w:rPr>
          <w:rFonts w:hint="eastAsia" w:ascii="宋体" w:hAnsi="宋体" w:eastAsia="宋体" w:cs="宋体"/>
          <w:b/>
          <w:color w:val="auto"/>
          <w:sz w:val="28"/>
          <w:szCs w:val="28"/>
          <w:highlight w:val="none"/>
        </w:rPr>
      </w:pPr>
    </w:p>
    <w:p w14:paraId="4D71CF2E">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outlineLvl w:val="1"/>
        <w:rPr>
          <w:rFonts w:hint="eastAsia" w:ascii="宋体" w:hAnsi="宋体" w:eastAsia="宋体" w:cs="宋体"/>
          <w:b/>
          <w:color w:val="auto"/>
          <w:sz w:val="24"/>
          <w:highlight w:val="none"/>
        </w:rPr>
      </w:pPr>
      <w:bookmarkStart w:id="340" w:name="_Toc17441"/>
      <w:r>
        <w:rPr>
          <w:rFonts w:hint="eastAsia" w:ascii="宋体" w:hAnsi="宋体" w:eastAsia="宋体" w:cs="宋体"/>
          <w:b/>
          <w:color w:val="auto"/>
          <w:sz w:val="24"/>
          <w:szCs w:val="24"/>
          <w:highlight w:val="none"/>
        </w:rPr>
        <w:t>1.根据《中华人民共和国政府采购法》、《中华人民共和国政府采购法实施条例》</w:t>
      </w:r>
      <w:r>
        <w:rPr>
          <w:rFonts w:hint="eastAsia" w:ascii="宋体" w:hAnsi="宋体" w:cs="宋体"/>
          <w:b/>
          <w:color w:val="auto"/>
          <w:sz w:val="24"/>
          <w:szCs w:val="24"/>
          <w:highlight w:val="none"/>
          <w:lang w:val="en-US" w:eastAsia="zh-CN"/>
        </w:rPr>
        <w:t>及</w:t>
      </w:r>
      <w:r>
        <w:rPr>
          <w:rFonts w:hint="eastAsia" w:ascii="宋体" w:hAnsi="宋体" w:eastAsia="宋体" w:cs="宋体"/>
          <w:b/>
          <w:color w:val="auto"/>
          <w:sz w:val="24"/>
          <w:szCs w:val="24"/>
          <w:highlight w:val="none"/>
        </w:rPr>
        <w:t>《政府采购竞争性磋商采购方式管理暂行办法》等有关法律法规的规定，结合本项目实际情况制定本办法。</w:t>
      </w:r>
      <w:bookmarkEnd w:id="340"/>
    </w:p>
    <w:p w14:paraId="7782151A">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将根据本项目的性质和特点依法组建竞争性磋商小组，竞争性磋商小组3人，由采购人代表1人和评审专家2人组成，竞争性磋商小组按照法律、法规的规定，在全封闭的保密条件下进行评审，任何个人和单位不得干扰竞争性磋商小组的正常工作。</w:t>
      </w:r>
    </w:p>
    <w:p w14:paraId="14A18116">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评审原则：竞争性磋商小组成员应当按照客观、公正、审慎的原则，根据磋商文件规定的评审程序、评审方法和评审标准进行独立评审。</w:t>
      </w:r>
    </w:p>
    <w:p w14:paraId="43D81FE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1.3竞争性磋商小组在进行评审前，应认真阅读竞争性磋商文件，了解和熟悉以下内容：</w:t>
      </w:r>
    </w:p>
    <w:p w14:paraId="646F98A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①采购目的； </w:t>
      </w:r>
    </w:p>
    <w:p w14:paraId="7B8A926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②采购项目的范围及性质；</w:t>
      </w:r>
    </w:p>
    <w:p w14:paraId="651721B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③竞争性磋商文件中规定的主要工作要求、标准和报价；</w:t>
      </w:r>
    </w:p>
    <w:p w14:paraId="607035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④竞争性磋商文件规定的评审办法和评审过程中考虑的相关因素。</w:t>
      </w:r>
    </w:p>
    <w:p w14:paraId="50DA62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 评审过程中如遇特殊问题，由竞争性磋商小组根据有关法律、法规研究决定。</w:t>
      </w:r>
    </w:p>
    <w:p w14:paraId="6B141E2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color w:val="auto"/>
          <w:sz w:val="24"/>
          <w:highlight w:val="none"/>
        </w:rPr>
      </w:pPr>
      <w:bookmarkStart w:id="341" w:name="_Toc9879"/>
      <w:bookmarkStart w:id="342" w:name="_Toc2285"/>
      <w:bookmarkStart w:id="343" w:name="_Toc28929"/>
      <w:bookmarkStart w:id="344" w:name="_Toc32562"/>
      <w:bookmarkStart w:id="345" w:name="_Toc5923"/>
      <w:bookmarkStart w:id="346" w:name="_Toc427"/>
      <w:r>
        <w:rPr>
          <w:rFonts w:hint="eastAsia" w:ascii="宋体" w:hAnsi="宋体" w:eastAsia="宋体" w:cs="宋体"/>
          <w:b/>
          <w:color w:val="auto"/>
          <w:sz w:val="24"/>
          <w:highlight w:val="none"/>
        </w:rPr>
        <w:t>2.评审程序</w:t>
      </w:r>
      <w:bookmarkEnd w:id="341"/>
      <w:bookmarkEnd w:id="342"/>
      <w:bookmarkEnd w:id="343"/>
      <w:bookmarkEnd w:id="344"/>
      <w:bookmarkEnd w:id="345"/>
      <w:bookmarkEnd w:id="346"/>
    </w:p>
    <w:p w14:paraId="5B78722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初步评审阶段(包含资格性检查和符合性检查两部分)</w:t>
      </w:r>
    </w:p>
    <w:p w14:paraId="71A657D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2.1.1 资格性检查：竞争性磋商小组首先对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进行资格性检查，通过资格性检查的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方可进入符合性检查。符合以下检查标准的，通过资格性检查：</w:t>
      </w:r>
    </w:p>
    <w:p w14:paraId="3D901B53">
      <w:pPr>
        <w:spacing w:line="384" w:lineRule="auto"/>
        <w:ind w:firstLine="480"/>
        <w:contextualSpacing/>
        <w:rPr>
          <w:rFonts w:hint="eastAsia" w:ascii="宋体" w:hAnsi="宋体" w:eastAsia="宋体" w:cs="宋体"/>
          <w:color w:val="auto"/>
          <w:sz w:val="24"/>
          <w:szCs w:val="24"/>
          <w:highlight w:val="none"/>
        </w:rPr>
      </w:pPr>
    </w:p>
    <w:p w14:paraId="3F467E16">
      <w:pPr>
        <w:spacing w:line="540" w:lineRule="exact"/>
        <w:ind w:firstLine="480" w:firstLineChars="200"/>
        <w:rPr>
          <w:rFonts w:hint="eastAsia" w:ascii="宋体" w:hAnsi="宋体" w:eastAsia="宋体" w:cs="宋体"/>
          <w:bCs/>
          <w:color w:val="auto"/>
          <w:sz w:val="24"/>
          <w:highlight w:val="none"/>
        </w:rPr>
      </w:pPr>
    </w:p>
    <w:p w14:paraId="7BC00653">
      <w:pPr>
        <w:spacing w:line="540" w:lineRule="exact"/>
        <w:ind w:firstLine="480" w:firstLineChars="200"/>
        <w:rPr>
          <w:rFonts w:hint="eastAsia" w:ascii="宋体" w:hAnsi="宋体" w:eastAsia="宋体" w:cs="宋体"/>
          <w:bCs/>
          <w:color w:val="auto"/>
          <w:sz w:val="24"/>
          <w:highlight w:val="none"/>
        </w:rPr>
      </w:pPr>
    </w:p>
    <w:p w14:paraId="64BAA088">
      <w:pPr>
        <w:spacing w:line="540" w:lineRule="exact"/>
        <w:ind w:firstLine="480" w:firstLineChars="200"/>
        <w:rPr>
          <w:rFonts w:hint="eastAsia" w:ascii="宋体" w:hAnsi="宋体" w:eastAsia="宋体" w:cs="宋体"/>
          <w:bCs/>
          <w:color w:val="auto"/>
          <w:sz w:val="24"/>
          <w:highlight w:val="none"/>
        </w:rPr>
      </w:pPr>
    </w:p>
    <w:p w14:paraId="7BEA3ABC">
      <w:pPr>
        <w:pStyle w:val="28"/>
        <w:ind w:firstLine="0"/>
        <w:rPr>
          <w:rFonts w:hint="eastAsia" w:ascii="宋体" w:hAnsi="宋体" w:eastAsia="宋体" w:cs="宋体"/>
          <w:bCs/>
          <w:color w:val="auto"/>
          <w:sz w:val="24"/>
          <w:highlight w:val="none"/>
        </w:rPr>
      </w:pPr>
    </w:p>
    <w:p w14:paraId="2E7BFEBA">
      <w:pPr>
        <w:pStyle w:val="9"/>
        <w:spacing w:line="384" w:lineRule="auto"/>
        <w:ind w:left="0" w:leftChars="0" w:firstLine="0" w:firstLineChars="0"/>
        <w:jc w:val="center"/>
        <w:rPr>
          <w:rFonts w:hint="eastAsia" w:ascii="宋体" w:hAnsi="宋体" w:eastAsia="宋体" w:cs="宋体"/>
          <w:bCs/>
          <w:color w:val="auto"/>
          <w:sz w:val="30"/>
          <w:szCs w:val="30"/>
          <w:highlight w:val="none"/>
        </w:rPr>
      </w:pPr>
      <w:r>
        <w:rPr>
          <w:rFonts w:hint="eastAsia" w:ascii="宋体" w:hAnsi="宋体" w:eastAsia="宋体" w:cs="宋体"/>
          <w:b/>
          <w:bCs/>
          <w:color w:val="auto"/>
          <w:sz w:val="30"/>
          <w:szCs w:val="30"/>
          <w:highlight w:val="none"/>
        </w:rPr>
        <w:t>资格</w:t>
      </w:r>
      <w:r>
        <w:rPr>
          <w:rFonts w:hint="eastAsia" w:ascii="宋体" w:hAnsi="宋体" w:eastAsia="宋体" w:cs="宋体"/>
          <w:b/>
          <w:bCs/>
          <w:color w:val="auto"/>
          <w:sz w:val="30"/>
          <w:szCs w:val="30"/>
          <w:highlight w:val="none"/>
          <w:lang w:eastAsia="zh-CN"/>
        </w:rPr>
        <w:t>性审查表</w:t>
      </w:r>
    </w:p>
    <w:tbl>
      <w:tblPr>
        <w:tblStyle w:val="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1690"/>
        <w:gridCol w:w="6483"/>
      </w:tblGrid>
      <w:tr w14:paraId="1C5F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509" w:type="pct"/>
            <w:gridSpan w:val="2"/>
            <w:vAlign w:val="center"/>
          </w:tcPr>
          <w:p w14:paraId="47011681">
            <w:pPr>
              <w:autoSpaceDE w:val="0"/>
              <w:autoSpaceDN w:val="0"/>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3490" w:type="pct"/>
            <w:vAlign w:val="center"/>
          </w:tcPr>
          <w:p w14:paraId="1E387608">
            <w:pPr>
              <w:autoSpaceDE w:val="0"/>
              <w:autoSpaceDN w:val="0"/>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1FA4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Merge w:val="restart"/>
            <w:vAlign w:val="center"/>
          </w:tcPr>
          <w:p w14:paraId="4945035C">
            <w:pPr>
              <w:snapToGrid w:val="0"/>
              <w:spacing w:line="300" w:lineRule="exact"/>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资格性</w:t>
            </w:r>
            <w:r>
              <w:rPr>
                <w:rFonts w:hint="eastAsia" w:ascii="宋体" w:hAnsi="宋体" w:eastAsia="宋体" w:cs="宋体"/>
                <w:color w:val="auto"/>
                <w:sz w:val="24"/>
                <w:szCs w:val="24"/>
                <w:highlight w:val="none"/>
                <w:lang w:eastAsia="zh-CN"/>
              </w:rPr>
              <w:t>审查</w:t>
            </w:r>
            <w:r>
              <w:rPr>
                <w:rFonts w:hint="eastAsia" w:ascii="宋体" w:hAnsi="宋体" w:eastAsia="宋体" w:cs="宋体"/>
                <w:color w:val="auto"/>
                <w:sz w:val="24"/>
                <w:szCs w:val="24"/>
                <w:highlight w:val="none"/>
              </w:rPr>
              <w:t>标准</w:t>
            </w:r>
          </w:p>
        </w:tc>
        <w:tc>
          <w:tcPr>
            <w:tcW w:w="909" w:type="pct"/>
            <w:vAlign w:val="center"/>
          </w:tcPr>
          <w:p w14:paraId="48CDB58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3490" w:type="pct"/>
            <w:vAlign w:val="center"/>
          </w:tcPr>
          <w:p w14:paraId="19338A23">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须</w:t>
            </w:r>
            <w:r>
              <w:rPr>
                <w:rFonts w:hint="eastAsia" w:ascii="宋体" w:hAnsi="宋体" w:eastAsia="宋体" w:cs="宋体"/>
                <w:b w:val="0"/>
                <w:bCs w:val="0"/>
                <w:color w:val="auto"/>
                <w:sz w:val="24"/>
                <w:highlight w:val="none"/>
                <w:lang w:val="en-US" w:eastAsia="zh-CN"/>
              </w:rPr>
              <w:t>是</w:t>
            </w:r>
            <w:r>
              <w:rPr>
                <w:rFonts w:hint="eastAsia" w:ascii="宋体" w:hAnsi="宋体" w:eastAsia="宋体" w:cs="宋体"/>
                <w:b w:val="0"/>
                <w:bCs w:val="0"/>
                <w:color w:val="auto"/>
                <w:sz w:val="24"/>
                <w:highlight w:val="none"/>
              </w:rPr>
              <w:t>具有独立承担民事责任能力的法人、其他组织或者自然人；</w:t>
            </w:r>
            <w:r>
              <w:rPr>
                <w:rFonts w:hint="eastAsia" w:ascii="宋体" w:hAnsi="宋体" w:eastAsia="宋体" w:cs="宋体"/>
                <w:b w:val="0"/>
                <w:bCs w:val="0"/>
                <w:color w:val="auto"/>
                <w:sz w:val="24"/>
                <w:highlight w:val="none"/>
                <w:lang w:eastAsia="zh-CN"/>
              </w:rPr>
              <w:t>（①</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是企业，提供有效</w:t>
            </w:r>
            <w:r>
              <w:rPr>
                <w:rFonts w:hint="eastAsia" w:ascii="宋体" w:hAnsi="宋体" w:eastAsia="宋体" w:cs="宋体"/>
                <w:b w:val="0"/>
                <w:bCs w:val="0"/>
                <w:color w:val="auto"/>
                <w:sz w:val="24"/>
                <w:highlight w:val="none"/>
                <w:lang w:val="en-US" w:eastAsia="zh-CN"/>
              </w:rPr>
              <w:t>的</w:t>
            </w:r>
            <w:r>
              <w:rPr>
                <w:rFonts w:hint="eastAsia" w:ascii="宋体" w:hAnsi="宋体" w:eastAsia="宋体" w:cs="宋体"/>
                <w:b w:val="0"/>
                <w:bCs w:val="0"/>
                <w:color w:val="auto"/>
                <w:sz w:val="24"/>
                <w:highlight w:val="none"/>
              </w:rPr>
              <w:t>“营业执照”；②</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是事业单位，提供有效的“事业单位法人证书”；③</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是非企业专业服务机构的，提供</w:t>
            </w:r>
            <w:r>
              <w:rPr>
                <w:rFonts w:hint="eastAsia" w:ascii="宋体" w:hAnsi="宋体" w:eastAsia="宋体" w:cs="宋体"/>
                <w:b w:val="0"/>
                <w:bCs w:val="0"/>
                <w:color w:val="auto"/>
                <w:sz w:val="24"/>
                <w:highlight w:val="none"/>
                <w:lang w:val="en-US" w:eastAsia="zh-CN"/>
              </w:rPr>
              <w:t>有效的法定</w:t>
            </w:r>
            <w:r>
              <w:rPr>
                <w:rFonts w:hint="eastAsia" w:ascii="宋体" w:hAnsi="宋体" w:eastAsia="宋体" w:cs="宋体"/>
                <w:b w:val="0"/>
                <w:bCs w:val="0"/>
                <w:color w:val="auto"/>
                <w:sz w:val="24"/>
                <w:highlight w:val="none"/>
              </w:rPr>
              <w:t>证明文件；④</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是个体工商户，提供有效的“个体工商户营业执照”；⑤</w:t>
            </w:r>
            <w:r>
              <w:rPr>
                <w:rFonts w:hint="eastAsia" w:ascii="宋体" w:hAnsi="宋体" w:eastAsia="宋体" w:cs="宋体"/>
                <w:b w:val="0"/>
                <w:bCs w:val="0"/>
                <w:color w:val="auto"/>
                <w:sz w:val="24"/>
                <w:highlight w:val="none"/>
                <w:lang w:val="en-US" w:eastAsia="zh-CN"/>
              </w:rPr>
              <w:t>若</w:t>
            </w: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rPr>
              <w:t>是自然人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提供有效的自然人身份证明</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tc>
      </w:tr>
      <w:tr w14:paraId="4870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599" w:type="pct"/>
            <w:vMerge w:val="continue"/>
            <w:vAlign w:val="center"/>
          </w:tcPr>
          <w:p w14:paraId="251236E6">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33E0362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rPr>
              <w:t>具有良好的商业信誉</w:t>
            </w:r>
          </w:p>
        </w:tc>
        <w:tc>
          <w:tcPr>
            <w:tcW w:w="3490" w:type="pct"/>
            <w:vAlign w:val="center"/>
          </w:tcPr>
          <w:p w14:paraId="6AB4A88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供应商信誉良好，根据《财政部关于在政府采购活动中查询及使用信用记录有关问题的通知-财库〔2016〕125号》相关要求，供应商在中国执行信息公开网（http://zxgk.court.gov.cn）未被列入失信被执行人，在“信用中国”未被列入网站政府采购严重违法失信行为记录名单和重大税收违法失信主体，供应商在国家企业信用信息公示系统（http://www.gsxt.gov.cn）未被列入经营异常名录和严重违法失信企业名单（黑名单），在中国政府采购网( www.ccgp.gov.cn)无政府采购严重违法失信行为记录。对列入失信被执行人、为税收违法失信主体、经营异常名录和严重违法失信企业名单（黑名单）、政府采购严重违法失信行为记录名单的供应商，拒绝参与本项目采购活动（此部分只需供应商提供信誉良好承诺书，不需要供应商提供证明材料，信用信息查询以采购人或采购代理机构开标时查询结果为准）。</w:t>
            </w:r>
          </w:p>
        </w:tc>
      </w:tr>
      <w:tr w14:paraId="03F8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599" w:type="pct"/>
            <w:vMerge w:val="continue"/>
            <w:vAlign w:val="center"/>
          </w:tcPr>
          <w:p w14:paraId="0FDC1EA1">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005DD8B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具有健全的财务会计制度</w:t>
            </w:r>
          </w:p>
        </w:tc>
        <w:tc>
          <w:tcPr>
            <w:tcW w:w="3490" w:type="pct"/>
            <w:vAlign w:val="center"/>
          </w:tcPr>
          <w:p w14:paraId="58E24133">
            <w:pPr>
              <w:keepNext w:val="0"/>
              <w:keepLines w:val="0"/>
              <w:pageBreakBefore w:val="0"/>
              <w:widowControl w:val="0"/>
              <w:kinsoku/>
              <w:wordWrap/>
              <w:overflowPunct/>
              <w:topLinePunct w:val="0"/>
              <w:autoSpaceDE/>
              <w:autoSpaceDN/>
              <w:bidi w:val="0"/>
              <w:adjustRightInd/>
              <w:snapToGrid w:val="0"/>
              <w:spacing w:line="34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b w:val="0"/>
                <w:bCs w:val="0"/>
                <w:color w:val="auto"/>
                <w:sz w:val="24"/>
                <w:highlight w:val="none"/>
                <w:lang w:val="en-US" w:eastAsia="zh-CN"/>
              </w:rPr>
              <w:t>供应商</w:t>
            </w:r>
            <w:r>
              <w:rPr>
                <w:rFonts w:hint="eastAsia" w:ascii="宋体" w:hAnsi="宋体" w:eastAsia="宋体" w:cs="宋体"/>
                <w:bCs/>
                <w:color w:val="auto"/>
                <w:sz w:val="24"/>
                <w:szCs w:val="24"/>
                <w:highlight w:val="none"/>
                <w:lang w:eastAsia="zh-CN"/>
              </w:rPr>
              <w:t>提供</w:t>
            </w:r>
            <w:r>
              <w:rPr>
                <w:rFonts w:hint="eastAsia" w:ascii="宋体" w:hAnsi="宋体" w:cs="宋体"/>
                <w:bCs/>
                <w:color w:val="auto"/>
                <w:sz w:val="24"/>
                <w:szCs w:val="24"/>
                <w:highlight w:val="none"/>
                <w:lang w:eastAsia="zh-CN"/>
              </w:rPr>
              <w:t>2024年度或2025年度</w:t>
            </w:r>
            <w:r>
              <w:rPr>
                <w:rFonts w:hint="eastAsia" w:ascii="宋体" w:hAnsi="宋体" w:eastAsia="宋体" w:cs="宋体"/>
                <w:bCs/>
                <w:color w:val="auto"/>
                <w:sz w:val="24"/>
                <w:szCs w:val="24"/>
                <w:highlight w:val="none"/>
                <w:lang w:eastAsia="zh-CN"/>
              </w:rPr>
              <w:t>经审计的审计报告及财务报表，（注：</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 1 \* GB3 \* MERGEFORMAT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根据财政部、国务院国资委、金融监管总局于2023年9月14日发布的《关于加强审计报告查验工作的通知》(财会〔2023〕15号)的规定，供应商提供的审计报告须附验证码；</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 2 \* GB3 \* MERGEFORMAT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根据相关文件规定，企业法人、事业单位法人的会计制度各不相同，各会计制度中要求的财务报告的会计报表组成也不相同。因此，</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lang w:eastAsia="zh-CN"/>
              </w:rPr>
              <w:t>根据其单位所属类别的会计制度规定提供完整的经审计的审计报告及财务报告即可，本项目对财务报告的组成报表不作具体要求），事业单位可提供内部财务报表；新成立企业，若成立时间至本项目提交</w:t>
            </w:r>
            <w:r>
              <w:rPr>
                <w:rFonts w:hint="eastAsia" w:ascii="宋体" w:hAnsi="宋体" w:cs="宋体"/>
                <w:bCs/>
                <w:color w:val="auto"/>
                <w:sz w:val="24"/>
                <w:highlight w:val="none"/>
                <w:lang w:val="en-US" w:eastAsia="zh-CN"/>
              </w:rPr>
              <w:t>响应</w:t>
            </w:r>
            <w:r>
              <w:rPr>
                <w:rFonts w:hint="eastAsia" w:ascii="宋体" w:hAnsi="宋体" w:eastAsia="宋体" w:cs="宋体"/>
                <w:bCs/>
                <w:color w:val="auto"/>
                <w:sz w:val="24"/>
                <w:szCs w:val="24"/>
                <w:highlight w:val="none"/>
                <w:lang w:eastAsia="zh-CN"/>
              </w:rPr>
              <w:t>文件截止时间不满1年的可提供成立至今的财务报表；</w:t>
            </w:r>
            <w:r>
              <w:rPr>
                <w:rFonts w:hint="eastAsia" w:ascii="宋体" w:hAnsi="宋体" w:cs="宋体"/>
                <w:bCs/>
                <w:color w:val="auto"/>
                <w:sz w:val="24"/>
                <w:szCs w:val="24"/>
                <w:highlight w:val="none"/>
                <w:lang w:val="en-US" w:eastAsia="zh-CN"/>
              </w:rPr>
              <w:t>成立未满两个月的公司，应作出相应说明</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p>
          <w:p w14:paraId="445BA699">
            <w:pPr>
              <w:keepNext w:val="0"/>
              <w:keepLines w:val="0"/>
              <w:pageBreakBefore w:val="0"/>
              <w:widowControl w:val="0"/>
              <w:kinsoku/>
              <w:wordWrap/>
              <w:overflowPunct/>
              <w:topLinePunct w:val="0"/>
              <w:autoSpaceDE/>
              <w:autoSpaceDN/>
              <w:bidi w:val="0"/>
              <w:adjustRightInd/>
              <w:snapToGrid w:val="0"/>
              <w:spacing w:line="34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供应商须提供在提交投标文件截止时间前三个月内银行开具的资信证明（银行出具的资信证明无需针对本项目或本项目采购人）；</w:t>
            </w:r>
            <w:r>
              <w:rPr>
                <w:rFonts w:hint="eastAsia" w:ascii="宋体" w:hAnsi="宋体" w:cs="宋体"/>
                <w:color w:val="auto"/>
                <w:sz w:val="24"/>
                <w:szCs w:val="24"/>
                <w:highlight w:val="none"/>
                <w:lang w:eastAsia="zh-CN"/>
              </w:rPr>
              <w:t>成立未满两个月的公司，应作出相应说明</w:t>
            </w:r>
            <w:r>
              <w:rPr>
                <w:rFonts w:hint="eastAsia" w:ascii="宋体" w:hAnsi="宋体" w:eastAsia="宋体" w:cs="宋体"/>
                <w:color w:val="auto"/>
                <w:sz w:val="24"/>
                <w:szCs w:val="24"/>
                <w:highlight w:val="none"/>
              </w:rPr>
              <w:t>。</w:t>
            </w:r>
          </w:p>
          <w:p w14:paraId="4BF7EFE6">
            <w:pPr>
              <w:keepNext w:val="0"/>
              <w:keepLines w:val="0"/>
              <w:pageBreakBefore w:val="0"/>
              <w:widowControl w:val="0"/>
              <w:kinsoku/>
              <w:wordWrap/>
              <w:overflowPunct/>
              <w:topLinePunct w:val="0"/>
              <w:autoSpaceDE/>
              <w:autoSpaceDN/>
              <w:bidi w:val="0"/>
              <w:adjustRightInd/>
              <w:snapToGrid w:val="0"/>
              <w:spacing w:line="34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供应商须提供财政部门认可的政府采购专业担保机构对供应商进行资信审查后出具的投标担保函；</w:t>
            </w:r>
            <w:r>
              <w:rPr>
                <w:rFonts w:hint="eastAsia" w:ascii="宋体" w:hAnsi="宋体" w:cs="宋体"/>
                <w:color w:val="auto"/>
                <w:sz w:val="24"/>
                <w:szCs w:val="24"/>
                <w:highlight w:val="none"/>
                <w:lang w:eastAsia="zh-CN"/>
              </w:rPr>
              <w:t>成立未满两个月的公司，应作出相应说明</w:t>
            </w:r>
            <w:r>
              <w:rPr>
                <w:rFonts w:hint="eastAsia" w:ascii="宋体" w:hAnsi="宋体" w:eastAsia="宋体" w:cs="宋体"/>
                <w:color w:val="auto"/>
                <w:sz w:val="24"/>
                <w:szCs w:val="24"/>
                <w:highlight w:val="none"/>
              </w:rPr>
              <w:t>。</w:t>
            </w:r>
          </w:p>
          <w:p w14:paraId="1DE14ED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备注：以上</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项证明材料具有同等效力，供应商可根据自身情况提供上述任意一种证明材料。</w:t>
            </w:r>
          </w:p>
        </w:tc>
      </w:tr>
      <w:tr w14:paraId="0E49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99" w:type="pct"/>
            <w:vMerge w:val="continue"/>
            <w:vAlign w:val="center"/>
          </w:tcPr>
          <w:p w14:paraId="0F51ABF1">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12F2122D">
            <w:pPr>
              <w:keepNext w:val="0"/>
              <w:keepLines w:val="0"/>
              <w:pageBreakBefore w:val="0"/>
              <w:widowControl w:val="0"/>
              <w:kinsoku/>
              <w:wordWrap/>
              <w:overflowPunct/>
              <w:topLinePunct w:val="0"/>
              <w:autoSpaceDE/>
              <w:autoSpaceDN/>
              <w:bidi w:val="0"/>
              <w:adjustRightInd/>
              <w:snapToGrid w:val="0"/>
              <w:spacing w:line="3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rPr>
              <w:t>具有履行合同所必需的设备和专业技术能力</w:t>
            </w:r>
          </w:p>
        </w:tc>
        <w:tc>
          <w:tcPr>
            <w:tcW w:w="3490" w:type="pct"/>
            <w:vAlign w:val="center"/>
          </w:tcPr>
          <w:p w14:paraId="3F177366">
            <w:pPr>
              <w:keepNext w:val="0"/>
              <w:keepLines w:val="0"/>
              <w:pageBreakBefore w:val="0"/>
              <w:widowControl w:val="0"/>
              <w:kinsoku/>
              <w:wordWrap/>
              <w:overflowPunct/>
              <w:topLinePunct w:val="0"/>
              <w:autoSpaceDE/>
              <w:autoSpaceDN/>
              <w:bidi w:val="0"/>
              <w:adjustRightInd/>
              <w:snapToGrid w:val="0"/>
              <w:spacing w:line="30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供应商提供</w:t>
            </w:r>
            <w:r>
              <w:rPr>
                <w:rFonts w:hint="eastAsia" w:ascii="宋体" w:hAnsi="宋体" w:eastAsia="宋体" w:cs="宋体"/>
                <w:color w:val="auto"/>
                <w:sz w:val="24"/>
                <w:szCs w:val="24"/>
                <w:highlight w:val="none"/>
                <w:lang w:eastAsia="zh-CN"/>
              </w:rPr>
              <w:t>具有履行合同所必需的设备和专业技术能力</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lang w:eastAsia="zh-CN"/>
              </w:rPr>
              <w:t>证明材料或声明函</w:t>
            </w:r>
          </w:p>
        </w:tc>
      </w:tr>
      <w:tr w14:paraId="194A2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9" w:type="pct"/>
            <w:vMerge w:val="continue"/>
            <w:vAlign w:val="center"/>
          </w:tcPr>
          <w:p w14:paraId="0D40BC8B">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616F190B">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具</w:t>
            </w:r>
            <w:r>
              <w:rPr>
                <w:rFonts w:hint="eastAsia" w:ascii="宋体" w:hAnsi="宋体" w:eastAsia="宋体" w:cs="宋体"/>
                <w:b w:val="0"/>
                <w:bCs w:val="0"/>
                <w:color w:val="auto"/>
                <w:sz w:val="24"/>
                <w:highlight w:val="none"/>
              </w:rPr>
              <w:t>有依法缴纳税收的良好记录</w:t>
            </w:r>
          </w:p>
        </w:tc>
        <w:tc>
          <w:tcPr>
            <w:tcW w:w="3490" w:type="pct"/>
            <w:vAlign w:val="center"/>
          </w:tcPr>
          <w:p w14:paraId="43C92E3A">
            <w:pPr>
              <w:keepNext w:val="0"/>
              <w:keepLines w:val="0"/>
              <w:pageBreakBefore w:val="0"/>
              <w:widowControl w:val="0"/>
              <w:kinsoku/>
              <w:wordWrap/>
              <w:overflowPunct/>
              <w:topLinePunct w:val="0"/>
              <w:bidi w:val="0"/>
              <w:spacing w:line="340" w:lineRule="exact"/>
              <w:jc w:val="left"/>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highlight w:val="none"/>
                <w:lang w:val="en-US" w:eastAsia="zh-CN"/>
              </w:rPr>
              <w:t>供应商</w:t>
            </w:r>
            <w:r>
              <w:rPr>
                <w:rFonts w:hint="eastAsia" w:ascii="宋体" w:hAnsi="宋体" w:eastAsia="宋体" w:cs="宋体"/>
                <w:b w:val="0"/>
                <w:bCs w:val="0"/>
                <w:color w:val="auto"/>
                <w:sz w:val="24"/>
                <w:highlight w:val="none"/>
                <w:lang w:val="en-US" w:eastAsia="zh-CN"/>
              </w:rPr>
              <w:t>提供</w:t>
            </w:r>
            <w:r>
              <w:rPr>
                <w:rFonts w:hint="eastAsia" w:ascii="宋体" w:hAnsi="宋体" w:eastAsia="宋体" w:cs="宋体"/>
                <w:bCs/>
                <w:color w:val="auto"/>
                <w:sz w:val="24"/>
                <w:highlight w:val="none"/>
              </w:rPr>
              <w:t>参加政府采购活动前段时间（</w:t>
            </w:r>
            <w:r>
              <w:rPr>
                <w:rFonts w:hint="eastAsia" w:ascii="宋体" w:hAnsi="宋体" w:eastAsia="宋体" w:cs="宋体"/>
                <w:bCs/>
                <w:color w:val="auto"/>
                <w:sz w:val="24"/>
                <w:highlight w:val="none"/>
                <w:lang w:val="en-US" w:eastAsia="zh-CN"/>
              </w:rPr>
              <w:t>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月至今</w:t>
            </w:r>
            <w:r>
              <w:rPr>
                <w:rFonts w:hint="eastAsia" w:ascii="宋体" w:hAnsi="宋体" w:eastAsia="宋体" w:cs="宋体"/>
                <w:bCs/>
                <w:color w:val="auto"/>
                <w:sz w:val="24"/>
                <w:highlight w:val="none"/>
                <w:lang w:val="en-US" w:eastAsia="zh-CN"/>
              </w:rPr>
              <w:t>任意</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auto"/>
                <w:sz w:val="24"/>
                <w:highlight w:val="none"/>
                <w:lang w:val="en-US" w:eastAsia="zh-CN"/>
              </w:rPr>
              <w:t>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default" w:ascii="宋体" w:hAnsi="宋体" w:cs="宋体"/>
                <w:bCs/>
                <w:color w:val="auto"/>
                <w:sz w:val="24"/>
                <w:highlight w:val="none"/>
                <w:lang w:eastAsia="zh-CN"/>
              </w:rPr>
              <w:t>7</w:t>
            </w:r>
            <w:r>
              <w:rPr>
                <w:rFonts w:hint="eastAsia" w:ascii="宋体" w:hAnsi="宋体" w:eastAsia="宋体" w:cs="宋体"/>
                <w:bCs/>
                <w:color w:val="auto"/>
                <w:sz w:val="24"/>
                <w:highlight w:val="none"/>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cs="宋体"/>
                <w:b w:val="0"/>
                <w:bCs w:val="0"/>
                <w:color w:val="auto"/>
                <w:sz w:val="24"/>
                <w:highlight w:val="none"/>
                <w:lang w:val="en-US" w:eastAsia="zh-CN"/>
              </w:rPr>
              <w:t>供应商</w:t>
            </w:r>
            <w:r>
              <w:rPr>
                <w:rFonts w:hint="eastAsia" w:ascii="宋体" w:hAnsi="宋体" w:eastAsia="宋体" w:cs="宋体"/>
                <w:bCs/>
                <w:color w:val="auto"/>
                <w:sz w:val="24"/>
                <w:highlight w:val="none"/>
              </w:rPr>
              <w:t>，提供相应的免税文件证明资料（</w:t>
            </w:r>
            <w:r>
              <w:rPr>
                <w:rFonts w:hint="eastAsia" w:ascii="宋体" w:hAnsi="宋体" w:cs="宋体"/>
                <w:bCs/>
                <w:color w:val="auto"/>
                <w:sz w:val="24"/>
                <w:highlight w:val="none"/>
                <w:lang w:eastAsia="zh-CN"/>
              </w:rPr>
              <w:t>成立未满两个月的公司，应作出相应说明</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w:t>
            </w:r>
          </w:p>
        </w:tc>
      </w:tr>
      <w:tr w14:paraId="5B64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599" w:type="pct"/>
            <w:vMerge w:val="continue"/>
            <w:vAlign w:val="center"/>
          </w:tcPr>
          <w:p w14:paraId="254EEC2F">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49F66FC8">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具</w:t>
            </w:r>
            <w:r>
              <w:rPr>
                <w:rFonts w:hint="eastAsia" w:ascii="宋体" w:hAnsi="宋体" w:eastAsia="宋体" w:cs="宋体"/>
                <w:b w:val="0"/>
                <w:bCs w:val="0"/>
                <w:color w:val="auto"/>
                <w:sz w:val="24"/>
                <w:highlight w:val="none"/>
              </w:rPr>
              <w:t>有依法缴纳社会保障资金的良好记录</w:t>
            </w:r>
          </w:p>
        </w:tc>
        <w:tc>
          <w:tcPr>
            <w:tcW w:w="3490" w:type="pct"/>
            <w:vAlign w:val="center"/>
          </w:tcPr>
          <w:p w14:paraId="3CD5B0F7">
            <w:pPr>
              <w:keepNext w:val="0"/>
              <w:keepLines w:val="0"/>
              <w:pageBreakBefore w:val="0"/>
              <w:widowControl w:val="0"/>
              <w:kinsoku/>
              <w:wordWrap/>
              <w:overflowPunct/>
              <w:topLinePunct w:val="0"/>
              <w:bidi w:val="0"/>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rPr>
              <w:t>提供缴费所属时间在（20</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月至今</w:t>
            </w:r>
            <w:r>
              <w:rPr>
                <w:rFonts w:hint="eastAsia" w:ascii="宋体" w:hAnsi="宋体" w:eastAsia="宋体" w:cs="宋体"/>
                <w:bCs/>
                <w:color w:val="auto"/>
                <w:sz w:val="24"/>
                <w:highlight w:val="none"/>
                <w:lang w:val="en-US" w:eastAsia="zh-CN"/>
              </w:rPr>
              <w:t>任意</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个月）依法缴纳社会保障资金</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养老、医疗、工伤、失业</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凭据（社会保险缴纳清单或社会保障专用收据或社保管理部门出具的有效的缴款证明等）。依法不需要缴纳的，提供不需要缴纳社会保障资金文件证明资料的（</w:t>
            </w:r>
            <w:r>
              <w:rPr>
                <w:rFonts w:hint="eastAsia" w:ascii="宋体" w:hAnsi="宋体" w:cs="宋体"/>
                <w:bCs/>
                <w:color w:val="auto"/>
                <w:sz w:val="24"/>
                <w:highlight w:val="none"/>
                <w:lang w:eastAsia="zh-CN"/>
              </w:rPr>
              <w:t>成立未满两个月的公司，应作出相应说明</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lang w:eastAsia="zh-CN"/>
              </w:rPr>
              <w:t>。</w:t>
            </w:r>
          </w:p>
        </w:tc>
      </w:tr>
      <w:tr w14:paraId="4903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99" w:type="pct"/>
            <w:vMerge w:val="continue"/>
            <w:vAlign w:val="center"/>
          </w:tcPr>
          <w:p w14:paraId="70D860EA">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40F75F3C">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重大违法记录</w:t>
            </w:r>
          </w:p>
        </w:tc>
        <w:tc>
          <w:tcPr>
            <w:tcW w:w="3490" w:type="pct"/>
            <w:vAlign w:val="center"/>
          </w:tcPr>
          <w:p w14:paraId="50E363AA">
            <w:pPr>
              <w:keepNext w:val="0"/>
              <w:keepLines w:val="0"/>
              <w:pageBreakBefore w:val="0"/>
              <w:widowControl w:val="0"/>
              <w:kinsoku/>
              <w:wordWrap/>
              <w:overflowPunct/>
              <w:topLinePunct w:val="0"/>
              <w:autoSpaceDE/>
              <w:autoSpaceDN/>
              <w:bidi w:val="0"/>
              <w:adjustRightInd/>
              <w:snapToGrid w:val="0"/>
              <w:spacing w:line="3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提供参加政府采购活动前三年在经营活动中没有重大违法记录的</w:t>
            </w:r>
            <w:r>
              <w:rPr>
                <w:rFonts w:hint="eastAsia" w:ascii="宋体" w:hAnsi="宋体" w:cs="宋体"/>
                <w:bCs/>
                <w:color w:val="auto"/>
                <w:sz w:val="24"/>
                <w:szCs w:val="24"/>
                <w:highlight w:val="none"/>
                <w:lang w:val="en-US" w:eastAsia="zh-CN"/>
              </w:rPr>
              <w:t>声明函，</w:t>
            </w:r>
            <w:r>
              <w:rPr>
                <w:rFonts w:hint="eastAsia" w:ascii="宋体" w:hAnsi="宋体" w:eastAsia="宋体" w:cs="宋体"/>
                <w:bCs/>
                <w:color w:val="auto"/>
                <w:sz w:val="24"/>
                <w:szCs w:val="24"/>
                <w:highlight w:val="none"/>
              </w:rPr>
              <w:t>（重大违法记录是指</w:t>
            </w:r>
            <w:r>
              <w:rPr>
                <w:rFonts w:hint="eastAsia" w:ascii="宋体" w:hAnsi="宋体" w:cs="宋体"/>
                <w:b w:val="0"/>
                <w:bCs w:val="0"/>
                <w:color w:val="auto"/>
                <w:sz w:val="24"/>
                <w:szCs w:val="24"/>
                <w:highlight w:val="none"/>
                <w:lang w:val="en-US" w:eastAsia="zh-CN"/>
              </w:rPr>
              <w:t>竞标人</w:t>
            </w:r>
            <w:r>
              <w:rPr>
                <w:rFonts w:hint="eastAsia" w:ascii="宋体" w:hAnsi="宋体" w:eastAsia="宋体" w:cs="宋体"/>
                <w:bCs/>
                <w:color w:val="auto"/>
                <w:sz w:val="24"/>
                <w:szCs w:val="24"/>
                <w:highlight w:val="none"/>
              </w:rPr>
              <w:t>因违法经营受到刑事处罚或者责令停产停业、吊销许可证或者执照、较大数额罚款等行政处罚）。</w:t>
            </w:r>
            <w:r>
              <w:rPr>
                <w:rFonts w:ascii="宋体" w:hAnsi="宋体" w:eastAsia="宋体" w:cs="宋体"/>
                <w:color w:val="auto"/>
                <w:sz w:val="24"/>
                <w:szCs w:val="24"/>
                <w:highlight w:val="none"/>
              </w:rPr>
              <w:t>（根据财库〔2022〕3号文</w:t>
            </w:r>
            <w:r>
              <w:rPr>
                <w:rFonts w:hint="eastAsia" w:ascii="宋体" w:hAnsi="宋体" w:eastAsia="宋体" w:cs="宋体"/>
                <w:color w:val="auto"/>
                <w:sz w:val="24"/>
                <w:szCs w:val="24"/>
                <w:highlight w:val="none"/>
                <w:lang w:val="en-US" w:eastAsia="zh-CN"/>
              </w:rPr>
              <w:t>内容</w:t>
            </w:r>
            <w:r>
              <w:rPr>
                <w:rFonts w:ascii="宋体" w:hAnsi="宋体" w:eastAsia="宋体" w:cs="宋体"/>
                <w:color w:val="auto"/>
                <w:sz w:val="24"/>
                <w:szCs w:val="24"/>
                <w:highlight w:val="none"/>
              </w:rPr>
              <w:t>“较大数额罚款”认定为200万元以上的罚款）。 供应商在参加采购活动前三年内因违法经营被禁止在一定期限内参加采购活动，期限届满的，可以参加采购活动。供应商存在上述情形的，应提供相应证明材料。</w:t>
            </w:r>
          </w:p>
        </w:tc>
      </w:tr>
      <w:tr w14:paraId="4895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99" w:type="pct"/>
            <w:vMerge w:val="continue"/>
            <w:vAlign w:val="center"/>
          </w:tcPr>
          <w:p w14:paraId="652FC6B0">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23E8E6CB">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eastAsia="zh-CN"/>
              </w:rPr>
              <w:t>法律、行政法规规定的其他条件</w:t>
            </w:r>
          </w:p>
        </w:tc>
        <w:tc>
          <w:tcPr>
            <w:tcW w:w="3490" w:type="pct"/>
            <w:vAlign w:val="center"/>
          </w:tcPr>
          <w:p w14:paraId="51494675">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提供书面声明</w:t>
            </w:r>
          </w:p>
        </w:tc>
      </w:tr>
      <w:tr w14:paraId="6D20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99" w:type="pct"/>
            <w:vMerge w:val="continue"/>
            <w:vAlign w:val="center"/>
          </w:tcPr>
          <w:p w14:paraId="36907884">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083F4716">
            <w:pPr>
              <w:keepNext w:val="0"/>
              <w:keepLines w:val="0"/>
              <w:pageBreakBefore w:val="0"/>
              <w:kinsoku/>
              <w:wordWrap/>
              <w:overflowPunct/>
              <w:autoSpaceDE/>
              <w:autoSpaceDN/>
              <w:bidi w:val="0"/>
              <w:snapToGrid/>
              <w:spacing w:line="440" w:lineRule="exact"/>
              <w:ind w:left="0" w:leftChars="0" w:right="0" w:rightChars="0" w:firstLine="0"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本项目专门面向中小企业采购</w:t>
            </w:r>
          </w:p>
        </w:tc>
        <w:tc>
          <w:tcPr>
            <w:tcW w:w="3490" w:type="pct"/>
            <w:vAlign w:val="center"/>
          </w:tcPr>
          <w:p w14:paraId="2A06BBBE">
            <w:pPr>
              <w:keepNext w:val="0"/>
              <w:keepLines w:val="0"/>
              <w:pageBreakBefore w:val="0"/>
              <w:kinsoku/>
              <w:wordWrap/>
              <w:overflowPunct/>
              <w:autoSpaceDE/>
              <w:autoSpaceDN/>
              <w:bidi w:val="0"/>
              <w:snapToGrid/>
              <w:spacing w:line="440" w:lineRule="exact"/>
              <w:ind w:left="0" w:leftChars="0" w:right="0" w:rightChars="0" w:firstLine="0" w:firstLineChars="0"/>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供应商应提供中小企业声明函。</w:t>
            </w:r>
          </w:p>
        </w:tc>
      </w:tr>
      <w:tr w14:paraId="1C0D8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99" w:type="pct"/>
            <w:vMerge w:val="continue"/>
            <w:vAlign w:val="center"/>
          </w:tcPr>
          <w:p w14:paraId="3C20BB53">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3D844956">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企业</w:t>
            </w:r>
            <w:r>
              <w:rPr>
                <w:rFonts w:hint="eastAsia" w:ascii="宋体" w:hAnsi="宋体" w:eastAsia="宋体" w:cs="宋体"/>
                <w:bCs/>
                <w:color w:val="auto"/>
                <w:sz w:val="24"/>
                <w:szCs w:val="24"/>
                <w:highlight w:val="none"/>
                <w:lang w:eastAsia="zh-CN"/>
              </w:rPr>
              <w:t>资质</w:t>
            </w:r>
          </w:p>
        </w:tc>
        <w:tc>
          <w:tcPr>
            <w:tcW w:w="3490" w:type="pct"/>
            <w:vAlign w:val="center"/>
          </w:tcPr>
          <w:p w14:paraId="56E526B5">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提供有效的</w:t>
            </w:r>
            <w:r>
              <w:rPr>
                <w:rFonts w:hint="eastAsia" w:ascii="宋体" w:hAnsi="宋体" w:cs="宋体"/>
                <w:bCs/>
                <w:color w:val="auto"/>
                <w:sz w:val="24"/>
                <w:szCs w:val="24"/>
                <w:highlight w:val="none"/>
                <w:lang w:val="en-US" w:eastAsia="zh-CN"/>
              </w:rPr>
              <w:t>建筑工程施工总承包叁级或叁级以上资质</w:t>
            </w:r>
            <w:r>
              <w:rPr>
                <w:rFonts w:hint="eastAsia" w:ascii="宋体" w:hAnsi="宋体" w:eastAsia="宋体" w:cs="宋体"/>
                <w:bCs/>
                <w:color w:val="auto"/>
                <w:sz w:val="24"/>
                <w:szCs w:val="24"/>
                <w:highlight w:val="none"/>
                <w:lang w:val="en-US" w:eastAsia="zh-CN"/>
              </w:rPr>
              <w:t>、有效的安全生产许可证扫描件。提供的扫描件须清晰可辨，否则视为未提供。</w:t>
            </w:r>
          </w:p>
        </w:tc>
      </w:tr>
      <w:tr w14:paraId="7760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99" w:type="pct"/>
            <w:vMerge w:val="continue"/>
            <w:vAlign w:val="center"/>
          </w:tcPr>
          <w:p w14:paraId="6E73961E">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1409E9A1">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项目</w:t>
            </w:r>
            <w:r>
              <w:rPr>
                <w:rFonts w:hint="eastAsia" w:ascii="宋体" w:hAnsi="宋体" w:cs="宋体"/>
                <w:bCs/>
                <w:color w:val="auto"/>
                <w:sz w:val="24"/>
                <w:szCs w:val="24"/>
                <w:highlight w:val="none"/>
                <w:lang w:val="en-US" w:eastAsia="zh-CN"/>
              </w:rPr>
              <w:t>负责人</w:t>
            </w:r>
            <w:r>
              <w:rPr>
                <w:rFonts w:hint="eastAsia" w:ascii="宋体" w:hAnsi="宋体" w:eastAsia="宋体" w:cs="宋体"/>
                <w:bCs/>
                <w:color w:val="auto"/>
                <w:sz w:val="24"/>
                <w:szCs w:val="24"/>
                <w:highlight w:val="none"/>
                <w:lang w:val="en-US" w:eastAsia="zh-CN"/>
              </w:rPr>
              <w:t>资格</w:t>
            </w:r>
          </w:p>
        </w:tc>
        <w:tc>
          <w:tcPr>
            <w:tcW w:w="3490" w:type="pct"/>
            <w:vAlign w:val="center"/>
          </w:tcPr>
          <w:p w14:paraId="2D03E887">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提供有效的</w:t>
            </w:r>
            <w:r>
              <w:rPr>
                <w:rFonts w:hint="eastAsia" w:ascii="宋体" w:hAnsi="宋体" w:cs="宋体"/>
                <w:bCs/>
                <w:color w:val="auto"/>
                <w:sz w:val="24"/>
                <w:szCs w:val="24"/>
                <w:highlight w:val="none"/>
                <w:lang w:eastAsia="zh-CN"/>
              </w:rPr>
              <w:t>建筑工程专业二级或二级以上</w:t>
            </w:r>
            <w:r>
              <w:rPr>
                <w:rFonts w:hint="eastAsia" w:ascii="宋体" w:hAnsi="宋体" w:eastAsia="宋体" w:cs="宋体"/>
                <w:bCs/>
                <w:color w:val="auto"/>
                <w:sz w:val="24"/>
                <w:szCs w:val="24"/>
                <w:highlight w:val="none"/>
                <w:lang w:eastAsia="zh-CN"/>
              </w:rPr>
              <w:t>注册建造师执业资格证书和有效的安全生产考核合格证书扫描件，且提供未担任其他在建工程的项目负责人、拟任项目负责人一经委派，不得擅自更换承诺书。提供的扫描件须清晰可辨，否则视为未提供。</w:t>
            </w:r>
          </w:p>
        </w:tc>
      </w:tr>
      <w:tr w14:paraId="0816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99" w:type="pct"/>
            <w:vMerge w:val="continue"/>
            <w:vAlign w:val="center"/>
          </w:tcPr>
          <w:p w14:paraId="0C374FE6">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0F9328E8">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供应商不得存在的情形</w:t>
            </w:r>
          </w:p>
        </w:tc>
        <w:tc>
          <w:tcPr>
            <w:tcW w:w="3490" w:type="pct"/>
            <w:vAlign w:val="center"/>
          </w:tcPr>
          <w:p w14:paraId="61585E5E">
            <w:pPr>
              <w:keepNext w:val="0"/>
              <w:keepLines w:val="0"/>
              <w:pageBreakBefore w:val="0"/>
              <w:kinsoku/>
              <w:wordWrap/>
              <w:overflowPunct/>
              <w:autoSpaceDE/>
              <w:autoSpaceDN/>
              <w:bidi w:val="0"/>
              <w:snapToGrid/>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根据《中华人民共和国政府采购法实施条例》第十八条规定：</w:t>
            </w:r>
          </w:p>
          <w:p w14:paraId="73F8BA20">
            <w:pPr>
              <w:keepNext w:val="0"/>
              <w:keepLines w:val="0"/>
              <w:pageBreakBefore w:val="0"/>
              <w:numPr>
                <w:ilvl w:val="0"/>
                <w:numId w:val="0"/>
              </w:numPr>
              <w:kinsoku/>
              <w:wordWrap/>
              <w:overflowPunct/>
              <w:autoSpaceDE/>
              <w:autoSpaceDN/>
              <w:bidi w:val="0"/>
              <w:snapToGrid/>
              <w:spacing w:line="46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单位负责人为同一人或者存在直接控股、管理关系的不同供应商，不得参加同一合同项下的政府采购活动。</w:t>
            </w:r>
          </w:p>
          <w:p w14:paraId="19D42960">
            <w:pPr>
              <w:keepNext w:val="0"/>
              <w:keepLines w:val="0"/>
              <w:pageBreakBefore w:val="0"/>
              <w:kinsoku/>
              <w:wordWrap/>
              <w:overflowPunct/>
              <w:autoSpaceDE/>
              <w:autoSpaceDN/>
              <w:bidi w:val="0"/>
              <w:snapToGrid/>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（2）除单一来源采购项目外，为采购项目提供整体设计、规范编制或者项目管理、监理、检测等服务的供应商，不得再参加该采购项目的其他采购活动。</w:t>
            </w:r>
          </w:p>
          <w:p w14:paraId="6FF47A8A">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highlight w:val="none"/>
                <w:lang w:eastAsia="zh-CN"/>
              </w:rPr>
              <w:t>注：供应商须</w:t>
            </w:r>
            <w:r>
              <w:rPr>
                <w:rFonts w:hint="eastAsia" w:ascii="宋体" w:hAnsi="宋体" w:eastAsia="宋体" w:cs="宋体"/>
                <w:bCs/>
                <w:color w:val="auto"/>
                <w:sz w:val="24"/>
                <w:highlight w:val="none"/>
              </w:rPr>
              <w:t>针对</w:t>
            </w:r>
            <w:r>
              <w:rPr>
                <w:rFonts w:hint="eastAsia" w:ascii="宋体" w:hAnsi="宋体" w:eastAsia="宋体" w:cs="宋体"/>
                <w:bCs/>
                <w:color w:val="auto"/>
                <w:sz w:val="24"/>
                <w:highlight w:val="none"/>
                <w:lang w:val="en-US" w:eastAsia="zh-CN"/>
              </w:rPr>
              <w:t>以上</w:t>
            </w:r>
            <w:r>
              <w:rPr>
                <w:rFonts w:hint="eastAsia" w:ascii="宋体" w:hAnsi="宋体" w:eastAsia="宋体" w:cs="宋体"/>
                <w:bCs/>
                <w:color w:val="auto"/>
                <w:sz w:val="24"/>
                <w:highlight w:val="none"/>
              </w:rPr>
              <w:t>内容提供书面承诺</w:t>
            </w:r>
            <w:r>
              <w:rPr>
                <w:rFonts w:hint="eastAsia" w:ascii="宋体" w:hAnsi="宋体" w:eastAsia="宋体" w:cs="宋体"/>
                <w:bCs/>
                <w:color w:val="auto"/>
                <w:sz w:val="24"/>
                <w:highlight w:val="none"/>
                <w:lang w:eastAsia="zh-CN"/>
              </w:rPr>
              <w:t>。</w:t>
            </w:r>
          </w:p>
        </w:tc>
      </w:tr>
      <w:tr w14:paraId="127D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99" w:type="pct"/>
            <w:vMerge w:val="continue"/>
            <w:vAlign w:val="center"/>
          </w:tcPr>
          <w:p w14:paraId="33BB43A9">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469F6E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保证金</w:t>
            </w:r>
            <w:r>
              <w:rPr>
                <w:rFonts w:hint="eastAsia" w:ascii="宋体" w:hAnsi="宋体" w:eastAsia="宋体" w:cs="宋体"/>
                <w:bCs/>
                <w:color w:val="auto"/>
                <w:sz w:val="24"/>
                <w:szCs w:val="24"/>
                <w:highlight w:val="none"/>
                <w:lang w:val="en-US" w:eastAsia="zh-CN"/>
              </w:rPr>
              <w:t>缴纳</w:t>
            </w:r>
          </w:p>
        </w:tc>
        <w:tc>
          <w:tcPr>
            <w:tcW w:w="3490" w:type="pct"/>
            <w:vAlign w:val="center"/>
          </w:tcPr>
          <w:p w14:paraId="0B1FFC8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val="en-US" w:eastAsia="zh-CN"/>
              </w:rPr>
              <w:t>提供投标保证金凭据，符合竞争性磋商文件的规定</w:t>
            </w:r>
            <w:r>
              <w:rPr>
                <w:rFonts w:hint="eastAsia" w:ascii="宋体" w:hAnsi="宋体" w:eastAsia="宋体" w:cs="宋体"/>
                <w:bCs/>
                <w:color w:val="auto"/>
                <w:sz w:val="24"/>
                <w:szCs w:val="24"/>
                <w:highlight w:val="none"/>
              </w:rPr>
              <w:t>。</w:t>
            </w:r>
          </w:p>
        </w:tc>
      </w:tr>
      <w:tr w14:paraId="4750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599" w:type="pct"/>
            <w:vMerge w:val="continue"/>
            <w:vAlign w:val="center"/>
          </w:tcPr>
          <w:p w14:paraId="2F464B43">
            <w:pPr>
              <w:snapToGrid w:val="0"/>
              <w:spacing w:line="300" w:lineRule="exact"/>
              <w:jc w:val="center"/>
              <w:rPr>
                <w:rFonts w:hint="eastAsia" w:ascii="宋体" w:hAnsi="宋体" w:eastAsia="宋体" w:cs="宋体"/>
                <w:color w:val="auto"/>
                <w:sz w:val="24"/>
                <w:szCs w:val="24"/>
                <w:highlight w:val="none"/>
              </w:rPr>
            </w:pPr>
          </w:p>
        </w:tc>
        <w:tc>
          <w:tcPr>
            <w:tcW w:w="909" w:type="pct"/>
            <w:vAlign w:val="center"/>
          </w:tcPr>
          <w:p w14:paraId="2C9827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实质性响应</w:t>
            </w:r>
          </w:p>
        </w:tc>
        <w:tc>
          <w:tcPr>
            <w:tcW w:w="3490" w:type="pct"/>
            <w:vAlign w:val="center"/>
          </w:tcPr>
          <w:p w14:paraId="784E188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提供符合</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规定的相关承诺书</w:t>
            </w:r>
            <w:r>
              <w:rPr>
                <w:rFonts w:hint="eastAsia" w:ascii="宋体" w:hAnsi="宋体" w:eastAsia="宋体" w:cs="宋体"/>
                <w:bCs/>
                <w:color w:val="auto"/>
                <w:sz w:val="24"/>
                <w:szCs w:val="24"/>
                <w:highlight w:val="none"/>
                <w:lang w:val="en-US" w:eastAsia="zh-CN"/>
              </w:rPr>
              <w:t>。</w:t>
            </w:r>
          </w:p>
        </w:tc>
      </w:tr>
    </w:tbl>
    <w:p w14:paraId="094673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2.1.2 符合性检查：竞争性磋商小组成员要认真审阅</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的响应文件，对响应文件中含义不明确、表述不一致或有明细文字和计算错误的内容做必要的澄清，通过符合性检查的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方可进行磋商。符合以下检查标准的，通过符合性检查：</w:t>
      </w:r>
    </w:p>
    <w:p w14:paraId="0F4E978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704E665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14B03AF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1F34148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4D03A2D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28CCD24E">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26290BF2">
      <w:pP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br w:type="page"/>
      </w:r>
    </w:p>
    <w:p w14:paraId="57DD9759">
      <w:pPr>
        <w:pStyle w:val="41"/>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符合性审查表</w:t>
      </w:r>
    </w:p>
    <w:tbl>
      <w:tblPr>
        <w:tblStyle w:val="2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341"/>
        <w:gridCol w:w="5743"/>
      </w:tblGrid>
      <w:tr w14:paraId="4AA5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135" w:type="dxa"/>
            <w:vMerge w:val="restart"/>
            <w:vAlign w:val="center"/>
          </w:tcPr>
          <w:p w14:paraId="49B7D7DB">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符合性评审标准</w:t>
            </w:r>
          </w:p>
        </w:tc>
        <w:tc>
          <w:tcPr>
            <w:tcW w:w="2341" w:type="dxa"/>
            <w:vAlign w:val="center"/>
          </w:tcPr>
          <w:p w14:paraId="5C978374">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身份</w:t>
            </w:r>
            <w:r>
              <w:rPr>
                <w:rFonts w:hint="eastAsia" w:ascii="宋体" w:hAnsi="宋体" w:eastAsia="宋体" w:cs="宋体"/>
                <w:bCs/>
                <w:color w:val="auto"/>
                <w:sz w:val="24"/>
                <w:szCs w:val="24"/>
                <w:highlight w:val="none"/>
              </w:rPr>
              <w:t>证明书</w:t>
            </w:r>
          </w:p>
        </w:tc>
        <w:tc>
          <w:tcPr>
            <w:tcW w:w="5743" w:type="dxa"/>
            <w:vAlign w:val="center"/>
          </w:tcPr>
          <w:p w14:paraId="606C1733">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给定格式及内容,并按要求盖章。</w:t>
            </w:r>
          </w:p>
        </w:tc>
      </w:tr>
      <w:tr w14:paraId="5AC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135" w:type="dxa"/>
            <w:vMerge w:val="continue"/>
            <w:vAlign w:val="center"/>
          </w:tcPr>
          <w:p w14:paraId="64A1A6A0">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Merge w:val="restart"/>
            <w:vAlign w:val="center"/>
          </w:tcPr>
          <w:p w14:paraId="7D503443">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法定代表人授权委托书</w:t>
            </w:r>
          </w:p>
        </w:tc>
        <w:tc>
          <w:tcPr>
            <w:tcW w:w="5743" w:type="dxa"/>
            <w:vAlign w:val="center"/>
          </w:tcPr>
          <w:p w14:paraId="5B845D17">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 xml:space="preserve">给定格式及内容，并按要求盖章。 </w:t>
            </w:r>
          </w:p>
        </w:tc>
      </w:tr>
      <w:tr w14:paraId="2A4B7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135" w:type="dxa"/>
            <w:vMerge w:val="continue"/>
            <w:vAlign w:val="center"/>
          </w:tcPr>
          <w:p w14:paraId="1EB94FB7">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Merge w:val="continue"/>
            <w:vAlign w:val="center"/>
          </w:tcPr>
          <w:p w14:paraId="3EA9BC5B">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5743" w:type="dxa"/>
            <w:vAlign w:val="center"/>
          </w:tcPr>
          <w:p w14:paraId="4D01D1F5">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（包括评标过程中的澄清、说明或者补正）由法定代表人签署的，不审查该项。</w:t>
            </w:r>
          </w:p>
        </w:tc>
      </w:tr>
      <w:tr w14:paraId="44C5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135" w:type="dxa"/>
            <w:vMerge w:val="continue"/>
            <w:vAlign w:val="center"/>
          </w:tcPr>
          <w:p w14:paraId="6027507F">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570C9030">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5743" w:type="dxa"/>
            <w:vAlign w:val="center"/>
          </w:tcPr>
          <w:p w14:paraId="43DBC01B">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完整且只有一个有效报价</w:t>
            </w:r>
            <w:r>
              <w:rPr>
                <w:rFonts w:hint="eastAsia" w:ascii="宋体" w:hAnsi="宋体" w:eastAsia="宋体" w:cs="宋体"/>
                <w:bCs/>
                <w:color w:val="auto"/>
                <w:sz w:val="24"/>
                <w:szCs w:val="24"/>
                <w:highlight w:val="none"/>
                <w:lang w:eastAsia="zh-CN"/>
              </w:rPr>
              <w:t>。</w:t>
            </w:r>
          </w:p>
        </w:tc>
      </w:tr>
      <w:tr w14:paraId="0FB9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135" w:type="dxa"/>
            <w:vMerge w:val="continue"/>
            <w:vAlign w:val="center"/>
          </w:tcPr>
          <w:p w14:paraId="1635482B">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40E6963E">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投标有效期</w:t>
            </w:r>
          </w:p>
        </w:tc>
        <w:tc>
          <w:tcPr>
            <w:tcW w:w="5743" w:type="dxa"/>
            <w:vAlign w:val="center"/>
          </w:tcPr>
          <w:p w14:paraId="6B991BE7">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符合第二章“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须知”规定</w:t>
            </w:r>
            <w:r>
              <w:rPr>
                <w:rFonts w:hint="eastAsia" w:ascii="宋体" w:hAnsi="宋体" w:eastAsia="宋体" w:cs="宋体"/>
                <w:bCs/>
                <w:color w:val="auto"/>
                <w:sz w:val="24"/>
                <w:szCs w:val="24"/>
                <w:highlight w:val="none"/>
                <w:lang w:eastAsia="zh-CN"/>
              </w:rPr>
              <w:t>。</w:t>
            </w:r>
          </w:p>
        </w:tc>
      </w:tr>
      <w:tr w14:paraId="3F88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35" w:type="dxa"/>
            <w:vMerge w:val="continue"/>
            <w:vAlign w:val="center"/>
          </w:tcPr>
          <w:p w14:paraId="59EFAF47">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1D0EB586">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内容、格式及签字盖章</w:t>
            </w:r>
          </w:p>
        </w:tc>
        <w:tc>
          <w:tcPr>
            <w:tcW w:w="5743" w:type="dxa"/>
            <w:vAlign w:val="center"/>
          </w:tcPr>
          <w:p w14:paraId="54A54A0F">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w:t>
            </w:r>
            <w:r>
              <w:rPr>
                <w:rFonts w:hint="eastAsia" w:ascii="宋体" w:hAnsi="宋体" w:eastAsia="宋体" w:cs="宋体"/>
                <w:bCs/>
                <w:color w:val="auto"/>
                <w:sz w:val="24"/>
                <w:szCs w:val="24"/>
                <w:highlight w:val="none"/>
                <w:lang w:eastAsia="zh-CN"/>
              </w:rPr>
              <w:t>竞争性磋商文件</w:t>
            </w:r>
            <w:r>
              <w:rPr>
                <w:rFonts w:hint="eastAsia" w:ascii="宋体" w:hAnsi="宋体" w:eastAsia="宋体" w:cs="宋体"/>
                <w:bCs/>
                <w:color w:val="auto"/>
                <w:sz w:val="24"/>
                <w:szCs w:val="24"/>
                <w:highlight w:val="none"/>
              </w:rPr>
              <w:t>要求的内容及规定的格式进行填写并按规定进行签字、盖章，未存在内容不全或者关键内容字迹模糊，无法辨认的。</w:t>
            </w:r>
          </w:p>
        </w:tc>
      </w:tr>
      <w:tr w14:paraId="5996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35" w:type="dxa"/>
            <w:vMerge w:val="continue"/>
            <w:vAlign w:val="center"/>
          </w:tcPr>
          <w:p w14:paraId="7A6E793A">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39F82DE4">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未出现的情形</w:t>
            </w:r>
          </w:p>
        </w:tc>
        <w:tc>
          <w:tcPr>
            <w:tcW w:w="5743" w:type="dxa"/>
            <w:vAlign w:val="center"/>
          </w:tcPr>
          <w:p w14:paraId="25103F03">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未出现其他实质性情形（</w:t>
            </w:r>
            <w:r>
              <w:rPr>
                <w:rFonts w:hint="eastAsia" w:ascii="宋体" w:hAnsi="宋体" w:eastAsia="宋体" w:cs="宋体"/>
                <w:bCs/>
                <w:color w:val="auto"/>
                <w:sz w:val="24"/>
                <w:szCs w:val="24"/>
                <w:highlight w:val="none"/>
                <w:lang w:eastAsia="zh-CN"/>
              </w:rPr>
              <w:t>竞争性磋商文件</w:t>
            </w:r>
            <w:r>
              <w:rPr>
                <w:rFonts w:hint="eastAsia" w:ascii="宋体" w:hAnsi="宋体" w:eastAsia="宋体" w:cs="宋体"/>
                <w:bCs/>
                <w:color w:val="auto"/>
                <w:sz w:val="24"/>
                <w:szCs w:val="24"/>
                <w:highlight w:val="none"/>
              </w:rPr>
              <w:t>第二章第</w:t>
            </w:r>
            <w:r>
              <w:rPr>
                <w:rFonts w:hint="eastAsia" w:ascii="宋体" w:hAnsi="宋体" w:eastAsia="宋体" w:cs="宋体"/>
                <w:bCs/>
                <w:color w:val="auto"/>
                <w:sz w:val="24"/>
                <w:szCs w:val="24"/>
                <w:highlight w:val="none"/>
                <w:lang w:val="en-US" w:eastAsia="zh-CN"/>
              </w:rPr>
              <w:t>5.2.5</w:t>
            </w:r>
            <w:r>
              <w:rPr>
                <w:rFonts w:hint="eastAsia" w:ascii="宋体" w:hAnsi="宋体" w:eastAsia="宋体" w:cs="宋体"/>
                <w:bCs/>
                <w:color w:val="auto"/>
                <w:sz w:val="24"/>
                <w:szCs w:val="24"/>
                <w:highlight w:val="none"/>
              </w:rPr>
              <w:t>条、第</w:t>
            </w:r>
            <w:r>
              <w:rPr>
                <w:rFonts w:hint="eastAsia" w:ascii="宋体" w:hAnsi="宋体" w:eastAsia="宋体" w:cs="宋体"/>
                <w:bCs/>
                <w:color w:val="auto"/>
                <w:sz w:val="24"/>
                <w:szCs w:val="24"/>
                <w:highlight w:val="none"/>
                <w:lang w:val="en-US" w:eastAsia="zh-CN"/>
              </w:rPr>
              <w:t>5.2.6</w:t>
            </w:r>
            <w:r>
              <w:rPr>
                <w:rFonts w:hint="eastAsia" w:ascii="宋体" w:hAnsi="宋体" w:eastAsia="宋体" w:cs="宋体"/>
                <w:bCs/>
                <w:color w:val="auto"/>
                <w:sz w:val="24"/>
                <w:szCs w:val="24"/>
                <w:highlight w:val="none"/>
              </w:rPr>
              <w:t>条）</w:t>
            </w:r>
            <w:r>
              <w:rPr>
                <w:rFonts w:hint="eastAsia" w:ascii="宋体" w:hAnsi="宋体" w:eastAsia="宋体" w:cs="宋体"/>
                <w:bCs/>
                <w:color w:val="auto"/>
                <w:sz w:val="24"/>
                <w:szCs w:val="24"/>
                <w:highlight w:val="none"/>
                <w:lang w:eastAsia="zh-CN"/>
              </w:rPr>
              <w:t>。</w:t>
            </w:r>
          </w:p>
        </w:tc>
      </w:tr>
    </w:tbl>
    <w:p w14:paraId="29E60167">
      <w:pPr>
        <w:pStyle w:val="41"/>
        <w:rPr>
          <w:rFonts w:hint="eastAsia" w:ascii="宋体" w:hAnsi="宋体" w:eastAsia="宋体" w:cs="宋体"/>
          <w:color w:val="auto"/>
          <w:highlight w:val="none"/>
        </w:rPr>
      </w:pPr>
    </w:p>
    <w:p w14:paraId="619A2F7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 磋商阶段</w:t>
      </w:r>
    </w:p>
    <w:p w14:paraId="10DD0AF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2.2.1竞争性磋商小组所有成员集中与单一</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分别进行磋商，并给予所有参加磋商的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平等的磋商机会，才能进行磋商。</w:t>
      </w:r>
    </w:p>
    <w:p w14:paraId="0A4FA1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竞争性磋商小组要求所有实质性响应</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通过初步评审</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在规定的时间内提交最后报价，以及对磋商过程中需补充的有关内容进行承诺，并在报价和承诺上签字（</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进行磋商的人员需为法定代表人或有权调整报价及承诺事项的委托代理人）。</w:t>
      </w:r>
    </w:p>
    <w:p w14:paraId="490DB6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 xml:space="preserve"> 在磋商过程中，竞争性磋商小组可以根据磋商文件和磋商情况实质性变动采购需求中的技术、服务要求以及合同草案条款，但不得变动竞争性磋商文件中的其他内容。实质性变动的内容，须经采购人代表确认。</w:t>
      </w:r>
    </w:p>
    <w:p w14:paraId="401187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 xml:space="preserve"> 对竞争性磋商文件作出的实质性变动是竞争性磋商文件的有效组成部分，竞争性磋商小组应当及时以书面形式同时通知所有参加磋商的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w:t>
      </w:r>
    </w:p>
    <w:p w14:paraId="5C6B47B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应当按照竞争性磋商文件的变动情况和竞争性磋商小组的要求重新提交响应文件，并由其法定代表人或授权代理人签字或者盖公章。由授权代表签字的，应当附法定代表人授权书。</w:t>
      </w:r>
    </w:p>
    <w:p w14:paraId="4ACD483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 详细评审阶段</w:t>
      </w:r>
    </w:p>
    <w:p w14:paraId="48EF479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2.3.1 本项目的评审方法为综合评分法，是指响应文件满足</w:t>
      </w:r>
      <w:r>
        <w:rPr>
          <w:rFonts w:hint="eastAsia" w:ascii="宋体" w:hAnsi="宋体" w:cs="宋体"/>
          <w:b/>
          <w:color w:val="auto"/>
          <w:sz w:val="24"/>
          <w:highlight w:val="none"/>
          <w:lang w:val="en-US" w:eastAsia="zh-CN"/>
        </w:rPr>
        <w:t>竞争性</w:t>
      </w:r>
      <w:r>
        <w:rPr>
          <w:rFonts w:hint="eastAsia" w:ascii="宋体" w:hAnsi="宋体" w:eastAsia="宋体" w:cs="宋体"/>
          <w:b/>
          <w:color w:val="auto"/>
          <w:sz w:val="24"/>
          <w:highlight w:val="none"/>
        </w:rPr>
        <w:t>磋商文件全部实质性要求且按评审因素的量化指标评审得分最高的</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为成交候选</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的评审方法。评审时，竞争性磋商小组各成员应当独立对每个有效响应的文件进行评价、打分，然后汇总每个</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每项评分因素的得分。</w:t>
      </w:r>
    </w:p>
    <w:p w14:paraId="75DCE85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综合评分的满分为100分，其中报价部分为</w:t>
      </w:r>
      <w:r>
        <w:rPr>
          <w:rFonts w:hint="eastAsia" w:ascii="宋体" w:hAnsi="宋体" w:cs="宋体"/>
          <w:bCs/>
          <w:color w:val="auto"/>
          <w:sz w:val="24"/>
          <w:highlight w:val="none"/>
          <w:lang w:val="en-US" w:eastAsia="zh-CN"/>
        </w:rPr>
        <w:t>10</w:t>
      </w:r>
      <w:r>
        <w:rPr>
          <w:rFonts w:hint="eastAsia" w:ascii="宋体" w:hAnsi="宋体" w:eastAsia="宋体" w:cs="宋体"/>
          <w:bCs/>
          <w:color w:val="auto"/>
          <w:sz w:val="24"/>
          <w:highlight w:val="none"/>
        </w:rPr>
        <w:t>分，技术部分为</w:t>
      </w:r>
      <w:r>
        <w:rPr>
          <w:rFonts w:hint="eastAsia" w:ascii="宋体" w:hAnsi="宋体" w:cs="宋体"/>
          <w:bCs/>
          <w:color w:val="auto"/>
          <w:sz w:val="24"/>
          <w:highlight w:val="none"/>
          <w:lang w:val="en-US" w:eastAsia="zh-CN"/>
        </w:rPr>
        <w:t>85</w:t>
      </w:r>
      <w:r>
        <w:rPr>
          <w:rFonts w:hint="eastAsia" w:ascii="宋体" w:hAnsi="宋体" w:eastAsia="宋体" w:cs="宋体"/>
          <w:bCs/>
          <w:color w:val="auto"/>
          <w:sz w:val="24"/>
          <w:highlight w:val="none"/>
        </w:rPr>
        <w:t>分，商务部分为</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分，分值保留小数点后两位。</w:t>
      </w:r>
    </w:p>
    <w:p w14:paraId="65222C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2.3.2 评审标准</w:t>
      </w:r>
    </w:p>
    <w:p w14:paraId="112D1CC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（1）竞争性磋商小组对提交最后报价的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的响应文件和最后报价进行综合评分。</w:t>
      </w:r>
    </w:p>
    <w:p w14:paraId="13ED190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的技术部分和商务部分的得分为所有评委评分的算术平均值。</w:t>
      </w:r>
    </w:p>
    <w:p w14:paraId="27AFDA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最后得分为技术部分得分、商务部分得分及报价部分得分的总和。</w:t>
      </w:r>
    </w:p>
    <w:p w14:paraId="0B330098">
      <w:pPr>
        <w:pStyle w:val="9"/>
        <w:spacing w:line="384" w:lineRule="auto"/>
        <w:ind w:firstLine="0"/>
        <w:rPr>
          <w:rFonts w:hint="eastAsia" w:ascii="宋体" w:hAnsi="宋体" w:eastAsia="宋体" w:cs="宋体"/>
          <w:b/>
          <w:bCs/>
          <w:color w:val="auto"/>
          <w:sz w:val="24"/>
          <w:szCs w:val="21"/>
          <w:highlight w:val="none"/>
        </w:rPr>
      </w:pPr>
    </w:p>
    <w:p w14:paraId="3E63C091">
      <w:pPr>
        <w:pStyle w:val="9"/>
        <w:spacing w:line="384" w:lineRule="auto"/>
        <w:ind w:firstLine="0"/>
        <w:rPr>
          <w:rFonts w:hint="eastAsia" w:ascii="宋体" w:hAnsi="宋体" w:eastAsia="宋体" w:cs="宋体"/>
          <w:b/>
          <w:bCs/>
          <w:color w:val="auto"/>
          <w:sz w:val="24"/>
          <w:szCs w:val="21"/>
          <w:highlight w:val="none"/>
        </w:rPr>
      </w:pPr>
    </w:p>
    <w:p w14:paraId="0885C9AB">
      <w:pPr>
        <w:pStyle w:val="9"/>
        <w:spacing w:line="384" w:lineRule="auto"/>
        <w:ind w:firstLine="0"/>
        <w:rPr>
          <w:rFonts w:hint="eastAsia" w:ascii="宋体" w:hAnsi="宋体" w:eastAsia="宋体" w:cs="宋体"/>
          <w:b/>
          <w:bCs/>
          <w:color w:val="auto"/>
          <w:sz w:val="24"/>
          <w:szCs w:val="21"/>
          <w:highlight w:val="none"/>
        </w:rPr>
      </w:pPr>
    </w:p>
    <w:p w14:paraId="6A7253E8">
      <w:pPr>
        <w:pStyle w:val="9"/>
        <w:spacing w:line="384" w:lineRule="auto"/>
        <w:ind w:firstLine="0"/>
        <w:rPr>
          <w:rFonts w:hint="eastAsia" w:ascii="宋体" w:hAnsi="宋体" w:eastAsia="宋体" w:cs="宋体"/>
          <w:b/>
          <w:bCs/>
          <w:color w:val="auto"/>
          <w:sz w:val="24"/>
          <w:szCs w:val="21"/>
          <w:highlight w:val="none"/>
        </w:rPr>
      </w:pPr>
    </w:p>
    <w:p w14:paraId="7CA168C2">
      <w:pPr>
        <w:pStyle w:val="9"/>
        <w:spacing w:line="384" w:lineRule="auto"/>
        <w:ind w:firstLine="0"/>
        <w:rPr>
          <w:rFonts w:hint="eastAsia" w:ascii="宋体" w:hAnsi="宋体" w:eastAsia="宋体" w:cs="宋体"/>
          <w:b/>
          <w:bCs/>
          <w:color w:val="auto"/>
          <w:sz w:val="24"/>
          <w:szCs w:val="21"/>
          <w:highlight w:val="none"/>
        </w:rPr>
      </w:pPr>
    </w:p>
    <w:p w14:paraId="2B12140C">
      <w:pPr>
        <w:pStyle w:val="9"/>
        <w:spacing w:line="384" w:lineRule="auto"/>
        <w:ind w:firstLine="0"/>
        <w:rPr>
          <w:rFonts w:hint="eastAsia" w:ascii="宋体" w:hAnsi="宋体" w:eastAsia="宋体" w:cs="宋体"/>
          <w:b/>
          <w:bCs/>
          <w:color w:val="auto"/>
          <w:sz w:val="24"/>
          <w:szCs w:val="21"/>
          <w:highlight w:val="none"/>
        </w:rPr>
      </w:pPr>
    </w:p>
    <w:p w14:paraId="0192C092">
      <w:pPr>
        <w:pStyle w:val="9"/>
        <w:spacing w:line="384" w:lineRule="auto"/>
        <w:ind w:firstLine="0"/>
        <w:rPr>
          <w:rFonts w:hint="eastAsia" w:ascii="宋体" w:hAnsi="宋体" w:eastAsia="宋体" w:cs="宋体"/>
          <w:b/>
          <w:bCs/>
          <w:color w:val="auto"/>
          <w:sz w:val="24"/>
          <w:szCs w:val="21"/>
          <w:highlight w:val="none"/>
        </w:rPr>
      </w:pPr>
    </w:p>
    <w:p w14:paraId="4D6D68DA">
      <w:pPr>
        <w:pStyle w:val="9"/>
        <w:spacing w:line="384" w:lineRule="auto"/>
        <w:ind w:firstLine="0"/>
        <w:rPr>
          <w:rFonts w:hint="eastAsia" w:ascii="宋体" w:hAnsi="宋体" w:eastAsia="宋体" w:cs="宋体"/>
          <w:b/>
          <w:bCs/>
          <w:color w:val="auto"/>
          <w:sz w:val="24"/>
          <w:szCs w:val="21"/>
          <w:highlight w:val="none"/>
        </w:rPr>
      </w:pPr>
    </w:p>
    <w:p w14:paraId="7BAE2EE5">
      <w:pPr>
        <w:pStyle w:val="9"/>
        <w:spacing w:line="384" w:lineRule="auto"/>
        <w:ind w:firstLine="0"/>
        <w:rPr>
          <w:rFonts w:hint="eastAsia" w:ascii="宋体" w:hAnsi="宋体" w:eastAsia="宋体" w:cs="宋体"/>
          <w:b/>
          <w:bCs/>
          <w:color w:val="auto"/>
          <w:sz w:val="24"/>
          <w:szCs w:val="21"/>
          <w:highlight w:val="none"/>
        </w:rPr>
      </w:pPr>
    </w:p>
    <w:p w14:paraId="641F9F65">
      <w:pPr>
        <w:pStyle w:val="9"/>
        <w:spacing w:line="384" w:lineRule="auto"/>
        <w:ind w:firstLine="0"/>
        <w:rPr>
          <w:rFonts w:hint="eastAsia" w:ascii="宋体" w:hAnsi="宋体" w:eastAsia="宋体" w:cs="宋体"/>
          <w:b/>
          <w:bCs/>
          <w:color w:val="auto"/>
          <w:sz w:val="24"/>
          <w:szCs w:val="21"/>
          <w:highlight w:val="none"/>
        </w:rPr>
      </w:pPr>
    </w:p>
    <w:p w14:paraId="4AE2BBBF">
      <w:pPr>
        <w:pStyle w:val="9"/>
        <w:spacing w:line="384" w:lineRule="auto"/>
        <w:ind w:firstLine="0"/>
        <w:rPr>
          <w:rFonts w:hint="eastAsia" w:ascii="宋体" w:hAnsi="宋体" w:eastAsia="宋体" w:cs="宋体"/>
          <w:b/>
          <w:bCs/>
          <w:color w:val="auto"/>
          <w:sz w:val="24"/>
          <w:szCs w:val="21"/>
          <w:highlight w:val="none"/>
        </w:rPr>
      </w:pPr>
    </w:p>
    <w:p w14:paraId="5DB1CA16">
      <w:pPr>
        <w:pStyle w:val="9"/>
        <w:spacing w:line="384" w:lineRule="auto"/>
        <w:ind w:firstLine="0"/>
        <w:rPr>
          <w:rFonts w:hint="eastAsia" w:ascii="宋体" w:hAnsi="宋体" w:eastAsia="宋体" w:cs="宋体"/>
          <w:b/>
          <w:bCs/>
          <w:color w:val="auto"/>
          <w:sz w:val="24"/>
          <w:szCs w:val="21"/>
          <w:highlight w:val="none"/>
        </w:rPr>
      </w:pPr>
    </w:p>
    <w:p w14:paraId="6490C0BC">
      <w:pPr>
        <w:pStyle w:val="9"/>
        <w:spacing w:line="384" w:lineRule="auto"/>
        <w:ind w:firstLine="0"/>
        <w:rPr>
          <w:rFonts w:hint="eastAsia" w:ascii="宋体" w:hAnsi="宋体" w:eastAsia="宋体" w:cs="宋体"/>
          <w:b/>
          <w:bCs/>
          <w:color w:val="auto"/>
          <w:sz w:val="24"/>
          <w:szCs w:val="21"/>
          <w:highlight w:val="none"/>
        </w:rPr>
      </w:pPr>
    </w:p>
    <w:p w14:paraId="7A9F363C">
      <w:pPr>
        <w:rPr>
          <w:rFonts w:hint="eastAsia" w:ascii="宋体" w:hAnsi="宋体" w:eastAsia="宋体" w:cs="宋体"/>
          <w:b/>
          <w:bCs w:val="0"/>
          <w:color w:val="auto"/>
          <w:sz w:val="28"/>
          <w:szCs w:val="28"/>
          <w:highlight w:val="none"/>
        </w:rPr>
      </w:pPr>
      <w:bookmarkStart w:id="347" w:name="_Toc10059"/>
      <w:bookmarkStart w:id="348" w:name="_Toc6963"/>
      <w:bookmarkStart w:id="349" w:name="_Toc22711"/>
      <w:bookmarkStart w:id="350" w:name="_Toc18684"/>
      <w:bookmarkStart w:id="351" w:name="_Toc4843"/>
      <w:bookmarkStart w:id="352" w:name="_Toc5478"/>
      <w:bookmarkStart w:id="353" w:name="_Toc24316"/>
      <w:r>
        <w:rPr>
          <w:rFonts w:hint="eastAsia" w:ascii="宋体" w:hAnsi="宋体" w:eastAsia="宋体" w:cs="宋体"/>
          <w:b/>
          <w:bCs w:val="0"/>
          <w:color w:val="auto"/>
          <w:sz w:val="28"/>
          <w:szCs w:val="28"/>
          <w:highlight w:val="none"/>
        </w:rPr>
        <w:br w:type="page"/>
      </w:r>
    </w:p>
    <w:p w14:paraId="76B846E9">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28"/>
          <w:szCs w:val="28"/>
          <w:highlight w:val="none"/>
        </w:rPr>
        <w:t>评分标准（满分100分）</w:t>
      </w:r>
      <w:bookmarkEnd w:id="347"/>
      <w:bookmarkEnd w:id="348"/>
      <w:bookmarkEnd w:id="349"/>
      <w:bookmarkEnd w:id="350"/>
      <w:bookmarkEnd w:id="351"/>
      <w:bookmarkEnd w:id="352"/>
      <w:bookmarkEnd w:id="353"/>
    </w:p>
    <w:tbl>
      <w:tblPr>
        <w:tblStyle w:val="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113"/>
        <w:gridCol w:w="7135"/>
      </w:tblGrid>
      <w:tr w14:paraId="5766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tblHeader/>
          <w:jc w:val="center"/>
        </w:trPr>
        <w:tc>
          <w:tcPr>
            <w:tcW w:w="1158" w:type="pct"/>
            <w:gridSpan w:val="2"/>
            <w:shd w:val="clear" w:color="auto" w:fill="B8CCE4" w:themeFill="accent1" w:themeFillTint="66"/>
            <w:noWrap w:val="0"/>
            <w:vAlign w:val="center"/>
          </w:tcPr>
          <w:p w14:paraId="4810EBF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评分因素</w:t>
            </w:r>
          </w:p>
        </w:tc>
        <w:tc>
          <w:tcPr>
            <w:tcW w:w="3841" w:type="pct"/>
            <w:shd w:val="clear" w:color="auto" w:fill="B8CCE4" w:themeFill="accent1" w:themeFillTint="66"/>
            <w:noWrap w:val="0"/>
            <w:vAlign w:val="center"/>
          </w:tcPr>
          <w:p w14:paraId="111CC24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评分基准</w:t>
            </w:r>
          </w:p>
        </w:tc>
      </w:tr>
      <w:tr w14:paraId="2E0D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559" w:type="pct"/>
            <w:vMerge w:val="restart"/>
            <w:noWrap w:val="0"/>
            <w:vAlign w:val="center"/>
          </w:tcPr>
          <w:p w14:paraId="4AB983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报价部分评分</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分</w:t>
            </w:r>
          </w:p>
        </w:tc>
        <w:tc>
          <w:tcPr>
            <w:tcW w:w="598" w:type="pct"/>
            <w:vMerge w:val="restart"/>
            <w:noWrap w:val="0"/>
            <w:vAlign w:val="center"/>
          </w:tcPr>
          <w:p w14:paraId="718734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报价分</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分)</w:t>
            </w:r>
          </w:p>
        </w:tc>
        <w:tc>
          <w:tcPr>
            <w:tcW w:w="3841" w:type="pct"/>
            <w:noWrap w:val="0"/>
            <w:vAlign w:val="center"/>
          </w:tcPr>
          <w:p w14:paraId="5429D019">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报价评分统一按照下列公式计算：</w:t>
            </w:r>
          </w:p>
          <w:p w14:paraId="0A5E259E">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投标报价得分=（评标基准价/</w:t>
            </w:r>
            <w:r>
              <w:rPr>
                <w:rFonts w:hint="eastAsia" w:ascii="宋体" w:hAnsi="宋体" w:cs="宋体"/>
                <w:bCs/>
                <w:color w:val="auto"/>
                <w:sz w:val="24"/>
                <w:szCs w:val="24"/>
                <w:highlight w:val="none"/>
                <w:lang w:val="en-US" w:eastAsia="zh-CN"/>
              </w:rPr>
              <w:t>最后磋商报价</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p>
          <w:p w14:paraId="1417BAD7">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计算结果保留小数点后两位，第三位四舍五入。</w:t>
            </w:r>
          </w:p>
        </w:tc>
      </w:tr>
      <w:tr w14:paraId="3EDB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jc w:val="center"/>
        </w:trPr>
        <w:tc>
          <w:tcPr>
            <w:tcW w:w="559" w:type="pct"/>
            <w:vMerge w:val="continue"/>
            <w:noWrap w:val="0"/>
            <w:vAlign w:val="center"/>
          </w:tcPr>
          <w:p w14:paraId="6864AEC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vMerge w:val="continue"/>
            <w:noWrap w:val="0"/>
            <w:vAlign w:val="center"/>
          </w:tcPr>
          <w:p w14:paraId="75436D3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3841" w:type="pct"/>
            <w:noWrap w:val="0"/>
            <w:vAlign w:val="center"/>
          </w:tcPr>
          <w:p w14:paraId="0D381518">
            <w:pPr>
              <w:keepNext w:val="0"/>
              <w:keepLines w:val="0"/>
              <w:pageBreakBefore w:val="0"/>
              <w:kinsoku/>
              <w:wordWrap/>
              <w:overflowPunct/>
              <w:autoSpaceDE/>
              <w:autoSpaceDN/>
              <w:bidi w:val="0"/>
              <w:snapToGrid/>
              <w:spacing w:line="440" w:lineRule="exact"/>
              <w:ind w:left="0" w:leftChars="0" w:right="0" w:righ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评标基准价：满足</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文件要求且</w:t>
            </w:r>
            <w:r>
              <w:rPr>
                <w:rFonts w:hint="eastAsia" w:ascii="宋体" w:hAnsi="宋体" w:cs="宋体"/>
                <w:color w:val="auto"/>
                <w:sz w:val="24"/>
                <w:szCs w:val="24"/>
                <w:highlight w:val="none"/>
                <w:lang w:val="en-US" w:eastAsia="zh-CN"/>
              </w:rPr>
              <w:t>最后磋商报价</w:t>
            </w:r>
            <w:r>
              <w:rPr>
                <w:rFonts w:hint="eastAsia" w:ascii="宋体" w:hAnsi="宋体" w:eastAsia="宋体" w:cs="宋体"/>
                <w:color w:val="auto"/>
                <w:sz w:val="24"/>
                <w:szCs w:val="24"/>
                <w:highlight w:val="none"/>
              </w:rPr>
              <w:t>最低的为评标基准价，其报价为满分</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039A42C2">
            <w:pPr>
              <w:keepNext w:val="0"/>
              <w:keepLines w:val="0"/>
              <w:pageBreakBefore w:val="0"/>
              <w:kinsoku/>
              <w:wordWrap/>
              <w:overflowPunct/>
              <w:autoSpaceDE/>
              <w:autoSpaceDN/>
              <w:bidi w:val="0"/>
              <w:snapToGrid/>
              <w:spacing w:line="440" w:lineRule="exact"/>
              <w:ind w:left="0" w:leftChars="0" w:right="0" w:rightChars="0" w:firstLine="0" w:firstLineChars="0"/>
              <w:jc w:val="both"/>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eastAsia="zh-CN"/>
              </w:rPr>
              <w:t>注：</w:t>
            </w:r>
            <w:r>
              <w:rPr>
                <w:rFonts w:hint="eastAsia" w:ascii="宋体" w:hAnsi="宋体" w:cs="宋体"/>
                <w:color w:val="auto"/>
                <w:sz w:val="24"/>
                <w:highlight w:val="none"/>
                <w:lang w:val="en-US" w:eastAsia="zh-CN"/>
              </w:rPr>
              <w:t>1、本项目专门针对中小企业采购，不在享受优惠政策。</w:t>
            </w:r>
          </w:p>
          <w:p w14:paraId="1D4826BB">
            <w:pPr>
              <w:keepNext w:val="0"/>
              <w:keepLines w:val="0"/>
              <w:pageBreakBefore w:val="0"/>
              <w:kinsoku/>
              <w:wordWrap/>
              <w:overflowPunct/>
              <w:autoSpaceDE/>
              <w:autoSpaceDN/>
              <w:bidi w:val="0"/>
              <w:snapToGrid/>
              <w:spacing w:line="440" w:lineRule="exact"/>
              <w:ind w:left="0" w:leftChars="0" w:right="0" w:rightChars="0" w:firstLine="480" w:firstLineChars="200"/>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2、残疾人福利性单位、监狱企业视同小型、微型企业。</w:t>
            </w:r>
          </w:p>
          <w:p w14:paraId="5F73D84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依据财政部87号令第六十条</w:t>
            </w:r>
            <w:r>
              <w:rPr>
                <w:rFonts w:hint="eastAsia" w:ascii="宋体" w:hAnsi="宋体" w:cs="宋体"/>
                <w:color w:val="auto"/>
                <w:sz w:val="24"/>
                <w:szCs w:val="24"/>
                <w:highlight w:val="none"/>
                <w:lang w:val="en-US" w:eastAsia="zh-CN"/>
              </w:rPr>
              <w:t>竞争性磋商小组</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的报价，有可能影响服务质量或者不能诚信履约的，应当要求其在评标现场合理的时间内提供书面说明，必要时提交相关证明材料；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cs="宋体"/>
                <w:color w:val="auto"/>
                <w:sz w:val="24"/>
                <w:szCs w:val="24"/>
                <w:highlight w:val="none"/>
                <w:lang w:val="en-US" w:eastAsia="zh-CN"/>
              </w:rPr>
              <w:t>竞争性磋商小组</w:t>
            </w:r>
            <w:r>
              <w:rPr>
                <w:rFonts w:hint="eastAsia" w:ascii="宋体" w:hAnsi="宋体" w:eastAsia="宋体" w:cs="宋体"/>
                <w:color w:val="auto"/>
                <w:sz w:val="24"/>
                <w:szCs w:val="24"/>
                <w:highlight w:val="none"/>
              </w:rPr>
              <w:t>应当将其作为无效投标处理。</w:t>
            </w:r>
          </w:p>
        </w:tc>
      </w:tr>
      <w:tr w14:paraId="6978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6" w:hRule="exact"/>
          <w:jc w:val="center"/>
        </w:trPr>
        <w:tc>
          <w:tcPr>
            <w:tcW w:w="559" w:type="pct"/>
            <w:vMerge w:val="restart"/>
            <w:noWrap w:val="0"/>
            <w:vAlign w:val="center"/>
          </w:tcPr>
          <w:p w14:paraId="771B03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技术部分评分</w:t>
            </w:r>
            <w:r>
              <w:rPr>
                <w:rFonts w:hint="eastAsia" w:ascii="宋体" w:hAnsi="宋体" w:cs="宋体"/>
                <w:b w:val="0"/>
                <w:bCs w:val="0"/>
                <w:color w:val="auto"/>
                <w:sz w:val="24"/>
                <w:szCs w:val="24"/>
                <w:highlight w:val="none"/>
                <w:lang w:val="en-US" w:eastAsia="zh-CN"/>
              </w:rPr>
              <w:t>85</w:t>
            </w:r>
            <w:r>
              <w:rPr>
                <w:rFonts w:hint="eastAsia" w:ascii="宋体" w:hAnsi="宋体" w:eastAsia="宋体" w:cs="宋体"/>
                <w:b w:val="0"/>
                <w:bCs w:val="0"/>
                <w:color w:val="auto"/>
                <w:sz w:val="24"/>
                <w:szCs w:val="24"/>
                <w:highlight w:val="none"/>
              </w:rPr>
              <w:t>分</w:t>
            </w:r>
          </w:p>
        </w:tc>
        <w:tc>
          <w:tcPr>
            <w:tcW w:w="598" w:type="pct"/>
            <w:noWrap w:val="0"/>
            <w:vAlign w:val="center"/>
          </w:tcPr>
          <w:p w14:paraId="5F7A3A5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对项目的理解、重难点分析及合理化建议</w:t>
            </w:r>
          </w:p>
          <w:p w14:paraId="37835F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w:t>
            </w:r>
          </w:p>
        </w:tc>
        <w:tc>
          <w:tcPr>
            <w:tcW w:w="3841" w:type="pct"/>
            <w:noWrap w:val="0"/>
            <w:vAlign w:val="center"/>
          </w:tcPr>
          <w:p w14:paraId="04069D3A">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1.对项目的关键技术、工艺有较明确、深入的表述，对施工重点、难点、经济、安全的解决方案和保证措施方案及合理化建议</w:t>
            </w:r>
            <w:r>
              <w:rPr>
                <w:rFonts w:hint="eastAsia" w:ascii="宋体" w:hAnsi="宋体" w:cs="宋体"/>
                <w:b w:val="0"/>
                <w:bCs w:val="0"/>
                <w:color w:val="auto"/>
                <w:sz w:val="24"/>
                <w:szCs w:val="24"/>
                <w:highlight w:val="none"/>
                <w:lang w:val="en-US" w:eastAsia="zh-CN"/>
              </w:rPr>
              <w:t>较为</w:t>
            </w:r>
            <w:r>
              <w:rPr>
                <w:rFonts w:hint="eastAsia" w:ascii="宋体" w:hAnsi="宋体" w:eastAsia="宋体" w:cs="宋体"/>
                <w:b w:val="0"/>
                <w:bCs w:val="0"/>
                <w:color w:val="auto"/>
                <w:sz w:val="24"/>
                <w:szCs w:val="24"/>
                <w:highlight w:val="none"/>
                <w:lang w:val="en-US" w:eastAsia="zh-CN"/>
              </w:rPr>
              <w:t>切实可行</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p>
          <w:p w14:paraId="3FF54A3F">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2.对项目的关键技术、工艺有表述，对施工重点、难点的解决方案和保证措施方案及合理化建议</w:t>
            </w:r>
            <w:r>
              <w:rPr>
                <w:rFonts w:hint="eastAsia" w:ascii="宋体" w:hAnsi="宋体" w:cs="宋体"/>
                <w:b w:val="0"/>
                <w:bCs w:val="0"/>
                <w:color w:val="auto"/>
                <w:sz w:val="24"/>
                <w:szCs w:val="24"/>
                <w:highlight w:val="none"/>
                <w:lang w:val="en-US" w:eastAsia="zh-CN"/>
              </w:rPr>
              <w:t>基本</w:t>
            </w:r>
            <w:r>
              <w:rPr>
                <w:rFonts w:hint="eastAsia" w:ascii="宋体" w:hAnsi="宋体" w:eastAsia="宋体" w:cs="宋体"/>
                <w:b w:val="0"/>
                <w:bCs w:val="0"/>
                <w:color w:val="auto"/>
                <w:sz w:val="24"/>
                <w:szCs w:val="24"/>
                <w:highlight w:val="none"/>
                <w:lang w:val="en-US" w:eastAsia="zh-CN"/>
              </w:rPr>
              <w:t>可行</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p>
          <w:p w14:paraId="555117AB">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3.对项目的关键技术、工艺的表述不够明确，对施工重点、难点的解决方案和保证措施方案及合理化建议</w:t>
            </w:r>
            <w:r>
              <w:rPr>
                <w:rFonts w:hint="eastAsia" w:ascii="宋体" w:hAnsi="宋体" w:cs="宋体"/>
                <w:b w:val="0"/>
                <w:bCs w:val="0"/>
                <w:color w:val="auto"/>
                <w:sz w:val="24"/>
                <w:szCs w:val="24"/>
                <w:highlight w:val="none"/>
                <w:lang w:val="en-US" w:eastAsia="zh-CN"/>
              </w:rPr>
              <w:t>部分存在缺陷的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p>
          <w:p w14:paraId="00384616">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4.未提供对项目的理解、重难点分析及合理化建议，得0分</w:t>
            </w:r>
            <w:r>
              <w:rPr>
                <w:rFonts w:hint="eastAsia" w:ascii="宋体" w:hAnsi="宋体" w:cs="宋体"/>
                <w:b w:val="0"/>
                <w:bCs w:val="0"/>
                <w:color w:val="auto"/>
                <w:sz w:val="24"/>
                <w:szCs w:val="24"/>
                <w:highlight w:val="none"/>
                <w:lang w:val="en-US" w:eastAsia="zh-CN"/>
              </w:rPr>
              <w:t>。</w:t>
            </w:r>
          </w:p>
        </w:tc>
      </w:tr>
      <w:tr w14:paraId="27A9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9" w:type="pct"/>
            <w:vMerge w:val="continue"/>
            <w:noWrap w:val="0"/>
            <w:vAlign w:val="center"/>
          </w:tcPr>
          <w:p w14:paraId="5154E0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5CCB3E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施工技术方案</w:t>
            </w:r>
          </w:p>
          <w:p w14:paraId="302DD8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en-US" w:eastAsia="zh-CN"/>
              </w:rPr>
              <w:t>分）</w:t>
            </w:r>
          </w:p>
        </w:tc>
        <w:tc>
          <w:tcPr>
            <w:tcW w:w="3841" w:type="pct"/>
            <w:noWrap w:val="0"/>
            <w:vAlign w:val="center"/>
          </w:tcPr>
          <w:p w14:paraId="38B71D2C">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1.施工技术方案（10分）</w:t>
            </w:r>
          </w:p>
          <w:p w14:paraId="6EA476BB">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(1)施工技术方案各阶段流程安排合理，完全满足采购人需求，工艺流程及措施内容详细合理，投资管控内容详细完整，对施工具有指导性的,得10分；</w:t>
            </w:r>
          </w:p>
          <w:p w14:paraId="52260E47">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（2）施工技术方案各阶段流程安排合理，满足工艺流程及措施内容详细，投资管控内容完整的，得8分；</w:t>
            </w:r>
          </w:p>
          <w:p w14:paraId="7DBCB21F">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（3）施工技术方案各阶段流程安排基本合理，基本满足采购人需求，工艺流程及措施内容详细的，得6分；</w:t>
            </w:r>
          </w:p>
          <w:p w14:paraId="704A1BC3">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（4）施工技术方案各阶段流程安排少部分满足采购人需求，工艺流程及措施内容有一定欠缺的，得4分；</w:t>
            </w:r>
          </w:p>
          <w:p w14:paraId="0F95AFD8">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（5）施工技术方案各阶段流程安排不合理，不能满足采购人需求，工艺流程及措施内容有缺漏的，得2分；</w:t>
            </w:r>
          </w:p>
          <w:p w14:paraId="42E5B00D">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（6）供应商未提供施工技术方案的，得0分。</w:t>
            </w:r>
          </w:p>
          <w:p w14:paraId="5302C23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2.施工总体部署（5分）</w:t>
            </w:r>
          </w:p>
          <w:p w14:paraId="7814AE48">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（1）总体部署计划内容详细合理贴切项目，管理工作协调内容详细明确的，得5分；</w:t>
            </w:r>
          </w:p>
          <w:p w14:paraId="1AAE2B5B">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（2）总体部署计划内容贴切项目，管理工作协调内容明确的，得4分；</w:t>
            </w:r>
          </w:p>
          <w:p w14:paraId="1C4F1689">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（3）总体部署计划内容合理，管理工作协调内容基本明确的.得3分；</w:t>
            </w:r>
          </w:p>
          <w:p w14:paraId="1A490444">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（4）总体部署计划内容基本合理，管理工作协调内容基本明确的，得2分；</w:t>
            </w:r>
          </w:p>
          <w:p w14:paraId="3AEA7FCB">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（5）总体部署计划内容有缺漏，管理工作协调内容有一定欠缺的，得1分；</w:t>
            </w:r>
          </w:p>
          <w:p w14:paraId="7C065243">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（6）供应商未提供施工总体部署的，得0分。</w:t>
            </w:r>
          </w:p>
          <w:p w14:paraId="4491D686">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3.施工现场组织流程规划（5分）</w:t>
            </w:r>
          </w:p>
          <w:p w14:paraId="06D8AC99">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（1）施工现场组织流程规划内容完善有详细的规划流程图及描述内容的，得5分；</w:t>
            </w:r>
          </w:p>
          <w:p w14:paraId="78565C22">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（2）施工现场组织流程规划内容基本完善有规划流程图及描述内容的，得4分；</w:t>
            </w:r>
          </w:p>
          <w:p w14:paraId="3A7BCF56">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（3）施工现场组织流程规划内容基本完善有描述内容的，得3分；</w:t>
            </w:r>
          </w:p>
          <w:p w14:paraId="73D32A59">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（4）施工现场组织流程规划内容有一定缺陷的，得2分；</w:t>
            </w:r>
          </w:p>
          <w:p w14:paraId="1D94AA08">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（5）施工现场组织流程规划内容有明显缺陷及遗漏的，得1分；</w:t>
            </w:r>
          </w:p>
          <w:p w14:paraId="41051145">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（6）供应商未提供施工现场组织流程规划的，得0分。</w:t>
            </w:r>
          </w:p>
          <w:p w14:paraId="30FDDA4D">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注：此项总得分是1+2+3，满分</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lang w:val="en-US" w:eastAsia="zh-CN"/>
              </w:rPr>
              <w:t>分。</w:t>
            </w:r>
          </w:p>
        </w:tc>
      </w:tr>
      <w:tr w14:paraId="1F33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559" w:type="pct"/>
            <w:vMerge w:val="continue"/>
            <w:noWrap w:val="0"/>
            <w:vAlign w:val="center"/>
          </w:tcPr>
          <w:p w14:paraId="5B65B1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3746C6D5">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质量保证措施及承诺 (</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3841" w:type="pct"/>
            <w:noWrap w:val="0"/>
            <w:vAlign w:val="center"/>
          </w:tcPr>
          <w:p w14:paraId="07DC315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质量承诺满足竞争性磋商文件且有具体的违约责任承诺，质量保证措施严格按竞争性磋商文件要求的施工技术规范、标准编制且针对性好的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得15分</w:t>
            </w:r>
            <w:r>
              <w:rPr>
                <w:rFonts w:hint="eastAsia" w:ascii="宋体" w:hAnsi="宋体" w:eastAsia="宋体" w:cs="宋体"/>
                <w:color w:val="auto"/>
                <w:sz w:val="24"/>
                <w:szCs w:val="24"/>
                <w:highlight w:val="none"/>
                <w:lang w:eastAsia="zh-CN"/>
              </w:rPr>
              <w:t>；</w:t>
            </w:r>
          </w:p>
          <w:p w14:paraId="2196AFA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质量承诺满足竞争性磋商文件且有具体的违约责任承诺，质量保证措施达到竞争性磋商文件要求的施工技术规范、标准但针对性一般的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得12分</w:t>
            </w:r>
            <w:r>
              <w:rPr>
                <w:rFonts w:hint="eastAsia" w:ascii="宋体" w:hAnsi="宋体" w:eastAsia="宋体" w:cs="宋体"/>
                <w:color w:val="auto"/>
                <w:sz w:val="24"/>
                <w:szCs w:val="24"/>
                <w:highlight w:val="none"/>
                <w:lang w:eastAsia="zh-CN"/>
              </w:rPr>
              <w:t>；</w:t>
            </w:r>
          </w:p>
          <w:p w14:paraId="56EB49E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质量承诺满足竞争性磋商文件且有具体的违约责任承诺，质量保证措施基本达到竞争性磋商文件要求的施工技术规范、标准但明显缺乏针对性的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得9分</w:t>
            </w:r>
            <w:r>
              <w:rPr>
                <w:rFonts w:hint="eastAsia" w:ascii="宋体" w:hAnsi="宋体" w:eastAsia="宋体" w:cs="宋体"/>
                <w:color w:val="auto"/>
                <w:sz w:val="24"/>
                <w:szCs w:val="24"/>
                <w:highlight w:val="none"/>
                <w:lang w:eastAsia="zh-CN"/>
              </w:rPr>
              <w:t>；</w:t>
            </w:r>
          </w:p>
          <w:p w14:paraId="633F076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质量承诺满足竞争性磋商文件但违约责任承诺不具体，质量保证措施基本达到竞争性磋商文件要求的施工技术规范、标准但有重大缺陷或错漏的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得6分</w:t>
            </w:r>
            <w:r>
              <w:rPr>
                <w:rFonts w:hint="eastAsia" w:ascii="宋体" w:hAnsi="宋体" w:eastAsia="宋体" w:cs="宋体"/>
                <w:color w:val="auto"/>
                <w:sz w:val="24"/>
                <w:szCs w:val="24"/>
                <w:highlight w:val="none"/>
                <w:lang w:eastAsia="zh-CN"/>
              </w:rPr>
              <w:t>；</w:t>
            </w:r>
          </w:p>
          <w:p w14:paraId="618284C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质量承诺部分满足竞争性磋商文件，违约责任承诺不具体，质量保证措施不能达到竞争性磋商文件要求的施工技术规范、标准的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得3分</w:t>
            </w:r>
            <w:r>
              <w:rPr>
                <w:rFonts w:hint="eastAsia" w:ascii="宋体" w:hAnsi="宋体" w:eastAsia="宋体" w:cs="宋体"/>
                <w:color w:val="auto"/>
                <w:sz w:val="24"/>
                <w:szCs w:val="24"/>
                <w:highlight w:val="none"/>
                <w:lang w:eastAsia="zh-CN"/>
              </w:rPr>
              <w:t>；</w:t>
            </w:r>
          </w:p>
          <w:p w14:paraId="5236526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质量保证措施及承诺</w:t>
            </w:r>
            <w:r>
              <w:rPr>
                <w:rFonts w:hint="eastAsia" w:ascii="宋体" w:hAnsi="宋体" w:eastAsia="宋体" w:cs="宋体"/>
                <w:color w:val="auto"/>
                <w:sz w:val="24"/>
                <w:szCs w:val="24"/>
                <w:highlight w:val="none"/>
                <w:lang w:eastAsia="zh-CN"/>
              </w:rPr>
              <w:t>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val="en-US" w:eastAsia="zh-CN"/>
              </w:rPr>
              <w:t>。</w:t>
            </w:r>
          </w:p>
        </w:tc>
      </w:tr>
      <w:tr w14:paraId="1FA77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559" w:type="pct"/>
            <w:vMerge w:val="continue"/>
            <w:noWrap w:val="0"/>
            <w:vAlign w:val="center"/>
          </w:tcPr>
          <w:p w14:paraId="61961C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5EF115FD">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环境保护安全管理体系与措施</w:t>
            </w:r>
            <w:r>
              <w:rPr>
                <w:rFonts w:hint="eastAsia" w:ascii="宋体" w:hAnsi="宋体" w:eastAsia="宋体" w:cs="宋体"/>
                <w:color w:val="auto"/>
                <w:sz w:val="24"/>
                <w:szCs w:val="24"/>
                <w:highlight w:val="none"/>
                <w:lang w:val="zh-CN"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分）</w:t>
            </w:r>
          </w:p>
        </w:tc>
        <w:tc>
          <w:tcPr>
            <w:tcW w:w="3841" w:type="pct"/>
            <w:noWrap w:val="0"/>
            <w:vAlign w:val="center"/>
          </w:tcPr>
          <w:p w14:paraId="3F069FBA">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1.有较为具体、完整、可行的环境保护安全管理体系与措施，且较为合理、先进、针对性好的，得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5B9E9ED1">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2.有环境保护安全管理体系与措施，但针对性一般、不太具体的，得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w:t>
            </w:r>
          </w:p>
          <w:p w14:paraId="44EC92A4">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3.有环境保护安全管理体系与措施，无针对性、可行性较差的，得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61D6B802">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4.未提供环境保护安全管理体系与措施的，得0分。</w:t>
            </w:r>
          </w:p>
        </w:tc>
      </w:tr>
      <w:tr w14:paraId="31AD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9" w:type="pct"/>
            <w:vMerge w:val="continue"/>
            <w:noWrap w:val="0"/>
            <w:vAlign w:val="center"/>
          </w:tcPr>
          <w:p w14:paraId="47B01B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1004E656">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工程进度计划</w:t>
            </w:r>
          </w:p>
          <w:p w14:paraId="6008F4D4">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分）</w:t>
            </w:r>
          </w:p>
        </w:tc>
        <w:tc>
          <w:tcPr>
            <w:tcW w:w="3841" w:type="pct"/>
            <w:noWrap w:val="0"/>
            <w:vAlign w:val="center"/>
          </w:tcPr>
          <w:p w14:paraId="7633A7FB">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施工进度计划严格按工期安排，工序搭配逻辑关系和关键线路清晰、合理，并能指导施工且针对性好的</w:t>
            </w:r>
            <w:r>
              <w:rPr>
                <w:rFonts w:hint="eastAsia" w:ascii="宋体" w:hAnsi="宋体" w:cs="宋体"/>
                <w:color w:val="auto"/>
                <w:sz w:val="24"/>
                <w:szCs w:val="24"/>
                <w:highlight w:val="none"/>
                <w:lang w:val="en-US" w:eastAsia="zh-CN"/>
              </w:rPr>
              <w:t>，得10分</w:t>
            </w:r>
            <w:r>
              <w:rPr>
                <w:rFonts w:hint="eastAsia" w:ascii="宋体" w:hAnsi="宋体" w:eastAsia="宋体" w:cs="宋体"/>
                <w:color w:val="auto"/>
                <w:sz w:val="24"/>
                <w:szCs w:val="24"/>
                <w:highlight w:val="none"/>
                <w:lang w:val="en-US" w:eastAsia="zh-CN"/>
              </w:rPr>
              <w:t>；</w:t>
            </w:r>
          </w:p>
          <w:p w14:paraId="66745799">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施工进度计划按工期安排，工序搭配逻辑关系和关键线路合理，但针对性一般的</w:t>
            </w:r>
            <w:r>
              <w:rPr>
                <w:rFonts w:hint="eastAsia" w:ascii="宋体" w:hAnsi="宋体" w:cs="宋体"/>
                <w:color w:val="auto"/>
                <w:sz w:val="24"/>
                <w:szCs w:val="24"/>
                <w:highlight w:val="none"/>
                <w:lang w:val="en-US" w:eastAsia="zh-CN"/>
              </w:rPr>
              <w:t>，得8分</w:t>
            </w:r>
            <w:r>
              <w:rPr>
                <w:rFonts w:hint="eastAsia" w:ascii="宋体" w:hAnsi="宋体" w:eastAsia="宋体" w:cs="宋体"/>
                <w:color w:val="auto"/>
                <w:sz w:val="24"/>
                <w:szCs w:val="24"/>
                <w:highlight w:val="none"/>
                <w:lang w:val="en-US" w:eastAsia="zh-CN"/>
              </w:rPr>
              <w:t>；</w:t>
            </w:r>
          </w:p>
          <w:p w14:paraId="711C7A8E">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施工进度计划符合工期要求，工序搭配逻辑关系和关键线路基本合理，但缺乏针对性的</w:t>
            </w:r>
            <w:r>
              <w:rPr>
                <w:rFonts w:hint="eastAsia" w:ascii="宋体" w:hAnsi="宋体" w:cs="宋体"/>
                <w:color w:val="auto"/>
                <w:sz w:val="24"/>
                <w:szCs w:val="24"/>
                <w:highlight w:val="none"/>
                <w:lang w:val="en-US" w:eastAsia="zh-CN"/>
              </w:rPr>
              <w:t>，得6分</w:t>
            </w:r>
            <w:r>
              <w:rPr>
                <w:rFonts w:hint="eastAsia" w:ascii="宋体" w:hAnsi="宋体" w:eastAsia="宋体" w:cs="宋体"/>
                <w:color w:val="auto"/>
                <w:sz w:val="24"/>
                <w:szCs w:val="24"/>
                <w:highlight w:val="none"/>
                <w:lang w:val="en-US" w:eastAsia="zh-CN"/>
              </w:rPr>
              <w:t>；</w:t>
            </w:r>
          </w:p>
          <w:p w14:paraId="05FCAE4C">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施工进度计划符合工期要求，工序搭配逻辑关系错误或关键线路错误的</w:t>
            </w:r>
            <w:r>
              <w:rPr>
                <w:rFonts w:hint="eastAsia" w:ascii="宋体" w:hAnsi="宋体" w:cs="宋体"/>
                <w:color w:val="auto"/>
                <w:sz w:val="24"/>
                <w:szCs w:val="24"/>
                <w:highlight w:val="none"/>
                <w:lang w:val="en-US" w:eastAsia="zh-CN"/>
              </w:rPr>
              <w:t>，得4分</w:t>
            </w:r>
            <w:r>
              <w:rPr>
                <w:rFonts w:hint="eastAsia" w:ascii="宋体" w:hAnsi="宋体" w:eastAsia="宋体" w:cs="宋体"/>
                <w:color w:val="auto"/>
                <w:sz w:val="24"/>
                <w:szCs w:val="24"/>
                <w:highlight w:val="none"/>
                <w:lang w:val="en-US" w:eastAsia="zh-CN"/>
              </w:rPr>
              <w:t>；</w:t>
            </w:r>
          </w:p>
          <w:p w14:paraId="543D63D6">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施工进度计划中工序搭配逻辑关系有错误，关键线路不明确有错误的</w:t>
            </w:r>
            <w:r>
              <w:rPr>
                <w:rFonts w:hint="eastAsia" w:ascii="宋体" w:hAnsi="宋体" w:cs="宋体"/>
                <w:color w:val="auto"/>
                <w:sz w:val="24"/>
                <w:szCs w:val="24"/>
                <w:highlight w:val="none"/>
                <w:lang w:val="en-US" w:eastAsia="zh-CN"/>
              </w:rPr>
              <w:t>，得2分</w:t>
            </w:r>
            <w:r>
              <w:rPr>
                <w:rFonts w:hint="eastAsia" w:ascii="宋体" w:hAnsi="宋体" w:eastAsia="宋体" w:cs="宋体"/>
                <w:color w:val="auto"/>
                <w:sz w:val="24"/>
                <w:szCs w:val="24"/>
                <w:highlight w:val="none"/>
                <w:lang w:val="en-US" w:eastAsia="zh-CN"/>
              </w:rPr>
              <w:t>；</w:t>
            </w:r>
          </w:p>
          <w:p w14:paraId="491C4CF7">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无施工进度计划的</w:t>
            </w:r>
            <w:r>
              <w:rPr>
                <w:rFonts w:hint="eastAsia" w:ascii="宋体" w:hAnsi="宋体" w:cs="宋体"/>
                <w:color w:val="auto"/>
                <w:sz w:val="24"/>
                <w:szCs w:val="24"/>
                <w:highlight w:val="none"/>
                <w:lang w:val="en-US" w:eastAsia="zh-CN"/>
              </w:rPr>
              <w:t>，得0分。</w:t>
            </w:r>
          </w:p>
        </w:tc>
      </w:tr>
      <w:tr w14:paraId="6C9B2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559" w:type="pct"/>
            <w:vMerge w:val="continue"/>
            <w:noWrap w:val="0"/>
            <w:vAlign w:val="center"/>
          </w:tcPr>
          <w:p w14:paraId="3211BF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7503EB6B">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资源配备计划</w:t>
            </w:r>
          </w:p>
          <w:p w14:paraId="02F36749">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分）</w:t>
            </w:r>
          </w:p>
        </w:tc>
        <w:tc>
          <w:tcPr>
            <w:tcW w:w="3841" w:type="pct"/>
            <w:noWrap w:val="0"/>
            <w:vAlign w:val="center"/>
          </w:tcPr>
          <w:p w14:paraId="781E6E44">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1.劳动力计划、施工</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计划、主要材料计划等资源投入计划与施工部署、施工方法及进度计划呼应，</w:t>
            </w:r>
            <w:r>
              <w:rPr>
                <w:rFonts w:hint="eastAsia" w:ascii="宋体" w:hAnsi="宋体" w:cs="宋体"/>
                <w:color w:val="auto"/>
                <w:sz w:val="24"/>
                <w:szCs w:val="24"/>
                <w:highlight w:val="none"/>
                <w:lang w:val="en-US" w:eastAsia="zh-CN"/>
              </w:rPr>
              <w:t>能较</w:t>
            </w:r>
            <w:r>
              <w:rPr>
                <w:rFonts w:hint="eastAsia" w:ascii="宋体" w:hAnsi="宋体" w:eastAsia="宋体" w:cs="宋体"/>
                <w:color w:val="auto"/>
                <w:sz w:val="24"/>
                <w:szCs w:val="24"/>
                <w:highlight w:val="none"/>
                <w:lang w:val="en-US" w:eastAsia="zh-CN"/>
              </w:rPr>
              <w:t>好的满足施工需要</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调配投入计划</w:t>
            </w:r>
            <w:r>
              <w:rPr>
                <w:rFonts w:hint="eastAsia" w:ascii="宋体" w:hAnsi="宋体" w:cs="宋体"/>
                <w:color w:val="auto"/>
                <w:sz w:val="24"/>
                <w:szCs w:val="24"/>
                <w:highlight w:val="none"/>
                <w:lang w:val="en-US" w:eastAsia="zh-CN"/>
              </w:rPr>
              <w:t>较为</w:t>
            </w:r>
            <w:r>
              <w:rPr>
                <w:rFonts w:hint="eastAsia" w:ascii="宋体" w:hAnsi="宋体" w:eastAsia="宋体" w:cs="宋体"/>
                <w:color w:val="auto"/>
                <w:sz w:val="24"/>
                <w:szCs w:val="24"/>
                <w:highlight w:val="none"/>
                <w:lang w:val="en-US" w:eastAsia="zh-CN"/>
              </w:rPr>
              <w:t>合理、准确全面</w:t>
            </w:r>
            <w:r>
              <w:rPr>
                <w:rFonts w:hint="eastAsia" w:ascii="宋体" w:hAnsi="宋体" w:cs="宋体"/>
                <w:color w:val="auto"/>
                <w:sz w:val="24"/>
                <w:szCs w:val="24"/>
                <w:highlight w:val="none"/>
                <w:lang w:val="en-US" w:eastAsia="zh-CN"/>
              </w:rPr>
              <w:t>，能指导施工且针对性好的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044DBAFA">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2.劳动力计划、施工</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计划、主要材料</w:t>
            </w:r>
            <w:r>
              <w:rPr>
                <w:rFonts w:hint="eastAsia" w:ascii="宋体" w:hAnsi="宋体" w:cs="宋体"/>
                <w:color w:val="auto"/>
                <w:sz w:val="24"/>
                <w:szCs w:val="24"/>
                <w:highlight w:val="none"/>
                <w:lang w:val="en-US" w:eastAsia="zh-CN"/>
              </w:rPr>
              <w:t>计划</w:t>
            </w:r>
            <w:r>
              <w:rPr>
                <w:rFonts w:hint="eastAsia" w:ascii="宋体" w:hAnsi="宋体" w:eastAsia="宋体" w:cs="宋体"/>
                <w:color w:val="auto"/>
                <w:sz w:val="24"/>
                <w:szCs w:val="24"/>
                <w:highlight w:val="none"/>
                <w:lang w:val="en-US" w:eastAsia="zh-CN"/>
              </w:rPr>
              <w:t>等资源投入计划与施工部署、施工方法及进度计划呼应，</w:t>
            </w:r>
            <w:r>
              <w:rPr>
                <w:rFonts w:hint="eastAsia" w:ascii="宋体" w:hAnsi="宋体" w:cs="宋体"/>
                <w:color w:val="auto"/>
                <w:sz w:val="24"/>
                <w:szCs w:val="24"/>
                <w:highlight w:val="none"/>
                <w:lang w:val="en-US" w:eastAsia="zh-CN"/>
              </w:rPr>
              <w:t>能</w:t>
            </w:r>
            <w:r>
              <w:rPr>
                <w:rFonts w:hint="eastAsia" w:ascii="宋体" w:hAnsi="宋体" w:eastAsia="宋体" w:cs="宋体"/>
                <w:color w:val="auto"/>
                <w:sz w:val="24"/>
                <w:szCs w:val="24"/>
                <w:highlight w:val="none"/>
                <w:lang w:val="en-US" w:eastAsia="zh-CN"/>
              </w:rPr>
              <w:t>满足施工需要，调配投入计划</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lang w:val="en-US" w:eastAsia="zh-CN"/>
              </w:rPr>
              <w:t>合理</w:t>
            </w:r>
            <w:r>
              <w:rPr>
                <w:rFonts w:hint="eastAsia" w:ascii="宋体" w:hAnsi="宋体" w:cs="宋体"/>
                <w:color w:val="auto"/>
                <w:sz w:val="24"/>
                <w:szCs w:val="24"/>
                <w:highlight w:val="none"/>
                <w:lang w:val="en-US" w:eastAsia="zh-CN"/>
              </w:rPr>
              <w:t>，但针对性和指导性一般的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1632F19C">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3.劳动力计划、施工</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计划、主要材料</w:t>
            </w:r>
            <w:r>
              <w:rPr>
                <w:rFonts w:hint="eastAsia" w:ascii="宋体" w:hAnsi="宋体" w:cs="宋体"/>
                <w:color w:val="auto"/>
                <w:sz w:val="24"/>
                <w:szCs w:val="24"/>
                <w:highlight w:val="none"/>
                <w:lang w:val="en-US" w:eastAsia="zh-CN"/>
              </w:rPr>
              <w:t>计划等</w:t>
            </w:r>
            <w:r>
              <w:rPr>
                <w:rFonts w:hint="eastAsia" w:ascii="宋体" w:hAnsi="宋体" w:eastAsia="宋体" w:cs="宋体"/>
                <w:color w:val="auto"/>
                <w:sz w:val="24"/>
                <w:szCs w:val="24"/>
                <w:highlight w:val="none"/>
                <w:lang w:val="en-US" w:eastAsia="zh-CN"/>
              </w:rPr>
              <w:t>资源投入计划与施工部署、施工方法及进度计划</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lang w:val="en-US" w:eastAsia="zh-CN"/>
              </w:rPr>
              <w:t>合理，但缺乏针对性的，得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71E5A344">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.劳动力计划、施工</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计划、主要材料</w:t>
            </w:r>
            <w:r>
              <w:rPr>
                <w:rFonts w:hint="eastAsia" w:ascii="宋体" w:hAnsi="宋体" w:cs="宋体"/>
                <w:color w:val="auto"/>
                <w:sz w:val="24"/>
                <w:szCs w:val="24"/>
                <w:highlight w:val="none"/>
                <w:lang w:val="en-US" w:eastAsia="zh-CN"/>
              </w:rPr>
              <w:t>计划等</w:t>
            </w:r>
            <w:r>
              <w:rPr>
                <w:rFonts w:hint="eastAsia" w:ascii="宋体" w:hAnsi="宋体" w:eastAsia="宋体" w:cs="宋体"/>
                <w:color w:val="auto"/>
                <w:sz w:val="24"/>
                <w:szCs w:val="24"/>
                <w:highlight w:val="none"/>
                <w:lang w:val="en-US" w:eastAsia="zh-CN"/>
              </w:rPr>
              <w:t>资源投入计划与施工部署、施工方法及进度计划</w:t>
            </w:r>
            <w:r>
              <w:rPr>
                <w:rFonts w:hint="eastAsia" w:ascii="宋体" w:hAnsi="宋体" w:cs="宋体"/>
                <w:color w:val="auto"/>
                <w:sz w:val="24"/>
                <w:szCs w:val="24"/>
                <w:highlight w:val="none"/>
                <w:lang w:val="en-US" w:eastAsia="zh-CN"/>
              </w:rPr>
              <w:t>存在部分不合理的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3C222DDD">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.未提供资源配备计划</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得0分。</w:t>
            </w:r>
          </w:p>
        </w:tc>
      </w:tr>
      <w:tr w14:paraId="5769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9" w:type="pct"/>
            <w:vMerge w:val="continue"/>
            <w:noWrap w:val="0"/>
            <w:vAlign w:val="center"/>
          </w:tcPr>
          <w:p w14:paraId="623CA8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598" w:type="pct"/>
            <w:noWrap w:val="0"/>
            <w:vAlign w:val="center"/>
          </w:tcPr>
          <w:p w14:paraId="11D83924">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项目管理机构配置</w:t>
            </w:r>
          </w:p>
          <w:p w14:paraId="2706C2AB">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分）</w:t>
            </w:r>
          </w:p>
        </w:tc>
        <w:tc>
          <w:tcPr>
            <w:tcW w:w="3841" w:type="pct"/>
            <w:noWrap w:val="0"/>
            <w:vAlign w:val="center"/>
          </w:tcPr>
          <w:p w14:paraId="528DF267">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1.项目管理人员针对工程实际配置且合理，能满足工程管理需要且有针对性，项目主要管理人员持证上岗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346D0E7B">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2.项目管理人员配置合理，能满足工程管理需要，但专业配置针对性一般，项目主要管理人员持证上岗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w:t>
            </w:r>
          </w:p>
          <w:p w14:paraId="09A9E88F">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3.项目管理人员配置基本满足工程管理需要，专业配置缺乏针对性，项目主要管理人员</w:t>
            </w:r>
            <w:r>
              <w:rPr>
                <w:rFonts w:hint="eastAsia" w:ascii="宋体" w:hAnsi="宋体" w:cs="宋体"/>
                <w:color w:val="auto"/>
                <w:sz w:val="24"/>
                <w:szCs w:val="24"/>
                <w:highlight w:val="none"/>
                <w:lang w:val="en-US" w:eastAsia="zh-CN"/>
              </w:rPr>
              <w:t>部分能</w:t>
            </w:r>
            <w:r>
              <w:rPr>
                <w:rFonts w:hint="eastAsia" w:ascii="宋体" w:hAnsi="宋体" w:eastAsia="宋体" w:cs="宋体"/>
                <w:color w:val="auto"/>
                <w:sz w:val="24"/>
                <w:szCs w:val="24"/>
                <w:highlight w:val="none"/>
                <w:lang w:val="en-US" w:eastAsia="zh-CN"/>
              </w:rPr>
              <w:t>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03DC16C3">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4.未提供项目管理机构配置，或对项目管理人员没有说明的，得0分。</w:t>
            </w:r>
          </w:p>
        </w:tc>
      </w:tr>
      <w:tr w14:paraId="65FA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9" w:type="pct"/>
            <w:noWrap w:val="0"/>
            <w:vAlign w:val="center"/>
          </w:tcPr>
          <w:p w14:paraId="6B395ED2">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商务部分评分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tc>
        <w:tc>
          <w:tcPr>
            <w:tcW w:w="598" w:type="pct"/>
            <w:noWrap w:val="0"/>
            <w:vAlign w:val="center"/>
          </w:tcPr>
          <w:p w14:paraId="557D8465">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类似业绩</w:t>
            </w:r>
          </w:p>
          <w:p w14:paraId="42BBC2ED">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tc>
        <w:tc>
          <w:tcPr>
            <w:tcW w:w="3841" w:type="pct"/>
            <w:noWrap w:val="0"/>
            <w:vAlign w:val="center"/>
          </w:tcPr>
          <w:p w14:paraId="75E0103A">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年01月至今（以合同签订时间为准）每完成过1个类似项目业绩的，得</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分，满分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643AF830">
            <w:pPr>
              <w:keepNext w:val="0"/>
              <w:keepLines w:val="0"/>
              <w:pageBreakBefore w:val="0"/>
              <w:widowControl w:val="0"/>
              <w:tabs>
                <w:tab w:val="center" w:pos="4153"/>
                <w:tab w:val="right" w:pos="8306"/>
              </w:tabs>
              <w:kinsoku/>
              <w:wordWrap/>
              <w:overflowPunct/>
              <w:topLinePunct w:val="0"/>
              <w:autoSpaceDE/>
              <w:autoSpaceDN/>
              <w:bidi w:val="0"/>
              <w:adjustRightInd/>
              <w:snapToGrid/>
              <w:spacing w:line="41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注：以提供的类似项目业绩证明材料扫描件为评审依据(类似项目业绩证明材料指：</w:t>
            </w:r>
            <w:r>
              <w:rPr>
                <w:rFonts w:hint="eastAsia" w:ascii="宋体" w:hAnsi="宋体" w:eastAsia="宋体" w:cs="宋体"/>
                <w:color w:val="auto"/>
                <w:sz w:val="24"/>
                <w:szCs w:val="24"/>
                <w:highlight w:val="none"/>
                <w:lang w:val="zh-CN"/>
              </w:rPr>
              <w:t>中标（成交）通知书或合同协议书</w:t>
            </w:r>
            <w:r>
              <w:rPr>
                <w:rFonts w:hint="eastAsia" w:ascii="宋体" w:hAnsi="宋体" w:eastAsia="宋体" w:cs="宋体"/>
                <w:color w:val="auto"/>
                <w:sz w:val="24"/>
                <w:szCs w:val="24"/>
                <w:highlight w:val="none"/>
                <w:lang w:val="en-US" w:eastAsia="zh-CN"/>
              </w:rPr>
              <w:t>)。提供的扫描件须清晰可辨，否则视为未提供。</w:t>
            </w:r>
          </w:p>
        </w:tc>
      </w:tr>
    </w:tbl>
    <w:p w14:paraId="44D1EB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竞争性磋商小组应当根据综合评分情况，按照评审得分由高到低顺序推荐3名成交候选</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，并编写评审报告。评审得分相同的，按照最后报价由低到高的顺序推荐。评审得分及最后报价相同的，按照技术指标优劣顺序推荐。</w:t>
      </w:r>
    </w:p>
    <w:p w14:paraId="7393A94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评审报告应当由磋商小组全体人员签字认可。磋商小组成员对评审报告有异议的，磋商小组按照少数服从多数的原则推荐成交候选</w:t>
      </w:r>
      <w:r>
        <w:rPr>
          <w:rFonts w:hint="eastAsia" w:ascii="宋体" w:hAnsi="宋体" w:eastAsia="宋体" w:cs="宋体"/>
          <w:bCs/>
          <w:color w:val="auto"/>
          <w:sz w:val="24"/>
          <w:highlight w:val="none"/>
          <w:lang w:eastAsia="zh-CN"/>
        </w:rPr>
        <w:t>竞标人</w:t>
      </w:r>
      <w:r>
        <w:rPr>
          <w:rFonts w:hint="eastAsia" w:ascii="宋体" w:hAnsi="宋体" w:eastAsia="宋体" w:cs="宋体"/>
          <w:bCs/>
          <w:color w:val="auto"/>
          <w:sz w:val="24"/>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506ED27">
      <w:pPr>
        <w:rPr>
          <w:rFonts w:hint="eastAsia" w:ascii="宋体" w:hAnsi="宋体" w:eastAsia="宋体" w:cs="宋体"/>
          <w:color w:val="auto"/>
          <w:kern w:val="0"/>
          <w:sz w:val="24"/>
          <w:highlight w:val="none"/>
        </w:rPr>
      </w:pPr>
    </w:p>
    <w:p w14:paraId="0F386410">
      <w:pPr>
        <w:rPr>
          <w:rFonts w:hint="eastAsia" w:ascii="宋体" w:hAnsi="宋体" w:eastAsia="宋体" w:cs="宋体"/>
          <w:b/>
          <w:bCs/>
          <w:color w:val="auto"/>
          <w:sz w:val="30"/>
          <w:szCs w:val="30"/>
          <w:highlight w:val="none"/>
        </w:rPr>
      </w:pPr>
      <w:bookmarkStart w:id="354" w:name="_Toc6244"/>
      <w:bookmarkStart w:id="355" w:name="_Toc30815"/>
      <w:bookmarkStart w:id="356" w:name="_Toc26912"/>
      <w:bookmarkStart w:id="357" w:name="_Toc9434"/>
      <w:bookmarkStart w:id="358" w:name="_Toc21393"/>
      <w:bookmarkStart w:id="359" w:name="_Toc13513"/>
      <w:bookmarkStart w:id="360" w:name="_Toc9735"/>
      <w:r>
        <w:rPr>
          <w:rFonts w:hint="eastAsia" w:ascii="宋体" w:hAnsi="宋体" w:eastAsia="宋体" w:cs="宋体"/>
          <w:b/>
          <w:bCs/>
          <w:color w:val="auto"/>
          <w:sz w:val="30"/>
          <w:szCs w:val="30"/>
          <w:highlight w:val="none"/>
        </w:rPr>
        <w:br w:type="page"/>
      </w:r>
    </w:p>
    <w:p w14:paraId="4D52DAFB">
      <w:pPr>
        <w:pStyle w:val="26"/>
        <w:pageBreakBefore w:val="0"/>
        <w:wordWrap w:val="0"/>
        <w:overflowPunct/>
        <w:spacing w:before="0" w:beforeAutospacing="0" w:after="0" w:afterAutospacing="0" w:line="400" w:lineRule="exact"/>
        <w:jc w:val="center"/>
        <w:outlineLvl w:val="0"/>
        <w:rPr>
          <w:rFonts w:hint="eastAsia" w:ascii="宋体" w:hAnsi="宋体" w:eastAsia="宋体" w:cs="宋体"/>
          <w:color w:val="auto"/>
          <w:highlight w:val="none"/>
        </w:rPr>
      </w:pPr>
      <w:r>
        <w:rPr>
          <w:rFonts w:hint="eastAsia" w:ascii="宋体" w:hAnsi="宋体" w:eastAsia="宋体" w:cs="宋体"/>
          <w:b/>
          <w:bCs/>
          <w:color w:val="auto"/>
          <w:sz w:val="30"/>
          <w:szCs w:val="30"/>
          <w:highlight w:val="none"/>
        </w:rPr>
        <w:t>第四章 合同条款及格式</w:t>
      </w:r>
      <w:bookmarkEnd w:id="354"/>
      <w:bookmarkEnd w:id="355"/>
      <w:bookmarkEnd w:id="356"/>
      <w:bookmarkEnd w:id="357"/>
      <w:bookmarkEnd w:id="358"/>
      <w:bookmarkEnd w:id="359"/>
      <w:bookmarkEnd w:id="360"/>
    </w:p>
    <w:p w14:paraId="40B1FDD3">
      <w:pPr>
        <w:pageBreakBefore w:val="0"/>
        <w:wordWrap w:val="0"/>
        <w:overflowPunct/>
        <w:jc w:val="center"/>
        <w:rPr>
          <w:rFonts w:hint="eastAsia" w:ascii="宋体" w:hAnsi="宋体" w:eastAsia="宋体" w:cs="宋体"/>
          <w:b/>
          <w:color w:val="auto"/>
          <w:sz w:val="36"/>
          <w:szCs w:val="36"/>
          <w:highlight w:val="none"/>
          <w:lang w:eastAsia="zh-CN"/>
        </w:rPr>
      </w:pPr>
    </w:p>
    <w:p w14:paraId="5C3035EF">
      <w:pPr>
        <w:pageBreakBefore w:val="0"/>
        <w:wordWrap w:val="0"/>
        <w:overflowPunct/>
        <w:adjustRightInd w:val="0"/>
        <w:snapToGrid w:val="0"/>
        <w:jc w:val="both"/>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注：建设工程施工合同范本仅为合同的参考文本，合同签订双方可根据项目的具体要求进行修订。</w:t>
      </w:r>
    </w:p>
    <w:p w14:paraId="55E26611">
      <w:pPr>
        <w:pStyle w:val="9"/>
        <w:pageBreakBefore w:val="0"/>
        <w:wordWrap w:val="0"/>
        <w:overflowPunct/>
        <w:rPr>
          <w:rFonts w:hint="eastAsia" w:ascii="宋体" w:hAnsi="宋体" w:eastAsia="宋体" w:cs="宋体"/>
          <w:snapToGrid w:val="0"/>
          <w:color w:val="auto"/>
          <w:kern w:val="0"/>
          <w:szCs w:val="21"/>
          <w:highlight w:val="none"/>
        </w:rPr>
      </w:pPr>
    </w:p>
    <w:p w14:paraId="0EDD6AD0">
      <w:pPr>
        <w:pStyle w:val="9"/>
        <w:pageBreakBefore w:val="0"/>
        <w:wordWrap w:val="0"/>
        <w:overflowPunct/>
        <w:rPr>
          <w:rFonts w:hint="eastAsia" w:ascii="宋体" w:hAnsi="宋体" w:eastAsia="宋体" w:cs="宋体"/>
          <w:snapToGrid w:val="0"/>
          <w:color w:val="auto"/>
          <w:kern w:val="0"/>
          <w:szCs w:val="21"/>
          <w:highlight w:val="none"/>
        </w:rPr>
      </w:pPr>
    </w:p>
    <w:p w14:paraId="7F12CC6B">
      <w:pPr>
        <w:pStyle w:val="9"/>
        <w:pageBreakBefore w:val="0"/>
        <w:wordWrap w:val="0"/>
        <w:overflowPunct/>
        <w:rPr>
          <w:rFonts w:hint="eastAsia" w:ascii="宋体" w:hAnsi="宋体" w:eastAsia="宋体" w:cs="宋体"/>
          <w:snapToGrid w:val="0"/>
          <w:color w:val="auto"/>
          <w:kern w:val="0"/>
          <w:szCs w:val="21"/>
          <w:highlight w:val="none"/>
        </w:rPr>
      </w:pPr>
    </w:p>
    <w:p w14:paraId="1C988286">
      <w:pPr>
        <w:wordWrap w:val="0"/>
        <w:spacing w:line="360" w:lineRule="auto"/>
        <w:jc w:val="right"/>
        <w:rPr>
          <w:rFonts w:hint="eastAsia" w:ascii="宋体" w:hAnsi="宋体" w:eastAsia="宋体" w:cs="宋体"/>
          <w:color w:val="auto"/>
          <w:kern w:val="0"/>
          <w:sz w:val="28"/>
          <w:szCs w:val="28"/>
          <w:highlight w:val="none"/>
        </w:rPr>
      </w:pPr>
      <w:r>
        <w:rPr>
          <w:rFonts w:hint="eastAsia" w:ascii="宋体" w:hAnsi="宋体" w:eastAsia="宋体" w:cs="宋体"/>
          <w:b/>
          <w:bCs/>
          <w:color w:val="auto"/>
          <w:sz w:val="28"/>
          <w:szCs w:val="28"/>
          <w:highlight w:val="none"/>
        </w:rPr>
        <w:t xml:space="preserve">合同编号：        </w:t>
      </w:r>
    </w:p>
    <w:p w14:paraId="54FC3F1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30"/>
          <w:szCs w:val="30"/>
          <w:highlight w:val="none"/>
          <w:lang w:eastAsia="zh-CN"/>
        </w:rPr>
      </w:pPr>
      <w:bookmarkStart w:id="361" w:name="_Toc571"/>
      <w:bookmarkStart w:id="362" w:name="_Toc23613"/>
      <w:r>
        <w:rPr>
          <w:rFonts w:hint="eastAsia" w:ascii="宋体" w:hAnsi="宋体" w:cs="宋体"/>
          <w:b/>
          <w:bCs/>
          <w:color w:val="auto"/>
          <w:sz w:val="30"/>
          <w:szCs w:val="30"/>
          <w:highlight w:val="none"/>
          <w:lang w:eastAsia="zh-CN"/>
        </w:rPr>
        <w:t>西定乡曼迈村委会产业发展项目</w:t>
      </w:r>
    </w:p>
    <w:p w14:paraId="6F65E6B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auto"/>
          <w:sz w:val="30"/>
          <w:szCs w:val="30"/>
          <w:highlight w:val="none"/>
        </w:rPr>
      </w:pPr>
    </w:p>
    <w:p w14:paraId="3A15693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bookmarkStart w:id="363" w:name="_Toc1284"/>
      <w:bookmarkStart w:id="364" w:name="_Toc21696"/>
    </w:p>
    <w:p w14:paraId="1727DFE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p>
    <w:p w14:paraId="2C33D90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p>
    <w:p w14:paraId="4308731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bookmarkStart w:id="365" w:name="_Toc29959"/>
      <w:bookmarkStart w:id="366" w:name="_Toc9437"/>
      <w:r>
        <w:rPr>
          <w:rFonts w:hint="eastAsia" w:ascii="宋体" w:hAnsi="宋体" w:eastAsia="宋体" w:cs="宋体"/>
          <w:b/>
          <w:bCs/>
          <w:color w:val="auto"/>
          <w:sz w:val="48"/>
          <w:szCs w:val="48"/>
          <w:highlight w:val="none"/>
          <w:lang w:val="en-US" w:eastAsia="zh-CN"/>
        </w:rPr>
        <w:t>施</w:t>
      </w:r>
      <w:bookmarkEnd w:id="365"/>
      <w:bookmarkEnd w:id="366"/>
    </w:p>
    <w:p w14:paraId="2C8BE3D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bookmarkStart w:id="367" w:name="_Toc18666"/>
      <w:bookmarkStart w:id="368" w:name="_Toc15647"/>
      <w:r>
        <w:rPr>
          <w:rFonts w:hint="eastAsia" w:ascii="宋体" w:hAnsi="宋体" w:eastAsia="宋体" w:cs="宋体"/>
          <w:b/>
          <w:bCs/>
          <w:color w:val="auto"/>
          <w:sz w:val="48"/>
          <w:szCs w:val="48"/>
          <w:highlight w:val="none"/>
          <w:lang w:val="en-US" w:eastAsia="zh-CN"/>
        </w:rPr>
        <w:t>工</w:t>
      </w:r>
      <w:bookmarkEnd w:id="367"/>
      <w:bookmarkEnd w:id="368"/>
    </w:p>
    <w:p w14:paraId="2B731F0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bookmarkStart w:id="369" w:name="_Toc32634"/>
      <w:bookmarkStart w:id="370" w:name="_Toc29608"/>
      <w:r>
        <w:rPr>
          <w:rFonts w:hint="eastAsia" w:ascii="宋体" w:hAnsi="宋体" w:eastAsia="宋体" w:cs="宋体"/>
          <w:b/>
          <w:bCs/>
          <w:color w:val="auto"/>
          <w:sz w:val="48"/>
          <w:szCs w:val="48"/>
          <w:highlight w:val="none"/>
          <w:lang w:val="en-US" w:eastAsia="zh-CN"/>
        </w:rPr>
        <w:t>合</w:t>
      </w:r>
      <w:bookmarkEnd w:id="369"/>
      <w:bookmarkEnd w:id="370"/>
    </w:p>
    <w:p w14:paraId="5E98375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32"/>
          <w:szCs w:val="32"/>
          <w:highlight w:val="none"/>
        </w:rPr>
      </w:pPr>
      <w:bookmarkStart w:id="371" w:name="_Toc16750"/>
      <w:bookmarkStart w:id="372" w:name="_Toc24816"/>
      <w:r>
        <w:rPr>
          <w:rFonts w:hint="eastAsia" w:ascii="宋体" w:hAnsi="宋体" w:eastAsia="宋体" w:cs="宋体"/>
          <w:b/>
          <w:bCs/>
          <w:color w:val="auto"/>
          <w:sz w:val="48"/>
          <w:szCs w:val="48"/>
          <w:highlight w:val="none"/>
          <w:lang w:val="en-US" w:eastAsia="zh-CN"/>
        </w:rPr>
        <w:t>同</w:t>
      </w:r>
      <w:bookmarkEnd w:id="361"/>
      <w:bookmarkEnd w:id="362"/>
      <w:bookmarkEnd w:id="363"/>
      <w:bookmarkEnd w:id="364"/>
      <w:bookmarkEnd w:id="371"/>
      <w:bookmarkEnd w:id="372"/>
    </w:p>
    <w:p w14:paraId="6E9F9574">
      <w:pPr>
        <w:pStyle w:val="27"/>
        <w:ind w:firstLine="300"/>
        <w:rPr>
          <w:rFonts w:hint="eastAsia" w:ascii="宋体" w:hAnsi="宋体" w:eastAsia="宋体" w:cs="宋体"/>
          <w:color w:val="auto"/>
          <w:kern w:val="0"/>
          <w:sz w:val="28"/>
          <w:szCs w:val="28"/>
          <w:highlight w:val="none"/>
        </w:rPr>
      </w:pPr>
      <w:r>
        <w:rPr>
          <w:rFonts w:hint="eastAsia" w:ascii="宋体" w:hAnsi="宋体" w:eastAsia="宋体" w:cs="宋体"/>
          <w:color w:val="auto"/>
          <w:highlight w:val="none"/>
        </w:rPr>
        <w:t xml:space="preserve">                      </w:t>
      </w:r>
    </w:p>
    <w:p w14:paraId="7E5A2BB9">
      <w:pPr>
        <w:pStyle w:val="2"/>
        <w:rPr>
          <w:rFonts w:hint="eastAsia"/>
          <w:color w:val="auto"/>
          <w:highlight w:val="none"/>
        </w:rPr>
      </w:pPr>
    </w:p>
    <w:p w14:paraId="5319F2E6">
      <w:pPr>
        <w:autoSpaceDE w:val="0"/>
        <w:autoSpaceDN w:val="0"/>
        <w:adjustRightInd w:val="0"/>
        <w:spacing w:line="360" w:lineRule="auto"/>
        <w:jc w:val="left"/>
        <w:rPr>
          <w:rFonts w:hint="eastAsia" w:ascii="宋体" w:hAnsi="宋体" w:eastAsia="宋体" w:cs="宋体"/>
          <w:color w:val="auto"/>
          <w:kern w:val="0"/>
          <w:sz w:val="28"/>
          <w:szCs w:val="28"/>
          <w:highlight w:val="none"/>
        </w:rPr>
      </w:pPr>
    </w:p>
    <w:p w14:paraId="55DD4F92">
      <w:pPr>
        <w:autoSpaceDE w:val="0"/>
        <w:autoSpaceDN w:val="0"/>
        <w:adjustRightInd w:val="0"/>
        <w:spacing w:line="360" w:lineRule="auto"/>
        <w:jc w:val="left"/>
        <w:rPr>
          <w:rFonts w:hint="eastAsia" w:ascii="宋体" w:hAnsi="宋体" w:eastAsia="宋体" w:cs="宋体"/>
          <w:color w:val="auto"/>
          <w:kern w:val="0"/>
          <w:sz w:val="28"/>
          <w:szCs w:val="28"/>
          <w:highlight w:val="none"/>
        </w:rPr>
      </w:pPr>
    </w:p>
    <w:p w14:paraId="78592E87">
      <w:pPr>
        <w:autoSpaceDE w:val="0"/>
        <w:autoSpaceDN w:val="0"/>
        <w:adjustRightIn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住房和城乡建设部</w:t>
      </w:r>
    </w:p>
    <w:p w14:paraId="3FFF687D">
      <w:pPr>
        <w:autoSpaceDE w:val="0"/>
        <w:autoSpaceDN w:val="0"/>
        <w:adjustRightInd w:val="0"/>
        <w:spacing w:line="360" w:lineRule="auto"/>
        <w:ind w:right="1120" w:firstLine="5880" w:firstLineChars="21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制定</w:t>
      </w:r>
    </w:p>
    <w:p w14:paraId="12E63F55">
      <w:pPr>
        <w:autoSpaceDE w:val="0"/>
        <w:autoSpaceDN w:val="0"/>
        <w:adjustRightIn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国家工商行政管理总局</w:t>
      </w:r>
    </w:p>
    <w:p w14:paraId="1F1AC098">
      <w:pPr>
        <w:pStyle w:val="9"/>
        <w:pageBreakBefore w:val="0"/>
        <w:wordWrap w:val="0"/>
        <w:overflowPunct/>
        <w:rPr>
          <w:rFonts w:hint="eastAsia" w:ascii="宋体" w:hAnsi="宋体" w:eastAsia="宋体" w:cs="宋体"/>
          <w:snapToGrid w:val="0"/>
          <w:color w:val="auto"/>
          <w:kern w:val="0"/>
          <w:szCs w:val="21"/>
          <w:highlight w:val="none"/>
        </w:rPr>
      </w:pPr>
    </w:p>
    <w:p w14:paraId="03A19F88">
      <w:pPr>
        <w:pStyle w:val="9"/>
        <w:pageBreakBefore w:val="0"/>
        <w:wordWrap w:val="0"/>
        <w:overflowPunct/>
        <w:rPr>
          <w:rFonts w:hint="eastAsia" w:ascii="宋体" w:hAnsi="宋体" w:eastAsia="宋体" w:cs="宋体"/>
          <w:snapToGrid w:val="0"/>
          <w:color w:val="auto"/>
          <w:kern w:val="0"/>
          <w:szCs w:val="21"/>
          <w:highlight w:val="none"/>
        </w:rPr>
      </w:pPr>
    </w:p>
    <w:p w14:paraId="7F7EED7F">
      <w:pPr>
        <w:pStyle w:val="9"/>
        <w:pageBreakBefore w:val="0"/>
        <w:wordWrap w:val="0"/>
        <w:overflowPunct/>
        <w:ind w:left="0" w:leftChars="0" w:firstLine="0" w:firstLineChars="0"/>
        <w:rPr>
          <w:rFonts w:hint="eastAsia" w:ascii="宋体" w:hAnsi="宋体" w:eastAsia="宋体" w:cs="宋体"/>
          <w:snapToGrid w:val="0"/>
          <w:color w:val="auto"/>
          <w:kern w:val="0"/>
          <w:szCs w:val="21"/>
          <w:highlight w:val="none"/>
        </w:rPr>
      </w:pPr>
    </w:p>
    <w:p w14:paraId="71AB9C1C">
      <w:pPr>
        <w:keepNext w:val="0"/>
        <w:keepLines w:val="0"/>
        <w:pageBreakBefore w:val="0"/>
        <w:kinsoku/>
        <w:wordWrap w:val="0"/>
        <w:overflowPunct/>
        <w:bidi w:val="0"/>
        <w:adjustRightInd w:val="0"/>
        <w:snapToGrid w:val="0"/>
        <w:spacing w:line="500" w:lineRule="exact"/>
        <w:jc w:val="center"/>
        <w:textAlignment w:val="auto"/>
        <w:outlineLvl w:val="1"/>
        <w:rPr>
          <w:rFonts w:hint="eastAsia" w:ascii="宋体" w:hAnsi="宋体" w:eastAsia="宋体" w:cs="宋体"/>
          <w:b/>
          <w:bCs/>
          <w:color w:val="auto"/>
          <w:kern w:val="0"/>
          <w:sz w:val="28"/>
          <w:szCs w:val="28"/>
          <w:highlight w:val="none"/>
        </w:rPr>
      </w:pPr>
      <w:bookmarkStart w:id="373" w:name="_Toc28944"/>
      <w:bookmarkStart w:id="374" w:name="_Toc21946"/>
      <w:bookmarkStart w:id="375" w:name="_Toc30219"/>
      <w:bookmarkStart w:id="376" w:name="_Toc6573"/>
      <w:bookmarkStart w:id="377" w:name="_Toc18274"/>
      <w:r>
        <w:rPr>
          <w:rFonts w:hint="eastAsia" w:ascii="宋体" w:hAnsi="宋体" w:eastAsia="宋体" w:cs="宋体"/>
          <w:b/>
          <w:bCs/>
          <w:color w:val="auto"/>
          <w:kern w:val="0"/>
          <w:sz w:val="28"/>
          <w:szCs w:val="28"/>
          <w:highlight w:val="none"/>
        </w:rPr>
        <w:t>第一部分 合同协议书</w:t>
      </w:r>
      <w:bookmarkEnd w:id="373"/>
      <w:bookmarkEnd w:id="374"/>
      <w:bookmarkEnd w:id="375"/>
      <w:bookmarkEnd w:id="376"/>
      <w:bookmarkEnd w:id="377"/>
    </w:p>
    <w:p w14:paraId="1CC163B2">
      <w:pPr>
        <w:keepNext w:val="0"/>
        <w:keepLines w:val="0"/>
        <w:pageBreakBefore w:val="0"/>
        <w:kinsoku/>
        <w:wordWrap w:val="0"/>
        <w:overflowPunct/>
        <w:bidi w:val="0"/>
        <w:spacing w:line="500" w:lineRule="exact"/>
        <w:textAlignment w:val="auto"/>
        <w:rPr>
          <w:rFonts w:hint="eastAsia" w:ascii="宋体" w:hAnsi="宋体" w:eastAsia="宋体" w:cs="宋体"/>
          <w:b/>
          <w:color w:val="auto"/>
          <w:kern w:val="0"/>
          <w:sz w:val="24"/>
          <w:szCs w:val="24"/>
          <w:highlight w:val="none"/>
          <w:u w:val="single"/>
          <w:lang w:val="en-US" w:eastAsia="zh-CN"/>
        </w:rPr>
      </w:pPr>
      <w:r>
        <w:rPr>
          <w:rFonts w:hint="eastAsia" w:ascii="宋体" w:hAnsi="宋体" w:eastAsia="宋体" w:cs="宋体"/>
          <w:b/>
          <w:color w:val="auto"/>
          <w:kern w:val="0"/>
          <w:sz w:val="24"/>
          <w:szCs w:val="24"/>
          <w:highlight w:val="none"/>
        </w:rPr>
        <w:t>发包人（全称）：</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input658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
          <w:color w:val="auto"/>
          <w:kern w:val="0"/>
          <w:sz w:val="24"/>
          <w:szCs w:val="24"/>
          <w:highlight w:val="none"/>
          <w:u w:val="single"/>
          <w:lang w:val="en-US" w:eastAsia="zh-CN"/>
        </w:rPr>
        <w:t xml:space="preserve">                </w:t>
      </w:r>
    </w:p>
    <w:p w14:paraId="7ECCD156">
      <w:pPr>
        <w:keepNext w:val="0"/>
        <w:keepLines w:val="0"/>
        <w:pageBreakBefore w:val="0"/>
        <w:kinsoku/>
        <w:wordWrap w:val="0"/>
        <w:overflowPunct/>
        <w:bidi w:val="0"/>
        <w:spacing w:line="500" w:lineRule="exact"/>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rPr>
        <w:t>承包人（全称）：</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input659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786CC617">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根据《中华人民共和国</w:t>
      </w:r>
      <w:r>
        <w:rPr>
          <w:rFonts w:hint="eastAsia" w:ascii="宋体" w:hAnsi="宋体" w:eastAsia="宋体" w:cs="宋体"/>
          <w:color w:val="auto"/>
          <w:kern w:val="0"/>
          <w:sz w:val="24"/>
          <w:szCs w:val="24"/>
          <w:highlight w:val="none"/>
          <w:lang w:eastAsia="zh-CN"/>
        </w:rPr>
        <w:t>民法典</w:t>
      </w:r>
      <w:r>
        <w:rPr>
          <w:rFonts w:hint="eastAsia" w:ascii="宋体" w:hAnsi="宋体" w:eastAsia="宋体" w:cs="宋体"/>
          <w:color w:val="auto"/>
          <w:kern w:val="0"/>
          <w:sz w:val="24"/>
          <w:szCs w:val="24"/>
          <w:highlight w:val="none"/>
        </w:rPr>
        <w:t>》《中华人民共和国建筑法》及有关法律规定，遵循平等、自愿、公平和诚实信用的原则，双方就本建设工程施工及有关事项协商一致，共同达成如下协议：</w:t>
      </w:r>
    </w:p>
    <w:p w14:paraId="21A13F6B">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w:t>
      </w:r>
      <w:r>
        <w:rPr>
          <w:rFonts w:hint="eastAsia" w:ascii="宋体" w:hAnsi="宋体" w:cs="宋体"/>
          <w:b/>
          <w:color w:val="auto"/>
          <w:kern w:val="0"/>
          <w:sz w:val="24"/>
          <w:szCs w:val="24"/>
          <w:highlight w:val="none"/>
          <w:lang w:val="en-US" w:eastAsia="zh-CN"/>
        </w:rPr>
        <w:t xml:space="preserve"> </w:t>
      </w:r>
      <w:r>
        <w:rPr>
          <w:rFonts w:hint="eastAsia" w:ascii="宋体" w:hAnsi="宋体" w:eastAsia="宋体" w:cs="宋体"/>
          <w:b/>
          <w:color w:val="auto"/>
          <w:kern w:val="0"/>
          <w:sz w:val="24"/>
          <w:szCs w:val="24"/>
          <w:highlight w:val="none"/>
        </w:rPr>
        <w:t xml:space="preserve"> 一、工程概况</w:t>
      </w:r>
    </w:p>
    <w:p w14:paraId="2280BA90">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bCs/>
          <w:color w:val="auto"/>
          <w:kern w:val="0"/>
          <w:sz w:val="24"/>
          <w:szCs w:val="24"/>
          <w:highlight w:val="none"/>
        </w:rPr>
        <w:t>1.工</w:t>
      </w:r>
      <w:r>
        <w:rPr>
          <w:rFonts w:hint="eastAsia" w:ascii="宋体" w:hAnsi="宋体" w:eastAsia="宋体" w:cs="宋体"/>
          <w:bCs/>
          <w:color w:val="auto"/>
          <w:kern w:val="0"/>
          <w:sz w:val="24"/>
          <w:szCs w:val="24"/>
          <w:highlight w:val="none"/>
          <w:lang w:eastAsia="zh-CN"/>
        </w:rPr>
        <w:t>程名称</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西定乡曼迈村委会产业发展项目</w:t>
      </w:r>
      <w:r>
        <w:rPr>
          <w:rFonts w:hint="eastAsia" w:ascii="宋体" w:hAnsi="宋体" w:eastAsia="宋体" w:cs="宋体"/>
          <w:color w:val="auto"/>
          <w:kern w:val="0"/>
          <w:sz w:val="24"/>
          <w:szCs w:val="24"/>
          <w:highlight w:val="none"/>
          <w:u w:val="single"/>
        </w:rPr>
        <w:t>。</w:t>
      </w:r>
    </w:p>
    <w:p w14:paraId="55B7780D">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2.工程地点：</w:t>
      </w:r>
      <w:r>
        <w:rPr>
          <w:rFonts w:hint="eastAsia" w:ascii="宋体" w:hAnsi="宋体" w:cs="宋体"/>
          <w:color w:val="auto"/>
          <w:kern w:val="0"/>
          <w:sz w:val="24"/>
          <w:szCs w:val="24"/>
          <w:highlight w:val="none"/>
          <w:u w:val="single"/>
          <w:lang w:val="en-US" w:eastAsia="zh-CN"/>
        </w:rPr>
        <w:t>西定乡曼迈村</w:t>
      </w:r>
      <w:r>
        <w:rPr>
          <w:rFonts w:hint="eastAsia" w:ascii="宋体" w:hAnsi="宋体" w:eastAsia="宋体" w:cs="宋体"/>
          <w:b/>
          <w:color w:val="auto"/>
          <w:kern w:val="0"/>
          <w:sz w:val="24"/>
          <w:szCs w:val="24"/>
          <w:highlight w:val="none"/>
          <w:u w:val="single"/>
          <w:lang w:val="en-US" w:eastAsia="zh-CN"/>
        </w:rPr>
        <w:t>。</w:t>
      </w:r>
    </w:p>
    <w:p w14:paraId="3908EF85">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3.工程立项批准文号：</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input663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w:t>
      </w:r>
    </w:p>
    <w:p w14:paraId="59E0D1C0">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4.资金来源：</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input664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w:t>
      </w:r>
    </w:p>
    <w:p w14:paraId="79071654">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5.工程内容：</w:t>
      </w:r>
      <w:r>
        <w:rPr>
          <w:rFonts w:hint="eastAsia" w:ascii="宋体" w:hAnsi="宋体" w:eastAsia="宋体" w:cs="宋体"/>
          <w:b/>
          <w:bCs w:val="0"/>
          <w:color w:val="auto"/>
          <w:kern w:val="0"/>
          <w:sz w:val="24"/>
          <w:szCs w:val="24"/>
          <w:highlight w:val="none"/>
          <w:u w:val="single"/>
        </w:rPr>
        <w:t>具体以发布的工程量清单为准。</w:t>
      </w:r>
    </w:p>
    <w:p w14:paraId="7FEAADA7">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群体工程应附《承包人承揽工程项目一览表》（附件1）。</w:t>
      </w:r>
    </w:p>
    <w:p w14:paraId="3A187A6B">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6.工程承包范围：</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input666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bCs w:val="0"/>
          <w:color w:val="auto"/>
          <w:kern w:val="0"/>
          <w:sz w:val="24"/>
          <w:szCs w:val="24"/>
          <w:highlight w:val="none"/>
          <w:u w:val="single"/>
        </w:rPr>
        <w:t xml:space="preserve"> 具体以发布的工程量清单为准。</w:t>
      </w:r>
      <w:r>
        <w:rPr>
          <w:rFonts w:hint="eastAsia" w:ascii="宋体" w:hAnsi="宋体" w:eastAsia="宋体" w:cs="宋体"/>
          <w:b/>
          <w:color w:val="auto"/>
          <w:kern w:val="0"/>
          <w:sz w:val="24"/>
          <w:szCs w:val="24"/>
          <w:highlight w:val="none"/>
          <w:u w:val="single"/>
        </w:rPr>
        <w:fldChar w:fldCharType="end"/>
      </w:r>
    </w:p>
    <w:p w14:paraId="6E2F4DD9">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w:t>
      </w:r>
      <w:r>
        <w:rPr>
          <w:rFonts w:hint="eastAsia" w:ascii="宋体" w:hAnsi="宋体" w:cs="宋体"/>
          <w:b/>
          <w:color w:val="auto"/>
          <w:kern w:val="0"/>
          <w:sz w:val="24"/>
          <w:szCs w:val="24"/>
          <w:highlight w:val="none"/>
          <w:lang w:val="en-US" w:eastAsia="zh-CN"/>
        </w:rPr>
        <w:t xml:space="preserve"> </w:t>
      </w:r>
      <w:r>
        <w:rPr>
          <w:rFonts w:hint="eastAsia" w:ascii="宋体" w:hAnsi="宋体" w:eastAsia="宋体" w:cs="宋体"/>
          <w:b/>
          <w:color w:val="auto"/>
          <w:kern w:val="0"/>
          <w:sz w:val="24"/>
          <w:szCs w:val="24"/>
          <w:highlight w:val="none"/>
        </w:rPr>
        <w:t xml:space="preserve"> 二、合同工期</w:t>
      </w:r>
    </w:p>
    <w:p w14:paraId="12BF4895">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计划开工日期：</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input667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6BBE9D26">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计划竣工日期：</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input668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53BBA217">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工期总日历天数：</w:t>
      </w:r>
      <w:r>
        <w:rPr>
          <w:rFonts w:hint="eastAsia" w:ascii="宋体" w:hAnsi="宋体" w:cs="宋体"/>
          <w:b/>
          <w:color w:val="auto"/>
          <w:kern w:val="0"/>
          <w:sz w:val="24"/>
          <w:szCs w:val="24"/>
          <w:highlight w:val="none"/>
          <w:u w:val="single"/>
          <w:lang w:val="en-US" w:eastAsia="zh-CN"/>
        </w:rPr>
        <w:t>120</w:t>
      </w:r>
      <w:r>
        <w:rPr>
          <w:rFonts w:hint="eastAsia" w:ascii="宋体" w:hAnsi="宋体" w:eastAsia="宋体" w:cs="宋体"/>
          <w:color w:val="auto"/>
          <w:kern w:val="0"/>
          <w:sz w:val="24"/>
          <w:szCs w:val="24"/>
          <w:highlight w:val="none"/>
        </w:rPr>
        <w:t>天。工期总日历天数与根据前述计划开竣工日期计算的工期天数不一致的，以工期总日历天数为准。</w:t>
      </w:r>
    </w:p>
    <w:p w14:paraId="6EC0914C">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三、质量标准</w:t>
      </w:r>
    </w:p>
    <w:p w14:paraId="4E474057">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lang w:eastAsia="zh-CN"/>
        </w:rPr>
        <w:t>符合现行国家有关工程施工验收规范和标准的要求，一次性验收合格；</w:t>
      </w:r>
    </w:p>
    <w:p w14:paraId="3837AABA">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 xml:space="preserve">    四、签约合同价与合同价格形式</w:t>
      </w:r>
      <w:r>
        <w:rPr>
          <w:rFonts w:hint="eastAsia" w:ascii="宋体" w:hAnsi="宋体" w:eastAsia="宋体" w:cs="宋体"/>
          <w:b/>
          <w:color w:val="auto"/>
          <w:kern w:val="0"/>
          <w:sz w:val="24"/>
          <w:szCs w:val="24"/>
          <w:highlight w:val="none"/>
        </w:rPr>
        <w:tab/>
      </w:r>
    </w:p>
    <w:p w14:paraId="609F8525">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1.签约合同价为：</w:t>
      </w:r>
    </w:p>
    <w:p w14:paraId="24A34BBB">
      <w:pPr>
        <w:keepNext w:val="0"/>
        <w:keepLines w:val="0"/>
        <w:pageBreakBefore w:val="0"/>
        <w:widowControl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暂定</w:t>
      </w:r>
      <w:r>
        <w:rPr>
          <w:rFonts w:hint="eastAsia" w:ascii="宋体" w:hAnsi="宋体" w:eastAsia="宋体" w:cs="宋体"/>
          <w:color w:val="auto"/>
          <w:kern w:val="0"/>
          <w:sz w:val="24"/>
          <w:szCs w:val="24"/>
          <w:highlight w:val="none"/>
        </w:rPr>
        <w:t>合同价款金额</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成交价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元（大写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人民币</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工程费结算价下浮率：</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结算时工程费结算价下浮率不因任何因素调整，承包人完成本项目约定范围内的工作不再计取其他任何费用。</w:t>
      </w:r>
      <w:r>
        <w:rPr>
          <w:rFonts w:hint="eastAsia" w:ascii="宋体" w:hAnsi="宋体" w:eastAsia="宋体" w:cs="宋体"/>
          <w:color w:val="auto"/>
          <w:kern w:val="0"/>
          <w:sz w:val="24"/>
          <w:szCs w:val="24"/>
          <w:highlight w:val="none"/>
          <w:lang w:val="en-US" w:eastAsia="zh-CN"/>
        </w:rPr>
        <w:t>包含国家规定的增值税税金，并按照发包人的要求提供增值税发票。</w:t>
      </w:r>
    </w:p>
    <w:p w14:paraId="437CF07C">
      <w:pPr>
        <w:keepNext w:val="0"/>
        <w:keepLines w:val="0"/>
        <w:pageBreakBefore w:val="0"/>
        <w:widowControl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2.合同价格形式：</w:t>
      </w:r>
      <w:r>
        <w:rPr>
          <w:rFonts w:hint="eastAsia" w:ascii="宋体" w:hAnsi="宋体" w:eastAsia="宋体" w:cs="宋体"/>
          <w:b/>
          <w:bCs/>
          <w:color w:val="auto"/>
          <w:kern w:val="0"/>
          <w:sz w:val="24"/>
          <w:szCs w:val="24"/>
          <w:highlight w:val="none"/>
          <w:u w:val="single"/>
        </w:rPr>
        <w:t>固定综合单价合同形式</w:t>
      </w:r>
      <w:r>
        <w:rPr>
          <w:rFonts w:hint="eastAsia" w:ascii="宋体" w:hAnsi="宋体" w:eastAsia="宋体" w:cs="宋体"/>
          <w:b/>
          <w:bCs/>
          <w:color w:val="auto"/>
          <w:kern w:val="2"/>
          <w:sz w:val="24"/>
          <w:szCs w:val="24"/>
          <w:highlight w:val="none"/>
          <w:u w:val="single"/>
          <w:lang w:val="en-US" w:eastAsia="zh-CN" w:bidi="ar-SA"/>
        </w:rPr>
        <w:t>。</w:t>
      </w:r>
    </w:p>
    <w:p w14:paraId="14947EB1">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五、项目经理</w:t>
      </w:r>
    </w:p>
    <w:p w14:paraId="706BD5C4">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承包人项目经理：</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input682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w:t>
      </w:r>
    </w:p>
    <w:p w14:paraId="63E6C316">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六、合同文件构成</w:t>
      </w:r>
    </w:p>
    <w:p w14:paraId="3E7000D5">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本协议书与下列文件一起构成合同文件：</w:t>
      </w:r>
    </w:p>
    <w:p w14:paraId="271F0001">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）项目实施期间签订的补充合同、补充协议、会议纪要；</w:t>
      </w:r>
    </w:p>
    <w:p w14:paraId="108CEA1C">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w:t>
      </w:r>
    </w:p>
    <w:p w14:paraId="0A9EB0AD">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磋商函</w:t>
      </w:r>
      <w:r>
        <w:rPr>
          <w:rFonts w:hint="eastAsia" w:ascii="宋体" w:hAnsi="宋体" w:eastAsia="宋体" w:cs="宋体"/>
          <w:color w:val="auto"/>
          <w:kern w:val="0"/>
          <w:sz w:val="24"/>
          <w:szCs w:val="24"/>
          <w:highlight w:val="none"/>
        </w:rPr>
        <w:t xml:space="preserve">； </w:t>
      </w:r>
    </w:p>
    <w:p w14:paraId="654F35AE">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）专用合同条款及其附件；</w:t>
      </w:r>
    </w:p>
    <w:p w14:paraId="226F45B7">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）通用合同条款；</w:t>
      </w:r>
    </w:p>
    <w:p w14:paraId="37065A04">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）技术标准和要求；</w:t>
      </w:r>
    </w:p>
    <w:p w14:paraId="31475BF9">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）图纸；</w:t>
      </w:r>
    </w:p>
    <w:p w14:paraId="1DB6E94C">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）已标价工程量清单或预算书；</w:t>
      </w:r>
    </w:p>
    <w:p w14:paraId="72F5D935">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）其他合同文件。</w:t>
      </w:r>
    </w:p>
    <w:p w14:paraId="5CB3A79F">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在合同订立及履行过程中形成的与合同有关的文件均构成合同文件组成部分。</w:t>
      </w:r>
    </w:p>
    <w:p w14:paraId="50D6B50F">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553E8DFB">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bCs/>
          <w:color w:val="auto"/>
          <w:kern w:val="0"/>
          <w:sz w:val="24"/>
          <w:szCs w:val="24"/>
          <w:highlight w:val="none"/>
        </w:rPr>
      </w:pPr>
      <w:r>
        <w:rPr>
          <w:rFonts w:hint="eastAsia" w:ascii="宋体" w:hAnsi="宋体" w:eastAsia="宋体" w:cs="宋体"/>
          <w:b/>
          <w:color w:val="auto"/>
          <w:kern w:val="0"/>
          <w:sz w:val="24"/>
          <w:szCs w:val="24"/>
          <w:highlight w:val="none"/>
        </w:rPr>
        <w:t xml:space="preserve">    七、承诺</w:t>
      </w:r>
    </w:p>
    <w:p w14:paraId="7F9A4365">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1.发包人承诺按照法律规定履行项目审批手续、筹集工程建设资金并按照合同约定的期限和方式支付合同价款。</w:t>
      </w:r>
    </w:p>
    <w:p w14:paraId="413ABCE2">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2.承包人承诺按照法律规定及合同约定组织完成工程施工，确保工程质量和安全，不进行转包及违法分包，并在缺陷责任期及保修期内承担相应的工程维修责任。</w:t>
      </w:r>
    </w:p>
    <w:p w14:paraId="5A080C99">
      <w:pPr>
        <w:keepNext w:val="0"/>
        <w:keepLines w:val="0"/>
        <w:pageBreakBefore w:val="0"/>
        <w:kinsoku/>
        <w:wordWrap w:val="0"/>
        <w:overflowPunct/>
        <w:bidi w:val="0"/>
        <w:spacing w:line="500" w:lineRule="exact"/>
        <w:textAlignment w:val="auto"/>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八、词语含义</w:t>
      </w:r>
    </w:p>
    <w:p w14:paraId="3E0A3F18">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本协议书中词语含义与第二部分通用合同条款中赋予的含义相同。</w:t>
      </w:r>
    </w:p>
    <w:p w14:paraId="5CDB59A8">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九、签订时间</w:t>
      </w:r>
    </w:p>
    <w:p w14:paraId="34AACEEB">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本合同于</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input683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签订。</w:t>
      </w:r>
    </w:p>
    <w:p w14:paraId="11A0541D">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十、签订地点</w:t>
      </w:r>
    </w:p>
    <w:p w14:paraId="05CAABC2">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本合同在</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input684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签订。</w:t>
      </w:r>
    </w:p>
    <w:p w14:paraId="18501C3A">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十一、补充协议</w:t>
      </w:r>
    </w:p>
    <w:p w14:paraId="32144E5D">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Cs/>
          <w:color w:val="auto"/>
          <w:kern w:val="0"/>
          <w:sz w:val="24"/>
          <w:szCs w:val="24"/>
          <w:highlight w:val="none"/>
        </w:rPr>
        <w:t>合同未尽事宜，合同当事人另行签订补充协议，补充协议是合同的组成部分。</w:t>
      </w:r>
    </w:p>
    <w:p w14:paraId="16B2B759">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十二、合同生效</w:t>
      </w:r>
    </w:p>
    <w:p w14:paraId="22F7FD1C">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本合同自</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input685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生效。</w:t>
      </w:r>
    </w:p>
    <w:p w14:paraId="688D8842">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十三、合同份数</w:t>
      </w:r>
    </w:p>
    <w:p w14:paraId="4CFE4DD8">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本合同一式</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份，均具有同等法律效力，发包人执</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份，承包人执</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w:t>
      </w:r>
    </w:p>
    <w:p w14:paraId="4D9C3F63">
      <w:pPr>
        <w:keepNext w:val="0"/>
        <w:keepLines w:val="0"/>
        <w:pageBreakBefore w:val="0"/>
        <w:kinsoku/>
        <w:wordWrap w:val="0"/>
        <w:overflowPunct/>
        <w:bidi w:val="0"/>
        <w:spacing w:line="500" w:lineRule="exac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br w:type="page"/>
      </w:r>
    </w:p>
    <w:p w14:paraId="0B6AAB92">
      <w:pPr>
        <w:keepNext w:val="0"/>
        <w:keepLines w:val="0"/>
        <w:pageBreakBefore w:val="0"/>
        <w:kinsoku/>
        <w:wordWrap w:val="0"/>
        <w:overflowPunct/>
        <w:bidi w:val="0"/>
        <w:spacing w:line="500" w:lineRule="exact"/>
        <w:textAlignment w:val="auto"/>
        <w:rPr>
          <w:rFonts w:hint="eastAsia" w:ascii="宋体" w:hAnsi="宋体" w:eastAsia="宋体" w:cs="宋体"/>
          <w:bCs/>
          <w:color w:val="auto"/>
          <w:kern w:val="0"/>
          <w:sz w:val="24"/>
          <w:szCs w:val="24"/>
          <w:highlight w:val="none"/>
        </w:rPr>
      </w:pPr>
    </w:p>
    <w:tbl>
      <w:tblPr>
        <w:tblStyle w:val="29"/>
        <w:tblW w:w="0" w:type="auto"/>
        <w:jc w:val="center"/>
        <w:tblLayout w:type="fixed"/>
        <w:tblCellMar>
          <w:top w:w="0" w:type="dxa"/>
          <w:left w:w="108" w:type="dxa"/>
          <w:bottom w:w="0" w:type="dxa"/>
          <w:right w:w="108" w:type="dxa"/>
        </w:tblCellMar>
      </w:tblPr>
      <w:tblGrid>
        <w:gridCol w:w="2269"/>
        <w:gridCol w:w="2118"/>
        <w:gridCol w:w="2073"/>
        <w:gridCol w:w="2826"/>
      </w:tblGrid>
      <w:tr w14:paraId="615EF81E">
        <w:tblPrEx>
          <w:tblCellMar>
            <w:top w:w="0" w:type="dxa"/>
            <w:left w:w="108" w:type="dxa"/>
            <w:bottom w:w="0" w:type="dxa"/>
            <w:right w:w="108" w:type="dxa"/>
          </w:tblCellMar>
        </w:tblPrEx>
        <w:trPr>
          <w:cantSplit/>
          <w:jc w:val="center"/>
        </w:trPr>
        <w:tc>
          <w:tcPr>
            <w:tcW w:w="2269" w:type="dxa"/>
            <w:vAlign w:val="center"/>
          </w:tcPr>
          <w:p w14:paraId="45EBC50E">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w:t>
            </w:r>
          </w:p>
        </w:tc>
        <w:tc>
          <w:tcPr>
            <w:tcW w:w="2118" w:type="dxa"/>
            <w:vAlign w:val="center"/>
          </w:tcPr>
          <w:p w14:paraId="4BCA270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(公章)</w:t>
            </w:r>
          </w:p>
        </w:tc>
        <w:tc>
          <w:tcPr>
            <w:tcW w:w="2073" w:type="dxa"/>
            <w:vAlign w:val="center"/>
          </w:tcPr>
          <w:p w14:paraId="3CE0132D">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w:t>
            </w:r>
          </w:p>
        </w:tc>
        <w:tc>
          <w:tcPr>
            <w:tcW w:w="2826" w:type="dxa"/>
            <w:vAlign w:val="center"/>
          </w:tcPr>
          <w:p w14:paraId="2B787255">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(公章)</w:t>
            </w:r>
          </w:p>
        </w:tc>
      </w:tr>
      <w:tr w14:paraId="703F130B">
        <w:tblPrEx>
          <w:tblCellMar>
            <w:top w:w="0" w:type="dxa"/>
            <w:left w:w="108" w:type="dxa"/>
            <w:bottom w:w="0" w:type="dxa"/>
            <w:right w:w="108" w:type="dxa"/>
          </w:tblCellMar>
        </w:tblPrEx>
        <w:trPr>
          <w:cantSplit/>
          <w:jc w:val="center"/>
        </w:trPr>
        <w:tc>
          <w:tcPr>
            <w:tcW w:w="2269" w:type="dxa"/>
            <w:vAlign w:val="center"/>
          </w:tcPr>
          <w:p w14:paraId="656CF740">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p>
        </w:tc>
        <w:tc>
          <w:tcPr>
            <w:tcW w:w="2118" w:type="dxa"/>
            <w:vAlign w:val="center"/>
          </w:tcPr>
          <w:p w14:paraId="0CCB191C">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（签字）</w:t>
            </w:r>
          </w:p>
        </w:tc>
        <w:tc>
          <w:tcPr>
            <w:tcW w:w="2073" w:type="dxa"/>
            <w:vAlign w:val="center"/>
          </w:tcPr>
          <w:p w14:paraId="34FA8B75">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p>
        </w:tc>
        <w:tc>
          <w:tcPr>
            <w:tcW w:w="2826" w:type="dxa"/>
            <w:vAlign w:val="center"/>
          </w:tcPr>
          <w:p w14:paraId="06132D5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input692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（签字）</w:t>
            </w:r>
          </w:p>
        </w:tc>
      </w:tr>
      <w:tr w14:paraId="1C8FE63D">
        <w:tblPrEx>
          <w:tblCellMar>
            <w:top w:w="0" w:type="dxa"/>
            <w:left w:w="108" w:type="dxa"/>
            <w:bottom w:w="0" w:type="dxa"/>
            <w:right w:w="108" w:type="dxa"/>
          </w:tblCellMar>
        </w:tblPrEx>
        <w:trPr>
          <w:cantSplit/>
          <w:jc w:val="center"/>
        </w:trPr>
        <w:tc>
          <w:tcPr>
            <w:tcW w:w="2269" w:type="dxa"/>
            <w:vAlign w:val="center"/>
          </w:tcPr>
          <w:p w14:paraId="3A1EA5D2">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p>
        </w:tc>
        <w:tc>
          <w:tcPr>
            <w:tcW w:w="2118" w:type="dxa"/>
            <w:vAlign w:val="center"/>
          </w:tcPr>
          <w:p w14:paraId="73124F25">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input693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3BB8E32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p>
        </w:tc>
        <w:tc>
          <w:tcPr>
            <w:tcW w:w="2826" w:type="dxa"/>
            <w:vAlign w:val="center"/>
          </w:tcPr>
          <w:p w14:paraId="6F25AE1B">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input694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47F0DF6A">
        <w:tblPrEx>
          <w:tblCellMar>
            <w:top w:w="0" w:type="dxa"/>
            <w:left w:w="108" w:type="dxa"/>
            <w:bottom w:w="0" w:type="dxa"/>
            <w:right w:w="108" w:type="dxa"/>
          </w:tblCellMar>
        </w:tblPrEx>
        <w:trPr>
          <w:cantSplit/>
          <w:jc w:val="center"/>
        </w:trPr>
        <w:tc>
          <w:tcPr>
            <w:tcW w:w="2269" w:type="dxa"/>
            <w:vAlign w:val="center"/>
          </w:tcPr>
          <w:p w14:paraId="56479EDC">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p>
        </w:tc>
        <w:tc>
          <w:tcPr>
            <w:tcW w:w="2118" w:type="dxa"/>
            <w:vAlign w:val="center"/>
          </w:tcPr>
          <w:p w14:paraId="7DCC7F35">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input695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52ECA22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p>
        </w:tc>
        <w:tc>
          <w:tcPr>
            <w:tcW w:w="2826" w:type="dxa"/>
            <w:vAlign w:val="center"/>
          </w:tcPr>
          <w:p w14:paraId="4787B2B8">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0D576337">
        <w:tblPrEx>
          <w:tblCellMar>
            <w:top w:w="0" w:type="dxa"/>
            <w:left w:w="108" w:type="dxa"/>
            <w:bottom w:w="0" w:type="dxa"/>
            <w:right w:w="108" w:type="dxa"/>
          </w:tblCellMar>
        </w:tblPrEx>
        <w:trPr>
          <w:cantSplit/>
          <w:jc w:val="center"/>
        </w:trPr>
        <w:tc>
          <w:tcPr>
            <w:tcW w:w="2269" w:type="dxa"/>
            <w:vAlign w:val="center"/>
          </w:tcPr>
          <w:p w14:paraId="61B2BDDB">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118" w:type="dxa"/>
            <w:vAlign w:val="center"/>
          </w:tcPr>
          <w:p w14:paraId="0FB630E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2393100A">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826" w:type="dxa"/>
            <w:vAlign w:val="center"/>
          </w:tcPr>
          <w:p w14:paraId="5964952B">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3B709D22">
        <w:tblPrEx>
          <w:tblCellMar>
            <w:top w:w="0" w:type="dxa"/>
            <w:left w:w="108" w:type="dxa"/>
            <w:bottom w:w="0" w:type="dxa"/>
            <w:right w:w="108" w:type="dxa"/>
          </w:tblCellMar>
        </w:tblPrEx>
        <w:trPr>
          <w:cantSplit/>
          <w:jc w:val="center"/>
        </w:trPr>
        <w:tc>
          <w:tcPr>
            <w:tcW w:w="2269" w:type="dxa"/>
            <w:vAlign w:val="center"/>
          </w:tcPr>
          <w:p w14:paraId="22F677A4">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118" w:type="dxa"/>
            <w:vAlign w:val="center"/>
          </w:tcPr>
          <w:p w14:paraId="29DFA582">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7FB2E3FC">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826" w:type="dxa"/>
            <w:vAlign w:val="center"/>
          </w:tcPr>
          <w:p w14:paraId="1991D9B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14ADAD52">
        <w:tblPrEx>
          <w:tblCellMar>
            <w:top w:w="0" w:type="dxa"/>
            <w:left w:w="108" w:type="dxa"/>
            <w:bottom w:w="0" w:type="dxa"/>
            <w:right w:w="108" w:type="dxa"/>
          </w:tblCellMar>
        </w:tblPrEx>
        <w:trPr>
          <w:cantSplit/>
          <w:jc w:val="center"/>
        </w:trPr>
        <w:tc>
          <w:tcPr>
            <w:tcW w:w="2269" w:type="dxa"/>
            <w:vAlign w:val="center"/>
          </w:tcPr>
          <w:p w14:paraId="6ADB0B8B">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tc>
        <w:tc>
          <w:tcPr>
            <w:tcW w:w="2118" w:type="dxa"/>
            <w:vAlign w:val="center"/>
          </w:tcPr>
          <w:p w14:paraId="5AA863C5">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28A6EC21">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tc>
        <w:tc>
          <w:tcPr>
            <w:tcW w:w="2826" w:type="dxa"/>
            <w:vAlign w:val="center"/>
          </w:tcPr>
          <w:p w14:paraId="2639D06B">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input702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4512CCDA">
        <w:tblPrEx>
          <w:tblCellMar>
            <w:top w:w="0" w:type="dxa"/>
            <w:left w:w="108" w:type="dxa"/>
            <w:bottom w:w="0" w:type="dxa"/>
            <w:right w:w="108" w:type="dxa"/>
          </w:tblCellMar>
        </w:tblPrEx>
        <w:trPr>
          <w:cantSplit/>
          <w:jc w:val="center"/>
        </w:trPr>
        <w:tc>
          <w:tcPr>
            <w:tcW w:w="2269" w:type="dxa"/>
            <w:vAlign w:val="center"/>
          </w:tcPr>
          <w:p w14:paraId="2A9DE7F7">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118" w:type="dxa"/>
            <w:vAlign w:val="center"/>
          </w:tcPr>
          <w:p w14:paraId="723FAE49">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input703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009937AA">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826" w:type="dxa"/>
            <w:vAlign w:val="center"/>
          </w:tcPr>
          <w:p w14:paraId="5F391C73">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input704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692E700F">
        <w:tblPrEx>
          <w:tblCellMar>
            <w:top w:w="0" w:type="dxa"/>
            <w:left w:w="108" w:type="dxa"/>
            <w:bottom w:w="0" w:type="dxa"/>
            <w:right w:w="108" w:type="dxa"/>
          </w:tblCellMar>
        </w:tblPrEx>
        <w:trPr>
          <w:cantSplit/>
          <w:jc w:val="center"/>
        </w:trPr>
        <w:tc>
          <w:tcPr>
            <w:tcW w:w="2269" w:type="dxa"/>
            <w:vAlign w:val="center"/>
          </w:tcPr>
          <w:p w14:paraId="432B3EA3">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118" w:type="dxa"/>
            <w:vAlign w:val="center"/>
          </w:tcPr>
          <w:p w14:paraId="760227B6">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input705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4D3CFA6D">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826" w:type="dxa"/>
            <w:vAlign w:val="center"/>
          </w:tcPr>
          <w:p w14:paraId="33501971">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70EE59DF">
        <w:tblPrEx>
          <w:tblCellMar>
            <w:top w:w="0" w:type="dxa"/>
            <w:left w:w="108" w:type="dxa"/>
            <w:bottom w:w="0" w:type="dxa"/>
            <w:right w:w="108" w:type="dxa"/>
          </w:tblCellMar>
        </w:tblPrEx>
        <w:trPr>
          <w:cantSplit/>
          <w:jc w:val="center"/>
        </w:trPr>
        <w:tc>
          <w:tcPr>
            <w:tcW w:w="2269" w:type="dxa"/>
            <w:vAlign w:val="center"/>
          </w:tcPr>
          <w:p w14:paraId="67CD6BF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p>
        </w:tc>
        <w:tc>
          <w:tcPr>
            <w:tcW w:w="2118" w:type="dxa"/>
            <w:vAlign w:val="center"/>
          </w:tcPr>
          <w:p w14:paraId="3FF94BB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71E7AA22">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p>
        </w:tc>
        <w:tc>
          <w:tcPr>
            <w:tcW w:w="2826" w:type="dxa"/>
            <w:vAlign w:val="center"/>
          </w:tcPr>
          <w:p w14:paraId="58C5F6F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7A48818D">
        <w:tblPrEx>
          <w:tblCellMar>
            <w:top w:w="0" w:type="dxa"/>
            <w:left w:w="108" w:type="dxa"/>
            <w:bottom w:w="0" w:type="dxa"/>
            <w:right w:w="108" w:type="dxa"/>
          </w:tblCellMar>
        </w:tblPrEx>
        <w:trPr>
          <w:cantSplit/>
          <w:jc w:val="center"/>
        </w:trPr>
        <w:tc>
          <w:tcPr>
            <w:tcW w:w="2269" w:type="dxa"/>
            <w:vAlign w:val="center"/>
          </w:tcPr>
          <w:p w14:paraId="34649DF0">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2118" w:type="dxa"/>
            <w:vAlign w:val="center"/>
          </w:tcPr>
          <w:p w14:paraId="5620009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387916B3">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2826" w:type="dxa"/>
            <w:vAlign w:val="center"/>
          </w:tcPr>
          <w:p w14:paraId="41DE9FD9">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5F85B2BF">
        <w:tblPrEx>
          <w:tblCellMar>
            <w:top w:w="0" w:type="dxa"/>
            <w:left w:w="108" w:type="dxa"/>
            <w:bottom w:w="0" w:type="dxa"/>
            <w:right w:w="108" w:type="dxa"/>
          </w:tblCellMar>
        </w:tblPrEx>
        <w:trPr>
          <w:cantSplit/>
          <w:jc w:val="center"/>
        </w:trPr>
        <w:tc>
          <w:tcPr>
            <w:tcW w:w="2269" w:type="dxa"/>
            <w:vAlign w:val="center"/>
          </w:tcPr>
          <w:p w14:paraId="12173861">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p>
        </w:tc>
        <w:tc>
          <w:tcPr>
            <w:tcW w:w="2118" w:type="dxa"/>
            <w:vAlign w:val="center"/>
          </w:tcPr>
          <w:p w14:paraId="65DBE347">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13004C47">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p>
        </w:tc>
        <w:tc>
          <w:tcPr>
            <w:tcW w:w="2826" w:type="dxa"/>
            <w:vAlign w:val="center"/>
          </w:tcPr>
          <w:p w14:paraId="65D7A9D9">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bl>
    <w:p w14:paraId="4EFE0781">
      <w:pPr>
        <w:keepNext w:val="0"/>
        <w:keepLines w:val="0"/>
        <w:pageBreakBefore w:val="0"/>
        <w:widowControl/>
        <w:kinsoku/>
        <w:wordWrap w:val="0"/>
        <w:overflowPunct/>
        <w:topLinePunct w:val="0"/>
        <w:bidi w:val="0"/>
        <w:spacing w:line="500" w:lineRule="exact"/>
        <w:jc w:val="center"/>
        <w:textAlignment w:val="auto"/>
        <w:outlineLvl w:val="1"/>
        <w:rPr>
          <w:rFonts w:hint="eastAsia" w:ascii="宋体" w:hAnsi="宋体" w:eastAsia="宋体" w:cs="宋体"/>
          <w:b/>
          <w:bCs/>
          <w:color w:val="auto"/>
          <w:kern w:val="0"/>
          <w:sz w:val="28"/>
          <w:szCs w:val="28"/>
          <w:highlight w:val="none"/>
        </w:rPr>
      </w:pPr>
      <w:r>
        <w:rPr>
          <w:rFonts w:hint="eastAsia" w:ascii="宋体" w:hAnsi="宋体" w:eastAsia="宋体" w:cs="宋体"/>
          <w:color w:val="auto"/>
          <w:kern w:val="0"/>
          <w:sz w:val="28"/>
          <w:szCs w:val="28"/>
          <w:highlight w:val="none"/>
        </w:rPr>
        <w:br w:type="page"/>
      </w:r>
      <w:bookmarkStart w:id="378" w:name="_Toc4360"/>
      <w:bookmarkStart w:id="379" w:name="_Toc5132"/>
      <w:bookmarkStart w:id="380" w:name="_Toc9887"/>
      <w:bookmarkStart w:id="381" w:name="_Toc16664"/>
      <w:bookmarkStart w:id="382" w:name="_Toc24948"/>
      <w:r>
        <w:rPr>
          <w:rFonts w:hint="eastAsia" w:ascii="宋体" w:hAnsi="宋体" w:eastAsia="宋体" w:cs="宋体"/>
          <w:b/>
          <w:bCs/>
          <w:color w:val="auto"/>
          <w:kern w:val="0"/>
          <w:sz w:val="28"/>
          <w:szCs w:val="28"/>
          <w:highlight w:val="none"/>
        </w:rPr>
        <w:t>第二部分 通用合同条款</w:t>
      </w:r>
      <w:bookmarkEnd w:id="378"/>
      <w:bookmarkEnd w:id="379"/>
      <w:bookmarkEnd w:id="380"/>
      <w:bookmarkEnd w:id="381"/>
      <w:bookmarkEnd w:id="382"/>
    </w:p>
    <w:p w14:paraId="64E3A9E8">
      <w:pPr>
        <w:keepNext w:val="0"/>
        <w:keepLines w:val="0"/>
        <w:pageBreakBefore w:val="0"/>
        <w:kinsoku/>
        <w:wordWrap w:val="0"/>
        <w:overflowPunct/>
        <w:topLinePunct w:val="0"/>
        <w:bidi w:val="0"/>
        <w:spacing w:before="0" w:beforeLines="0" w:beforeAutospacing="0" w:after="0" w:afterLines="0" w:afterAutospacing="0" w:line="500" w:lineRule="exact"/>
        <w:ind w:firstLine="482" w:firstLineChars="200"/>
        <w:jc w:val="center"/>
        <w:textAlignment w:val="auto"/>
        <w:outlineLvl w:val="9"/>
        <w:rPr>
          <w:rFonts w:hint="eastAsia" w:ascii="宋体" w:hAnsi="宋体" w:cs="宋体"/>
          <w:b/>
          <w:bCs/>
          <w:color w:val="auto"/>
          <w:sz w:val="24"/>
          <w:szCs w:val="24"/>
          <w:highlight w:val="none"/>
          <w:lang w:eastAsia="zh-CN"/>
        </w:rPr>
      </w:pPr>
    </w:p>
    <w:p w14:paraId="76B2EBBC">
      <w:pPr>
        <w:keepNext w:val="0"/>
        <w:keepLines w:val="0"/>
        <w:pageBreakBefore w:val="0"/>
        <w:kinsoku/>
        <w:wordWrap w:val="0"/>
        <w:overflowPunct/>
        <w:topLinePunct w:val="0"/>
        <w:bidi w:val="0"/>
        <w:spacing w:before="0" w:beforeLines="0" w:beforeAutospacing="0" w:after="0" w:afterLines="0" w:afterAutospacing="0" w:line="500" w:lineRule="exact"/>
        <w:ind w:firstLine="482" w:firstLineChars="200"/>
        <w:jc w:val="center"/>
        <w:textAlignment w:val="auto"/>
        <w:outlineLvl w:val="9"/>
        <w:rPr>
          <w:rFonts w:hint="eastAsia" w:ascii="宋体" w:hAnsi="宋体" w:eastAsia="宋体" w:cs="宋体"/>
          <w:b/>
          <w:color w:val="auto"/>
          <w:kern w:val="0"/>
          <w:sz w:val="28"/>
          <w:szCs w:val="28"/>
          <w:highlight w:val="none"/>
        </w:rPr>
      </w:pPr>
      <w:r>
        <w:rPr>
          <w:rFonts w:hint="eastAsia" w:ascii="宋体" w:hAnsi="宋体" w:cs="宋体"/>
          <w:b/>
          <w:bCs/>
          <w:color w:val="auto"/>
          <w:sz w:val="24"/>
          <w:szCs w:val="24"/>
          <w:highlight w:val="none"/>
          <w:lang w:eastAsia="zh-CN"/>
        </w:rPr>
        <w:t>按</w:t>
      </w:r>
      <w:r>
        <w:rPr>
          <w:rFonts w:hint="eastAsia" w:ascii="宋体" w:hAnsi="宋体" w:eastAsia="宋体" w:cs="宋体"/>
          <w:b/>
          <w:bCs/>
          <w:color w:val="auto"/>
          <w:sz w:val="24"/>
          <w:szCs w:val="24"/>
          <w:highlight w:val="none"/>
        </w:rPr>
        <w:t>《建设工程施工合同（示范文本）》（GF-2013-0201）合同通用条款要求执行</w:t>
      </w:r>
    </w:p>
    <w:p w14:paraId="5FE658E7">
      <w:pPr>
        <w:keepNext w:val="0"/>
        <w:keepLines w:val="0"/>
        <w:pageBreakBefore w:val="0"/>
        <w:kinsoku/>
        <w:wordWrap w:val="0"/>
        <w:overflowPunct/>
        <w:topLinePunct w:val="0"/>
        <w:bidi w:val="0"/>
        <w:spacing w:before="0" w:beforeLines="0" w:beforeAutospacing="0" w:after="0" w:afterLines="0" w:afterAutospacing="0" w:line="500" w:lineRule="exact"/>
        <w:ind w:firstLine="562" w:firstLineChars="200"/>
        <w:jc w:val="center"/>
        <w:textAlignment w:val="auto"/>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br w:type="page"/>
      </w:r>
      <w:bookmarkStart w:id="383" w:name="_Toc3507"/>
      <w:bookmarkStart w:id="384" w:name="_Toc7765"/>
      <w:bookmarkStart w:id="385" w:name="_Toc17246"/>
      <w:bookmarkStart w:id="386" w:name="_Toc28945"/>
      <w:bookmarkStart w:id="387" w:name="_Toc3882"/>
      <w:r>
        <w:rPr>
          <w:rFonts w:hint="eastAsia" w:ascii="宋体" w:hAnsi="宋体" w:eastAsia="宋体" w:cs="宋体"/>
          <w:b/>
          <w:color w:val="auto"/>
          <w:kern w:val="0"/>
          <w:sz w:val="28"/>
          <w:szCs w:val="28"/>
          <w:highlight w:val="none"/>
        </w:rPr>
        <w:t>第三部分 专用合同条款</w:t>
      </w:r>
      <w:bookmarkEnd w:id="383"/>
      <w:bookmarkEnd w:id="384"/>
      <w:bookmarkEnd w:id="385"/>
      <w:bookmarkEnd w:id="386"/>
      <w:bookmarkEnd w:id="387"/>
    </w:p>
    <w:p w14:paraId="4F90E9CC">
      <w:pPr>
        <w:keepNext w:val="0"/>
        <w:keepLines w:val="0"/>
        <w:pageBreakBefore w:val="0"/>
        <w:kinsoku/>
        <w:wordWrap w:val="0"/>
        <w:overflowPunct/>
        <w:topLinePunct w:val="0"/>
        <w:bidi w:val="0"/>
        <w:spacing w:line="500" w:lineRule="exact"/>
        <w:ind w:firstLine="560" w:firstLineChars="200"/>
        <w:textAlignment w:val="auto"/>
        <w:rPr>
          <w:rFonts w:hint="eastAsia" w:ascii="宋体" w:hAnsi="宋体" w:eastAsia="宋体" w:cs="宋体"/>
          <w:color w:val="auto"/>
          <w:kern w:val="0"/>
          <w:sz w:val="28"/>
          <w:szCs w:val="28"/>
          <w:highlight w:val="none"/>
        </w:rPr>
      </w:pPr>
      <w:bookmarkStart w:id="388" w:name="_Toc351203652_0"/>
    </w:p>
    <w:p w14:paraId="3BCE8F52">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专用合同条款与本合同通用合同条款不一致或相抵触的，按本合同专用合同条款执行。本工程专用合同条款编号与通用合同条款编号是一致的，如果两者的规定发生抵触，以专用合同条款的规定为准。专用合同条款中未做明确规定的条款执行通用合同条款。</w:t>
      </w:r>
    </w:p>
    <w:p w14:paraId="7C8A4DC8">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p>
    <w:p w14:paraId="2DBEE99F">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389" w:name="_Toc296347155"/>
      <w:bookmarkStart w:id="390" w:name="_Toc297048342"/>
      <w:bookmarkStart w:id="391" w:name="_Toc292559866"/>
      <w:bookmarkStart w:id="392" w:name="_Toc292559361"/>
      <w:bookmarkStart w:id="393" w:name="_Toc296346657"/>
      <w:bookmarkStart w:id="394" w:name="_Toc296890984"/>
      <w:bookmarkStart w:id="395" w:name="_Toc297120456"/>
      <w:bookmarkStart w:id="396" w:name="_Toc296944495"/>
      <w:bookmarkStart w:id="397" w:name="_Toc296891196"/>
      <w:bookmarkStart w:id="398" w:name="_Toc296503156"/>
      <w:r>
        <w:rPr>
          <w:rFonts w:hint="eastAsia" w:ascii="宋体" w:hAnsi="宋体" w:eastAsia="宋体" w:cs="宋体"/>
          <w:color w:val="auto"/>
          <w:kern w:val="0"/>
          <w:sz w:val="24"/>
          <w:szCs w:val="24"/>
          <w:highlight w:val="none"/>
        </w:rPr>
        <w:t>. 一般约定</w:t>
      </w:r>
    </w:p>
    <w:bookmarkEnd w:id="389"/>
    <w:bookmarkEnd w:id="390"/>
    <w:bookmarkEnd w:id="391"/>
    <w:bookmarkEnd w:id="392"/>
    <w:bookmarkEnd w:id="393"/>
    <w:bookmarkEnd w:id="394"/>
    <w:bookmarkEnd w:id="395"/>
    <w:bookmarkEnd w:id="396"/>
    <w:bookmarkEnd w:id="397"/>
    <w:bookmarkEnd w:id="398"/>
    <w:p w14:paraId="710A478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 词语定义</w:t>
      </w:r>
    </w:p>
    <w:p w14:paraId="07B10FD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6FFAE50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履行合同过程中双方确认的对合同有影响的会议纪要、签证、及设计变更等相关资料。</w:t>
      </w:r>
    </w:p>
    <w:p w14:paraId="234B837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合同当事人及其他相关方</w:t>
      </w:r>
    </w:p>
    <w:p w14:paraId="1110A58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1.1.2.4监理人：</w:t>
      </w:r>
    </w:p>
    <w:p w14:paraId="74684B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2F51EC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898729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B7C79B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C1F3DA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EA7359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1.1.2.5 设计人：</w:t>
      </w:r>
    </w:p>
    <w:p w14:paraId="363AC38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E193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39CDEF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5D6B96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5DFB92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CF2A2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1.1.2.10 造价咨询人：</w:t>
      </w:r>
    </w:p>
    <w:p w14:paraId="525165E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7D103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17C94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8391C2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8C801B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6692AA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工程和设备</w:t>
      </w:r>
    </w:p>
    <w:p w14:paraId="2BAAA54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1.1.3.7 作为施工现场组成部分的其他场所包括：</w:t>
      </w:r>
      <w:r>
        <w:rPr>
          <w:rFonts w:hint="eastAsia" w:ascii="宋体" w:hAnsi="宋体" w:eastAsia="宋体" w:cs="宋体"/>
          <w:b/>
          <w:color w:val="auto"/>
          <w:kern w:val="0"/>
          <w:sz w:val="24"/>
          <w:szCs w:val="24"/>
          <w:highlight w:val="none"/>
          <w:u w:val="single"/>
        </w:rPr>
        <w:t>现场临时办公及施工场地</w:t>
      </w:r>
      <w:r>
        <w:rPr>
          <w:rFonts w:hint="eastAsia" w:ascii="宋体" w:hAnsi="宋体" w:eastAsia="宋体" w:cs="宋体"/>
          <w:color w:val="auto"/>
          <w:kern w:val="0"/>
          <w:sz w:val="24"/>
          <w:szCs w:val="24"/>
          <w:highlight w:val="none"/>
        </w:rPr>
        <w:t>。</w:t>
      </w:r>
    </w:p>
    <w:p w14:paraId="2F37E94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按照设计图纸确定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E5CA3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合同履行中确定 </w:t>
      </w:r>
      <w:r>
        <w:rPr>
          <w:rFonts w:hint="eastAsia" w:ascii="宋体" w:hAnsi="宋体" w:eastAsia="宋体" w:cs="宋体"/>
          <w:color w:val="auto"/>
          <w:kern w:val="0"/>
          <w:sz w:val="24"/>
          <w:szCs w:val="24"/>
          <w:highlight w:val="none"/>
        </w:rPr>
        <w:t>。</w:t>
      </w:r>
    </w:p>
    <w:p w14:paraId="38CC4E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1.3法律 </w:t>
      </w:r>
    </w:p>
    <w:p w14:paraId="653ECDEA">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适用于合同的其他规范性文件：</w:t>
      </w:r>
      <w:r>
        <w:rPr>
          <w:rFonts w:hint="eastAsia" w:ascii="宋体" w:hAnsi="宋体" w:eastAsia="宋体" w:cs="宋体"/>
          <w:b/>
          <w:color w:val="auto"/>
          <w:kern w:val="0"/>
          <w:sz w:val="24"/>
          <w:szCs w:val="24"/>
          <w:highlight w:val="none"/>
          <w:u w:val="single" w:color="000000"/>
        </w:rPr>
        <w:t>《中华人民共和国民法典》《中华人民共和国建筑法》《中华人民共和国</w:t>
      </w:r>
      <w:r>
        <w:rPr>
          <w:rFonts w:hint="eastAsia" w:ascii="宋体" w:hAnsi="宋体" w:eastAsia="宋体" w:cs="宋体"/>
          <w:b/>
          <w:color w:val="auto"/>
          <w:kern w:val="0"/>
          <w:sz w:val="24"/>
          <w:szCs w:val="24"/>
          <w:highlight w:val="none"/>
          <w:u w:val="single" w:color="000000"/>
          <w:lang w:eastAsia="zh-CN"/>
        </w:rPr>
        <w:t>政府采购法</w:t>
      </w:r>
      <w:r>
        <w:rPr>
          <w:rFonts w:hint="eastAsia" w:ascii="宋体" w:hAnsi="宋体" w:eastAsia="宋体" w:cs="宋体"/>
          <w:b/>
          <w:color w:val="auto"/>
          <w:kern w:val="0"/>
          <w:sz w:val="24"/>
          <w:szCs w:val="24"/>
          <w:highlight w:val="none"/>
          <w:u w:val="single" w:color="000000"/>
        </w:rPr>
        <w:t>》《中华人民共和国安全生产法》《建设工程质量管理条例》，以及其他有关法律、法规。</w:t>
      </w:r>
    </w:p>
    <w:p w14:paraId="6BF9CDF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 标准和规范</w:t>
      </w:r>
    </w:p>
    <w:p w14:paraId="436A4A0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1.4.1适用于工程的标准规范包括：</w:t>
      </w:r>
      <w:r>
        <w:rPr>
          <w:rFonts w:hint="eastAsia" w:ascii="宋体" w:hAnsi="宋体" w:eastAsia="宋体" w:cs="宋体"/>
          <w:b/>
          <w:color w:val="auto"/>
          <w:kern w:val="0"/>
          <w:sz w:val="24"/>
          <w:szCs w:val="24"/>
          <w:highlight w:val="none"/>
          <w:u w:val="single" w:color="000000"/>
        </w:rPr>
        <w:t>国家和地方现行的有关标准、规范、详细施工图</w:t>
      </w:r>
      <w:r>
        <w:rPr>
          <w:rFonts w:hint="eastAsia" w:ascii="宋体" w:hAnsi="宋体" w:eastAsia="宋体" w:cs="宋体"/>
          <w:color w:val="auto"/>
          <w:kern w:val="0"/>
          <w:sz w:val="24"/>
          <w:szCs w:val="24"/>
          <w:highlight w:val="none"/>
          <w:u w:val="single" w:color="000000"/>
        </w:rPr>
        <w:t>。</w:t>
      </w:r>
    </w:p>
    <w:p w14:paraId="24E8C17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1.4.2 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69C5C1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C4C87D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无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8AF562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1.4.3发包人对工程的技术标准和功能要求的特殊要求：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无  </w:t>
      </w:r>
      <w:r>
        <w:rPr>
          <w:rFonts w:hint="eastAsia" w:ascii="宋体" w:hAnsi="宋体" w:eastAsia="宋体" w:cs="宋体"/>
          <w:b/>
          <w:color w:val="auto"/>
          <w:kern w:val="0"/>
          <w:sz w:val="24"/>
          <w:szCs w:val="24"/>
          <w:highlight w:val="none"/>
        </w:rPr>
        <w:t>。</w:t>
      </w:r>
    </w:p>
    <w:p w14:paraId="0D43E84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 合同文件的优先顺序</w:t>
      </w:r>
    </w:p>
    <w:p w14:paraId="56039FF8">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合同文件组成及优先顺序为：</w:t>
      </w:r>
      <w:r>
        <w:rPr>
          <w:rFonts w:hint="eastAsia" w:ascii="宋体" w:hAnsi="宋体" w:eastAsia="宋体" w:cs="宋体"/>
          <w:b/>
          <w:bCs/>
          <w:color w:val="auto"/>
          <w:kern w:val="0"/>
          <w:sz w:val="24"/>
          <w:szCs w:val="24"/>
          <w:highlight w:val="none"/>
          <w:u w:val="single"/>
        </w:rPr>
        <w:t>（1）项目实施期间签订的补充合同、补充协议、会议纪要；（2）合同协议书；（3）</w:t>
      </w:r>
      <w:r>
        <w:rPr>
          <w:rFonts w:hint="eastAsia" w:ascii="宋体" w:hAnsi="宋体" w:eastAsia="宋体" w:cs="宋体"/>
          <w:b/>
          <w:bCs/>
          <w:color w:val="auto"/>
          <w:kern w:val="0"/>
          <w:sz w:val="24"/>
          <w:szCs w:val="24"/>
          <w:highlight w:val="none"/>
          <w:u w:val="single"/>
          <w:lang w:eastAsia="zh-CN"/>
        </w:rPr>
        <w:t>成交通知书</w:t>
      </w:r>
      <w:r>
        <w:rPr>
          <w:rFonts w:hint="eastAsia" w:ascii="宋体" w:hAnsi="宋体" w:eastAsia="宋体" w:cs="宋体"/>
          <w:b/>
          <w:bCs/>
          <w:color w:val="auto"/>
          <w:kern w:val="0"/>
          <w:sz w:val="24"/>
          <w:szCs w:val="24"/>
          <w:highlight w:val="none"/>
          <w:u w:val="single"/>
        </w:rPr>
        <w:t>；（4）</w:t>
      </w:r>
      <w:r>
        <w:rPr>
          <w:rFonts w:hint="eastAsia" w:ascii="宋体" w:hAnsi="宋体" w:eastAsia="宋体" w:cs="宋体"/>
          <w:b/>
          <w:bCs/>
          <w:color w:val="auto"/>
          <w:kern w:val="0"/>
          <w:sz w:val="24"/>
          <w:szCs w:val="24"/>
          <w:highlight w:val="none"/>
          <w:u w:val="single"/>
          <w:lang w:val="en-US" w:eastAsia="zh-CN"/>
        </w:rPr>
        <w:t>磋商函</w:t>
      </w:r>
      <w:r>
        <w:rPr>
          <w:rFonts w:hint="eastAsia" w:ascii="宋体" w:hAnsi="宋体" w:eastAsia="宋体" w:cs="宋体"/>
          <w:b/>
          <w:bCs/>
          <w:color w:val="auto"/>
          <w:kern w:val="0"/>
          <w:sz w:val="24"/>
          <w:szCs w:val="24"/>
          <w:highlight w:val="none"/>
          <w:u w:val="single"/>
        </w:rPr>
        <w:t>；（5）专用合同条款及其附件；（6）通用合同条款；（7）技术标准和要求；（8）图纸；（9）已标价工程量清单；（10）其他合同文件。</w:t>
      </w:r>
    </w:p>
    <w:p w14:paraId="1E7623D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 图纸和承包人文件</w:t>
      </w:r>
      <w:r>
        <w:rPr>
          <w:rFonts w:hint="eastAsia" w:ascii="宋体" w:hAnsi="宋体" w:eastAsia="宋体" w:cs="宋体"/>
          <w:color w:val="auto"/>
          <w:kern w:val="0"/>
          <w:sz w:val="24"/>
          <w:szCs w:val="24"/>
          <w:highlight w:val="none"/>
        </w:rPr>
        <w:tab/>
      </w:r>
    </w:p>
    <w:p w14:paraId="04D051D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图纸的提供</w:t>
      </w:r>
    </w:p>
    <w:p w14:paraId="38AFBB9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发包人向承包人提供图纸的期限：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54FA62C">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发包人向承包人提供图纸的数量：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提供施工图4套</w:t>
      </w:r>
      <w:r>
        <w:rPr>
          <w:rFonts w:hint="eastAsia" w:ascii="宋体" w:hAnsi="宋体" w:eastAsia="宋体" w:cs="宋体"/>
          <w:color w:val="auto"/>
          <w:kern w:val="0"/>
          <w:sz w:val="24"/>
          <w:szCs w:val="24"/>
          <w:highlight w:val="none"/>
          <w:u w:val="single"/>
        </w:rPr>
        <w:t>；</w:t>
      </w:r>
    </w:p>
    <w:p w14:paraId="5E2BF5E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发包人向承包人提供图纸的内容：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全部施工图纸</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6DE74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1.6.4 承包人文件</w:t>
      </w:r>
    </w:p>
    <w:p w14:paraId="6A8BCEC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需要由承包人提供的文件，包括：</w:t>
      </w:r>
      <w:r>
        <w:rPr>
          <w:rFonts w:hint="eastAsia" w:ascii="宋体" w:hAnsi="宋体" w:eastAsia="宋体" w:cs="宋体"/>
          <w:b/>
          <w:color w:val="auto"/>
          <w:kern w:val="0"/>
          <w:sz w:val="24"/>
          <w:szCs w:val="24"/>
          <w:highlight w:val="none"/>
          <w:u w:val="single"/>
        </w:rPr>
        <w:t>实施性施工组织设计及方案</w:t>
      </w:r>
      <w:r>
        <w:rPr>
          <w:rFonts w:hint="eastAsia" w:ascii="宋体" w:hAnsi="宋体" w:eastAsia="宋体" w:cs="宋体"/>
          <w:color w:val="auto"/>
          <w:kern w:val="0"/>
          <w:sz w:val="24"/>
          <w:szCs w:val="24"/>
          <w:highlight w:val="none"/>
        </w:rPr>
        <w:t>；</w:t>
      </w:r>
    </w:p>
    <w:p w14:paraId="73092C8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承包人提供的文件的期限为：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539042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承包人提供的文件的数量为：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肆份</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972B18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承包人提供的文件的形式为：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书面文件</w:t>
      </w:r>
      <w:r>
        <w:rPr>
          <w:rFonts w:hint="eastAsia" w:ascii="宋体" w:hAnsi="宋体" w:eastAsia="宋体" w:cs="宋体"/>
          <w:color w:val="auto"/>
          <w:kern w:val="0"/>
          <w:sz w:val="24"/>
          <w:szCs w:val="24"/>
          <w:highlight w:val="none"/>
        </w:rPr>
        <w:t>；</w:t>
      </w:r>
    </w:p>
    <w:p w14:paraId="2DBA756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发包人审批承包人文件的期限：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收到文件后7天内审查完毕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B7EE48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1.6.5 现场图纸准备</w:t>
      </w:r>
    </w:p>
    <w:p w14:paraId="2926207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关于现场图纸准备的约定：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承包人应在施工现场另外保存一套完整的图纸和承包人文件，供发包人、监理人及有关人员进行工程检查时使用</w:t>
      </w:r>
      <w:r>
        <w:rPr>
          <w:rFonts w:hint="eastAsia" w:ascii="宋体" w:hAnsi="宋体" w:eastAsia="宋体" w:cs="宋体"/>
          <w:bCs/>
          <w:color w:val="auto"/>
          <w:kern w:val="0"/>
          <w:sz w:val="24"/>
          <w:szCs w:val="24"/>
          <w:highlight w:val="none"/>
        </w:rPr>
        <w:t>。</w:t>
      </w:r>
    </w:p>
    <w:p w14:paraId="261D2F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1.7 联络</w:t>
      </w:r>
    </w:p>
    <w:p w14:paraId="617A26E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5</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14A1937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b/>
          <w:color w:val="auto"/>
          <w:kern w:val="0"/>
          <w:sz w:val="24"/>
          <w:szCs w:val="24"/>
          <w:highlight w:val="none"/>
          <w:u w:val="single"/>
        </w:rPr>
        <w:t>发包人另行通知</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D626FE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08B58E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现场项目部 </w:t>
      </w:r>
      <w:r>
        <w:rPr>
          <w:rFonts w:hint="eastAsia" w:ascii="宋体" w:hAnsi="宋体" w:eastAsia="宋体" w:cs="宋体"/>
          <w:b/>
          <w:color w:val="auto"/>
          <w:kern w:val="0"/>
          <w:sz w:val="24"/>
          <w:szCs w:val="24"/>
          <w:highlight w:val="none"/>
        </w:rPr>
        <w:t>；</w:t>
      </w:r>
    </w:p>
    <w:p w14:paraId="6BD5AF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AED1B5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现场监理部 </w:t>
      </w:r>
      <w:r>
        <w:rPr>
          <w:rFonts w:hint="eastAsia" w:ascii="宋体" w:hAnsi="宋体" w:eastAsia="宋体" w:cs="宋体"/>
          <w:b/>
          <w:color w:val="auto"/>
          <w:kern w:val="0"/>
          <w:sz w:val="24"/>
          <w:szCs w:val="24"/>
          <w:highlight w:val="none"/>
        </w:rPr>
        <w:t>；</w:t>
      </w:r>
    </w:p>
    <w:p w14:paraId="0F8F76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D297D8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 交通运输</w:t>
      </w:r>
    </w:p>
    <w:p w14:paraId="40F3874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399" w:name="_Toc318581155"/>
      <w:bookmarkStart w:id="400" w:name="_Toc312677986"/>
      <w:bookmarkStart w:id="401" w:name="_Toc303539100"/>
      <w:bookmarkStart w:id="402" w:name="_Toc300934943"/>
      <w:bookmarkStart w:id="403" w:name="_Toc304295521"/>
      <w:r>
        <w:rPr>
          <w:rFonts w:hint="eastAsia" w:ascii="宋体" w:hAnsi="宋体" w:eastAsia="宋体" w:cs="宋体"/>
          <w:color w:val="auto"/>
          <w:kern w:val="0"/>
          <w:sz w:val="24"/>
          <w:szCs w:val="24"/>
          <w:highlight w:val="none"/>
        </w:rPr>
        <w:t>.10.1 出入现场的权利</w:t>
      </w:r>
    </w:p>
    <w:p w14:paraId="5FCC683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关于出入现场的权利的约定：</w:t>
      </w:r>
      <w:r>
        <w:rPr>
          <w:rFonts w:hint="eastAsia" w:ascii="宋体" w:hAnsi="宋体" w:eastAsia="宋体" w:cs="宋体"/>
          <w:b/>
          <w:color w:val="auto"/>
          <w:kern w:val="0"/>
          <w:sz w:val="24"/>
          <w:szCs w:val="24"/>
          <w:highlight w:val="none"/>
          <w:u w:val="single"/>
        </w:rPr>
        <w:t>由承包人按照发包人要求负责取得出入施工现场所需的批准手续和全部权利</w:t>
      </w:r>
      <w:r>
        <w:rPr>
          <w:rFonts w:hint="eastAsia" w:ascii="宋体" w:hAnsi="宋体" w:eastAsia="宋体" w:cs="宋体"/>
          <w:bCs/>
          <w:color w:val="auto"/>
          <w:kern w:val="0"/>
          <w:sz w:val="24"/>
          <w:szCs w:val="24"/>
          <w:highlight w:val="none"/>
        </w:rPr>
        <w:t>。</w:t>
      </w:r>
    </w:p>
    <w:bookmarkEnd w:id="399"/>
    <w:bookmarkEnd w:id="400"/>
    <w:bookmarkEnd w:id="401"/>
    <w:bookmarkEnd w:id="402"/>
    <w:bookmarkEnd w:id="403"/>
    <w:p w14:paraId="69C6CCC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404" w:name="_Toc312677987"/>
      <w:bookmarkStart w:id="405" w:name="_Toc318581156"/>
      <w:bookmarkStart w:id="406" w:name="_Toc300934944"/>
      <w:bookmarkStart w:id="407" w:name="_Toc303539101"/>
      <w:bookmarkStart w:id="408" w:name="_Toc304295522"/>
      <w:r>
        <w:rPr>
          <w:rFonts w:hint="eastAsia" w:ascii="宋体" w:hAnsi="宋体" w:eastAsia="宋体" w:cs="宋体"/>
          <w:color w:val="auto"/>
          <w:kern w:val="0"/>
          <w:sz w:val="24"/>
          <w:szCs w:val="24"/>
          <w:highlight w:val="none"/>
        </w:rPr>
        <w:t>.10.3 场内交通</w:t>
      </w:r>
    </w:p>
    <w:p w14:paraId="3177BD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b/>
          <w:color w:val="auto"/>
          <w:kern w:val="0"/>
          <w:sz w:val="24"/>
          <w:szCs w:val="24"/>
          <w:highlight w:val="none"/>
          <w:u w:val="single"/>
        </w:rPr>
        <w:t>以现场实际施工条件为准</w:t>
      </w:r>
      <w:r>
        <w:rPr>
          <w:rFonts w:hint="eastAsia" w:ascii="宋体" w:hAnsi="宋体" w:eastAsia="宋体" w:cs="宋体"/>
          <w:color w:val="auto"/>
          <w:kern w:val="0"/>
          <w:sz w:val="24"/>
          <w:szCs w:val="24"/>
          <w:highlight w:val="none"/>
        </w:rPr>
        <w:t>。</w:t>
      </w:r>
    </w:p>
    <w:p w14:paraId="529FA6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关于发包人向承包人免费提供满足工程施工需要的场内道路和交通设施的约定：</w:t>
      </w:r>
      <w:r>
        <w:rPr>
          <w:rFonts w:hint="eastAsia" w:ascii="宋体" w:hAnsi="宋体" w:eastAsia="宋体" w:cs="宋体"/>
          <w:b/>
          <w:color w:val="auto"/>
          <w:kern w:val="0"/>
          <w:sz w:val="24"/>
          <w:szCs w:val="24"/>
          <w:highlight w:val="none"/>
          <w:u w:val="single"/>
        </w:rPr>
        <w:t>以现场实际施工条件为准</w:t>
      </w:r>
      <w:r>
        <w:rPr>
          <w:rFonts w:hint="eastAsia" w:ascii="宋体" w:hAnsi="宋体" w:eastAsia="宋体" w:cs="宋体"/>
          <w:color w:val="auto"/>
          <w:kern w:val="0"/>
          <w:sz w:val="24"/>
          <w:szCs w:val="24"/>
          <w:highlight w:val="none"/>
        </w:rPr>
        <w:t>。</w:t>
      </w:r>
      <w:bookmarkEnd w:id="404"/>
      <w:bookmarkEnd w:id="405"/>
      <w:bookmarkEnd w:id="406"/>
      <w:bookmarkEnd w:id="407"/>
      <w:bookmarkEnd w:id="408"/>
      <w:r>
        <w:rPr>
          <w:rFonts w:hint="eastAsia" w:ascii="宋体" w:hAnsi="宋体" w:eastAsia="宋体" w:cs="宋体"/>
          <w:color w:val="auto"/>
          <w:kern w:val="0"/>
          <w:sz w:val="24"/>
          <w:szCs w:val="24"/>
          <w:highlight w:val="none"/>
        </w:rPr>
        <w:t xml:space="preserve">  </w:t>
      </w:r>
      <w:bookmarkStart w:id="409" w:name="_Toc318581157"/>
    </w:p>
    <w:p w14:paraId="6F8D3C6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1.10.4超大件和超重件的运输</w:t>
      </w:r>
    </w:p>
    <w:p w14:paraId="3490267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运输超大件或超重件所需的道路和桥梁临时加固改造费用和其他有关费用由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承包人 </w:t>
      </w:r>
      <w:r>
        <w:rPr>
          <w:rFonts w:hint="eastAsia" w:ascii="宋体" w:hAnsi="宋体" w:eastAsia="宋体" w:cs="宋体"/>
          <w:color w:val="auto"/>
          <w:kern w:val="0"/>
          <w:sz w:val="24"/>
          <w:szCs w:val="24"/>
          <w:highlight w:val="none"/>
        </w:rPr>
        <w:t>承担。</w:t>
      </w:r>
    </w:p>
    <w:bookmarkEnd w:id="409"/>
    <w:p w14:paraId="2369DC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 知识产权</w:t>
      </w:r>
    </w:p>
    <w:p w14:paraId="4E8206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属于发包人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B41A63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关于发包人提供的上述文件的使用限制的要求：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5D96C2A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关于承包人为实施工程所编制文件的著作权的归属：</w:t>
      </w:r>
      <w:r>
        <w:rPr>
          <w:rFonts w:hint="eastAsia" w:ascii="宋体" w:hAnsi="宋体" w:eastAsia="宋体" w:cs="宋体"/>
          <w:b/>
          <w:color w:val="auto"/>
          <w:kern w:val="0"/>
          <w:sz w:val="24"/>
          <w:szCs w:val="24"/>
          <w:highlight w:val="none"/>
          <w:u w:val="single"/>
        </w:rPr>
        <w:t>除署名权以外的著作权属于发包人</w:t>
      </w:r>
      <w:r>
        <w:rPr>
          <w:rFonts w:hint="eastAsia" w:ascii="宋体" w:hAnsi="宋体" w:eastAsia="宋体" w:cs="宋体"/>
          <w:color w:val="auto"/>
          <w:kern w:val="0"/>
          <w:sz w:val="24"/>
          <w:szCs w:val="24"/>
          <w:highlight w:val="none"/>
        </w:rPr>
        <w:t>。</w:t>
      </w:r>
    </w:p>
    <w:p w14:paraId="7A8FAF9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关于承包人提供的上述文件的使用限制的要求：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5ED2C9A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1.11.4 承包人在施工过程中所采用的专利、专有技术、技术秘密的使用费的承担方式：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9D7BA6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1.13工程量清单错误的修正</w:t>
      </w:r>
    </w:p>
    <w:p w14:paraId="7C0D94F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出现工程量清单错误时，是否调整合同价格：</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见变更估价条款约定</w:t>
      </w:r>
      <w:r>
        <w:rPr>
          <w:rFonts w:hint="eastAsia" w:ascii="宋体" w:hAnsi="宋体" w:eastAsia="宋体" w:cs="宋体"/>
          <w:color w:val="auto"/>
          <w:kern w:val="0"/>
          <w:sz w:val="24"/>
          <w:szCs w:val="24"/>
          <w:highlight w:val="none"/>
        </w:rPr>
        <w:t>。</w:t>
      </w:r>
    </w:p>
    <w:p w14:paraId="0C6E072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允许调整合同价格的工程量偏差范围：</w:t>
      </w:r>
      <w:r>
        <w:rPr>
          <w:rFonts w:hint="eastAsia" w:ascii="宋体" w:hAnsi="宋体" w:eastAsia="宋体" w:cs="宋体"/>
          <w:b/>
          <w:bCs/>
          <w:color w:val="auto"/>
          <w:kern w:val="0"/>
          <w:sz w:val="24"/>
          <w:szCs w:val="24"/>
          <w:highlight w:val="none"/>
          <w:u w:val="single"/>
        </w:rPr>
        <w:t>见变更估价条款约定</w:t>
      </w:r>
      <w:r>
        <w:rPr>
          <w:rFonts w:hint="eastAsia" w:ascii="宋体" w:hAnsi="宋体" w:eastAsia="宋体" w:cs="宋体"/>
          <w:color w:val="auto"/>
          <w:kern w:val="0"/>
          <w:sz w:val="24"/>
          <w:szCs w:val="24"/>
          <w:highlight w:val="none"/>
        </w:rPr>
        <w:t>。</w:t>
      </w:r>
    </w:p>
    <w:p w14:paraId="01A1A1B9">
      <w:pPr>
        <w:keepNext w:val="0"/>
        <w:keepLines w:val="0"/>
        <w:pageBreakBefore w:val="0"/>
        <w:numPr>
          <w:ilvl w:val="0"/>
          <w:numId w:val="7"/>
        </w:numPr>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10" w:name="_Toc351203634"/>
      <w:bookmarkStart w:id="411" w:name="_Toc296891197"/>
      <w:bookmarkStart w:id="412" w:name="_Toc297120457"/>
      <w:bookmarkStart w:id="413" w:name="_Toc292559362"/>
      <w:bookmarkStart w:id="414" w:name="_Toc292559867"/>
      <w:bookmarkStart w:id="415" w:name="_Toc296503157"/>
      <w:bookmarkStart w:id="416" w:name="_Toc296346658"/>
      <w:bookmarkStart w:id="417" w:name="_Toc297048343"/>
      <w:bookmarkStart w:id="418" w:name="_Toc296347156"/>
      <w:bookmarkStart w:id="419" w:name="_Toc296890985"/>
      <w:bookmarkStart w:id="420" w:name="_Toc296944496"/>
      <w:r>
        <w:rPr>
          <w:rFonts w:hint="eastAsia" w:ascii="宋体" w:hAnsi="宋体" w:eastAsia="宋体" w:cs="宋体"/>
          <w:color w:val="auto"/>
          <w:kern w:val="0"/>
          <w:sz w:val="24"/>
          <w:szCs w:val="24"/>
          <w:highlight w:val="none"/>
        </w:rPr>
        <w:t>发包人</w:t>
      </w:r>
      <w:bookmarkEnd w:id="410"/>
    </w:p>
    <w:p w14:paraId="6E5C0C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2.1许可或批准</w:t>
      </w:r>
    </w:p>
    <w:p w14:paraId="075A76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4A4E585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因发包人原因未能及时办理完毕前述许可、批准或备案，由此增加的费用和（或）延误的工期，承包人自行考虑计入</w:t>
      </w:r>
      <w:r>
        <w:rPr>
          <w:rFonts w:hint="eastAsia" w:ascii="宋体" w:hAnsi="宋体" w:eastAsia="宋体" w:cs="宋体"/>
          <w:color w:val="auto"/>
          <w:kern w:val="0"/>
          <w:sz w:val="24"/>
          <w:szCs w:val="24"/>
          <w:highlight w:val="none"/>
          <w:lang w:eastAsia="zh-CN"/>
        </w:rPr>
        <w:t>报价</w:t>
      </w:r>
      <w:r>
        <w:rPr>
          <w:rFonts w:hint="eastAsia" w:ascii="宋体" w:hAnsi="宋体" w:eastAsia="宋体" w:cs="宋体"/>
          <w:color w:val="auto"/>
          <w:kern w:val="0"/>
          <w:sz w:val="24"/>
          <w:szCs w:val="24"/>
          <w:highlight w:val="none"/>
        </w:rPr>
        <w:t>中，发包人不再另行支付。</w:t>
      </w:r>
    </w:p>
    <w:bookmarkEnd w:id="411"/>
    <w:bookmarkEnd w:id="412"/>
    <w:bookmarkEnd w:id="413"/>
    <w:bookmarkEnd w:id="414"/>
    <w:bookmarkEnd w:id="415"/>
    <w:bookmarkEnd w:id="416"/>
    <w:bookmarkEnd w:id="417"/>
    <w:bookmarkEnd w:id="418"/>
    <w:bookmarkEnd w:id="419"/>
    <w:bookmarkEnd w:id="420"/>
    <w:p w14:paraId="137597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 发包人代表</w:t>
      </w:r>
    </w:p>
    <w:p w14:paraId="7E7658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发包人代表：</w:t>
      </w:r>
    </w:p>
    <w:p w14:paraId="5D68556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FA041F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9C0C8B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6AE49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D11279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F750D9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DA37C1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发包人对发包人代表的授权范围如下：</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(1)确认承包人提出的顺延工期的签证；(2)对发生的不可抗力造成工程无法施工的处置；(3)设计变更及施工条件变更等有关签证的确认；(4)工程竣工验收报告的确认；(5)工程预付款和进度款的审批；(6)处理和协调外部施工条件；(7)代表发包人行使本合同约定的其它权利和义务。</w:t>
      </w:r>
    </w:p>
    <w:p w14:paraId="4513DD0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 施工现场、施工条件和基础资料的提供</w:t>
      </w:r>
    </w:p>
    <w:p w14:paraId="53303B0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提供施工现场</w:t>
      </w:r>
    </w:p>
    <w:p w14:paraId="5AEE4F3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关于发包人移交施工现场的期限要求：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开工前7天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C990F9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提供施工条件</w:t>
      </w:r>
    </w:p>
    <w:p w14:paraId="498449E4">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关于发包人应负责提供施工所需要的条件，包括：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rPr>
        <w:t>。</w:t>
      </w:r>
    </w:p>
    <w:p w14:paraId="3C8F5B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 资金来源证明及支付担保</w:t>
      </w:r>
    </w:p>
    <w:p w14:paraId="5FB8B6B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发包人提供资金来源证明的期限要求：</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430E8F9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发包人是否提供支付担保：</w:t>
      </w:r>
      <w:r>
        <w:rPr>
          <w:rFonts w:hint="eastAsia" w:ascii="宋体" w:hAnsi="宋体" w:eastAsia="宋体" w:cs="宋体"/>
          <w:color w:val="auto"/>
          <w:kern w:val="0"/>
          <w:sz w:val="24"/>
          <w:szCs w:val="24"/>
          <w:highlight w:val="none"/>
          <w:u w:val="single"/>
        </w:rPr>
        <w:t>否</w:t>
      </w:r>
      <w:r>
        <w:rPr>
          <w:rFonts w:hint="eastAsia" w:ascii="宋体" w:hAnsi="宋体" w:eastAsia="宋体" w:cs="宋体"/>
          <w:color w:val="auto"/>
          <w:kern w:val="0"/>
          <w:sz w:val="24"/>
          <w:szCs w:val="24"/>
          <w:highlight w:val="none"/>
        </w:rPr>
        <w:t>。</w:t>
      </w:r>
    </w:p>
    <w:p w14:paraId="3377DFF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发包人提供支付担保的形式：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FE2EA85">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21" w:name="_Toc351203635"/>
      <w:r>
        <w:rPr>
          <w:rFonts w:hint="eastAsia" w:ascii="宋体" w:hAnsi="宋体" w:eastAsia="宋体" w:cs="宋体"/>
          <w:color w:val="auto"/>
          <w:kern w:val="0"/>
          <w:sz w:val="24"/>
          <w:szCs w:val="24"/>
          <w:highlight w:val="none"/>
        </w:rPr>
        <w:t>3</w:t>
      </w:r>
      <w:bookmarkStart w:id="422" w:name="_Toc292559868"/>
      <w:bookmarkStart w:id="423" w:name="_Toc297048344"/>
      <w:bookmarkStart w:id="424" w:name="_Toc296944497"/>
      <w:bookmarkStart w:id="425" w:name="_Toc292559363"/>
      <w:bookmarkStart w:id="426" w:name="_Toc296891198"/>
      <w:bookmarkStart w:id="427" w:name="_Toc296347157"/>
      <w:bookmarkStart w:id="428" w:name="_Toc296503158"/>
      <w:bookmarkStart w:id="429" w:name="_Toc297120458"/>
      <w:bookmarkStart w:id="430" w:name="_Toc296346659"/>
      <w:bookmarkStart w:id="431" w:name="_Toc296890986"/>
      <w:r>
        <w:rPr>
          <w:rFonts w:hint="eastAsia" w:ascii="宋体" w:hAnsi="宋体" w:eastAsia="宋体" w:cs="宋体"/>
          <w:color w:val="auto"/>
          <w:kern w:val="0"/>
          <w:sz w:val="24"/>
          <w:szCs w:val="24"/>
          <w:highlight w:val="none"/>
        </w:rPr>
        <w:t>. 承包人</w:t>
      </w:r>
      <w:bookmarkEnd w:id="421"/>
    </w:p>
    <w:bookmarkEnd w:id="422"/>
    <w:bookmarkEnd w:id="423"/>
    <w:bookmarkEnd w:id="424"/>
    <w:bookmarkEnd w:id="425"/>
    <w:bookmarkEnd w:id="426"/>
    <w:bookmarkEnd w:id="427"/>
    <w:bookmarkEnd w:id="428"/>
    <w:bookmarkEnd w:id="429"/>
    <w:bookmarkEnd w:id="430"/>
    <w:bookmarkEnd w:id="431"/>
    <w:p w14:paraId="365914E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 承包人的一般义务</w:t>
      </w:r>
    </w:p>
    <w:p w14:paraId="1317FD4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（9）承包人提交的竣工资料的内容：</w:t>
      </w:r>
      <w:r>
        <w:rPr>
          <w:rFonts w:hint="eastAsia" w:ascii="宋体" w:hAnsi="宋体" w:eastAsia="宋体" w:cs="宋体"/>
          <w:b/>
          <w:color w:val="auto"/>
          <w:kern w:val="0"/>
          <w:sz w:val="24"/>
          <w:szCs w:val="24"/>
          <w:highlight w:val="none"/>
          <w:u w:val="single" w:color="000000"/>
        </w:rPr>
        <w:t>提供符合城建档案部门和行政质检监督部门要求的竣工图及竣工资料</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B72B68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承包人需要提交的竣工资料套数：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按发包人和城建档案馆要求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41560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承包人提交的竣工资料的费用承担：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6231E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承包人提交的竣工资料移交时间：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本工程验收后28日内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B6D457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承包人提交的竣工资料形式要求：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书面及电子文档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6AC0FFC">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（10）承包人应履行的其他义务：</w:t>
      </w:r>
    </w:p>
    <w:p w14:paraId="216C05B1">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①承包人应按发包人的指令，完成发包人要求的对工程内容的任何增加和删减。</w:t>
      </w:r>
    </w:p>
    <w:p w14:paraId="0B869F21">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u w:val="single" w:color="000000"/>
        </w:rPr>
        <w:t>②承包人应积极主动核对图纸中的标高、轴线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7B2EDAB5">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③承包人使用的临时用水、临时用电等设施在合同执行期间，如发包人要求为其他承包人提供分表接口的，承包人应予无条件同意。</w:t>
      </w:r>
    </w:p>
    <w:p w14:paraId="2BE68EE5">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④</w:t>
      </w:r>
      <w:r>
        <w:rPr>
          <w:rFonts w:hint="eastAsia" w:ascii="宋体" w:hAnsi="宋体" w:eastAsia="宋体" w:cs="宋体"/>
          <w:b/>
          <w:color w:val="auto"/>
          <w:kern w:val="0"/>
          <w:sz w:val="24"/>
          <w:szCs w:val="24"/>
          <w:highlight w:val="none"/>
          <w:u w:val="single"/>
        </w:rPr>
        <w:t>承包人应做好现场安全文明施工及已有成品保护工作。必须制定和执行有效的扬尘处理措施。现场运输材料、堆放材料等造成的路面的污染；现场施工及生活产生的垃圾应该每天有人清除。</w:t>
      </w:r>
    </w:p>
    <w:p w14:paraId="5B27101C">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rPr>
        <w:t>⑤必须遵守建设单位的相关制度</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服从管理。</w:t>
      </w:r>
    </w:p>
    <w:p w14:paraId="7CD96E8F">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rPr>
        <w:t>⑥</w:t>
      </w:r>
      <w:r>
        <w:rPr>
          <w:rFonts w:hint="eastAsia" w:ascii="宋体" w:hAnsi="宋体" w:eastAsia="宋体" w:cs="宋体"/>
          <w:b/>
          <w:color w:val="auto"/>
          <w:kern w:val="0"/>
          <w:sz w:val="24"/>
          <w:szCs w:val="24"/>
          <w:highlight w:val="none"/>
          <w:u w:val="single" w:color="000000"/>
        </w:rPr>
        <w:t>承包人应在工地配备一定容量的备用电源，作为施工供电中断时的应急电源。</w:t>
      </w:r>
    </w:p>
    <w:p w14:paraId="382BE175">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⑦</w:t>
      </w:r>
      <w:r>
        <w:rPr>
          <w:rFonts w:hint="eastAsia" w:ascii="宋体" w:hAnsi="宋体" w:eastAsia="宋体" w:cs="宋体"/>
          <w:b/>
          <w:color w:val="auto"/>
          <w:kern w:val="0"/>
          <w:sz w:val="24"/>
          <w:szCs w:val="24"/>
          <w:highlight w:val="none"/>
          <w:u w:val="single" w:color="000000"/>
          <w:lang w:val="en-US" w:eastAsia="zh-CN"/>
        </w:rPr>
        <w:t>承包人应按照政府相关规定，建立健全的雇员工资发放和劳动保障制度。</w:t>
      </w:r>
    </w:p>
    <w:p w14:paraId="02DAB49B">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⑧</w:t>
      </w:r>
      <w:r>
        <w:rPr>
          <w:rFonts w:hint="eastAsia" w:ascii="宋体" w:hAnsi="宋体" w:eastAsia="宋体" w:cs="宋体"/>
          <w:b/>
          <w:bCs/>
          <w:color w:val="auto"/>
          <w:kern w:val="0"/>
          <w:sz w:val="24"/>
          <w:szCs w:val="24"/>
          <w:highlight w:val="none"/>
          <w:u w:val="single"/>
        </w:rPr>
        <w:t>承包人签订合同后，应</w:t>
      </w:r>
      <w:r>
        <w:rPr>
          <w:rFonts w:hint="eastAsia" w:ascii="宋体" w:hAnsi="宋体" w:eastAsia="宋体" w:cs="宋体"/>
          <w:b/>
          <w:bCs/>
          <w:color w:val="auto"/>
          <w:kern w:val="0"/>
          <w:sz w:val="24"/>
          <w:szCs w:val="24"/>
          <w:highlight w:val="none"/>
          <w:u w:val="single"/>
          <w:shd w:val="clear" w:color="auto" w:fill="FFFFFF"/>
        </w:rPr>
        <w:t>按照有关规定</w:t>
      </w:r>
      <w:r>
        <w:rPr>
          <w:rFonts w:hint="eastAsia" w:ascii="宋体" w:hAnsi="宋体" w:eastAsia="宋体" w:cs="宋体"/>
          <w:b/>
          <w:bCs/>
          <w:color w:val="auto"/>
          <w:kern w:val="0"/>
          <w:sz w:val="24"/>
          <w:szCs w:val="24"/>
          <w:highlight w:val="none"/>
          <w:u w:val="single"/>
        </w:rPr>
        <w:t>在项目所在地银行开设农民工工资专用账户，专项用于支付本项目农民工工资。承包人委托开户银行负责日常监管，并向开户银行书面承诺该账户资金只能用于支付农民工工资，不得挪作他用。发包人直接将人工费用拨付至农民工工资专用账户，并对承包人按时足额支付农民工工资进行监督。</w:t>
      </w:r>
    </w:p>
    <w:p w14:paraId="6175FD3A">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⑨</w:t>
      </w:r>
      <w:r>
        <w:rPr>
          <w:rFonts w:hint="eastAsia" w:ascii="宋体" w:hAnsi="宋体" w:eastAsia="宋体" w:cs="宋体"/>
          <w:b/>
          <w:bCs/>
          <w:color w:val="auto"/>
          <w:kern w:val="0"/>
          <w:sz w:val="24"/>
          <w:szCs w:val="24"/>
          <w:highlight w:val="none"/>
          <w:u w:val="single"/>
        </w:rPr>
        <w:t>承包人应按照《保障农民工工资支付条例》的有关规定存储工资保证金，专项用于支付为所承包工程提供劳动的农民工被拖欠的工资。承包人应当对建设工程各环节的农民工工资支付情况履行监控义务，对所承包建设工程的农民工工资支付负总责，在工程项目竣工通过验收并已结清和足额支付农民工工资前不得支取农民工工资保证金。</w:t>
      </w:r>
    </w:p>
    <w:p w14:paraId="0456BF10">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⑩</w:t>
      </w:r>
      <w:r>
        <w:rPr>
          <w:rFonts w:hint="eastAsia" w:ascii="宋体" w:hAnsi="宋体" w:eastAsia="宋体" w:cs="宋体"/>
          <w:b/>
          <w:bCs/>
          <w:color w:val="auto"/>
          <w:kern w:val="0"/>
          <w:sz w:val="24"/>
          <w:szCs w:val="24"/>
          <w:highlight w:val="none"/>
          <w:u w:val="single"/>
        </w:rPr>
        <w:t>承包人应按合同约定的工作内容和施工进度的要求，编制施工组织设计和施工措施计划，并对所有施工作业和施工方法的完备性和安全可靠性负责；施工组织设计虽经监理工程师审查确认，但不免除承包人的责任，承包人为满足施工而对施工组织设计和施工措施进行调整与修改所增加的费用不能作为追加合同价款的理由和依据。</w:t>
      </w:r>
    </w:p>
    <w:p w14:paraId="3C44854B">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⑪承包人应从“对所有施工作业和施工方法的完备性和安全可靠性负责”的工程施工目标出发，认真对施工现场和周围环境进行实地踏勘，充分了解工地位置、情况、道路、储存空间、装卸限制及任何其他足以影响承包价的情况，并收集有关地质、水文、气象条件、交通条件、风俗习惯以及其他为完成合同工作有关的当地资料。承包人不能因为发包人在</w:t>
      </w:r>
      <w:r>
        <w:rPr>
          <w:rFonts w:hint="eastAsia" w:ascii="宋体" w:hAnsi="宋体" w:eastAsia="宋体" w:cs="宋体"/>
          <w:b/>
          <w:bCs/>
          <w:color w:val="auto"/>
          <w:kern w:val="0"/>
          <w:sz w:val="24"/>
          <w:szCs w:val="24"/>
          <w:highlight w:val="none"/>
          <w:u w:val="single"/>
          <w:lang w:val="en-US" w:eastAsia="zh-CN"/>
        </w:rPr>
        <w:t>采购</w:t>
      </w:r>
      <w:r>
        <w:rPr>
          <w:rFonts w:hint="eastAsia" w:ascii="宋体" w:hAnsi="宋体" w:eastAsia="宋体" w:cs="宋体"/>
          <w:b/>
          <w:bCs/>
          <w:color w:val="auto"/>
          <w:kern w:val="0"/>
          <w:sz w:val="24"/>
          <w:szCs w:val="24"/>
          <w:highlight w:val="none"/>
          <w:u w:val="single"/>
        </w:rPr>
        <w:t>阶段提供的相关资料的某些不足而推卸自己按本项约定应承担的责任和风险，要求推延工期和增加费用。在全部合同工作中，视为承包人已充分估计了应承担的责任和风险，任何因忽视或误解工地情况而导致的索赔或工期延长申请将不被批准。</w:t>
      </w:r>
    </w:p>
    <w:p w14:paraId="2A977A4D">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color="000000"/>
        </w:rPr>
      </w:pPr>
      <w:r>
        <w:rPr>
          <w:rFonts w:hint="eastAsia" w:ascii="宋体" w:hAnsi="宋体" w:eastAsia="宋体" w:cs="宋体"/>
          <w:b/>
          <w:bCs/>
          <w:color w:val="auto"/>
          <w:kern w:val="0"/>
          <w:sz w:val="24"/>
          <w:szCs w:val="24"/>
          <w:highlight w:val="none"/>
          <w:u w:val="single"/>
        </w:rPr>
        <w:t>⑫施工中若出现交叉作业，承包人应无条件服从发包人安排，影响的工期予以相应顺延，由此产生的误工费承包人自行承担。</w:t>
      </w:r>
    </w:p>
    <w:p w14:paraId="01226D0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3.2 </w:t>
      </w:r>
      <w:r>
        <w:rPr>
          <w:rFonts w:hint="eastAsia" w:ascii="宋体" w:hAnsi="宋体" w:eastAsia="宋体" w:cs="宋体"/>
          <w:color w:val="auto"/>
          <w:kern w:val="0"/>
          <w:sz w:val="24"/>
          <w:szCs w:val="24"/>
          <w:highlight w:val="none"/>
          <w:lang w:eastAsia="zh-CN"/>
        </w:rPr>
        <w:t>项目经理</w:t>
      </w:r>
    </w:p>
    <w:p w14:paraId="0956F63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w:t>
      </w:r>
    </w:p>
    <w:p w14:paraId="5E9BD83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9E58CD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22F7BF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建造师执业资格等级：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140F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建造师注册证书号：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7FBF80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建造师执业印章号：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ED90B1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安全生产考核合格证书号：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77F980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6B5133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7F8D13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E47489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的授权范围如下：</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全权处理本项目的一切事务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4B094E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每月在施工现场的时间要求：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常驻工地。</w:t>
      </w:r>
    </w:p>
    <w:p w14:paraId="5487F83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缴纳社会保险证明的违约责任：</w:t>
      </w:r>
      <w:r>
        <w:rPr>
          <w:rFonts w:hint="eastAsia" w:ascii="宋体" w:hAnsi="宋体" w:eastAsia="宋体" w:cs="宋体"/>
          <w:b/>
          <w:color w:val="auto"/>
          <w:kern w:val="0"/>
          <w:sz w:val="24"/>
          <w:szCs w:val="24"/>
          <w:highlight w:val="none"/>
          <w:u w:val="single" w:color="000000"/>
        </w:rPr>
        <w:t xml:space="preserve">承包人无条件承担由此产生的风险、负责及经济损失，发包人有权无条件解除合同 </w:t>
      </w:r>
      <w:r>
        <w:rPr>
          <w:rFonts w:hint="eastAsia" w:ascii="宋体" w:hAnsi="宋体" w:eastAsia="宋体" w:cs="宋体"/>
          <w:color w:val="auto"/>
          <w:kern w:val="0"/>
          <w:sz w:val="24"/>
          <w:szCs w:val="24"/>
          <w:highlight w:val="none"/>
        </w:rPr>
        <w:t>。</w:t>
      </w:r>
    </w:p>
    <w:p w14:paraId="0194DEC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未经批准，擅自离开施工现场的违约责任：</w:t>
      </w:r>
      <w:r>
        <w:rPr>
          <w:rFonts w:hint="eastAsia" w:ascii="宋体" w:hAnsi="宋体" w:eastAsia="宋体" w:cs="宋体"/>
          <w:b/>
          <w:color w:val="auto"/>
          <w:kern w:val="0"/>
          <w:sz w:val="24"/>
          <w:szCs w:val="24"/>
          <w:highlight w:val="none"/>
          <w:u w:val="single" w:color="000000"/>
        </w:rPr>
        <w:t>承包人向发包人支付500元/天的违约金。</w:t>
      </w:r>
    </w:p>
    <w:p w14:paraId="6BE983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3.2.3 承包人擅自更换</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的违约责任：</w:t>
      </w:r>
      <w:r>
        <w:rPr>
          <w:rFonts w:hint="eastAsia" w:ascii="宋体" w:hAnsi="宋体" w:eastAsia="宋体" w:cs="宋体"/>
          <w:b/>
          <w:color w:val="auto"/>
          <w:kern w:val="0"/>
          <w:sz w:val="24"/>
          <w:szCs w:val="24"/>
          <w:highlight w:val="none"/>
          <w:u w:val="single" w:color="000000"/>
        </w:rPr>
        <w:t>承包人向发包人支付违约金50000元，并承担由此产生的一切经济风险、责任及经济损失。</w:t>
      </w:r>
    </w:p>
    <w:p w14:paraId="0D615CF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rPr>
        <w:t>3.2.4 承包人无正当理由拒绝更换</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的违约责任：</w:t>
      </w:r>
      <w:r>
        <w:rPr>
          <w:rFonts w:hint="eastAsia" w:ascii="宋体" w:hAnsi="宋体" w:eastAsia="宋体" w:cs="宋体"/>
          <w:b/>
          <w:color w:val="auto"/>
          <w:kern w:val="0"/>
          <w:sz w:val="24"/>
          <w:szCs w:val="24"/>
          <w:highlight w:val="none"/>
          <w:u w:val="single" w:color="000000"/>
        </w:rPr>
        <w:t>承包人向发包人支付违约金30000元，并承担由此产生的一切经济风险、责任及经济损失。</w:t>
      </w:r>
    </w:p>
    <w:p w14:paraId="5D4F7AD0">
      <w:pPr>
        <w:keepNext w:val="0"/>
        <w:keepLines w:val="0"/>
        <w:pageBreakBefore w:val="0"/>
        <w:kinsoku/>
        <w:wordWrap w:val="0"/>
        <w:overflowPunct/>
        <w:topLinePunct w:val="0"/>
        <w:bidi w:val="0"/>
        <w:spacing w:after="0" w:afterLines="0" w:afterAutospacing="0"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 承包人人员</w:t>
      </w:r>
    </w:p>
    <w:p w14:paraId="2699182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3.3.1 承包人提交项目管理机构及施工现场管理人员安排报告的期限：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开工前2天内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33DF56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3.3.3 承包人无正当理由拒绝撤换主要施工管理人员的违约责任：</w:t>
      </w:r>
      <w:r>
        <w:rPr>
          <w:rFonts w:hint="eastAsia" w:ascii="宋体" w:hAnsi="宋体" w:eastAsia="宋体" w:cs="宋体"/>
          <w:b/>
          <w:bCs/>
          <w:color w:val="auto"/>
          <w:kern w:val="0"/>
          <w:sz w:val="24"/>
          <w:szCs w:val="24"/>
          <w:highlight w:val="none"/>
          <w:u w:val="single"/>
        </w:rPr>
        <w:t>若项目主要施工管理人员不能胜任本项目工作，发包人有权要求更换，承包人应在2天内及时更换能力胜任的项目主要施工管理人员，承包人拒不更换的处以20000元/次的罚款，并且需承担由于承包人未及时更换项目主要施工管理人员造成的一切经济损失</w:t>
      </w:r>
      <w:r>
        <w:rPr>
          <w:rFonts w:hint="eastAsia" w:ascii="宋体" w:hAnsi="宋体" w:eastAsia="宋体" w:cs="宋体"/>
          <w:color w:val="auto"/>
          <w:kern w:val="0"/>
          <w:sz w:val="24"/>
          <w:szCs w:val="24"/>
          <w:highlight w:val="none"/>
        </w:rPr>
        <w:t>。</w:t>
      </w:r>
    </w:p>
    <w:p w14:paraId="2246BEA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3.3.4 承包人主要施工管理人员离开施工现场的批准要求：</w:t>
      </w:r>
      <w:r>
        <w:rPr>
          <w:rFonts w:hint="eastAsia" w:ascii="宋体" w:hAnsi="宋体" w:eastAsia="宋体" w:cs="宋体"/>
          <w:b/>
          <w:color w:val="auto"/>
          <w:kern w:val="0"/>
          <w:sz w:val="24"/>
          <w:szCs w:val="24"/>
          <w:highlight w:val="none"/>
          <w:u w:val="single"/>
        </w:rPr>
        <w:t xml:space="preserve"> 由总监理工程师批准，发包人认可方可离开。</w:t>
      </w:r>
    </w:p>
    <w:p w14:paraId="4B8A43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3.3.5承包人擅自更换主要施工管理人员的违约责任：</w:t>
      </w:r>
      <w:r>
        <w:rPr>
          <w:rFonts w:hint="eastAsia" w:ascii="宋体" w:hAnsi="宋体" w:eastAsia="宋体" w:cs="宋体"/>
          <w:b/>
          <w:color w:val="auto"/>
          <w:kern w:val="0"/>
          <w:sz w:val="24"/>
          <w:szCs w:val="24"/>
          <w:highlight w:val="none"/>
          <w:u w:val="single" w:color="000000"/>
        </w:rPr>
        <w:t>承包人向发包人支付违约金5000元/人</w:t>
      </w:r>
      <w:r>
        <w:rPr>
          <w:rFonts w:hint="eastAsia" w:ascii="宋体" w:hAnsi="宋体" w:eastAsia="宋体" w:cs="宋体"/>
          <w:color w:val="auto"/>
          <w:kern w:val="0"/>
          <w:sz w:val="24"/>
          <w:szCs w:val="24"/>
          <w:highlight w:val="none"/>
        </w:rPr>
        <w:t>。</w:t>
      </w:r>
    </w:p>
    <w:p w14:paraId="6AD7992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承包人主要施工管理人员擅自离开施工现场的违约责任：</w:t>
      </w:r>
      <w:r>
        <w:rPr>
          <w:rFonts w:hint="eastAsia" w:ascii="宋体" w:hAnsi="宋体" w:eastAsia="宋体" w:cs="宋体"/>
          <w:b/>
          <w:color w:val="auto"/>
          <w:kern w:val="0"/>
          <w:sz w:val="24"/>
          <w:szCs w:val="24"/>
          <w:highlight w:val="none"/>
          <w:u w:val="single" w:color="000000"/>
        </w:rPr>
        <w:t>承包人向发包人支付500元/人/天的违约金</w:t>
      </w:r>
      <w:r>
        <w:rPr>
          <w:rFonts w:hint="eastAsia" w:ascii="宋体" w:hAnsi="宋体" w:eastAsia="宋体" w:cs="宋体"/>
          <w:color w:val="auto"/>
          <w:kern w:val="0"/>
          <w:sz w:val="24"/>
          <w:szCs w:val="24"/>
          <w:highlight w:val="none"/>
        </w:rPr>
        <w:t>。</w:t>
      </w:r>
    </w:p>
    <w:p w14:paraId="167B02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bookmarkStart w:id="432" w:name="_Toc312677988"/>
      <w:bookmarkStart w:id="433" w:name="_Toc292559869"/>
      <w:bookmarkStart w:id="434" w:name="_Toc303539102"/>
      <w:bookmarkStart w:id="435" w:name="_Toc300934945"/>
      <w:bookmarkStart w:id="436" w:name="_Toc296347158"/>
      <w:bookmarkStart w:id="437" w:name="_Toc304295523"/>
      <w:bookmarkStart w:id="438" w:name="_Toc296944498"/>
      <w:bookmarkStart w:id="439" w:name="_Toc292559364"/>
      <w:bookmarkStart w:id="440" w:name="_Toc296890987"/>
      <w:bookmarkStart w:id="441" w:name="_Toc296346660"/>
      <w:bookmarkStart w:id="442" w:name="_Toc296503159"/>
      <w:bookmarkStart w:id="443" w:name="_Toc297120459"/>
      <w:bookmarkStart w:id="444" w:name="_Toc297216151"/>
      <w:bookmarkStart w:id="445" w:name="_Toc297123492"/>
      <w:bookmarkStart w:id="446" w:name="_Toc296891199"/>
      <w:bookmarkStart w:id="447" w:name="_Toc297048345"/>
      <w:r>
        <w:rPr>
          <w:rFonts w:hint="eastAsia" w:ascii="宋体" w:hAnsi="宋体" w:eastAsia="宋体" w:cs="宋体"/>
          <w:color w:val="auto"/>
          <w:kern w:val="0"/>
          <w:sz w:val="24"/>
          <w:szCs w:val="24"/>
          <w:highlight w:val="none"/>
        </w:rPr>
        <w:t>.5 分包</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366B10F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bookmarkStart w:id="448" w:name="_Toc296891200"/>
      <w:bookmarkStart w:id="449" w:name="_Toc300934946"/>
      <w:bookmarkStart w:id="450" w:name="_Toc296347159"/>
      <w:bookmarkStart w:id="451" w:name="_Toc312677989"/>
      <w:bookmarkStart w:id="452" w:name="_Toc297120460"/>
      <w:bookmarkStart w:id="453" w:name="_Toc297123493"/>
      <w:bookmarkStart w:id="454" w:name="_Toc296346661"/>
      <w:bookmarkStart w:id="455" w:name="_Toc296890988"/>
      <w:bookmarkStart w:id="456" w:name="_Toc304295524"/>
      <w:bookmarkStart w:id="457" w:name="_Toc292559870"/>
      <w:bookmarkStart w:id="458" w:name="_Toc296944499"/>
      <w:bookmarkStart w:id="459" w:name="_Toc297048346"/>
      <w:bookmarkStart w:id="460" w:name="_Toc292559365"/>
      <w:bookmarkStart w:id="461" w:name="_Toc303539103"/>
      <w:bookmarkStart w:id="462" w:name="_Toc318581158"/>
      <w:bookmarkStart w:id="463" w:name="_Toc296503160"/>
      <w:bookmarkStart w:id="464" w:name="_Toc297216152"/>
      <w:r>
        <w:rPr>
          <w:rFonts w:hint="eastAsia" w:ascii="宋体" w:hAnsi="宋体" w:eastAsia="宋体" w:cs="宋体"/>
          <w:color w:val="auto"/>
          <w:kern w:val="0"/>
          <w:sz w:val="24"/>
          <w:szCs w:val="24"/>
          <w:highlight w:val="none"/>
        </w:rPr>
        <w:t>.5.1 分包的一般约定</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Start w:id="465" w:name="_Toc318581159"/>
      <w:bookmarkStart w:id="466" w:name="_Toc312677990"/>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166B7C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3.5.2分包的确定</w:t>
      </w:r>
    </w:p>
    <w:p w14:paraId="7ADA032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允许分包的专业工程包括：</w:t>
      </w:r>
      <w:r>
        <w:rPr>
          <w:rFonts w:hint="eastAsia" w:ascii="宋体" w:hAnsi="宋体" w:eastAsia="宋体" w:cs="宋体"/>
          <w:b/>
          <w:color w:val="auto"/>
          <w:kern w:val="0"/>
          <w:sz w:val="24"/>
          <w:szCs w:val="24"/>
          <w:highlight w:val="none"/>
          <w:u w:val="single"/>
          <w:lang w:val="en-US" w:eastAsia="zh-CN"/>
        </w:rPr>
        <w:t xml:space="preserve">   /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7295D0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其他关于分包的约定：</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3908991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3.5.4 分包合同价款</w:t>
      </w:r>
    </w:p>
    <w:p w14:paraId="32FA13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关于分包合同价款支付的约定：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465"/>
    <w:bookmarkEnd w:id="466"/>
    <w:p w14:paraId="0BDAE6E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 工程照管与成品、半成品保护</w:t>
      </w:r>
    </w:p>
    <w:p w14:paraId="05159A2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6C550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 履约担保</w:t>
      </w:r>
    </w:p>
    <w:p w14:paraId="55D1E5C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承包人是否提供履约担保：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是</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26E0628">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承包人提供履约担保的形式、金额及期限的：</w:t>
      </w:r>
    </w:p>
    <w:p w14:paraId="7E478986">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1</w:t>
      </w:r>
      <w:r>
        <w:rPr>
          <w:rFonts w:hint="eastAsia" w:ascii="宋体" w:hAnsi="宋体" w:eastAsia="宋体" w:cs="宋体"/>
          <w:b/>
          <w:bCs/>
          <w:color w:val="auto"/>
          <w:kern w:val="0"/>
          <w:sz w:val="24"/>
          <w:szCs w:val="24"/>
          <w:highlight w:val="none"/>
          <w:u w:val="none"/>
          <w:lang w:val="zh-CN"/>
        </w:rPr>
        <w:t>）履约保证金的形式：</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none"/>
          <w:lang w:val="zh-CN"/>
        </w:rPr>
        <w:t>（此处根据承包人实际提交履约保证金的形式选填，形式包括：支票、汇票、本票或者金融机构、担保机构出具的保函等非现金形式）。</w:t>
      </w:r>
    </w:p>
    <w:p w14:paraId="1A2865A0">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2</w:t>
      </w:r>
      <w:r>
        <w:rPr>
          <w:rFonts w:hint="eastAsia" w:ascii="宋体" w:hAnsi="宋体" w:eastAsia="宋体" w:cs="宋体"/>
          <w:b/>
          <w:bCs/>
          <w:color w:val="auto"/>
          <w:kern w:val="0"/>
          <w:sz w:val="24"/>
          <w:szCs w:val="24"/>
          <w:highlight w:val="none"/>
          <w:u w:val="none"/>
          <w:lang w:val="zh-CN"/>
        </w:rPr>
        <w:t>）履约保证金的金额：</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none"/>
          <w:lang w:val="en-US" w:eastAsia="zh-CN"/>
        </w:rPr>
        <w:t>元（成交总价</w:t>
      </w:r>
      <w:r>
        <w:rPr>
          <w:rFonts w:hint="eastAsia" w:ascii="宋体" w:hAnsi="宋体" w:eastAsia="宋体" w:cs="宋体"/>
          <w:b/>
          <w:bCs/>
          <w:color w:val="auto"/>
          <w:kern w:val="0"/>
          <w:sz w:val="24"/>
          <w:szCs w:val="24"/>
          <w:highlight w:val="none"/>
          <w:u w:val="none"/>
          <w:lang w:val="zh-CN"/>
        </w:rPr>
        <w:t>的</w:t>
      </w:r>
      <w:r>
        <w:rPr>
          <w:rFonts w:hint="eastAsia" w:ascii="宋体" w:hAnsi="宋体" w:eastAsia="宋体" w:cs="宋体"/>
          <w:b/>
          <w:bCs/>
          <w:color w:val="auto"/>
          <w:kern w:val="0"/>
          <w:sz w:val="24"/>
          <w:szCs w:val="24"/>
          <w:highlight w:val="none"/>
          <w:u w:val="none"/>
          <w:lang w:val="en-US" w:eastAsia="zh-CN"/>
        </w:rPr>
        <w:t>10</w:t>
      </w: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zh-CN" w:eastAsia="zh-CN"/>
        </w:rPr>
        <w:t>）</w:t>
      </w:r>
      <w:r>
        <w:rPr>
          <w:rFonts w:hint="eastAsia" w:ascii="宋体" w:hAnsi="宋体" w:eastAsia="宋体" w:cs="宋体"/>
          <w:b/>
          <w:bCs/>
          <w:color w:val="auto"/>
          <w:kern w:val="0"/>
          <w:sz w:val="24"/>
          <w:szCs w:val="24"/>
          <w:highlight w:val="none"/>
          <w:u w:val="none"/>
          <w:lang w:val="en-US" w:eastAsia="zh-CN"/>
        </w:rPr>
        <w:t>。</w:t>
      </w:r>
    </w:p>
    <w:p w14:paraId="243200AC">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3</w:t>
      </w:r>
      <w:r>
        <w:rPr>
          <w:rFonts w:hint="eastAsia" w:ascii="宋体" w:hAnsi="宋体" w:eastAsia="宋体" w:cs="宋体"/>
          <w:b/>
          <w:bCs/>
          <w:color w:val="auto"/>
          <w:kern w:val="0"/>
          <w:sz w:val="24"/>
          <w:szCs w:val="24"/>
          <w:highlight w:val="none"/>
          <w:u w:val="none"/>
          <w:lang w:val="zh-CN"/>
        </w:rPr>
        <w:t>）期限：自发包人与承包人签订的合同生效之日起至发包人签发或应签发工程接收证书之日止。</w:t>
      </w:r>
    </w:p>
    <w:p w14:paraId="4A50E358">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4</w:t>
      </w:r>
      <w:r>
        <w:rPr>
          <w:rFonts w:hint="eastAsia" w:ascii="宋体" w:hAnsi="宋体" w:eastAsia="宋体" w:cs="宋体"/>
          <w:b/>
          <w:bCs/>
          <w:color w:val="auto"/>
          <w:kern w:val="0"/>
          <w:sz w:val="24"/>
          <w:szCs w:val="24"/>
          <w:highlight w:val="none"/>
          <w:u w:val="none"/>
          <w:lang w:val="zh-CN"/>
        </w:rPr>
        <w:t>）如果承包人不履行合同约定的义务或其履行不符合合同的约定，发包人有权扣划相应金额的履约保证金。采用银行转账的形式提交履约保证金的，履约保证金期满后发包人无息返还剩余部分履约保证金</w:t>
      </w:r>
      <w:r>
        <w:rPr>
          <w:rFonts w:hint="eastAsia" w:ascii="宋体" w:hAnsi="宋体" w:eastAsia="宋体" w:cs="宋体"/>
          <w:b/>
          <w:bCs/>
          <w:color w:val="auto"/>
          <w:kern w:val="0"/>
          <w:sz w:val="24"/>
          <w:szCs w:val="24"/>
          <w:highlight w:val="none"/>
          <w:u w:val="none"/>
          <w:lang w:val="en-US" w:eastAsia="zh-CN"/>
        </w:rPr>
        <w:t>。</w:t>
      </w:r>
    </w:p>
    <w:p w14:paraId="1B899EF4">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bCs/>
          <w:color w:val="auto"/>
          <w:kern w:val="0"/>
          <w:sz w:val="24"/>
          <w:szCs w:val="24"/>
          <w:highlight w:val="none"/>
        </w:rPr>
      </w:pPr>
      <w:bookmarkStart w:id="467" w:name="_Toc351203636"/>
      <w:r>
        <w:rPr>
          <w:rFonts w:hint="eastAsia" w:ascii="宋体" w:hAnsi="宋体" w:eastAsia="宋体" w:cs="宋体"/>
          <w:bCs/>
          <w:color w:val="auto"/>
          <w:kern w:val="0"/>
          <w:sz w:val="24"/>
          <w:szCs w:val="24"/>
          <w:highlight w:val="none"/>
        </w:rPr>
        <w:t>4</w:t>
      </w:r>
      <w:bookmarkStart w:id="468" w:name="_Toc292559871"/>
      <w:bookmarkStart w:id="469" w:name="_Toc296347161"/>
      <w:bookmarkStart w:id="470" w:name="_Toc296890990"/>
      <w:bookmarkStart w:id="471" w:name="_Toc296944501"/>
      <w:bookmarkStart w:id="472" w:name="_Toc292559366"/>
      <w:bookmarkStart w:id="473" w:name="_Toc297048348"/>
      <w:bookmarkStart w:id="474" w:name="_Toc296503162"/>
      <w:bookmarkStart w:id="475" w:name="_Toc267251413"/>
      <w:bookmarkStart w:id="476" w:name="_Toc296891202"/>
      <w:bookmarkStart w:id="477" w:name="_Toc297120462"/>
      <w:bookmarkStart w:id="478" w:name="_Toc296346663"/>
      <w:r>
        <w:rPr>
          <w:rFonts w:hint="eastAsia" w:ascii="宋体" w:hAnsi="宋体" w:eastAsia="宋体" w:cs="宋体"/>
          <w:bCs/>
          <w:color w:val="auto"/>
          <w:kern w:val="0"/>
          <w:sz w:val="24"/>
          <w:szCs w:val="24"/>
          <w:highlight w:val="none"/>
        </w:rPr>
        <w:t>. 监</w:t>
      </w:r>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bCs/>
          <w:color w:val="auto"/>
          <w:kern w:val="0"/>
          <w:sz w:val="24"/>
          <w:szCs w:val="24"/>
          <w:highlight w:val="none"/>
        </w:rPr>
        <w:t>理人</w:t>
      </w:r>
      <w:bookmarkEnd w:id="467"/>
    </w:p>
    <w:p w14:paraId="4027ACA3">
      <w:pPr>
        <w:keepNext w:val="0"/>
        <w:keepLines w:val="0"/>
        <w:pageBreakBefore w:val="0"/>
        <w:widowControl w:val="0"/>
        <w:kinsoku/>
        <w:wordWrap w:val="0"/>
        <w:overflowPunct/>
        <w:topLinePunct w:val="0"/>
        <w:autoSpaceDE/>
        <w:autoSpaceDN/>
        <w:bidi w:val="0"/>
        <w:adjustRightInd/>
        <w:snapToGrid/>
        <w:spacing w:beforeAutospacing="0" w:afterAutospacing="0" w:line="500" w:lineRule="exact"/>
        <w:ind w:left="0" w:leftChars="0" w:firstLine="480" w:firstLineChars="200"/>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4.1监理人的一般规定</w:t>
      </w:r>
    </w:p>
    <w:p w14:paraId="4716C1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关于监理人的监理内容：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见监理合同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2904D6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关于监理人的监理权限：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见监理合同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0D23FD4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关于监理人在施工现场的办公场所、生活场所的提供和费用承担的约定：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p>
    <w:p w14:paraId="14CF3BE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 监理人员</w:t>
      </w:r>
    </w:p>
    <w:p w14:paraId="4AD781C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总监理工程师：</w:t>
      </w:r>
    </w:p>
    <w:p w14:paraId="4ACF3C2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5B6F84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3B52CF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监理工程师执业资格证书号：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96B47C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54DA28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438F98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EF3D62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关于监理人的其他约定：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953342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4.4 商定或确定</w:t>
      </w:r>
    </w:p>
    <w:p w14:paraId="0BA2907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479" w:name="_Toc267251418"/>
      <w:r>
        <w:rPr>
          <w:rFonts w:hint="eastAsia" w:ascii="宋体" w:hAnsi="宋体" w:eastAsia="宋体" w:cs="宋体"/>
          <w:color w:val="auto"/>
          <w:kern w:val="0"/>
          <w:sz w:val="24"/>
          <w:szCs w:val="24"/>
          <w:highlight w:val="none"/>
        </w:rPr>
        <w:t>在发包人和承包人不能通过协商达成一致意见时，发包人授权监理人对以下事项进行确定：</w:t>
      </w:r>
    </w:p>
    <w:p w14:paraId="152A0F23">
      <w:pPr>
        <w:keepNext w:val="0"/>
        <w:keepLines w:val="0"/>
        <w:pageBreakBefore w:val="0"/>
        <w:kinsoku/>
        <w:wordWrap w:val="0"/>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1924490">
      <w:pPr>
        <w:keepNext w:val="0"/>
        <w:keepLines w:val="0"/>
        <w:pageBreakBefore w:val="0"/>
        <w:kinsoku/>
        <w:wordWrap w:val="0"/>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1603B098">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3BF8E90">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80" w:name="_Toc351203637"/>
      <w:r>
        <w:rPr>
          <w:rFonts w:hint="eastAsia" w:ascii="宋体" w:hAnsi="宋体" w:eastAsia="宋体" w:cs="宋体"/>
          <w:color w:val="auto"/>
          <w:kern w:val="0"/>
          <w:sz w:val="24"/>
          <w:szCs w:val="24"/>
          <w:highlight w:val="none"/>
        </w:rPr>
        <w:t>5</w:t>
      </w:r>
      <w:bookmarkEnd w:id="479"/>
      <w:bookmarkStart w:id="481" w:name="_Toc296891203"/>
      <w:bookmarkStart w:id="482" w:name="_Toc297048349"/>
      <w:bookmarkStart w:id="483" w:name="_Toc296346664"/>
      <w:bookmarkStart w:id="484" w:name="_Toc296944502"/>
      <w:bookmarkStart w:id="485" w:name="_Toc292559367"/>
      <w:bookmarkStart w:id="486" w:name="_Toc296503163"/>
      <w:bookmarkStart w:id="487" w:name="_Toc292559872"/>
      <w:bookmarkStart w:id="488" w:name="_Toc296347162"/>
      <w:bookmarkStart w:id="489" w:name="_Toc296890991"/>
      <w:bookmarkStart w:id="490" w:name="_Toc297120463"/>
      <w:r>
        <w:rPr>
          <w:rFonts w:hint="eastAsia" w:ascii="宋体" w:hAnsi="宋体" w:eastAsia="宋体" w:cs="宋体"/>
          <w:color w:val="auto"/>
          <w:kern w:val="0"/>
          <w:sz w:val="24"/>
          <w:szCs w:val="24"/>
          <w:highlight w:val="none"/>
        </w:rPr>
        <w:t>. 工程质量</w:t>
      </w:r>
      <w:bookmarkEnd w:id="480"/>
    </w:p>
    <w:p w14:paraId="0EA786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 质量要求</w:t>
      </w:r>
    </w:p>
    <w:p w14:paraId="68E8F12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bookmarkStart w:id="491" w:name="_Toc312677997"/>
      <w:bookmarkStart w:id="492" w:name="_Toc303539106"/>
      <w:bookmarkStart w:id="493" w:name="_Toc297123496"/>
      <w:bookmarkStart w:id="494" w:name="_Toc300934949"/>
      <w:bookmarkStart w:id="495" w:name="_Toc318581164"/>
      <w:bookmarkStart w:id="496" w:name="_Toc304295527"/>
      <w:bookmarkStart w:id="497" w:name="_Toc297216155"/>
      <w:r>
        <w:rPr>
          <w:rFonts w:hint="eastAsia" w:ascii="宋体" w:hAnsi="宋体" w:eastAsia="宋体" w:cs="宋体"/>
          <w:color w:val="auto"/>
          <w:kern w:val="0"/>
          <w:sz w:val="24"/>
          <w:szCs w:val="24"/>
          <w:highlight w:val="none"/>
        </w:rPr>
        <w:t>.1.1 特殊质量标准和要求：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合格   </w:t>
      </w:r>
      <w:r>
        <w:rPr>
          <w:rFonts w:hint="eastAsia" w:ascii="宋体" w:hAnsi="宋体" w:eastAsia="宋体" w:cs="宋体"/>
          <w:color w:val="auto"/>
          <w:kern w:val="0"/>
          <w:sz w:val="24"/>
          <w:szCs w:val="24"/>
          <w:highlight w:val="none"/>
        </w:rPr>
        <w:t>。</w:t>
      </w:r>
    </w:p>
    <w:p w14:paraId="535F869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关于工程奖项的约定：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5C59E3E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 隐蔽工程检查</w:t>
      </w:r>
    </w:p>
    <w:p w14:paraId="4530F1D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5.3.2承包人提前通知监理人隐蔽工程检查的期限的约定：</w:t>
      </w:r>
      <w:r>
        <w:rPr>
          <w:rFonts w:hint="eastAsia" w:ascii="宋体" w:hAnsi="宋体" w:eastAsia="宋体" w:cs="宋体"/>
          <w:b/>
          <w:color w:val="auto"/>
          <w:kern w:val="0"/>
          <w:sz w:val="24"/>
          <w:szCs w:val="24"/>
          <w:highlight w:val="none"/>
          <w:u w:val="single"/>
        </w:rPr>
        <w:t>共同检查前48小时书面通知监理人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EC9FA5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监理人不能按时进行检查时，应提前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12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小时提交书面延期要求。</w:t>
      </w:r>
    </w:p>
    <w:p w14:paraId="6209F1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关于延期最长不得超过：</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小时。</w:t>
      </w:r>
    </w:p>
    <w:p w14:paraId="019E9DF2">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98" w:name="_Toc351203638"/>
      <w:r>
        <w:rPr>
          <w:rFonts w:hint="eastAsia" w:ascii="宋体" w:hAnsi="宋体" w:eastAsia="宋体" w:cs="宋体"/>
          <w:color w:val="auto"/>
          <w:kern w:val="0"/>
          <w:sz w:val="24"/>
          <w:szCs w:val="24"/>
          <w:highlight w:val="none"/>
        </w:rPr>
        <w:t>6. 安全文明施工与环境保护</w:t>
      </w:r>
      <w:bookmarkEnd w:id="498"/>
    </w:p>
    <w:p w14:paraId="06BCDE2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6.1安全文明施工</w:t>
      </w:r>
    </w:p>
    <w:p w14:paraId="6EDB4FB3">
      <w:pPr>
        <w:keepNext w:val="0"/>
        <w:keepLines w:val="0"/>
        <w:pageBreakBefore w:val="0"/>
        <w:widowControl/>
        <w:suppressLineNumbers w:val="0"/>
        <w:kinsoku/>
        <w:wordWrap w:val="0"/>
        <w:overflowPunct/>
        <w:topLinePunct w:val="0"/>
        <w:bidi w:val="0"/>
        <w:spacing w:before="0" w:beforeLines="0" w:beforeAutospacing="0" w:after="0" w:afterLines="0" w:afterAutospacing="0"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6.1.1 项目安全生产的达标目标及相应事项的约定：</w:t>
      </w:r>
      <w:r>
        <w:rPr>
          <w:rFonts w:hint="eastAsia" w:ascii="宋体" w:hAnsi="宋体" w:eastAsia="宋体" w:cs="宋体"/>
          <w:b/>
          <w:color w:val="auto"/>
          <w:kern w:val="0"/>
          <w:sz w:val="24"/>
          <w:szCs w:val="24"/>
          <w:highlight w:val="none"/>
          <w:u w:val="single" w:color="000000"/>
        </w:rPr>
        <w:t>承包人应遵守工程建设安全生产有关管理规定，严格按现行安全标准组织施工，并随时接受行业安全检查人员依法实施的监督检查，采取必要的安全防护措施，消除事故隐患。其安全文明施工费已经含在签约合同价内。</w:t>
      </w:r>
      <w:r>
        <w:rPr>
          <w:rFonts w:hint="eastAsia" w:ascii="宋体" w:hAnsi="宋体" w:eastAsia="宋体" w:cs="宋体"/>
          <w:b/>
          <w:color w:val="auto"/>
          <w:kern w:val="0"/>
          <w:sz w:val="24"/>
          <w:szCs w:val="24"/>
          <w:highlight w:val="none"/>
          <w:u w:val="single"/>
        </w:rPr>
        <w:t>本工程在整个施工期间杜绝一切人身伤亡和重大质量安全事故，如发生上述事故，应接受政府相关部门处罚并承担由此产生的一切经济和法律责任。</w:t>
      </w:r>
    </w:p>
    <w:p w14:paraId="0F3F64A5">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rPr>
        <w:t>6.1.4 关于治安保卫的特别约定：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ACB42A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关于编制施工场地治安管理计划的约定：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开工前提供</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06AA4D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6.1.5 文明施工</w:t>
      </w:r>
    </w:p>
    <w:p w14:paraId="569FE8D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合同当事人对文明施工的要求：</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50DC4DDA">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6.1.6 关于安全文明施工费支付比例和支付期限的约定：</w:t>
      </w:r>
      <w:r>
        <w:rPr>
          <w:rFonts w:hint="eastAsia" w:ascii="宋体" w:hAnsi="宋体" w:eastAsia="宋体" w:cs="宋体"/>
          <w:b/>
          <w:bCs/>
          <w:color w:val="auto"/>
          <w:kern w:val="0"/>
          <w:sz w:val="24"/>
          <w:szCs w:val="24"/>
          <w:highlight w:val="none"/>
          <w:u w:val="single"/>
        </w:rPr>
        <w:t>安全文明施工费</w:t>
      </w:r>
      <w:r>
        <w:rPr>
          <w:rFonts w:hint="eastAsia" w:ascii="宋体" w:hAnsi="宋体" w:eastAsia="宋体" w:cs="宋体"/>
          <w:b/>
          <w:color w:val="auto"/>
          <w:kern w:val="0"/>
          <w:sz w:val="24"/>
          <w:szCs w:val="24"/>
          <w:highlight w:val="none"/>
          <w:u w:val="single"/>
        </w:rPr>
        <w:t>按工程进度款约定同期支付。</w:t>
      </w:r>
    </w:p>
    <w:bookmarkEnd w:id="491"/>
    <w:bookmarkEnd w:id="492"/>
    <w:bookmarkEnd w:id="493"/>
    <w:bookmarkEnd w:id="494"/>
    <w:bookmarkEnd w:id="495"/>
    <w:bookmarkEnd w:id="496"/>
    <w:bookmarkEnd w:id="497"/>
    <w:p w14:paraId="1827A57F">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99" w:name="_Toc351203639"/>
      <w:r>
        <w:rPr>
          <w:rFonts w:hint="eastAsia" w:ascii="宋体" w:hAnsi="宋体" w:eastAsia="宋体" w:cs="宋体"/>
          <w:color w:val="auto"/>
          <w:kern w:val="0"/>
          <w:sz w:val="24"/>
          <w:szCs w:val="24"/>
          <w:highlight w:val="none"/>
        </w:rPr>
        <w:t>7. 工期和进度</w:t>
      </w:r>
      <w:bookmarkEnd w:id="499"/>
    </w:p>
    <w:p w14:paraId="4650E3C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 施工组织设计</w:t>
      </w:r>
    </w:p>
    <w:p w14:paraId="0435985A">
      <w:pPr>
        <w:keepNext w:val="0"/>
        <w:keepLines w:val="0"/>
        <w:pageBreakBefore w:val="0"/>
        <w:kinsoku/>
        <w:wordWrap w:val="0"/>
        <w:overflowPunct/>
        <w:topLinePunct w:val="0"/>
        <w:bidi w:val="0"/>
        <w:snapToGrid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rPr>
        <w:t xml:space="preserve">（9）合同签订、图纸会审定案后7日内承包人向监理人提供施工组织设计书（含总体进度计划网络图）及施工专项方案各8份，并由监理人报送发包人。发包人和监理人应在监理人收到施工组织设计后7天内确认或提出修改意见，未经监理人批准，承包人不得擅自实施，同时监理人的批准并不免除承包人的合同责任。对发包人和监理人提出的合理意见和要求，承包人应自费修改完善。根据工程实际情况需要修改施工组织设计的，承包人应向发包人和监理人提交修改后的施工组织设计。 </w:t>
      </w:r>
    </w:p>
    <w:p w14:paraId="6CF216F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500" w:name="_Toc304295541"/>
      <w:bookmarkStart w:id="501" w:name="_Toc297123514"/>
      <w:bookmarkStart w:id="502" w:name="_Toc297216173"/>
      <w:bookmarkStart w:id="503" w:name="_Toc312678005"/>
      <w:bookmarkStart w:id="504" w:name="_Toc300934966"/>
      <w:bookmarkStart w:id="505" w:name="_Toc312677479"/>
      <w:bookmarkStart w:id="506" w:name="_Toc303539123"/>
      <w:r>
        <w:rPr>
          <w:rFonts w:hint="eastAsia" w:ascii="宋体" w:hAnsi="宋体" w:eastAsia="宋体" w:cs="宋体"/>
          <w:color w:val="auto"/>
          <w:kern w:val="0"/>
          <w:sz w:val="24"/>
          <w:szCs w:val="24"/>
          <w:highlight w:val="none"/>
        </w:rPr>
        <w:t>.2 施工进度计划</w:t>
      </w:r>
    </w:p>
    <w:p w14:paraId="72D5EC4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7.2.2 施工进度计划的修订</w:t>
      </w:r>
    </w:p>
    <w:p w14:paraId="15D422D1">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color w:val="auto"/>
          <w:kern w:val="0"/>
          <w:sz w:val="24"/>
          <w:szCs w:val="24"/>
          <w:highlight w:val="none"/>
        </w:rPr>
        <w:t>发包人和监理人在收到修订的施工进度计划后确认或提出修改意见的期限：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7天 </w:t>
      </w:r>
      <w:r>
        <w:rPr>
          <w:rFonts w:hint="eastAsia" w:ascii="宋体" w:hAnsi="宋体" w:eastAsia="宋体" w:cs="宋体"/>
          <w:color w:val="auto"/>
          <w:kern w:val="0"/>
          <w:sz w:val="24"/>
          <w:szCs w:val="24"/>
          <w:highlight w:val="none"/>
        </w:rPr>
        <w:t>。</w:t>
      </w:r>
    </w:p>
    <w:p w14:paraId="18D52AA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7.2.3</w:t>
      </w:r>
      <w:r>
        <w:rPr>
          <w:rFonts w:hint="eastAsia" w:ascii="宋体" w:hAnsi="宋体" w:eastAsia="宋体" w:cs="宋体"/>
          <w:b/>
          <w:bCs/>
          <w:color w:val="auto"/>
          <w:kern w:val="0"/>
          <w:sz w:val="24"/>
          <w:szCs w:val="24"/>
          <w:highlight w:val="none"/>
          <w:u w:val="single"/>
        </w:rPr>
        <w:t>承包人应在每月25日前提供次月施工进度计划表</w:t>
      </w:r>
      <w:r>
        <w:rPr>
          <w:rFonts w:hint="eastAsia" w:ascii="宋体" w:hAnsi="宋体" w:eastAsia="宋体" w:cs="宋体"/>
          <w:color w:val="auto"/>
          <w:kern w:val="0"/>
          <w:sz w:val="24"/>
          <w:szCs w:val="24"/>
          <w:highlight w:val="none"/>
        </w:rPr>
        <w:t>。</w:t>
      </w:r>
    </w:p>
    <w:p w14:paraId="6F15796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 开工</w:t>
      </w:r>
    </w:p>
    <w:p w14:paraId="3DE4D77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7.3.1 开工准备</w:t>
      </w:r>
    </w:p>
    <w:p w14:paraId="455CC3C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关于承包人提交工程开工报审表的期限：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开工前7天</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98F91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关于发包人应完成的其他开工准备工作及期限：</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3BECBE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关于承包人应完成的其他开工准备工作及期限：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F91254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7.3.2开工通知</w:t>
      </w:r>
    </w:p>
    <w:p w14:paraId="4EA8FC5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因发包人原因造成监理人未能在计划开工日期之日起</w:t>
      </w:r>
      <w:r>
        <w:rPr>
          <w:rFonts w:hint="eastAsia" w:ascii="宋体" w:hAnsi="宋体" w:eastAsia="宋体" w:cs="宋体"/>
          <w:b/>
          <w:color w:val="auto"/>
          <w:kern w:val="0"/>
          <w:sz w:val="24"/>
          <w:szCs w:val="24"/>
          <w:highlight w:val="none"/>
          <w:u w:val="single"/>
        </w:rPr>
        <w:t>180</w:t>
      </w:r>
      <w:r>
        <w:rPr>
          <w:rFonts w:hint="eastAsia" w:ascii="宋体" w:hAnsi="宋体" w:eastAsia="宋体" w:cs="宋体"/>
          <w:color w:val="auto"/>
          <w:kern w:val="0"/>
          <w:sz w:val="24"/>
          <w:szCs w:val="24"/>
          <w:highlight w:val="none"/>
        </w:rPr>
        <w:t>天内发出开工通知的，承包人有权提出价格调整要求，或者解除合同。</w:t>
      </w:r>
    </w:p>
    <w:bookmarkEnd w:id="500"/>
    <w:bookmarkEnd w:id="501"/>
    <w:bookmarkEnd w:id="502"/>
    <w:bookmarkEnd w:id="503"/>
    <w:bookmarkEnd w:id="504"/>
    <w:bookmarkEnd w:id="505"/>
    <w:bookmarkEnd w:id="506"/>
    <w:p w14:paraId="2D8BA5A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 测量放线</w:t>
      </w:r>
    </w:p>
    <w:p w14:paraId="31852820">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Cs/>
          <w:color w:val="auto"/>
          <w:kern w:val="0"/>
          <w:sz w:val="24"/>
          <w:szCs w:val="24"/>
          <w:highlight w:val="none"/>
        </w:rPr>
        <w:t>7.4.1</w:t>
      </w:r>
      <w:r>
        <w:rPr>
          <w:rFonts w:hint="eastAsia" w:ascii="宋体" w:hAnsi="宋体" w:eastAsia="宋体" w:cs="宋体"/>
          <w:b/>
          <w:color w:val="auto"/>
          <w:kern w:val="0"/>
          <w:sz w:val="24"/>
          <w:szCs w:val="24"/>
          <w:highlight w:val="none"/>
          <w:u w:val="single"/>
        </w:rPr>
        <w:t>发包人在合同签订后的7天内，通过监理人向承包人提供测量基准点、基准线和水准点及其书面资料。承包人应根据国家测绘基准、测绘系统和工程测量技术规范，按上述基准点（线）以及合同工程精度要求，测设施工控制网，并在开工后14天内，将施工控制网资料报送监理人审批。</w:t>
      </w:r>
    </w:p>
    <w:p w14:paraId="7A71955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507" w:name="_Toc312678010"/>
      <w:bookmarkStart w:id="508" w:name="_Toc303539125"/>
      <w:bookmarkStart w:id="509" w:name="_Toc312677484"/>
      <w:bookmarkStart w:id="510" w:name="_Toc304295546"/>
      <w:bookmarkStart w:id="511" w:name="_Toc297123516"/>
      <w:bookmarkStart w:id="512" w:name="_Toc300934968"/>
      <w:bookmarkStart w:id="513" w:name="_Toc297216175"/>
      <w:r>
        <w:rPr>
          <w:rFonts w:hint="eastAsia" w:ascii="宋体" w:hAnsi="宋体" w:eastAsia="宋体" w:cs="宋体"/>
          <w:color w:val="auto"/>
          <w:kern w:val="0"/>
          <w:sz w:val="24"/>
          <w:szCs w:val="24"/>
          <w:highlight w:val="none"/>
        </w:rPr>
        <w:t>.5 工期延误</w:t>
      </w:r>
    </w:p>
    <w:bookmarkEnd w:id="507"/>
    <w:bookmarkEnd w:id="508"/>
    <w:bookmarkEnd w:id="509"/>
    <w:bookmarkEnd w:id="510"/>
    <w:bookmarkEnd w:id="511"/>
    <w:bookmarkEnd w:id="512"/>
    <w:bookmarkEnd w:id="513"/>
    <w:p w14:paraId="7D5511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7.5.1 因发包人原因导致工期延误</w:t>
      </w:r>
    </w:p>
    <w:p w14:paraId="7FC85CA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（7）因发包人原因导致工期延误的其他情形：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p>
    <w:p w14:paraId="7267DE7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7</w:t>
      </w:r>
      <w:bookmarkStart w:id="514" w:name="_Toc304295548"/>
      <w:bookmarkStart w:id="515" w:name="_Toc303539127"/>
      <w:bookmarkStart w:id="516" w:name="_Toc300934970"/>
      <w:bookmarkStart w:id="517" w:name="_Toc297216177"/>
      <w:bookmarkStart w:id="518" w:name="_Toc318581169"/>
      <w:bookmarkStart w:id="519" w:name="_Toc297123518"/>
      <w:bookmarkStart w:id="520" w:name="_Toc312677486"/>
      <w:bookmarkStart w:id="521" w:name="_Toc312678012"/>
      <w:r>
        <w:rPr>
          <w:rFonts w:hint="eastAsia" w:ascii="宋体" w:hAnsi="宋体" w:eastAsia="宋体" w:cs="宋体"/>
          <w:color w:val="auto"/>
          <w:kern w:val="0"/>
          <w:sz w:val="24"/>
          <w:szCs w:val="24"/>
          <w:highlight w:val="none"/>
        </w:rPr>
        <w:t>.5.2 因承包人原因造成工期延误，逾期竣工违约金的计算方法为：</w:t>
      </w:r>
      <w:r>
        <w:rPr>
          <w:rFonts w:hint="eastAsia" w:ascii="宋体" w:hAnsi="宋体" w:eastAsia="宋体" w:cs="宋体"/>
          <w:b/>
          <w:color w:val="auto"/>
          <w:kern w:val="0"/>
          <w:sz w:val="24"/>
          <w:szCs w:val="24"/>
          <w:highlight w:val="none"/>
          <w:u w:val="single" w:color="000000"/>
        </w:rPr>
        <w:t>工期每延误一天扣罚</w:t>
      </w:r>
      <w:r>
        <w:rPr>
          <w:rFonts w:hint="eastAsia" w:ascii="宋体" w:hAnsi="宋体" w:eastAsia="宋体" w:cs="宋体"/>
          <w:b/>
          <w:color w:val="auto"/>
          <w:kern w:val="0"/>
          <w:sz w:val="24"/>
          <w:szCs w:val="24"/>
          <w:highlight w:val="none"/>
          <w:u w:val="single" w:color="000000"/>
          <w:lang w:val="en-US" w:eastAsia="zh-CN"/>
        </w:rPr>
        <w:t>1</w:t>
      </w:r>
      <w:r>
        <w:rPr>
          <w:rFonts w:hint="eastAsia" w:ascii="宋体" w:hAnsi="宋体" w:eastAsia="宋体" w:cs="宋体"/>
          <w:b/>
          <w:color w:val="auto"/>
          <w:kern w:val="0"/>
          <w:sz w:val="24"/>
          <w:szCs w:val="24"/>
          <w:highlight w:val="none"/>
          <w:u w:val="single" w:color="000000"/>
        </w:rPr>
        <w:t>000元</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b/>
          <w:bCs/>
          <w:color w:val="auto"/>
          <w:kern w:val="0"/>
          <w:sz w:val="24"/>
          <w:szCs w:val="24"/>
          <w:highlight w:val="none"/>
          <w:u w:val="single"/>
        </w:rPr>
        <w:t>并承担因工期延误而造成</w:t>
      </w:r>
      <w:r>
        <w:rPr>
          <w:rFonts w:hint="eastAsia" w:ascii="宋体" w:hAnsi="宋体" w:eastAsia="宋体" w:cs="宋体"/>
          <w:b/>
          <w:bCs/>
          <w:color w:val="auto"/>
          <w:kern w:val="0"/>
          <w:sz w:val="24"/>
          <w:szCs w:val="24"/>
          <w:highlight w:val="none"/>
          <w:u w:val="single"/>
          <w:lang w:val="en-US" w:eastAsia="zh-CN"/>
        </w:rPr>
        <w:t>发包人</w:t>
      </w:r>
      <w:r>
        <w:rPr>
          <w:rFonts w:hint="eastAsia" w:ascii="宋体" w:hAnsi="宋体" w:eastAsia="宋体" w:cs="宋体"/>
          <w:b/>
          <w:bCs/>
          <w:color w:val="auto"/>
          <w:kern w:val="0"/>
          <w:sz w:val="24"/>
          <w:szCs w:val="24"/>
          <w:highlight w:val="none"/>
          <w:u w:val="single"/>
        </w:rPr>
        <w:t>的一切经济损失</w:t>
      </w:r>
      <w:r>
        <w:rPr>
          <w:rFonts w:hint="eastAsia" w:ascii="宋体" w:hAnsi="宋体" w:eastAsia="宋体" w:cs="宋体"/>
          <w:color w:val="auto"/>
          <w:kern w:val="0"/>
          <w:sz w:val="24"/>
          <w:szCs w:val="24"/>
          <w:highlight w:val="none"/>
        </w:rPr>
        <w:t>。因承包人原因造成工期延误，逾期竣工违约金的上限：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逾期</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天以内按合同价的5%处罚；逾期</w:t>
      </w:r>
      <w:r>
        <w:rPr>
          <w:rFonts w:hint="eastAsia" w:ascii="宋体" w:hAnsi="宋体" w:eastAsia="宋体" w:cs="宋体"/>
          <w:b/>
          <w:color w:val="auto"/>
          <w:kern w:val="0"/>
          <w:sz w:val="24"/>
          <w:szCs w:val="24"/>
          <w:highlight w:val="none"/>
          <w:u w:val="single"/>
          <w:lang w:val="en-US" w:eastAsia="zh-CN"/>
        </w:rPr>
        <w:t>60</w:t>
      </w:r>
      <w:r>
        <w:rPr>
          <w:rFonts w:hint="eastAsia" w:ascii="宋体" w:hAnsi="宋体" w:eastAsia="宋体" w:cs="宋体"/>
          <w:b/>
          <w:color w:val="auto"/>
          <w:kern w:val="0"/>
          <w:sz w:val="24"/>
          <w:szCs w:val="24"/>
          <w:highlight w:val="none"/>
          <w:u w:val="single"/>
        </w:rPr>
        <w:t>天以上</w:t>
      </w:r>
      <w:r>
        <w:rPr>
          <w:rFonts w:hint="eastAsia" w:ascii="宋体" w:hAnsi="宋体" w:eastAsia="宋体" w:cs="宋体"/>
          <w:b/>
          <w:color w:val="auto"/>
          <w:kern w:val="0"/>
          <w:sz w:val="24"/>
          <w:szCs w:val="24"/>
          <w:highlight w:val="none"/>
          <w:u w:val="single"/>
          <w:lang w:eastAsia="zh-CN"/>
        </w:rPr>
        <w:t>至</w:t>
      </w:r>
      <w:r>
        <w:rPr>
          <w:rFonts w:hint="eastAsia" w:ascii="宋体" w:hAnsi="宋体" w:eastAsia="宋体" w:cs="宋体"/>
          <w:b/>
          <w:color w:val="auto"/>
          <w:kern w:val="0"/>
          <w:sz w:val="24"/>
          <w:szCs w:val="24"/>
          <w:highlight w:val="none"/>
          <w:u w:val="single"/>
          <w:lang w:val="en-US" w:eastAsia="zh-CN"/>
        </w:rPr>
        <w:t>100</w:t>
      </w:r>
      <w:r>
        <w:rPr>
          <w:rFonts w:hint="eastAsia" w:ascii="宋体" w:hAnsi="宋体" w:eastAsia="宋体" w:cs="宋体"/>
          <w:b/>
          <w:color w:val="auto"/>
          <w:kern w:val="0"/>
          <w:sz w:val="24"/>
          <w:szCs w:val="24"/>
          <w:highlight w:val="none"/>
          <w:u w:val="single"/>
        </w:rPr>
        <w:t>天以内按合同价的10%处罚；逾期</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天以上，</w:t>
      </w:r>
      <w:r>
        <w:rPr>
          <w:rFonts w:hint="eastAsia" w:ascii="宋体" w:hAnsi="宋体" w:eastAsia="宋体" w:cs="宋体"/>
          <w:b/>
          <w:color w:val="auto"/>
          <w:kern w:val="0"/>
          <w:sz w:val="24"/>
          <w:szCs w:val="24"/>
          <w:highlight w:val="none"/>
          <w:u w:val="single"/>
          <w:lang w:val="en-US" w:eastAsia="zh-CN"/>
        </w:rPr>
        <w:t>发包人</w:t>
      </w:r>
      <w:r>
        <w:rPr>
          <w:rFonts w:hint="eastAsia" w:ascii="宋体" w:hAnsi="宋体" w:eastAsia="宋体" w:cs="宋体"/>
          <w:b/>
          <w:color w:val="auto"/>
          <w:kern w:val="0"/>
          <w:sz w:val="24"/>
          <w:szCs w:val="24"/>
          <w:highlight w:val="none"/>
          <w:u w:val="single"/>
        </w:rPr>
        <w:t>有权解除合同，</w:t>
      </w:r>
      <w:r>
        <w:rPr>
          <w:rFonts w:hint="eastAsia" w:ascii="宋体" w:hAnsi="宋体" w:eastAsia="宋体" w:cs="宋体"/>
          <w:b/>
          <w:color w:val="auto"/>
          <w:kern w:val="0"/>
          <w:sz w:val="24"/>
          <w:szCs w:val="24"/>
          <w:highlight w:val="none"/>
          <w:u w:val="single"/>
          <w:lang w:val="en-US" w:eastAsia="zh-CN"/>
        </w:rPr>
        <w:t>承包人</w:t>
      </w:r>
      <w:r>
        <w:rPr>
          <w:rFonts w:hint="eastAsia" w:ascii="宋体" w:hAnsi="宋体" w:eastAsia="宋体" w:cs="宋体"/>
          <w:b/>
          <w:color w:val="auto"/>
          <w:kern w:val="0"/>
          <w:sz w:val="24"/>
          <w:szCs w:val="24"/>
          <w:highlight w:val="none"/>
          <w:u w:val="single"/>
        </w:rPr>
        <w:t>承担由此造成的损失</w:t>
      </w:r>
      <w:r>
        <w:rPr>
          <w:rFonts w:hint="eastAsia" w:ascii="宋体" w:hAnsi="宋体" w:eastAsia="宋体" w:cs="宋体"/>
          <w:b/>
          <w:bCs/>
          <w:color w:val="auto"/>
          <w:kern w:val="0"/>
          <w:sz w:val="24"/>
          <w:szCs w:val="24"/>
          <w:highlight w:val="none"/>
          <w:u w:val="single"/>
        </w:rPr>
        <w:t>。</w:t>
      </w:r>
    </w:p>
    <w:bookmarkEnd w:id="514"/>
    <w:bookmarkEnd w:id="515"/>
    <w:bookmarkEnd w:id="516"/>
    <w:bookmarkEnd w:id="517"/>
    <w:bookmarkEnd w:id="518"/>
    <w:bookmarkEnd w:id="519"/>
    <w:bookmarkEnd w:id="520"/>
    <w:bookmarkEnd w:id="521"/>
    <w:p w14:paraId="5FBB65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522" w:name="_Toc303539128"/>
      <w:bookmarkStart w:id="523" w:name="_Toc300934971"/>
      <w:bookmarkStart w:id="524" w:name="_Toc297216178"/>
      <w:bookmarkStart w:id="525" w:name="_Toc297123519"/>
      <w:bookmarkStart w:id="526" w:name="_Toc304295549"/>
      <w:bookmarkStart w:id="527" w:name="_Toc312678015"/>
      <w:r>
        <w:rPr>
          <w:rFonts w:hint="eastAsia" w:ascii="宋体" w:hAnsi="宋体" w:eastAsia="宋体" w:cs="宋体"/>
          <w:color w:val="auto"/>
          <w:kern w:val="0"/>
          <w:sz w:val="24"/>
          <w:szCs w:val="24"/>
          <w:highlight w:val="none"/>
        </w:rPr>
        <w:t>.6 不</w:t>
      </w:r>
      <w:bookmarkEnd w:id="522"/>
      <w:bookmarkEnd w:id="523"/>
      <w:bookmarkEnd w:id="524"/>
      <w:bookmarkEnd w:id="525"/>
      <w:bookmarkEnd w:id="526"/>
      <w:bookmarkEnd w:id="527"/>
      <w:r>
        <w:rPr>
          <w:rFonts w:hint="eastAsia" w:ascii="宋体" w:hAnsi="宋体" w:eastAsia="宋体" w:cs="宋体"/>
          <w:color w:val="auto"/>
          <w:kern w:val="0"/>
          <w:sz w:val="24"/>
          <w:szCs w:val="24"/>
          <w:highlight w:val="none"/>
        </w:rPr>
        <w:t>利物质条件</w:t>
      </w:r>
    </w:p>
    <w:p w14:paraId="0B5EF1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bookmarkStart w:id="528" w:name="_Toc297123520"/>
      <w:bookmarkStart w:id="529" w:name="_Toc297216179"/>
      <w:bookmarkStart w:id="530" w:name="_Toc304295550"/>
      <w:bookmarkStart w:id="531" w:name="_Toc312678016"/>
      <w:bookmarkStart w:id="532" w:name="_Toc303539129"/>
      <w:bookmarkStart w:id="533" w:name="_Toc300934972"/>
      <w:bookmarkStart w:id="534" w:name="_Toc318581172"/>
      <w:r>
        <w:rPr>
          <w:rFonts w:hint="eastAsia" w:ascii="宋体" w:hAnsi="宋体" w:eastAsia="宋体" w:cs="宋体"/>
          <w:color w:val="auto"/>
          <w:kern w:val="0"/>
          <w:sz w:val="24"/>
          <w:szCs w:val="24"/>
          <w:highlight w:val="none"/>
        </w:rPr>
        <w:t>不利物质条件的其他情形和有关约定：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528"/>
    <w:bookmarkEnd w:id="529"/>
    <w:bookmarkEnd w:id="530"/>
    <w:bookmarkEnd w:id="531"/>
    <w:bookmarkEnd w:id="532"/>
    <w:bookmarkEnd w:id="533"/>
    <w:bookmarkEnd w:id="534"/>
    <w:p w14:paraId="2B5B029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535" w:name="_Toc303539130"/>
      <w:bookmarkStart w:id="536" w:name="_Toc297216180"/>
      <w:bookmarkStart w:id="537" w:name="_Toc300934973"/>
      <w:bookmarkStart w:id="538" w:name="_Toc312678017"/>
      <w:bookmarkStart w:id="539" w:name="_Toc304295551"/>
      <w:bookmarkStart w:id="540" w:name="_Toc297123521"/>
      <w:r>
        <w:rPr>
          <w:rFonts w:hint="eastAsia" w:ascii="宋体" w:hAnsi="宋体" w:eastAsia="宋体" w:cs="宋体"/>
          <w:color w:val="auto"/>
          <w:kern w:val="0"/>
          <w:sz w:val="24"/>
          <w:szCs w:val="24"/>
          <w:highlight w:val="none"/>
        </w:rPr>
        <w:t>.7异常恶劣的气候条件</w:t>
      </w:r>
    </w:p>
    <w:bookmarkEnd w:id="535"/>
    <w:bookmarkEnd w:id="536"/>
    <w:bookmarkEnd w:id="537"/>
    <w:bookmarkEnd w:id="538"/>
    <w:bookmarkEnd w:id="539"/>
    <w:bookmarkEnd w:id="540"/>
    <w:p w14:paraId="442E16D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发包人和承包人同意以下情形视为异常恶劣的气候条件：</w:t>
      </w:r>
    </w:p>
    <w:p w14:paraId="31103719">
      <w:pPr>
        <w:keepNext w:val="0"/>
        <w:keepLines w:val="0"/>
        <w:pageBreakBefore w:val="0"/>
        <w:numPr>
          <w:ilvl w:val="0"/>
          <w:numId w:val="8"/>
        </w:numPr>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地震、水灾</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65AA9E0">
      <w:pPr>
        <w:keepNext w:val="0"/>
        <w:keepLines w:val="0"/>
        <w:pageBreakBefore w:val="0"/>
        <w:numPr>
          <w:ilvl w:val="0"/>
          <w:numId w:val="8"/>
        </w:numPr>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7D2E51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22E58F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 暂停施工</w:t>
      </w:r>
    </w:p>
    <w:p w14:paraId="0E21D01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7.8.1发包人原因引起的暂停施工</w:t>
      </w:r>
    </w:p>
    <w:p w14:paraId="2180410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因发包人原因引起暂停施工的，监理人经发包人同意后，应及时下达暂停施工指示。情况紧急且监理人未及时下达暂停施工指示的，按照通用合同条款第7.8.4项〔紧急情况下的暂停施工〕执行。</w:t>
      </w:r>
    </w:p>
    <w:p w14:paraId="154FAE1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由于发包人原因引起的暂停施工造成工期延误的，承包人有权要求发包人延长工期，但发包人不增加任何费用及补偿。</w:t>
      </w:r>
    </w:p>
    <w:p w14:paraId="508EF1C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7.8.5 暂停施工后的复工</w:t>
      </w:r>
    </w:p>
    <w:p w14:paraId="04D4809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5B8988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承包人无故拖延和拒绝复工的，由此增加的费用和工期延误损失由承包人承担；因发包人原因无法按时复工的，承包人有权要求发包人延长工期，但发包人不增加任何费用及补偿。</w:t>
      </w:r>
    </w:p>
    <w:p w14:paraId="281A30E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7.9.2提前竣工的奖励：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7A6E647">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541" w:name="_Toc351203640"/>
      <w:r>
        <w:rPr>
          <w:rFonts w:hint="eastAsia" w:ascii="宋体" w:hAnsi="宋体" w:eastAsia="宋体" w:cs="宋体"/>
          <w:color w:val="auto"/>
          <w:kern w:val="0"/>
          <w:sz w:val="24"/>
          <w:szCs w:val="24"/>
          <w:highlight w:val="none"/>
        </w:rPr>
        <w:t>8. 材料与设备</w:t>
      </w:r>
      <w:bookmarkEnd w:id="541"/>
    </w:p>
    <w:bookmarkEnd w:id="481"/>
    <w:bookmarkEnd w:id="482"/>
    <w:bookmarkEnd w:id="483"/>
    <w:bookmarkEnd w:id="484"/>
    <w:bookmarkEnd w:id="485"/>
    <w:bookmarkEnd w:id="486"/>
    <w:bookmarkEnd w:id="487"/>
    <w:bookmarkEnd w:id="488"/>
    <w:bookmarkEnd w:id="489"/>
    <w:bookmarkEnd w:id="490"/>
    <w:p w14:paraId="4DE6016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8.1发包人供应材料与工程设备</w:t>
      </w:r>
    </w:p>
    <w:p w14:paraId="31BE7AF0">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u w:val="single"/>
        </w:rPr>
        <w:t>本工程发包人不提供任何材料和工程设备</w:t>
      </w:r>
      <w:r>
        <w:rPr>
          <w:rFonts w:hint="eastAsia" w:ascii="宋体" w:hAnsi="宋体" w:eastAsia="宋体" w:cs="宋体"/>
          <w:color w:val="auto"/>
          <w:kern w:val="0"/>
          <w:sz w:val="24"/>
          <w:szCs w:val="24"/>
          <w:highlight w:val="none"/>
        </w:rPr>
        <w:t>。</w:t>
      </w:r>
    </w:p>
    <w:p w14:paraId="568E353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bookmarkStart w:id="542" w:name="_Toc297048353"/>
      <w:bookmarkStart w:id="543" w:name="_Toc292559877"/>
      <w:bookmarkStart w:id="544" w:name="_Toc312677493"/>
      <w:bookmarkStart w:id="545" w:name="_Toc296944506"/>
      <w:bookmarkStart w:id="546" w:name="_Toc297120467"/>
      <w:bookmarkStart w:id="547" w:name="_Toc296346668"/>
      <w:bookmarkStart w:id="548" w:name="_Toc296503167"/>
      <w:bookmarkStart w:id="549" w:name="_Toc280868654"/>
      <w:bookmarkStart w:id="550" w:name="_Toc292559372"/>
      <w:bookmarkStart w:id="551" w:name="_Toc296347166"/>
      <w:bookmarkStart w:id="552" w:name="_Toc297123527"/>
      <w:bookmarkStart w:id="553" w:name="_Toc296890995"/>
      <w:bookmarkStart w:id="554" w:name="_Toc300934979"/>
      <w:bookmarkStart w:id="555" w:name="_Toc304295556"/>
      <w:bookmarkStart w:id="556" w:name="_Toc312678019"/>
      <w:bookmarkStart w:id="557" w:name="_Toc297216186"/>
      <w:bookmarkStart w:id="558" w:name="_Toc296891207"/>
      <w:bookmarkStart w:id="559" w:name="_Toc303539136"/>
      <w:bookmarkStart w:id="560" w:name="_Toc280868656"/>
      <w:bookmarkStart w:id="561" w:name="_Toc267251424"/>
      <w:bookmarkStart w:id="562" w:name="_Toc280868655"/>
      <w:r>
        <w:rPr>
          <w:rFonts w:hint="eastAsia" w:ascii="宋体" w:hAnsi="宋体" w:eastAsia="宋体" w:cs="宋体"/>
          <w:color w:val="auto"/>
          <w:kern w:val="0"/>
          <w:sz w:val="24"/>
          <w:szCs w:val="24"/>
          <w:highlight w:val="none"/>
        </w:rPr>
        <w:t>.4材料与工程设备的保管与使用</w:t>
      </w:r>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14:paraId="03C4022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8</w:t>
      </w:r>
      <w:bookmarkStart w:id="563" w:name="_Toc292559878"/>
      <w:bookmarkStart w:id="564" w:name="_Toc292559373"/>
      <w:bookmarkStart w:id="565" w:name="_Toc296891208"/>
      <w:bookmarkStart w:id="566" w:name="_Toc296890996"/>
      <w:bookmarkStart w:id="567" w:name="_Toc297216187"/>
      <w:bookmarkStart w:id="568" w:name="_Toc312678020"/>
      <w:bookmarkStart w:id="569" w:name="_Toc297123528"/>
      <w:bookmarkStart w:id="570" w:name="_Toc300934980"/>
      <w:bookmarkStart w:id="571" w:name="_Toc318581173"/>
      <w:bookmarkStart w:id="572" w:name="_Toc312677494"/>
      <w:bookmarkStart w:id="573" w:name="_Toc296944507"/>
      <w:bookmarkStart w:id="574" w:name="_Toc296503168"/>
      <w:bookmarkStart w:id="575" w:name="_Toc296346669"/>
      <w:bookmarkStart w:id="576" w:name="_Toc297120468"/>
      <w:bookmarkStart w:id="577" w:name="_Toc303539137"/>
      <w:bookmarkStart w:id="578" w:name="_Toc297048354"/>
      <w:bookmarkStart w:id="579" w:name="_Toc304295557"/>
      <w:bookmarkStart w:id="580" w:name="_Toc296347167"/>
      <w:r>
        <w:rPr>
          <w:rFonts w:hint="eastAsia" w:ascii="宋体" w:hAnsi="宋体" w:eastAsia="宋体" w:cs="宋体"/>
          <w:color w:val="auto"/>
          <w:kern w:val="0"/>
          <w:sz w:val="24"/>
          <w:szCs w:val="24"/>
          <w:highlight w:val="none"/>
        </w:rPr>
        <w:t>.4.1发包人供应的材料设备的保管费用的承担：</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bookmarkEnd w:id="563"/>
      <w:bookmarkEnd w:id="564"/>
    </w:p>
    <w:p w14:paraId="33C0171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 样品</w:t>
      </w:r>
    </w:p>
    <w:p w14:paraId="44E55FC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 样品的报送与封存</w:t>
      </w:r>
    </w:p>
    <w:p w14:paraId="67AC365F">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b/>
          <w:color w:val="auto"/>
          <w:kern w:val="0"/>
          <w:sz w:val="24"/>
          <w:szCs w:val="24"/>
          <w:highlight w:val="none"/>
          <w:u w:val="single"/>
        </w:rPr>
        <w:t xml:space="preserve">按管理部门及发包人要求确定 实行材料先行、样品封样，若实际施工材料与封样材料不一致，没查处一次承包方除了需及时更换为封样产品外，还需承担由此造成的一切经济和工期赔偿 </w:t>
      </w:r>
      <w:r>
        <w:rPr>
          <w:rFonts w:hint="eastAsia" w:ascii="宋体" w:hAnsi="宋体" w:eastAsia="宋体" w:cs="宋体"/>
          <w:b/>
          <w:color w:val="auto"/>
          <w:kern w:val="0"/>
          <w:sz w:val="24"/>
          <w:szCs w:val="24"/>
          <w:highlight w:val="none"/>
        </w:rPr>
        <w:t>。</w:t>
      </w:r>
    </w:p>
    <w:p w14:paraId="53426E3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 施工设备和临时设施</w:t>
      </w:r>
    </w:p>
    <w:p w14:paraId="198B3ACD">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8.8.1 承包人提供的施工设备和临时设施</w:t>
      </w:r>
    </w:p>
    <w:p w14:paraId="24BD5BFF">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关于修建临时设施费用承担的约定：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AEFEC9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8.8.2 发包人不提供施工设备或临时设施。</w:t>
      </w:r>
    </w:p>
    <w:p w14:paraId="6B5A07AF">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关于修建临时设施费用承担的约定：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14:paraId="2C5ACBF7">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581" w:name="_Toc351203641"/>
      <w:r>
        <w:rPr>
          <w:rFonts w:hint="eastAsia" w:ascii="宋体" w:hAnsi="宋体" w:eastAsia="宋体" w:cs="宋体"/>
          <w:color w:val="auto"/>
          <w:kern w:val="0"/>
          <w:sz w:val="24"/>
          <w:szCs w:val="24"/>
          <w:highlight w:val="none"/>
        </w:rPr>
        <w:t>9</w:t>
      </w:r>
      <w:bookmarkEnd w:id="560"/>
      <w:bookmarkEnd w:id="561"/>
      <w:bookmarkEnd w:id="562"/>
      <w:bookmarkStart w:id="582" w:name="_Toc297123533"/>
      <w:bookmarkStart w:id="583" w:name="_Toc303539139"/>
      <w:bookmarkStart w:id="584" w:name="_Toc304295559"/>
      <w:bookmarkStart w:id="585" w:name="_Toc312678021"/>
      <w:bookmarkStart w:id="586" w:name="_Toc312677495"/>
      <w:bookmarkStart w:id="587" w:name="_Toc300934982"/>
      <w:bookmarkStart w:id="588" w:name="_Toc297216192"/>
      <w:bookmarkStart w:id="589" w:name="_Toc296891001"/>
      <w:bookmarkStart w:id="590" w:name="_Toc267251427"/>
      <w:bookmarkStart w:id="591" w:name="_Toc297048359"/>
      <w:bookmarkStart w:id="592" w:name="_Toc296346674"/>
      <w:bookmarkStart w:id="593" w:name="_Toc296347172"/>
      <w:bookmarkStart w:id="594" w:name="_Toc292559883"/>
      <w:bookmarkStart w:id="595" w:name="_Toc267251428"/>
      <w:bookmarkStart w:id="596" w:name="_Toc296503173"/>
      <w:bookmarkStart w:id="597" w:name="_Toc292559378"/>
      <w:bookmarkStart w:id="598" w:name="_Toc296891213"/>
      <w:bookmarkStart w:id="599" w:name="_Toc296944512"/>
      <w:bookmarkStart w:id="600" w:name="_Toc297120473"/>
      <w:r>
        <w:rPr>
          <w:rFonts w:hint="eastAsia" w:ascii="宋体" w:hAnsi="宋体" w:eastAsia="宋体" w:cs="宋体"/>
          <w:color w:val="auto"/>
          <w:kern w:val="0"/>
          <w:sz w:val="24"/>
          <w:szCs w:val="24"/>
          <w:highlight w:val="none"/>
        </w:rPr>
        <w:t>. 试验与检验</w:t>
      </w:r>
      <w:bookmarkEnd w:id="581"/>
    </w:p>
    <w:bookmarkEnd w:id="582"/>
    <w:bookmarkEnd w:id="583"/>
    <w:bookmarkEnd w:id="584"/>
    <w:bookmarkEnd w:id="585"/>
    <w:bookmarkEnd w:id="586"/>
    <w:bookmarkEnd w:id="587"/>
    <w:bookmarkEnd w:id="588"/>
    <w:p w14:paraId="070D434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bookmarkStart w:id="601" w:name="_Toc312677496"/>
      <w:bookmarkStart w:id="602" w:name="_Toc297216193"/>
      <w:bookmarkStart w:id="603" w:name="_Toc297123534"/>
      <w:bookmarkStart w:id="604" w:name="_Toc312678022"/>
      <w:bookmarkStart w:id="605" w:name="_Toc304295560"/>
      <w:bookmarkStart w:id="606" w:name="_Toc300934983"/>
      <w:bookmarkStart w:id="607" w:name="_Toc303539140"/>
      <w:r>
        <w:rPr>
          <w:rFonts w:hint="eastAsia" w:ascii="宋体" w:hAnsi="宋体" w:eastAsia="宋体" w:cs="宋体"/>
          <w:color w:val="auto"/>
          <w:kern w:val="0"/>
          <w:sz w:val="24"/>
          <w:szCs w:val="24"/>
          <w:highlight w:val="none"/>
        </w:rPr>
        <w:t>.1试验设备与试验人员</w:t>
      </w:r>
    </w:p>
    <w:bookmarkEnd w:id="601"/>
    <w:bookmarkEnd w:id="602"/>
    <w:bookmarkEnd w:id="603"/>
    <w:bookmarkEnd w:id="604"/>
    <w:bookmarkEnd w:id="605"/>
    <w:bookmarkEnd w:id="606"/>
    <w:bookmarkEnd w:id="607"/>
    <w:p w14:paraId="5B54D03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bookmarkStart w:id="608" w:name="_Toc303539141"/>
      <w:bookmarkStart w:id="609" w:name="_Toc312678023"/>
      <w:bookmarkStart w:id="610" w:name="_Toc304295561"/>
      <w:bookmarkStart w:id="611" w:name="_Toc297216194"/>
      <w:bookmarkStart w:id="612" w:name="_Toc300934984"/>
      <w:bookmarkStart w:id="613" w:name="_Toc312677497"/>
      <w:bookmarkStart w:id="614" w:name="_Toc297123535"/>
      <w:bookmarkStart w:id="615" w:name="_Toc318581174"/>
      <w:r>
        <w:rPr>
          <w:rFonts w:hint="eastAsia" w:ascii="宋体" w:hAnsi="宋体" w:eastAsia="宋体" w:cs="宋体"/>
          <w:color w:val="auto"/>
          <w:kern w:val="0"/>
          <w:sz w:val="24"/>
          <w:szCs w:val="24"/>
          <w:highlight w:val="none"/>
        </w:rPr>
        <w:t>.1.2 试验设备</w:t>
      </w:r>
    </w:p>
    <w:p w14:paraId="6BB0AEA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施工现场需要配置的试验场所：</w:t>
      </w:r>
      <w:bookmarkEnd w:id="608"/>
      <w:bookmarkEnd w:id="609"/>
      <w:bookmarkEnd w:id="610"/>
      <w:bookmarkEnd w:id="611"/>
      <w:bookmarkEnd w:id="612"/>
      <w:bookmarkEnd w:id="613"/>
      <w:bookmarkEnd w:id="614"/>
      <w:bookmarkStart w:id="616" w:name="_Toc304295562"/>
      <w:bookmarkStart w:id="617" w:name="_Toc300934985"/>
      <w:bookmarkStart w:id="618" w:name="_Toc297123536"/>
      <w:bookmarkStart w:id="619" w:name="_Toc303539142"/>
      <w:bookmarkStart w:id="620" w:name="_Toc297216195"/>
      <w:bookmarkStart w:id="621" w:name="_Toc312677498"/>
      <w:bookmarkStart w:id="622" w:name="_Toc312678024"/>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按相关规定执行 </w:t>
      </w:r>
      <w:r>
        <w:rPr>
          <w:rFonts w:hint="eastAsia" w:ascii="宋体" w:hAnsi="宋体" w:eastAsia="宋体" w:cs="宋体"/>
          <w:color w:val="auto"/>
          <w:kern w:val="0"/>
          <w:sz w:val="24"/>
          <w:szCs w:val="24"/>
          <w:highlight w:val="none"/>
        </w:rPr>
        <w:t xml:space="preserve">。 </w:t>
      </w:r>
    </w:p>
    <w:p w14:paraId="6E8D6B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施工现场需要配备的试验设备：</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按相关规定执行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10272F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施工现场需要具备的其他试验条件：</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按相关规定行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4EDA3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9.4 现场工艺试验 </w:t>
      </w:r>
    </w:p>
    <w:p w14:paraId="734F951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现场工艺试验的有关约定：</w:t>
      </w:r>
      <w:r>
        <w:rPr>
          <w:rFonts w:hint="eastAsia" w:ascii="宋体" w:hAnsi="宋体" w:eastAsia="宋体" w:cs="宋体"/>
          <w:b/>
          <w:color w:val="auto"/>
          <w:kern w:val="0"/>
          <w:sz w:val="24"/>
          <w:szCs w:val="24"/>
          <w:highlight w:val="none"/>
          <w:u w:val="single"/>
        </w:rPr>
        <w:t xml:space="preserve"> 按通用合同条款执行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589"/>
    <w:bookmarkEnd w:id="590"/>
    <w:bookmarkEnd w:id="591"/>
    <w:bookmarkEnd w:id="592"/>
    <w:bookmarkEnd w:id="593"/>
    <w:bookmarkEnd w:id="594"/>
    <w:bookmarkEnd w:id="595"/>
    <w:bookmarkEnd w:id="596"/>
    <w:bookmarkEnd w:id="597"/>
    <w:bookmarkEnd w:id="598"/>
    <w:bookmarkEnd w:id="599"/>
    <w:bookmarkEnd w:id="600"/>
    <w:bookmarkEnd w:id="615"/>
    <w:bookmarkEnd w:id="616"/>
    <w:bookmarkEnd w:id="617"/>
    <w:bookmarkEnd w:id="618"/>
    <w:bookmarkEnd w:id="619"/>
    <w:bookmarkEnd w:id="620"/>
    <w:bookmarkEnd w:id="621"/>
    <w:bookmarkEnd w:id="622"/>
    <w:p w14:paraId="112F1984">
      <w:pPr>
        <w:keepNext w:val="0"/>
        <w:keepLines w:val="0"/>
        <w:pageBreakBefore w:val="0"/>
        <w:numPr>
          <w:ilvl w:val="0"/>
          <w:numId w:val="9"/>
        </w:numPr>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lang w:eastAsia="zh-CN"/>
        </w:rPr>
      </w:pPr>
      <w:bookmarkStart w:id="623" w:name="_Toc297120493"/>
      <w:bookmarkStart w:id="624" w:name="_Toc296891233"/>
      <w:bookmarkStart w:id="625" w:name="_Toc296346694"/>
      <w:bookmarkStart w:id="626" w:name="_Toc297123540"/>
      <w:bookmarkStart w:id="627" w:name="_Toc296503193"/>
      <w:bookmarkStart w:id="628" w:name="_Toc297216199"/>
      <w:bookmarkStart w:id="629" w:name="_Toc296944532"/>
      <w:bookmarkStart w:id="630" w:name="_Toc304295566"/>
      <w:bookmarkStart w:id="631" w:name="_Toc292559398"/>
      <w:bookmarkStart w:id="632" w:name="_Toc297048379"/>
      <w:bookmarkStart w:id="633" w:name="_Toc351203642"/>
      <w:bookmarkStart w:id="634" w:name="_Toc296347192"/>
      <w:bookmarkStart w:id="635" w:name="_Toc292559903"/>
      <w:bookmarkStart w:id="636" w:name="_Toc303539146"/>
      <w:bookmarkStart w:id="637" w:name="_Toc300934989"/>
      <w:bookmarkStart w:id="638" w:name="_Toc296891021"/>
      <w:bookmarkStart w:id="639" w:name="_Toc312677499"/>
      <w:bookmarkStart w:id="640" w:name="_Toc312678025"/>
      <w:bookmarkStart w:id="641" w:name="_Toc267251441"/>
      <w:bookmarkStart w:id="642" w:name="_Toc267251439"/>
      <w:bookmarkStart w:id="643" w:name="_Toc267251435"/>
      <w:bookmarkStart w:id="644" w:name="_Toc267251440"/>
      <w:bookmarkStart w:id="645" w:name="_Toc267251433"/>
      <w:bookmarkStart w:id="646" w:name="_Toc267251437"/>
      <w:bookmarkStart w:id="647" w:name="_Toc267251442"/>
      <w:r>
        <w:rPr>
          <w:rFonts w:hint="eastAsia" w:ascii="宋体" w:hAnsi="宋体" w:eastAsia="宋体" w:cs="宋体"/>
          <w:color w:val="auto"/>
          <w:kern w:val="0"/>
          <w:sz w:val="24"/>
          <w:szCs w:val="24"/>
          <w:highlight w:val="none"/>
        </w:rPr>
        <w:t>变更</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bookmarkEnd w:id="639"/>
    <w:bookmarkEnd w:id="640"/>
    <w:p w14:paraId="1451548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648" w:name="_Toc296346695"/>
      <w:bookmarkStart w:id="649" w:name="_Toc296503194"/>
      <w:bookmarkStart w:id="650" w:name="_Toc300934990"/>
      <w:bookmarkStart w:id="651" w:name="_Toc296347193"/>
      <w:bookmarkStart w:id="652" w:name="_Toc292559399"/>
      <w:bookmarkStart w:id="653" w:name="_Toc297123541"/>
      <w:bookmarkStart w:id="654" w:name="_Toc296891022"/>
      <w:bookmarkStart w:id="655" w:name="_Toc297048380"/>
      <w:bookmarkStart w:id="656" w:name="_Toc296891234"/>
      <w:bookmarkStart w:id="657" w:name="_Toc297120494"/>
      <w:bookmarkStart w:id="658" w:name="_Toc304295567"/>
      <w:bookmarkStart w:id="659" w:name="_Toc297216200"/>
      <w:bookmarkStart w:id="660" w:name="_Toc296944533"/>
      <w:bookmarkStart w:id="661" w:name="_Toc312678026"/>
      <w:bookmarkStart w:id="662" w:name="_Toc303539147"/>
      <w:bookmarkStart w:id="663" w:name="_Toc292559904"/>
      <w:bookmarkStart w:id="664" w:name="_Toc312677500"/>
      <w:r>
        <w:rPr>
          <w:rFonts w:hint="eastAsia" w:ascii="宋体" w:hAnsi="宋体" w:eastAsia="宋体" w:cs="宋体"/>
          <w:color w:val="auto"/>
          <w:kern w:val="0"/>
          <w:sz w:val="24"/>
          <w:szCs w:val="24"/>
          <w:highlight w:val="none"/>
        </w:rPr>
        <w:t>10.4 变更估价</w:t>
      </w:r>
    </w:p>
    <w:p w14:paraId="507D2DA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10.4.1 变更估价原则</w:t>
      </w:r>
    </w:p>
    <w:p w14:paraId="2085BC79">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关于变更估价的约定: </w:t>
      </w:r>
    </w:p>
    <w:p w14:paraId="1918BC36">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①工程量清单项目的项目特征与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中项目相同的，按</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的综合单价计算。</w:t>
      </w:r>
    </w:p>
    <w:p w14:paraId="4BC32F2C">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②新增工程量清单项目的项目特征与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中项目类似的，综合单价参照类似项目的单价进行结算。</w:t>
      </w:r>
    </w:p>
    <w:p w14:paraId="4E4AC0E1">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③</w:t>
      </w:r>
      <w:r>
        <w:rPr>
          <w:rFonts w:hint="eastAsia" w:ascii="宋体" w:hAnsi="宋体" w:eastAsia="宋体" w:cs="宋体"/>
          <w:b/>
          <w:color w:val="auto"/>
          <w:kern w:val="0"/>
          <w:sz w:val="24"/>
          <w:szCs w:val="24"/>
          <w:highlight w:val="none"/>
          <w:u w:val="single" w:color="000000"/>
          <w:lang w:eastAsia="zh-CN"/>
        </w:rPr>
        <w:t>报价中没有综合单价的新的工程量清单项目，新增项目的综合单价由承包人提出，由发包人、监理单位确认后，并经</w:t>
      </w:r>
      <w:r>
        <w:rPr>
          <w:rFonts w:hint="eastAsia" w:ascii="宋体" w:hAnsi="宋体" w:eastAsia="宋体" w:cs="宋体"/>
          <w:b/>
          <w:color w:val="auto"/>
          <w:kern w:val="0"/>
          <w:sz w:val="24"/>
          <w:szCs w:val="24"/>
          <w:highlight w:val="none"/>
          <w:u w:val="single" w:color="000000"/>
          <w:lang w:val="en-US" w:eastAsia="zh-CN"/>
        </w:rPr>
        <w:t>有资质的中介机构</w:t>
      </w:r>
      <w:r>
        <w:rPr>
          <w:rFonts w:hint="eastAsia" w:ascii="宋体" w:hAnsi="宋体" w:eastAsia="宋体" w:cs="宋体"/>
          <w:b/>
          <w:color w:val="auto"/>
          <w:kern w:val="0"/>
          <w:sz w:val="24"/>
          <w:szCs w:val="24"/>
          <w:highlight w:val="none"/>
          <w:u w:val="single" w:color="000000"/>
          <w:lang w:eastAsia="zh-CN"/>
        </w:rPr>
        <w:t>审核通过后作为结</w:t>
      </w:r>
      <w:r>
        <w:rPr>
          <w:rFonts w:hint="eastAsia" w:ascii="宋体" w:hAnsi="宋体" w:eastAsia="宋体" w:cs="宋体"/>
          <w:b/>
          <w:color w:val="auto"/>
          <w:kern w:val="0"/>
          <w:sz w:val="24"/>
          <w:szCs w:val="24"/>
          <w:highlight w:val="none"/>
          <w:u w:val="single" w:color="000000"/>
          <w:lang w:val="en-US" w:eastAsia="zh-CN"/>
        </w:rPr>
        <w:t>算价</w:t>
      </w:r>
      <w:r>
        <w:rPr>
          <w:rFonts w:hint="eastAsia" w:ascii="宋体" w:hAnsi="宋体" w:eastAsia="宋体" w:cs="宋体"/>
          <w:b/>
          <w:color w:val="auto"/>
          <w:kern w:val="0"/>
          <w:sz w:val="24"/>
          <w:szCs w:val="24"/>
          <w:highlight w:val="none"/>
          <w:u w:val="single" w:color="000000"/>
          <w:lang w:eastAsia="zh-CN"/>
        </w:rPr>
        <w:t>。</w:t>
      </w:r>
    </w:p>
    <w:p w14:paraId="7864BC0C">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上述的“与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中项目类似的”新增项目，指与投标分部分项工程量清单项目编码一至九位完全相同的新增的分部分项工程。</w:t>
      </w:r>
    </w:p>
    <w:p w14:paraId="410E913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10.4.2变更估价程序</w:t>
      </w:r>
    </w:p>
    <w:p w14:paraId="4F996BC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）承包人应在接到发包人指令单、设计变更单21天内或者签证事件完成之日</w:t>
      </w:r>
      <w:r>
        <w:rPr>
          <w:rFonts w:hint="eastAsia" w:ascii="宋体" w:hAnsi="宋体" w:eastAsia="宋体" w:cs="宋体"/>
          <w:color w:val="auto"/>
          <w:kern w:val="0"/>
          <w:sz w:val="24"/>
          <w:szCs w:val="24"/>
          <w:highlight w:val="none"/>
        </w:rPr>
        <w:t>起</w:t>
      </w:r>
      <w:r>
        <w:rPr>
          <w:rFonts w:hint="eastAsia" w:ascii="宋体" w:hAnsi="宋体" w:eastAsia="宋体" w:cs="宋体"/>
          <w:color w:val="auto"/>
          <w:kern w:val="0"/>
          <w:sz w:val="24"/>
          <w:szCs w:val="24"/>
          <w:highlight w:val="none"/>
          <w:lang w:val="zh-CN"/>
        </w:rPr>
        <w:t>21天内、并在隐蔽前（变更工程被隐蔽无法计量的，发包人、监理人有权拒绝签证）提交补充预算或报发包人、监理人、</w:t>
      </w:r>
      <w:r>
        <w:rPr>
          <w:rFonts w:hint="eastAsia" w:ascii="宋体" w:hAnsi="宋体" w:eastAsia="宋体" w:cs="宋体"/>
          <w:color w:val="auto"/>
          <w:kern w:val="0"/>
          <w:sz w:val="24"/>
          <w:szCs w:val="24"/>
          <w:highlight w:val="none"/>
        </w:rPr>
        <w:t>造价咨询人</w:t>
      </w:r>
      <w:r>
        <w:rPr>
          <w:rFonts w:hint="eastAsia" w:ascii="宋体" w:hAnsi="宋体" w:eastAsia="宋体" w:cs="宋体"/>
          <w:color w:val="auto"/>
          <w:kern w:val="0"/>
          <w:sz w:val="24"/>
          <w:szCs w:val="24"/>
          <w:highlight w:val="none"/>
          <w:lang w:val="zh-CN"/>
        </w:rPr>
        <w:t>签证确认工程量（承包人提交签证单的同时附图纸或图片或现场照片及其说明）。自签证事件完成之日起超过21天承包人仍未按约定申报的，则视为承包人放弃签证。承包人上报的签证超过签证事件完成之日</w:t>
      </w:r>
      <w:r>
        <w:rPr>
          <w:rFonts w:hint="eastAsia" w:ascii="宋体" w:hAnsi="宋体" w:eastAsia="宋体" w:cs="宋体"/>
          <w:color w:val="auto"/>
          <w:kern w:val="0"/>
          <w:sz w:val="24"/>
          <w:szCs w:val="24"/>
          <w:highlight w:val="none"/>
        </w:rPr>
        <w:t>起</w:t>
      </w:r>
      <w:r>
        <w:rPr>
          <w:rFonts w:hint="eastAsia" w:ascii="宋体" w:hAnsi="宋体" w:eastAsia="宋体" w:cs="宋体"/>
          <w:color w:val="auto"/>
          <w:kern w:val="0"/>
          <w:sz w:val="24"/>
          <w:szCs w:val="24"/>
          <w:highlight w:val="none"/>
          <w:lang w:val="zh-CN"/>
        </w:rPr>
        <w:t>21天的，属无效文件，不作为支付工程进度款或者竣工结算的依据。承包人坚持以超过合同约定期限的签证文件向发包人索赔或者要求补偿的，除该文件无效外，承包人须按该签证额向发包人支付等额违约金，在结算时一次性扣除。禁止事后补办，承包人不及时上报审批的，发包人有权不接收、不计算及不支付相关费用。</w:t>
      </w:r>
    </w:p>
    <w:p w14:paraId="0317A1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（2）对变更减少部分，承包人若未及时办理变更签证，发包人有权根据实际发生情况进行核查扣减。</w:t>
      </w:r>
    </w:p>
    <w:p w14:paraId="3B0A128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（3）隐蔽工程的签证必须经承包人、监理人、造价咨询人、发包人四方共同签字确认方能进入结算依据。</w:t>
      </w:r>
    </w:p>
    <w:p w14:paraId="3825083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安全文明施工费、临时设施费、冬、雨季施工增加费、生产工具用具使用费、工程定位复测、工程点交、场地清理费等费用按《云南省建设工程造价计价标准（2020版）》及其相关配套的计价文件计取相关费用，不再另行调整。</w:t>
      </w:r>
    </w:p>
    <w:p w14:paraId="099177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Start w:id="665" w:name="_Toc296891237"/>
      <w:bookmarkStart w:id="666" w:name="_Toc292559402"/>
      <w:bookmarkStart w:id="667" w:name="_Toc297048383"/>
      <w:bookmarkStart w:id="668" w:name="_Toc297123544"/>
      <w:bookmarkStart w:id="669" w:name="_Toc296346698"/>
      <w:bookmarkStart w:id="670" w:name="_Toc303539150"/>
      <w:bookmarkStart w:id="671" w:name="_Toc292559907"/>
      <w:bookmarkStart w:id="672" w:name="_Toc296891025"/>
      <w:bookmarkStart w:id="673" w:name="_Toc297120497"/>
      <w:bookmarkStart w:id="674" w:name="_Toc296944536"/>
      <w:bookmarkStart w:id="675" w:name="_Toc296347196"/>
      <w:bookmarkStart w:id="676" w:name="_Toc297216203"/>
      <w:bookmarkStart w:id="677" w:name="_Toc296503197"/>
      <w:bookmarkStart w:id="678" w:name="_Toc300934993"/>
      <w:bookmarkStart w:id="679" w:name="_Toc304295570"/>
      <w:bookmarkStart w:id="680" w:name="_Toc312677503"/>
      <w:bookmarkStart w:id="681" w:name="_Toc312678029"/>
      <w:r>
        <w:rPr>
          <w:rFonts w:hint="eastAsia" w:ascii="宋体" w:hAnsi="宋体" w:eastAsia="宋体" w:cs="宋体"/>
          <w:color w:val="auto"/>
          <w:kern w:val="0"/>
          <w:sz w:val="24"/>
          <w:szCs w:val="24"/>
          <w:highlight w:val="none"/>
        </w:rPr>
        <w:t>0.5承</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Start w:id="682" w:name="_Toc297120503"/>
      <w:bookmarkStart w:id="683" w:name="_Toc303539151"/>
      <w:bookmarkStart w:id="684" w:name="_Toc296891243"/>
      <w:bookmarkStart w:id="685" w:name="_Toc296346704"/>
      <w:bookmarkStart w:id="686" w:name="_Toc297216204"/>
      <w:bookmarkStart w:id="687" w:name="_Toc297048389"/>
      <w:bookmarkStart w:id="688" w:name="_Toc296347202"/>
      <w:bookmarkStart w:id="689" w:name="_Toc292559913"/>
      <w:bookmarkStart w:id="690" w:name="_Toc292559408"/>
      <w:bookmarkStart w:id="691" w:name="_Toc296944542"/>
      <w:bookmarkStart w:id="692" w:name="_Toc296503203"/>
      <w:bookmarkStart w:id="693" w:name="_Toc296891031"/>
      <w:bookmarkStart w:id="694" w:name="_Toc300934994"/>
      <w:bookmarkStart w:id="695" w:name="_Toc297123545"/>
      <w:r>
        <w:rPr>
          <w:rFonts w:hint="eastAsia" w:ascii="宋体" w:hAnsi="宋体" w:eastAsia="宋体" w:cs="宋体"/>
          <w:color w:val="auto"/>
          <w:kern w:val="0"/>
          <w:sz w:val="24"/>
          <w:szCs w:val="24"/>
          <w:highlight w:val="none"/>
        </w:rPr>
        <w:t>包人的合理化建议</w:t>
      </w:r>
    </w:p>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14:paraId="478034F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监理人审查承包人合理化建议的期限：</w:t>
      </w:r>
      <w:r>
        <w:rPr>
          <w:rFonts w:hint="eastAsia" w:ascii="宋体" w:hAnsi="宋体" w:eastAsia="宋体" w:cs="宋体"/>
          <w:b/>
          <w:color w:val="auto"/>
          <w:kern w:val="0"/>
          <w:sz w:val="24"/>
          <w:szCs w:val="24"/>
          <w:highlight w:val="none"/>
          <w:u w:val="single"/>
        </w:rPr>
        <w:t xml:space="preserve"> 7天 </w:t>
      </w:r>
      <w:r>
        <w:rPr>
          <w:rFonts w:hint="eastAsia" w:ascii="宋体" w:hAnsi="宋体" w:eastAsia="宋体" w:cs="宋体"/>
          <w:color w:val="auto"/>
          <w:kern w:val="0"/>
          <w:sz w:val="24"/>
          <w:szCs w:val="24"/>
          <w:highlight w:val="none"/>
        </w:rPr>
        <w:t>。</w:t>
      </w:r>
    </w:p>
    <w:p w14:paraId="23042B1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发包人审批承包人合理化建议的期限：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7天    </w:t>
      </w:r>
      <w:r>
        <w:rPr>
          <w:rFonts w:hint="eastAsia" w:ascii="宋体" w:hAnsi="宋体" w:eastAsia="宋体" w:cs="宋体"/>
          <w:color w:val="auto"/>
          <w:kern w:val="0"/>
          <w:sz w:val="24"/>
          <w:szCs w:val="24"/>
          <w:highlight w:val="none"/>
        </w:rPr>
        <w:t>。</w:t>
      </w:r>
    </w:p>
    <w:p w14:paraId="1E1909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w:t>
      </w:r>
      <w:bookmarkStart w:id="696" w:name="_Toc297216205"/>
      <w:bookmarkStart w:id="697" w:name="_Toc303539152"/>
      <w:bookmarkStart w:id="698" w:name="_Toc292559914"/>
      <w:bookmarkStart w:id="699" w:name="_Toc300934995"/>
      <w:bookmarkStart w:id="700" w:name="_Toc297120504"/>
      <w:bookmarkStart w:id="701" w:name="_Toc318581175"/>
      <w:bookmarkStart w:id="702" w:name="_Toc296891244"/>
      <w:bookmarkStart w:id="703" w:name="_Toc297123546"/>
      <w:bookmarkStart w:id="704" w:name="_Toc296347203"/>
      <w:bookmarkStart w:id="705" w:name="_Toc292559409"/>
      <w:bookmarkStart w:id="706" w:name="_Toc296891032"/>
      <w:bookmarkStart w:id="707" w:name="_Toc312677504"/>
      <w:bookmarkStart w:id="708" w:name="_Toc312678030"/>
      <w:bookmarkStart w:id="709" w:name="_Toc296944543"/>
      <w:bookmarkStart w:id="710" w:name="_Toc296346705"/>
      <w:bookmarkStart w:id="711" w:name="_Toc297048390"/>
      <w:bookmarkStart w:id="712" w:name="_Toc304295571"/>
      <w:bookmarkStart w:id="713" w:name="_Toc296503204"/>
      <w:r>
        <w:rPr>
          <w:rFonts w:hint="eastAsia" w:ascii="宋体" w:hAnsi="宋体" w:eastAsia="宋体" w:cs="宋体"/>
          <w:color w:val="auto"/>
          <w:kern w:val="0"/>
          <w:sz w:val="24"/>
          <w:szCs w:val="24"/>
          <w:highlight w:val="none"/>
        </w:rPr>
        <w:t>包人提出的合理化建议降低了合同价格或者提高了工程经济效益的奖励的方法和金额为：</w:t>
      </w:r>
      <w:r>
        <w:rPr>
          <w:rFonts w:hint="eastAsia" w:ascii="宋体" w:hAnsi="宋体" w:eastAsia="宋体" w:cs="宋体"/>
          <w:b/>
          <w:color w:val="auto"/>
          <w:kern w:val="0"/>
          <w:sz w:val="24"/>
          <w:szCs w:val="24"/>
          <w:highlight w:val="none"/>
          <w:u w:val="single"/>
        </w:rPr>
        <w:t>承包人提出的合理化建议降低了合同价格、缩短了工期或者提高了工程经济效益的，奖励措施由发包人另行确定</w:t>
      </w:r>
      <w:r>
        <w:rPr>
          <w:rFonts w:hint="eastAsia" w:ascii="宋体" w:hAnsi="宋体" w:eastAsia="宋体" w:cs="宋体"/>
          <w:color w:val="auto"/>
          <w:kern w:val="0"/>
          <w:sz w:val="24"/>
          <w:szCs w:val="24"/>
          <w:highlight w:val="none"/>
        </w:rPr>
        <w:t>。</w:t>
      </w:r>
    </w:p>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14:paraId="6DF5061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10.6变更引起的工期调整</w:t>
      </w:r>
    </w:p>
    <w:p w14:paraId="0BC3377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无论变更引起何种变化，合同工期均不作调整。</w:t>
      </w:r>
    </w:p>
    <w:p w14:paraId="562D7C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714" w:name="_Toc296891239"/>
      <w:bookmarkStart w:id="715" w:name="_Toc300934997"/>
      <w:bookmarkStart w:id="716" w:name="_Toc292559404"/>
      <w:bookmarkStart w:id="717" w:name="_Toc312678033"/>
      <w:bookmarkStart w:id="718" w:name="_Toc297120499"/>
      <w:bookmarkStart w:id="719" w:name="_Toc297216207"/>
      <w:bookmarkStart w:id="720" w:name="_Toc296503199"/>
      <w:bookmarkStart w:id="721" w:name="_Toc312677507"/>
      <w:bookmarkStart w:id="722" w:name="_Toc296891027"/>
      <w:bookmarkStart w:id="723" w:name="_Toc297048385"/>
      <w:bookmarkStart w:id="724" w:name="_Toc304295574"/>
      <w:bookmarkStart w:id="725" w:name="_Toc296944538"/>
      <w:bookmarkStart w:id="726" w:name="_Toc297123548"/>
      <w:bookmarkStart w:id="727" w:name="_Toc296346700"/>
      <w:bookmarkStart w:id="728" w:name="_Toc292559909"/>
      <w:bookmarkStart w:id="729" w:name="_Toc296347198"/>
      <w:bookmarkStart w:id="730" w:name="_Toc303539154"/>
      <w:r>
        <w:rPr>
          <w:rFonts w:hint="eastAsia" w:ascii="宋体" w:hAnsi="宋体" w:eastAsia="宋体" w:cs="宋体"/>
          <w:color w:val="auto"/>
          <w:kern w:val="0"/>
          <w:sz w:val="24"/>
          <w:szCs w:val="24"/>
          <w:highlight w:val="none"/>
        </w:rPr>
        <w:t>0.7 暂估价</w:t>
      </w:r>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14:paraId="44BD629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w:t>
      </w:r>
      <w:bookmarkStart w:id="731" w:name="_Toc312677508"/>
      <w:bookmarkStart w:id="732" w:name="_Toc312678034"/>
      <w:bookmarkStart w:id="733" w:name="_Toc318581176"/>
      <w:r>
        <w:rPr>
          <w:rFonts w:hint="eastAsia" w:ascii="宋体" w:hAnsi="宋体" w:eastAsia="宋体" w:cs="宋体"/>
          <w:color w:val="auto"/>
          <w:kern w:val="0"/>
          <w:sz w:val="24"/>
          <w:szCs w:val="24"/>
          <w:highlight w:val="none"/>
        </w:rPr>
        <w:t>估价材料和工程设备的明细详见附件11：《暂估价一览表》。</w:t>
      </w:r>
    </w:p>
    <w:bookmarkEnd w:id="731"/>
    <w:bookmarkEnd w:id="732"/>
    <w:bookmarkEnd w:id="733"/>
    <w:p w14:paraId="5BF375A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734" w:name="_Toc312677509"/>
      <w:bookmarkStart w:id="735" w:name="_Toc318581177"/>
      <w:bookmarkStart w:id="736" w:name="_Toc312678035"/>
      <w:r>
        <w:rPr>
          <w:rFonts w:hint="eastAsia" w:ascii="宋体" w:hAnsi="宋体" w:eastAsia="宋体" w:cs="宋体"/>
          <w:color w:val="auto"/>
          <w:kern w:val="0"/>
          <w:sz w:val="24"/>
          <w:szCs w:val="24"/>
          <w:highlight w:val="none"/>
        </w:rPr>
        <w:t>0.7.1 依法必须招标的暂估价项目</w:t>
      </w:r>
    </w:p>
    <w:bookmarkEnd w:id="734"/>
    <w:bookmarkEnd w:id="735"/>
    <w:bookmarkEnd w:id="736"/>
    <w:p w14:paraId="029D5F5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对于依法必须招标的暂估价项目的确认和批准采取第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2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种方式确定。</w:t>
      </w:r>
    </w:p>
    <w:p w14:paraId="6BB31FD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第2种方式：对于依法必须招标的暂估价项目，由发包人和承包人共同招标确定暂估价</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或分包人的，承包人应按照施工进度计划，在招标工作启动前14天通知发包人，并提交暂估价招标方案和工作分工。发包人应在收到后7天内确认。确定</w:t>
      </w:r>
      <w:r>
        <w:rPr>
          <w:rFonts w:hint="eastAsia" w:ascii="宋体" w:hAnsi="宋体" w:eastAsia="宋体" w:cs="宋体"/>
          <w:color w:val="auto"/>
          <w:kern w:val="0"/>
          <w:sz w:val="24"/>
          <w:szCs w:val="24"/>
          <w:highlight w:val="none"/>
          <w:lang w:val="en-US" w:eastAsia="zh-CN"/>
        </w:rPr>
        <w:t>成交人</w:t>
      </w:r>
      <w:r>
        <w:rPr>
          <w:rFonts w:hint="eastAsia" w:ascii="宋体" w:hAnsi="宋体" w:eastAsia="宋体" w:cs="宋体"/>
          <w:color w:val="auto"/>
          <w:kern w:val="0"/>
          <w:sz w:val="24"/>
          <w:szCs w:val="24"/>
          <w:highlight w:val="none"/>
        </w:rPr>
        <w:t>后，由发包人、承包人与</w:t>
      </w:r>
      <w:r>
        <w:rPr>
          <w:rFonts w:hint="eastAsia" w:ascii="宋体" w:hAnsi="宋体" w:eastAsia="宋体" w:cs="宋体"/>
          <w:color w:val="auto"/>
          <w:kern w:val="0"/>
          <w:sz w:val="24"/>
          <w:szCs w:val="24"/>
          <w:highlight w:val="none"/>
          <w:lang w:val="en-US" w:eastAsia="zh-CN"/>
        </w:rPr>
        <w:t>成交人</w:t>
      </w:r>
      <w:r>
        <w:rPr>
          <w:rFonts w:hint="eastAsia" w:ascii="宋体" w:hAnsi="宋体" w:eastAsia="宋体" w:cs="宋体"/>
          <w:color w:val="auto"/>
          <w:kern w:val="0"/>
          <w:sz w:val="24"/>
          <w:szCs w:val="24"/>
          <w:highlight w:val="none"/>
        </w:rPr>
        <w:t>共同签订暂估价合同。</w:t>
      </w:r>
    </w:p>
    <w:p w14:paraId="55803D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10.7.2 不属于依法必须招标的暂估价项目</w:t>
      </w:r>
    </w:p>
    <w:p w14:paraId="2ED9558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对于不属于依法必须招标的暂估价项目的确认和批准采取第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3  </w:t>
      </w:r>
      <w:r>
        <w:rPr>
          <w:rFonts w:hint="eastAsia" w:ascii="宋体" w:hAnsi="宋体" w:eastAsia="宋体" w:cs="宋体"/>
          <w:color w:val="auto"/>
          <w:kern w:val="0"/>
          <w:sz w:val="24"/>
          <w:szCs w:val="24"/>
          <w:highlight w:val="none"/>
        </w:rPr>
        <w:t>种方式确定。</w:t>
      </w:r>
    </w:p>
    <w:p w14:paraId="23EC41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第3种方式：承包人直接实施的暂估价项目</w:t>
      </w:r>
    </w:p>
    <w:p w14:paraId="3D2BC81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承包人直接实施的暂估价项目的约定：</w:t>
      </w:r>
      <w:r>
        <w:rPr>
          <w:rFonts w:hint="eastAsia" w:ascii="宋体" w:hAnsi="宋体" w:eastAsia="宋体" w:cs="宋体"/>
          <w:b/>
          <w:bCs/>
          <w:color w:val="auto"/>
          <w:kern w:val="0"/>
          <w:sz w:val="24"/>
          <w:szCs w:val="24"/>
          <w:highlight w:val="none"/>
          <w:u w:val="single"/>
        </w:rPr>
        <w:t>应由承包人按合同约定采购，经发包人确认单价后取代暂估价，调整合同价款</w:t>
      </w:r>
      <w:r>
        <w:rPr>
          <w:rFonts w:hint="eastAsia" w:ascii="宋体" w:hAnsi="宋体" w:eastAsia="宋体" w:cs="宋体"/>
          <w:color w:val="auto"/>
          <w:kern w:val="0"/>
          <w:sz w:val="24"/>
          <w:szCs w:val="24"/>
          <w:highlight w:val="none"/>
          <w:u w:val="single"/>
        </w:rPr>
        <w:t>。</w:t>
      </w:r>
    </w:p>
    <w:p w14:paraId="2E67C80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10.8 暂列金额</w:t>
      </w:r>
    </w:p>
    <w:p w14:paraId="502C96C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暂列金是</w:t>
      </w:r>
      <w:r>
        <w:rPr>
          <w:rFonts w:hint="eastAsia" w:ascii="宋体" w:hAnsi="宋体" w:eastAsia="宋体" w:cs="宋体"/>
          <w:b/>
          <w:bCs/>
          <w:color w:val="auto"/>
          <w:kern w:val="0"/>
          <w:sz w:val="24"/>
          <w:szCs w:val="24"/>
          <w:highlight w:val="none"/>
          <w:u w:val="single"/>
          <w:lang w:val="en-US" w:eastAsia="zh-CN"/>
        </w:rPr>
        <w:t>发包人</w:t>
      </w:r>
      <w:r>
        <w:rPr>
          <w:rFonts w:hint="eastAsia" w:ascii="宋体" w:hAnsi="宋体" w:eastAsia="宋体" w:cs="宋体"/>
          <w:b/>
          <w:bCs/>
          <w:color w:val="auto"/>
          <w:kern w:val="0"/>
          <w:sz w:val="24"/>
          <w:szCs w:val="24"/>
          <w:highlight w:val="none"/>
          <w:u w:val="single"/>
        </w:rPr>
        <w:t>自行确定设立的，承包人无权使用此笔费用。暂列金额在发包人提供的工程量清单中专项列出，并且只能按发包人、监理人的指示使用。只有按照合同约定实际发生后，按实际发生经发包人签证后确定全部使用、部分使用或不使用才能成为承包人的应得金额，纳入合同结算价款中。扣除实际发生金额后的暂列金额仍属于发包人所有</w:t>
      </w:r>
      <w:r>
        <w:rPr>
          <w:rFonts w:hint="eastAsia" w:ascii="宋体" w:hAnsi="宋体" w:eastAsia="宋体" w:cs="宋体"/>
          <w:color w:val="auto"/>
          <w:kern w:val="0"/>
          <w:sz w:val="24"/>
          <w:szCs w:val="24"/>
          <w:highlight w:val="none"/>
          <w:u w:val="single"/>
        </w:rPr>
        <w:t>。</w:t>
      </w:r>
    </w:p>
    <w:bookmarkEnd w:id="641"/>
    <w:bookmarkEnd w:id="642"/>
    <w:bookmarkEnd w:id="643"/>
    <w:bookmarkEnd w:id="644"/>
    <w:bookmarkEnd w:id="645"/>
    <w:bookmarkEnd w:id="646"/>
    <w:p w14:paraId="0FB0080E">
      <w:pPr>
        <w:keepNext w:val="0"/>
        <w:keepLines w:val="0"/>
        <w:pageBreakBefore w:val="0"/>
        <w:kinsoku/>
        <w:wordWrap w:val="0"/>
        <w:overflowPunct/>
        <w:topLinePunct w:val="0"/>
        <w:bidi w:val="0"/>
        <w:spacing w:beforeAutospacing="0" w:afterAutospacing="0" w:line="500" w:lineRule="exact"/>
        <w:ind w:firstLine="482" w:firstLineChars="200"/>
        <w:textAlignment w:val="auto"/>
        <w:outlineLvl w:val="3"/>
        <w:rPr>
          <w:rFonts w:hint="eastAsia" w:ascii="宋体" w:hAnsi="宋体" w:eastAsia="宋体" w:cs="宋体"/>
          <w:color w:val="auto"/>
          <w:kern w:val="0"/>
          <w:sz w:val="24"/>
          <w:szCs w:val="24"/>
          <w:highlight w:val="none"/>
        </w:rPr>
      </w:pPr>
      <w:bookmarkStart w:id="737" w:name="_Toc351203643"/>
      <w:bookmarkStart w:id="738" w:name="_Toc296891245"/>
      <w:bookmarkStart w:id="739" w:name="_Toc296891033"/>
      <w:bookmarkStart w:id="740" w:name="_Toc297120505"/>
      <w:bookmarkStart w:id="741" w:name="_Toc297048391"/>
      <w:bookmarkStart w:id="742" w:name="_Toc292559915"/>
      <w:bookmarkStart w:id="743" w:name="_Toc296944544"/>
      <w:bookmarkStart w:id="744" w:name="_Toc292559410"/>
      <w:bookmarkStart w:id="745" w:name="_Toc296503205"/>
      <w:bookmarkStart w:id="746" w:name="_Toc296346706"/>
      <w:bookmarkStart w:id="747" w:name="_Toc296347204"/>
      <w:bookmarkStart w:id="748" w:name="_Toc351203644"/>
      <w:bookmarkStart w:id="749" w:name="_Toc297123552"/>
      <w:bookmarkStart w:id="750" w:name="_Toc303539159"/>
      <w:bookmarkStart w:id="751" w:name="_Toc300935002"/>
      <w:bookmarkStart w:id="752" w:name="_Toc297216211"/>
      <w:bookmarkStart w:id="753" w:name="_Toc304295579"/>
      <w:bookmarkStart w:id="754" w:name="_Toc312678040"/>
      <w:r>
        <w:rPr>
          <w:rFonts w:hint="eastAsia" w:ascii="宋体" w:hAnsi="宋体" w:eastAsia="宋体" w:cs="宋体"/>
          <w:b/>
          <w:bCs/>
          <w:color w:val="auto"/>
          <w:kern w:val="0"/>
          <w:sz w:val="24"/>
          <w:szCs w:val="24"/>
          <w:highlight w:val="none"/>
          <w:lang w:val="en-US" w:eastAsia="zh-CN"/>
        </w:rPr>
        <w:t>11.</w:t>
      </w:r>
      <w:r>
        <w:rPr>
          <w:rFonts w:hint="eastAsia" w:ascii="宋体" w:hAnsi="宋体" w:eastAsia="宋体" w:cs="宋体"/>
          <w:b/>
          <w:bCs/>
          <w:color w:val="auto"/>
          <w:kern w:val="0"/>
          <w:sz w:val="24"/>
          <w:szCs w:val="24"/>
          <w:highlight w:val="none"/>
        </w:rPr>
        <w:t>价格调整</w:t>
      </w:r>
      <w:bookmarkEnd w:id="737"/>
    </w:p>
    <w:p w14:paraId="0596A98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55" w:name="_Toc296347200"/>
      <w:bookmarkStart w:id="756" w:name="_Toc300935000"/>
      <w:bookmarkStart w:id="757" w:name="_Toc296944540"/>
      <w:bookmarkStart w:id="758" w:name="_Toc292559406"/>
      <w:bookmarkStart w:id="759" w:name="_Toc304295577"/>
      <w:bookmarkStart w:id="760" w:name="_Toc297120501"/>
      <w:bookmarkStart w:id="761" w:name="_Toc297123550"/>
      <w:bookmarkStart w:id="762" w:name="_Toc303539157"/>
      <w:bookmarkStart w:id="763" w:name="_Toc297216209"/>
      <w:bookmarkStart w:id="764" w:name="_Toc296346702"/>
      <w:bookmarkStart w:id="765" w:name="_Toc292559911"/>
      <w:bookmarkStart w:id="766" w:name="_Toc312678039"/>
      <w:bookmarkStart w:id="767" w:name="_Toc297048387"/>
      <w:bookmarkStart w:id="768" w:name="_Toc296891029"/>
      <w:bookmarkStart w:id="769" w:name="_Toc296891241"/>
      <w:bookmarkStart w:id="770" w:name="_Toc296503201"/>
      <w:r>
        <w:rPr>
          <w:rFonts w:hint="eastAsia" w:ascii="宋体" w:hAnsi="宋体" w:eastAsia="宋体" w:cs="宋体"/>
          <w:color w:val="auto"/>
          <w:kern w:val="0"/>
          <w:sz w:val="24"/>
          <w:szCs w:val="24"/>
          <w:highlight w:val="none"/>
        </w:rPr>
        <w:t>11.1 市场价格波动引起的调整</w:t>
      </w:r>
    </w:p>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14:paraId="6E9EE13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b/>
          <w:bCs/>
          <w:color w:val="auto"/>
          <w:kern w:val="0"/>
          <w:sz w:val="24"/>
          <w:szCs w:val="24"/>
          <w:highlight w:val="none"/>
          <w:u w:val="single"/>
        </w:rPr>
        <w:t>主要材料价格上涨或下降幅度在10％以内的，其价差由承包人承担或受益；价格上涨或下降幅度在10％以外的，其价差（即超过10%的部分）由发包人承担或受益。主要材料差价计算按</w:t>
      </w:r>
      <w:r>
        <w:rPr>
          <w:rFonts w:hint="eastAsia" w:ascii="宋体" w:hAnsi="宋体" w:eastAsia="宋体" w:cs="宋体"/>
          <w:b/>
          <w:bCs/>
          <w:color w:val="auto"/>
          <w:kern w:val="0"/>
          <w:sz w:val="24"/>
          <w:szCs w:val="24"/>
          <w:highlight w:val="none"/>
          <w:u w:val="single"/>
          <w:lang w:eastAsia="zh-CN"/>
        </w:rPr>
        <w:t>竞争性磋商文件</w:t>
      </w:r>
      <w:r>
        <w:rPr>
          <w:rFonts w:hint="eastAsia" w:ascii="宋体" w:hAnsi="宋体" w:eastAsia="宋体" w:cs="宋体"/>
          <w:b/>
          <w:bCs/>
          <w:color w:val="auto"/>
          <w:kern w:val="0"/>
          <w:sz w:val="24"/>
          <w:szCs w:val="24"/>
          <w:highlight w:val="none"/>
          <w:u w:val="single"/>
        </w:rPr>
        <w:t>规定编制</w:t>
      </w:r>
      <w:r>
        <w:rPr>
          <w:rFonts w:hint="eastAsia" w:ascii="宋体" w:hAnsi="宋体" w:eastAsia="宋体" w:cs="宋体"/>
          <w:b/>
          <w:bCs/>
          <w:color w:val="auto"/>
          <w:kern w:val="0"/>
          <w:sz w:val="24"/>
          <w:szCs w:val="24"/>
          <w:highlight w:val="none"/>
          <w:u w:val="single"/>
          <w:lang w:eastAsia="zh-CN"/>
        </w:rPr>
        <w:t>报价</w:t>
      </w:r>
      <w:r>
        <w:rPr>
          <w:rFonts w:hint="eastAsia" w:ascii="宋体" w:hAnsi="宋体" w:eastAsia="宋体" w:cs="宋体"/>
          <w:b/>
          <w:bCs/>
          <w:color w:val="auto"/>
          <w:kern w:val="0"/>
          <w:sz w:val="24"/>
          <w:szCs w:val="24"/>
          <w:highlight w:val="none"/>
          <w:u w:val="single"/>
        </w:rPr>
        <w:t>采用的材料信息价与施工期材料信息价（按</w:t>
      </w:r>
      <w:r>
        <w:rPr>
          <w:rFonts w:hint="eastAsia" w:ascii="宋体" w:hAnsi="宋体" w:eastAsia="宋体" w:cs="宋体"/>
          <w:b/>
          <w:bCs/>
          <w:color w:val="auto"/>
          <w:sz w:val="24"/>
          <w:szCs w:val="24"/>
          <w:highlight w:val="none"/>
          <w:u w:val="single"/>
          <w:lang w:eastAsia="zh-CN"/>
        </w:rPr>
        <w:t>《云南省西双版纳傣族自治州价格信息》</w:t>
      </w:r>
      <w:r>
        <w:rPr>
          <w:rFonts w:hint="eastAsia" w:ascii="宋体" w:hAnsi="宋体" w:eastAsia="宋体" w:cs="宋体"/>
          <w:b/>
          <w:bCs/>
          <w:color w:val="auto"/>
          <w:kern w:val="0"/>
          <w:sz w:val="24"/>
          <w:szCs w:val="24"/>
          <w:highlight w:val="none"/>
          <w:u w:val="single"/>
        </w:rPr>
        <w:t>公布的主要材料价）的差额为依据。发生的价差只计取差价和税金，不计取其他费用</w:t>
      </w:r>
      <w:r>
        <w:rPr>
          <w:rFonts w:hint="eastAsia" w:ascii="宋体" w:hAnsi="宋体" w:eastAsia="宋体" w:cs="宋体"/>
          <w:color w:val="auto"/>
          <w:kern w:val="0"/>
          <w:sz w:val="24"/>
          <w:szCs w:val="24"/>
          <w:highlight w:val="none"/>
        </w:rPr>
        <w:t>。</w:t>
      </w:r>
    </w:p>
    <w:p w14:paraId="3CEDA76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因市场价格波动调整合同价格，采用以下第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种方式对合同价格进行调整：</w:t>
      </w:r>
    </w:p>
    <w:p w14:paraId="3983C31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第2种方式：采用造价信息进行价格调整。</w:t>
      </w:r>
    </w:p>
    <w:p w14:paraId="27F0DAF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（2）关于基准价格的约定：</w:t>
      </w:r>
    </w:p>
    <w:p w14:paraId="20799F8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①承包人在已标价工程量清单或预算书中载明的材料单价低于基准价格的：专用合同条款合同履行期间材料单价涨幅以基准价格为基础超过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%时，或材料单价跌幅以已标价工程量清单或预算书中载明材料单价为基础超过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5956353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b/>
          <w:bCs/>
          <w:color w:val="auto"/>
          <w:kern w:val="0"/>
          <w:sz w:val="24"/>
          <w:szCs w:val="24"/>
          <w:highlight w:val="none"/>
          <w:u w:val="single"/>
        </w:rPr>
        <w:t>10</w:t>
      </w:r>
      <w:r>
        <w:rPr>
          <w:rFonts w:hint="eastAsia" w:ascii="宋体" w:hAnsi="宋体" w:eastAsia="宋体" w:cs="宋体"/>
          <w:color w:val="auto"/>
          <w:kern w:val="0"/>
          <w:sz w:val="24"/>
          <w:szCs w:val="24"/>
          <w:highlight w:val="none"/>
        </w:rPr>
        <w:t>%时，材料单价涨幅以已标价工程量清单或预算书中载明材料单价为基础超过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160AE7C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38A0153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④ </w:t>
      </w:r>
      <w:r>
        <w:rPr>
          <w:rFonts w:hint="eastAsia" w:ascii="宋体" w:hAnsi="宋体" w:eastAsia="宋体" w:cs="宋体"/>
          <w:color w:val="auto"/>
          <w:sz w:val="24"/>
          <w:szCs w:val="24"/>
          <w:highlight w:val="none"/>
          <w:lang w:eastAsia="zh-CN"/>
        </w:rPr>
        <w:t>《云南省西双版纳傣族自治州价格信息》</w:t>
      </w:r>
      <w:r>
        <w:rPr>
          <w:rFonts w:hint="eastAsia" w:ascii="宋体" w:hAnsi="宋体" w:eastAsia="宋体" w:cs="宋体"/>
          <w:color w:val="auto"/>
          <w:kern w:val="0"/>
          <w:sz w:val="24"/>
          <w:szCs w:val="24"/>
          <w:highlight w:val="none"/>
        </w:rPr>
        <w:t>中没有的材料价，由发包人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监理单位确认后，并经</w:t>
      </w:r>
      <w:r>
        <w:rPr>
          <w:rFonts w:hint="eastAsia" w:ascii="宋体" w:hAnsi="宋体" w:eastAsia="宋体" w:cs="宋体"/>
          <w:color w:val="auto"/>
          <w:kern w:val="0"/>
          <w:sz w:val="24"/>
          <w:szCs w:val="24"/>
          <w:highlight w:val="none"/>
          <w:lang w:eastAsia="zh-CN"/>
        </w:rPr>
        <w:t>造价咨询单位</w:t>
      </w:r>
      <w:r>
        <w:rPr>
          <w:rFonts w:hint="eastAsia" w:ascii="宋体" w:hAnsi="宋体" w:eastAsia="宋体" w:cs="宋体"/>
          <w:color w:val="auto"/>
          <w:kern w:val="0"/>
          <w:sz w:val="24"/>
          <w:szCs w:val="24"/>
          <w:highlight w:val="none"/>
        </w:rPr>
        <w:t>审核通过后作为结算依据。在没有及时签批信息外的材料价时，承包方不得以此为由擅自停工，否则按工期延误条款进行处罚。</w:t>
      </w:r>
    </w:p>
    <w:p w14:paraId="736FA20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其他变化引起的调整</w:t>
      </w:r>
    </w:p>
    <w:p w14:paraId="460C06B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11.3.1 工程变更、项目特征不符、工程量清单缺项</w:t>
      </w:r>
    </w:p>
    <w:p w14:paraId="2CD9902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11.3.1.1 因工程变更、项目特征不符、工程量清单缺项引起已标价工程量清单项目或其工程数量发生变化时，应按照变更估价的原则进行调整。</w:t>
      </w:r>
    </w:p>
    <w:p w14:paraId="08B344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工程变更引起施工方案改变并使措施项目发生变化时，措施项目费不予调整。</w:t>
      </w:r>
    </w:p>
    <w:p w14:paraId="58CA207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11.3.2 工程量偏差</w:t>
      </w:r>
    </w:p>
    <w:p w14:paraId="4C2901A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合同履行期间，应当予计算的实际工程量与招标工程量清单出现偏差，综合单价不予调整。</w:t>
      </w:r>
    </w:p>
    <w:p w14:paraId="5B31E11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11.3.3总包服务费</w:t>
      </w:r>
    </w:p>
    <w:p w14:paraId="0CBA94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11.3.3.1本项目执行过程中，承包人根据发包人要求，配合进行分包及其他专业工程的管理，承包人不再向发包人计取总包服务费。</w:t>
      </w:r>
    </w:p>
    <w:p w14:paraId="37C94563">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12. </w:t>
      </w:r>
      <w:bookmarkEnd w:id="738"/>
      <w:bookmarkEnd w:id="739"/>
      <w:bookmarkEnd w:id="740"/>
      <w:bookmarkEnd w:id="741"/>
      <w:bookmarkEnd w:id="742"/>
      <w:bookmarkEnd w:id="743"/>
      <w:bookmarkEnd w:id="744"/>
      <w:bookmarkEnd w:id="745"/>
      <w:bookmarkEnd w:id="746"/>
      <w:bookmarkEnd w:id="747"/>
      <w:r>
        <w:rPr>
          <w:rFonts w:hint="eastAsia" w:ascii="宋体" w:hAnsi="宋体" w:eastAsia="宋体" w:cs="宋体"/>
          <w:color w:val="auto"/>
          <w:kern w:val="0"/>
          <w:sz w:val="24"/>
          <w:szCs w:val="24"/>
          <w:highlight w:val="none"/>
        </w:rPr>
        <w:t>合同价格、计量与支付</w:t>
      </w:r>
      <w:bookmarkEnd w:id="748"/>
    </w:p>
    <w:bookmarkEnd w:id="749"/>
    <w:bookmarkEnd w:id="750"/>
    <w:bookmarkEnd w:id="751"/>
    <w:bookmarkEnd w:id="752"/>
    <w:bookmarkEnd w:id="753"/>
    <w:bookmarkEnd w:id="754"/>
    <w:p w14:paraId="51AFB7A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71" w:name="_Toc267251461"/>
      <w:bookmarkStart w:id="772" w:name="_Toc292559916"/>
      <w:bookmarkStart w:id="773" w:name="_Toc292559411"/>
      <w:bookmarkStart w:id="774" w:name="_Toc296891246"/>
      <w:bookmarkStart w:id="775" w:name="_Toc297048392"/>
      <w:bookmarkStart w:id="776" w:name="_Toc297120506"/>
      <w:bookmarkStart w:id="777" w:name="_Toc296346707"/>
      <w:bookmarkStart w:id="778" w:name="_Toc296944545"/>
      <w:bookmarkStart w:id="779" w:name="_Toc296347205"/>
      <w:bookmarkStart w:id="780" w:name="_Toc296503206"/>
      <w:bookmarkStart w:id="781" w:name="_Toc296891034"/>
      <w:bookmarkStart w:id="782" w:name="_Toc300935003"/>
      <w:bookmarkStart w:id="783" w:name="_Toc304295580"/>
      <w:bookmarkStart w:id="784" w:name="_Toc297216212"/>
      <w:bookmarkStart w:id="785" w:name="_Toc303539160"/>
      <w:bookmarkStart w:id="786" w:name="_Toc312678041"/>
      <w:bookmarkStart w:id="787" w:name="_Toc297123553"/>
      <w:r>
        <w:rPr>
          <w:rFonts w:hint="eastAsia" w:ascii="宋体" w:hAnsi="宋体" w:eastAsia="宋体" w:cs="宋体"/>
          <w:color w:val="auto"/>
          <w:kern w:val="0"/>
          <w:sz w:val="24"/>
          <w:szCs w:val="24"/>
          <w:highlight w:val="none"/>
        </w:rPr>
        <w:t>12.1 合</w:t>
      </w:r>
      <w:bookmarkEnd w:id="771"/>
      <w:bookmarkEnd w:id="772"/>
      <w:bookmarkEnd w:id="773"/>
      <w:r>
        <w:rPr>
          <w:rFonts w:hint="eastAsia" w:ascii="宋体" w:hAnsi="宋体" w:eastAsia="宋体" w:cs="宋体"/>
          <w:color w:val="auto"/>
          <w:kern w:val="0"/>
          <w:sz w:val="24"/>
          <w:szCs w:val="24"/>
          <w:highlight w:val="none"/>
        </w:rPr>
        <w:t>同价</w:t>
      </w:r>
      <w:bookmarkEnd w:id="774"/>
      <w:bookmarkEnd w:id="775"/>
      <w:bookmarkEnd w:id="776"/>
      <w:bookmarkEnd w:id="777"/>
      <w:bookmarkEnd w:id="778"/>
      <w:bookmarkEnd w:id="779"/>
      <w:bookmarkEnd w:id="780"/>
      <w:bookmarkEnd w:id="781"/>
      <w:r>
        <w:rPr>
          <w:rFonts w:hint="eastAsia" w:ascii="宋体" w:hAnsi="宋体" w:eastAsia="宋体" w:cs="宋体"/>
          <w:color w:val="auto"/>
          <w:kern w:val="0"/>
          <w:sz w:val="24"/>
          <w:szCs w:val="24"/>
          <w:highlight w:val="none"/>
        </w:rPr>
        <w:t>格形式</w:t>
      </w:r>
      <w:bookmarkEnd w:id="782"/>
      <w:bookmarkEnd w:id="783"/>
      <w:bookmarkEnd w:id="784"/>
      <w:bookmarkEnd w:id="785"/>
      <w:bookmarkEnd w:id="786"/>
      <w:bookmarkEnd w:id="787"/>
    </w:p>
    <w:p w14:paraId="42CEBAB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w:t>
      </w:r>
    </w:p>
    <w:p w14:paraId="5B5D98B7">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（1）单价合同。</w:t>
      </w:r>
      <w:r>
        <w:rPr>
          <w:rFonts w:hint="eastAsia" w:ascii="宋体" w:hAnsi="宋体" w:eastAsia="宋体" w:cs="宋体"/>
          <w:b w:val="0"/>
          <w:bCs w:val="0"/>
          <w:color w:val="auto"/>
          <w:kern w:val="2"/>
          <w:sz w:val="24"/>
          <w:szCs w:val="24"/>
          <w:highlight w:val="none"/>
          <w:u w:val="single"/>
          <w:lang w:val="en-US" w:eastAsia="zh-CN" w:bidi="ar-SA"/>
        </w:rPr>
        <w:t>本工程采用固定综合单价合同，综合单价包含的风险范围：a 人工费按照《云南省建设工程造价计价标准（2020 版）》（云建科〔2021〕15 号）文件执行，结算时不做调整，除非施工期间出现国家政策性调整或计价标准调整；如国家政策性调整或计价标准调整，以实际出台施行的时间为界限计价，国家政策性调整或计价标准调整文件实行前的计价参照原国家政策和计价标准计价，国家政策性调整或计价标准调整文件施行时间（含施行时间）后的计价以国家政策性调整或计价标准调整计价。b 合同中明示及隐含108的风险及有经验的承包商可以或应该预见的，为完成整体工程内容所必须考虑的风险。c 分部分项工程量变更，投标综合单价将不予调整的风险。d 一周内非承包人原因停水、停电造成累计停工在八小时以内的风险。</w:t>
      </w:r>
    </w:p>
    <w:p w14:paraId="3D97FAB9">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风险费用的计算方法：</w:t>
      </w:r>
      <w:r>
        <w:rPr>
          <w:rFonts w:hint="eastAsia" w:ascii="宋体" w:hAnsi="宋体" w:eastAsia="宋体" w:cs="宋体"/>
          <w:b w:val="0"/>
          <w:bCs w:val="0"/>
          <w:color w:val="auto"/>
          <w:kern w:val="2"/>
          <w:sz w:val="24"/>
          <w:szCs w:val="24"/>
          <w:highlight w:val="none"/>
          <w:u w:val="single"/>
          <w:lang w:val="en-US" w:eastAsia="zh-CN" w:bidi="ar-SA"/>
        </w:rPr>
        <w:t>风险费用已包含在合同中。</w:t>
      </w:r>
    </w:p>
    <w:p w14:paraId="5994DDD7">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风险范围以外合同价格的调整方法：</w:t>
      </w:r>
      <w:r>
        <w:rPr>
          <w:rFonts w:hint="eastAsia" w:ascii="宋体" w:hAnsi="宋体" w:eastAsia="宋体" w:cs="宋体"/>
          <w:b w:val="0"/>
          <w:bCs w:val="0"/>
          <w:color w:val="auto"/>
          <w:kern w:val="2"/>
          <w:sz w:val="24"/>
          <w:szCs w:val="24"/>
          <w:highlight w:val="none"/>
          <w:u w:val="single"/>
          <w:lang w:val="en-US" w:eastAsia="zh-CN" w:bidi="ar-SA"/>
        </w:rPr>
        <w:t>①工程量清单项目的项目特征与投标报价中项目相同的，按投标报价的综合单价计算；②新增工程量清单项目的项目特征与投标报价中项目类似的，综合单价参照类似项目的单价进行结算；③投标报价中没有综合单价的新的工程量清单项目，新增项目的综合单价由承包人提出，经发包人确认后执行。</w:t>
      </w:r>
    </w:p>
    <w:p w14:paraId="232322AA">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u w:val="single"/>
          <w:lang w:val="en-US" w:eastAsia="zh-CN" w:bidi="ar-SA"/>
        </w:rPr>
        <w:t>上述的“与投标报价中项目类似的”新增项目，指与投标分部分项工程量清单项目编码一至九位完全相同的新增的分部分项工程。</w:t>
      </w:r>
    </w:p>
    <w:p w14:paraId="5CB7E30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w:t>
      </w:r>
    </w:p>
    <w:p w14:paraId="7B1ACE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总价包含的风险范围：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6AE7219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风险费用的计算方法：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4CBAA24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rPr>
        <w:t>风险范围以外合同价格的调整方法：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4EE96A8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3、其他价格方式：</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val="0"/>
          <w:bCs/>
          <w:color w:val="auto"/>
          <w:kern w:val="2"/>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rPr>
        <w:t>。</w:t>
      </w:r>
    </w:p>
    <w:p w14:paraId="2FE9930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88" w:name="_Toc297123554"/>
      <w:bookmarkStart w:id="789" w:name="_Toc297216213"/>
      <w:bookmarkStart w:id="790" w:name="_Toc304295581"/>
      <w:bookmarkStart w:id="791" w:name="_Toc312678042"/>
      <w:bookmarkStart w:id="792" w:name="_Toc300935004"/>
      <w:bookmarkStart w:id="793" w:name="_Toc303539161"/>
      <w:bookmarkStart w:id="794" w:name="_Toc292559917"/>
      <w:bookmarkStart w:id="795" w:name="_Toc296346708"/>
      <w:bookmarkStart w:id="796" w:name="_Toc297120507"/>
      <w:bookmarkStart w:id="797" w:name="_Toc292559412"/>
      <w:bookmarkStart w:id="798" w:name="_Toc296891035"/>
      <w:bookmarkStart w:id="799" w:name="_Toc296944546"/>
      <w:bookmarkStart w:id="800" w:name="_Toc297048393"/>
      <w:bookmarkStart w:id="801" w:name="_Toc296503207"/>
      <w:bookmarkStart w:id="802" w:name="_Toc296347206"/>
      <w:bookmarkStart w:id="803" w:name="_Toc296891247"/>
      <w:r>
        <w:rPr>
          <w:rFonts w:hint="eastAsia" w:ascii="宋体" w:hAnsi="宋体" w:eastAsia="宋体" w:cs="宋体"/>
          <w:color w:val="auto"/>
          <w:kern w:val="0"/>
          <w:sz w:val="24"/>
          <w:szCs w:val="24"/>
          <w:highlight w:val="none"/>
        </w:rPr>
        <w:t>12.2 预付款</w:t>
      </w:r>
    </w:p>
    <w:bookmarkEnd w:id="788"/>
    <w:bookmarkEnd w:id="789"/>
    <w:bookmarkEnd w:id="790"/>
    <w:bookmarkEnd w:id="791"/>
    <w:bookmarkEnd w:id="792"/>
    <w:bookmarkEnd w:id="793"/>
    <w:p w14:paraId="147073D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12.2.1 预付款的支付</w:t>
      </w:r>
    </w:p>
    <w:p w14:paraId="6BF5FE8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预付款支付比例或金额：</w:t>
      </w:r>
      <w:r>
        <w:rPr>
          <w:rFonts w:hint="eastAsia" w:ascii="宋体" w:hAnsi="宋体" w:eastAsia="宋体" w:cs="宋体"/>
          <w:b/>
          <w:bCs/>
          <w:color w:val="auto"/>
          <w:kern w:val="0"/>
          <w:sz w:val="24"/>
          <w:szCs w:val="24"/>
          <w:highlight w:val="none"/>
          <w:u w:val="single"/>
        </w:rPr>
        <w:t>合同金额的</w:t>
      </w:r>
      <w:r>
        <w:rPr>
          <w:rFonts w:hint="eastAsia" w:ascii="宋体" w:hAnsi="宋体" w:eastAsia="宋体" w:cs="宋体"/>
          <w:b/>
          <w:bCs/>
          <w:color w:val="auto"/>
          <w:kern w:val="0"/>
          <w:sz w:val="24"/>
          <w:szCs w:val="24"/>
          <w:highlight w:val="none"/>
          <w:u w:val="single"/>
          <w:lang w:val="en-US" w:eastAsia="zh-CN"/>
        </w:rPr>
        <w:t>30</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06C5C8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预付款支付期限：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合同签订后进场施工</w:t>
      </w:r>
      <w:r>
        <w:rPr>
          <w:rFonts w:hint="eastAsia" w:ascii="宋体" w:hAnsi="宋体" w:eastAsia="宋体" w:cs="宋体"/>
          <w:b/>
          <w:bCs/>
          <w:color w:val="auto"/>
          <w:kern w:val="0"/>
          <w:sz w:val="24"/>
          <w:szCs w:val="24"/>
          <w:highlight w:val="none"/>
          <w:u w:val="single"/>
          <w:lang w:val="en-US" w:eastAsia="zh-CN"/>
        </w:rPr>
        <w:t>10</w:t>
      </w:r>
      <w:r>
        <w:rPr>
          <w:rFonts w:hint="eastAsia" w:ascii="宋体" w:hAnsi="宋体" w:eastAsia="宋体" w:cs="宋体"/>
          <w:b/>
          <w:bCs/>
          <w:color w:val="auto"/>
          <w:kern w:val="0"/>
          <w:sz w:val="24"/>
          <w:szCs w:val="24"/>
          <w:highlight w:val="none"/>
          <w:u w:val="single"/>
        </w:rPr>
        <w:t>个工作日内支付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70AE74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预付款扣回的方式：</w:t>
      </w:r>
      <w:r>
        <w:rPr>
          <w:rFonts w:hint="eastAsia" w:ascii="宋体" w:hAnsi="宋体" w:eastAsia="宋体" w:cs="宋体"/>
          <w:b/>
          <w:bCs/>
          <w:color w:val="auto"/>
          <w:kern w:val="0"/>
          <w:sz w:val="24"/>
          <w:szCs w:val="24"/>
          <w:highlight w:val="none"/>
          <w:u w:val="single"/>
        </w:rPr>
        <w:t>由发包人从支付给承包人的首次工程进度款中一次性扣回,首次工程进度款不足以扣回时，顺延至下次拨付工程进度款时抵扣</w:t>
      </w:r>
      <w:r>
        <w:rPr>
          <w:rFonts w:hint="eastAsia" w:ascii="宋体" w:hAnsi="宋体" w:eastAsia="宋体" w:cs="宋体"/>
          <w:color w:val="auto"/>
          <w:kern w:val="0"/>
          <w:sz w:val="24"/>
          <w:szCs w:val="24"/>
          <w:highlight w:val="none"/>
        </w:rPr>
        <w:t>。</w:t>
      </w:r>
    </w:p>
    <w:p w14:paraId="2EC4CF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12.2.2 预付款担保</w:t>
      </w:r>
    </w:p>
    <w:p w14:paraId="64EBC92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承包人提交预付款担保的期限：</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5CC337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预付款担保的形式为：</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bookmarkEnd w:id="794"/>
    <w:bookmarkEnd w:id="795"/>
    <w:bookmarkEnd w:id="796"/>
    <w:bookmarkEnd w:id="797"/>
    <w:bookmarkEnd w:id="798"/>
    <w:bookmarkEnd w:id="799"/>
    <w:bookmarkEnd w:id="800"/>
    <w:bookmarkEnd w:id="801"/>
    <w:bookmarkEnd w:id="802"/>
    <w:bookmarkEnd w:id="803"/>
    <w:p w14:paraId="138F7B4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 计量</w:t>
      </w:r>
    </w:p>
    <w:p w14:paraId="44CF885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 计量原则</w:t>
      </w:r>
    </w:p>
    <w:p w14:paraId="6F7B97F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color w:val="auto"/>
          <w:kern w:val="0"/>
          <w:sz w:val="24"/>
          <w:szCs w:val="24"/>
          <w:highlight w:val="none"/>
        </w:rPr>
        <w:t>工程量计算规则：</w:t>
      </w:r>
      <w:r>
        <w:rPr>
          <w:rFonts w:hint="eastAsia" w:ascii="宋体" w:hAnsi="宋体" w:eastAsia="宋体" w:cs="宋体"/>
          <w:b/>
          <w:bCs/>
          <w:color w:val="auto"/>
          <w:kern w:val="0"/>
          <w:sz w:val="24"/>
          <w:szCs w:val="24"/>
          <w:highlight w:val="none"/>
          <w:u w:val="single"/>
        </w:rPr>
        <w:t>①《建设工程工程量清单计价规范》（GB50500-2013）②《云南省建设工程造价计价标准（2020版）》（云建科〔2021〕15 号）③《云南省建设工程造价计价规则及机械仪器仪表台班费用定额》（DBJ53／T-58-2013）；④</w:t>
      </w:r>
      <w:r>
        <w:rPr>
          <w:rFonts w:hint="eastAsia" w:ascii="宋体" w:hAnsi="宋体" w:eastAsia="宋体" w:cs="宋体"/>
          <w:b/>
          <w:bCs/>
          <w:color w:val="auto"/>
          <w:kern w:val="0"/>
          <w:sz w:val="24"/>
          <w:szCs w:val="24"/>
          <w:highlight w:val="none"/>
          <w:u w:val="single"/>
          <w:lang w:eastAsia="zh-CN"/>
        </w:rPr>
        <w:t>竞争性磋商文件</w:t>
      </w:r>
      <w:r>
        <w:rPr>
          <w:rFonts w:hint="eastAsia" w:ascii="宋体" w:hAnsi="宋体" w:eastAsia="宋体" w:cs="宋体"/>
          <w:b/>
          <w:bCs/>
          <w:color w:val="auto"/>
          <w:kern w:val="0"/>
          <w:sz w:val="24"/>
          <w:szCs w:val="24"/>
          <w:highlight w:val="none"/>
          <w:u w:val="single"/>
        </w:rPr>
        <w:t>、工程量清单及其补充通知、答疑纪要；⑤建设工程设计文件及相关资料；</w:t>
      </w:r>
    </w:p>
    <w:p w14:paraId="1E63EB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 计量周期</w:t>
      </w:r>
    </w:p>
    <w:p w14:paraId="55668B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关于计量周期的约定：</w:t>
      </w:r>
      <w:r>
        <w:rPr>
          <w:rFonts w:hint="eastAsia" w:ascii="宋体" w:hAnsi="宋体" w:eastAsia="宋体" w:cs="宋体"/>
          <w:b/>
          <w:color w:val="auto"/>
          <w:kern w:val="0"/>
          <w:sz w:val="24"/>
          <w:szCs w:val="24"/>
          <w:highlight w:val="none"/>
          <w:u w:val="single"/>
        </w:rPr>
        <w:t xml:space="preserve">每月计量一次 </w:t>
      </w:r>
      <w:r>
        <w:rPr>
          <w:rFonts w:hint="eastAsia" w:ascii="宋体" w:hAnsi="宋体" w:eastAsia="宋体" w:cs="宋体"/>
          <w:color w:val="auto"/>
          <w:kern w:val="0"/>
          <w:sz w:val="24"/>
          <w:szCs w:val="24"/>
          <w:highlight w:val="none"/>
        </w:rPr>
        <w:t>。</w:t>
      </w:r>
    </w:p>
    <w:p w14:paraId="42D3EC9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12.3.3 单价合同的计量</w:t>
      </w:r>
    </w:p>
    <w:p w14:paraId="1F51041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关于单价合同计量的约定：</w:t>
      </w:r>
      <w:r>
        <w:rPr>
          <w:rFonts w:hint="eastAsia" w:ascii="宋体" w:hAnsi="宋体" w:eastAsia="宋体" w:cs="宋体"/>
          <w:b/>
          <w:color w:val="auto"/>
          <w:kern w:val="0"/>
          <w:sz w:val="24"/>
          <w:szCs w:val="24"/>
          <w:highlight w:val="none"/>
          <w:u w:val="single"/>
        </w:rPr>
        <w:t>按形象进度计量</w:t>
      </w:r>
      <w:r>
        <w:rPr>
          <w:rFonts w:hint="eastAsia" w:ascii="宋体" w:hAnsi="宋体" w:eastAsia="宋体" w:cs="宋体"/>
          <w:color w:val="auto"/>
          <w:kern w:val="0"/>
          <w:sz w:val="24"/>
          <w:szCs w:val="24"/>
          <w:highlight w:val="none"/>
        </w:rPr>
        <w:t>。</w:t>
      </w:r>
    </w:p>
    <w:p w14:paraId="235F22B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12.3.4 总价合同的计量</w:t>
      </w:r>
    </w:p>
    <w:p w14:paraId="4E6C046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关于总价合同计量的约定：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5B3B63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12.3.5总价合同采用支付分解表计量支付的，是否适用第12.3.4 项〔总价合同的计量〕约定进行计量：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5E16D0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12.3.6 其他价格形式合同的计量</w:t>
      </w:r>
    </w:p>
    <w:p w14:paraId="69DB3D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其他价格形式的计量方式和程序：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192BFE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 工程进度款支付</w:t>
      </w:r>
    </w:p>
    <w:p w14:paraId="139999A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12.4.1 付款周期</w:t>
      </w:r>
    </w:p>
    <w:p w14:paraId="740689E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关于付款周期的约定：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7C9199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12.4.2 进度付款申请单的编制</w:t>
      </w:r>
    </w:p>
    <w:p w14:paraId="32B161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关于进度付款申请单编制的约定：</w:t>
      </w:r>
      <w:r>
        <w:rPr>
          <w:rFonts w:hint="eastAsia" w:ascii="宋体" w:hAnsi="宋体" w:eastAsia="宋体" w:cs="宋体"/>
          <w:b/>
          <w:bCs/>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3C5BFDB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12.4.3 进度付款申请单的提交</w:t>
      </w:r>
    </w:p>
    <w:p w14:paraId="038886DE">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（1）单价合同进度付款申请单提交的约定：</w:t>
      </w:r>
      <w:r>
        <w:rPr>
          <w:rFonts w:hint="eastAsia" w:ascii="宋体" w:hAnsi="宋体" w:eastAsia="宋体" w:cs="宋体"/>
          <w:b/>
          <w:bCs/>
          <w:color w:val="auto"/>
          <w:kern w:val="0"/>
          <w:sz w:val="24"/>
          <w:szCs w:val="24"/>
          <w:highlight w:val="none"/>
          <w:u w:val="single"/>
        </w:rPr>
        <w:t>按通用合同条款12.3.3约定的时间每月向监理人提交，并附上已完成工程量报表和有关资料</w:t>
      </w:r>
      <w:r>
        <w:rPr>
          <w:rFonts w:hint="eastAsia" w:ascii="宋体" w:hAnsi="宋体" w:eastAsia="宋体" w:cs="宋体"/>
          <w:color w:val="auto"/>
          <w:kern w:val="0"/>
          <w:sz w:val="24"/>
          <w:szCs w:val="24"/>
          <w:highlight w:val="none"/>
          <w:u w:val="single"/>
        </w:rPr>
        <w:t>。</w:t>
      </w:r>
    </w:p>
    <w:p w14:paraId="219562B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（2）总价合同进度付款申请单提交的约定：</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1E0358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（3）其他价格形式合同进度付款申请单提交的约定：</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1D14D11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12.4.4 进度款审核和支付</w:t>
      </w:r>
    </w:p>
    <w:p w14:paraId="3DE05F6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（1）监理人审查并报送发包人的期限：</w:t>
      </w:r>
      <w:r>
        <w:rPr>
          <w:rFonts w:hint="eastAsia" w:ascii="宋体" w:hAnsi="宋体" w:eastAsia="宋体" w:cs="宋体"/>
          <w:b/>
          <w:bCs/>
          <w:color w:val="auto"/>
          <w:kern w:val="0"/>
          <w:sz w:val="24"/>
          <w:szCs w:val="24"/>
          <w:highlight w:val="none"/>
          <w:u w:val="single"/>
        </w:rPr>
        <w:t>收到申请7个工作日</w:t>
      </w:r>
      <w:r>
        <w:rPr>
          <w:rFonts w:hint="eastAsia" w:ascii="宋体" w:hAnsi="宋体" w:eastAsia="宋体" w:cs="宋体"/>
          <w:color w:val="auto"/>
          <w:kern w:val="0"/>
          <w:sz w:val="24"/>
          <w:szCs w:val="24"/>
          <w:highlight w:val="none"/>
        </w:rPr>
        <w:t>。</w:t>
      </w:r>
    </w:p>
    <w:p w14:paraId="4E27627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发包人完成审批并签发进度款支付证书的期限：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rPr>
        <w:t>。</w:t>
      </w:r>
    </w:p>
    <w:p w14:paraId="50836E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（2）发包人支付进度款的期限：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1E6A5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发包人逾期支付进度款的违约金的计算方式：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BE81F2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（3）进度款支付时间：</w:t>
      </w:r>
      <w:r>
        <w:rPr>
          <w:rFonts w:hint="eastAsia" w:ascii="宋体" w:hAnsi="宋体" w:eastAsia="宋体" w:cs="宋体"/>
          <w:b/>
          <w:bCs/>
          <w:color w:val="auto"/>
          <w:kern w:val="0"/>
          <w:sz w:val="24"/>
          <w:szCs w:val="24"/>
          <w:highlight w:val="none"/>
          <w:u w:val="single"/>
        </w:rPr>
        <w:t>承包人每月上报工程进度款申请表，发包人根据资金到位情况按审定造价的80%向承包人拨付工程进度款(应付进度款分两笔支付，其中：应付进度款的80%由发包人直接支付至合同约定的承包人账户，剩余20%由发包人支付至承包人按照农民工工资管理规定在项目地开设的农民工工资专用账户，由监管银行代为发放农民工工资)，竣工验收前进度款拨付累计不超过完成产值的80%。工程竣工并验收合格后进入工程结算，经</w:t>
      </w:r>
      <w:r>
        <w:rPr>
          <w:rFonts w:hint="eastAsia" w:ascii="宋体" w:hAnsi="宋体" w:eastAsia="宋体" w:cs="宋体"/>
          <w:b/>
          <w:bCs/>
          <w:color w:val="auto"/>
          <w:kern w:val="0"/>
          <w:sz w:val="24"/>
          <w:szCs w:val="24"/>
          <w:highlight w:val="none"/>
          <w:u w:val="single"/>
          <w:lang w:val="en-US" w:eastAsia="zh-CN"/>
        </w:rPr>
        <w:t>造价咨询单位</w:t>
      </w:r>
      <w:r>
        <w:rPr>
          <w:rFonts w:hint="eastAsia" w:ascii="宋体" w:hAnsi="宋体" w:eastAsia="宋体" w:cs="宋体"/>
          <w:b/>
          <w:bCs/>
          <w:color w:val="auto"/>
          <w:kern w:val="0"/>
          <w:sz w:val="24"/>
          <w:szCs w:val="24"/>
          <w:highlight w:val="none"/>
          <w:u w:val="single"/>
        </w:rPr>
        <w:t>审定出具工程结算</w:t>
      </w:r>
      <w:r>
        <w:rPr>
          <w:rFonts w:hint="eastAsia" w:ascii="宋体" w:hAnsi="宋体" w:eastAsia="宋体" w:cs="宋体"/>
          <w:b/>
          <w:bCs/>
          <w:color w:val="auto"/>
          <w:kern w:val="0"/>
          <w:sz w:val="24"/>
          <w:szCs w:val="24"/>
          <w:highlight w:val="none"/>
          <w:u w:val="single"/>
          <w:lang w:val="en-US" w:eastAsia="zh-CN"/>
        </w:rPr>
        <w:t>审核</w:t>
      </w:r>
      <w:r>
        <w:rPr>
          <w:rFonts w:hint="eastAsia" w:ascii="宋体" w:hAnsi="宋体" w:eastAsia="宋体" w:cs="宋体"/>
          <w:b/>
          <w:bCs/>
          <w:color w:val="auto"/>
          <w:kern w:val="0"/>
          <w:sz w:val="24"/>
          <w:szCs w:val="24"/>
          <w:highlight w:val="none"/>
          <w:u w:val="single"/>
        </w:rPr>
        <w:t>报告后，发包人按照经</w:t>
      </w:r>
      <w:r>
        <w:rPr>
          <w:rFonts w:hint="eastAsia" w:ascii="宋体" w:hAnsi="宋体" w:eastAsia="宋体" w:cs="宋体"/>
          <w:b/>
          <w:bCs/>
          <w:color w:val="auto"/>
          <w:kern w:val="0"/>
          <w:sz w:val="24"/>
          <w:szCs w:val="24"/>
          <w:highlight w:val="none"/>
          <w:u w:val="single"/>
          <w:lang w:eastAsia="zh-CN"/>
        </w:rPr>
        <w:t>造价咨询单位</w:t>
      </w:r>
      <w:r>
        <w:rPr>
          <w:rFonts w:hint="eastAsia" w:ascii="宋体" w:hAnsi="宋体" w:eastAsia="宋体" w:cs="宋体"/>
          <w:b/>
          <w:bCs/>
          <w:color w:val="auto"/>
          <w:kern w:val="0"/>
          <w:sz w:val="24"/>
          <w:szCs w:val="24"/>
          <w:highlight w:val="none"/>
          <w:u w:val="single"/>
        </w:rPr>
        <w:t>审定的</w:t>
      </w:r>
      <w:r>
        <w:rPr>
          <w:rFonts w:hint="eastAsia" w:ascii="宋体" w:hAnsi="宋体" w:eastAsia="宋体" w:cs="宋体"/>
          <w:b/>
          <w:bCs/>
          <w:color w:val="auto"/>
          <w:kern w:val="0"/>
          <w:sz w:val="24"/>
          <w:szCs w:val="24"/>
          <w:highlight w:val="none"/>
          <w:u w:val="single"/>
          <w:lang w:eastAsia="zh-CN"/>
        </w:rPr>
        <w:t>工程费</w:t>
      </w:r>
      <w:r>
        <w:rPr>
          <w:rFonts w:hint="eastAsia" w:ascii="宋体" w:hAnsi="宋体" w:eastAsia="宋体" w:cs="宋体"/>
          <w:b/>
          <w:bCs/>
          <w:color w:val="auto"/>
          <w:kern w:val="0"/>
          <w:sz w:val="24"/>
          <w:szCs w:val="24"/>
          <w:highlight w:val="none"/>
          <w:u w:val="single"/>
        </w:rPr>
        <w:t>结算价及</w:t>
      </w:r>
      <w:r>
        <w:rPr>
          <w:rFonts w:hint="eastAsia" w:ascii="宋体" w:hAnsi="宋体" w:eastAsia="宋体" w:cs="宋体"/>
          <w:b/>
          <w:bCs/>
          <w:color w:val="auto"/>
          <w:kern w:val="0"/>
          <w:sz w:val="24"/>
          <w:szCs w:val="24"/>
          <w:highlight w:val="none"/>
          <w:u w:val="single"/>
          <w:lang w:val="en-US" w:eastAsia="zh-CN"/>
        </w:rPr>
        <w:t>工程费结算价</w:t>
      </w:r>
      <w:r>
        <w:rPr>
          <w:rFonts w:hint="eastAsia" w:ascii="宋体" w:hAnsi="宋体" w:eastAsia="宋体" w:cs="宋体"/>
          <w:b/>
          <w:bCs/>
          <w:color w:val="auto"/>
          <w:kern w:val="0"/>
          <w:sz w:val="24"/>
          <w:szCs w:val="24"/>
          <w:highlight w:val="none"/>
          <w:u w:val="single"/>
        </w:rPr>
        <w:t>下浮率计算</w:t>
      </w:r>
      <w:r>
        <w:rPr>
          <w:rFonts w:hint="eastAsia" w:ascii="宋体" w:hAnsi="宋体" w:eastAsia="宋体" w:cs="宋体"/>
          <w:b/>
          <w:bCs/>
          <w:color w:val="auto"/>
          <w:kern w:val="0"/>
          <w:sz w:val="24"/>
          <w:szCs w:val="24"/>
          <w:highlight w:val="none"/>
          <w:u w:val="single"/>
          <w:lang w:eastAsia="zh-CN"/>
        </w:rPr>
        <w:t>最终工程费</w:t>
      </w:r>
      <w:r>
        <w:rPr>
          <w:rFonts w:hint="eastAsia" w:ascii="宋体" w:hAnsi="宋体" w:eastAsia="宋体" w:cs="宋体"/>
          <w:b/>
          <w:bCs/>
          <w:color w:val="auto"/>
          <w:kern w:val="0"/>
          <w:sz w:val="24"/>
          <w:szCs w:val="24"/>
          <w:highlight w:val="none"/>
          <w:u w:val="single"/>
        </w:rPr>
        <w:t>，</w:t>
      </w:r>
      <w:r>
        <w:rPr>
          <w:rFonts w:hint="eastAsia" w:ascii="宋体" w:hAnsi="宋体" w:eastAsia="宋体" w:cs="宋体"/>
          <w:b/>
          <w:bCs/>
          <w:color w:val="auto"/>
          <w:kern w:val="0"/>
          <w:sz w:val="24"/>
          <w:szCs w:val="24"/>
          <w:highlight w:val="none"/>
          <w:u w:val="single"/>
          <w:lang w:val="en-US" w:eastAsia="zh-CN"/>
        </w:rPr>
        <w:t>承包人在工程竣工结算审核完成后5个工作日内将质量保证金（质量保证金为按工程价款结算总额的3%交纳）转账至向发包人指定账户后，发包人</w:t>
      </w:r>
      <w:r>
        <w:rPr>
          <w:rFonts w:hint="eastAsia" w:ascii="宋体" w:hAnsi="宋体" w:eastAsia="宋体" w:cs="宋体"/>
          <w:b/>
          <w:bCs/>
          <w:color w:val="auto"/>
          <w:kern w:val="0"/>
          <w:sz w:val="24"/>
          <w:szCs w:val="24"/>
          <w:highlight w:val="none"/>
          <w:u w:val="single"/>
        </w:rPr>
        <w:t>根据资金到位情况支付至</w:t>
      </w:r>
      <w:r>
        <w:rPr>
          <w:rFonts w:hint="eastAsia" w:ascii="宋体" w:hAnsi="宋体" w:eastAsia="宋体" w:cs="宋体"/>
          <w:b/>
          <w:bCs/>
          <w:color w:val="auto"/>
          <w:kern w:val="0"/>
          <w:sz w:val="24"/>
          <w:szCs w:val="24"/>
          <w:highlight w:val="none"/>
          <w:u w:val="single"/>
          <w:lang w:val="en-US" w:eastAsia="zh-CN"/>
        </w:rPr>
        <w:t>最终工程费</w:t>
      </w:r>
      <w:r>
        <w:rPr>
          <w:rFonts w:hint="eastAsia" w:ascii="宋体" w:hAnsi="宋体" w:eastAsia="宋体" w:cs="宋体"/>
          <w:b/>
          <w:bCs/>
          <w:color w:val="auto"/>
          <w:kern w:val="0"/>
          <w:sz w:val="24"/>
          <w:szCs w:val="24"/>
          <w:highlight w:val="none"/>
          <w:u w:val="single"/>
        </w:rPr>
        <w:t>的</w:t>
      </w:r>
      <w:r>
        <w:rPr>
          <w:rFonts w:hint="eastAsia" w:ascii="宋体" w:hAnsi="宋体" w:eastAsia="宋体" w:cs="宋体"/>
          <w:b/>
          <w:bCs/>
          <w:color w:val="auto"/>
          <w:kern w:val="0"/>
          <w:sz w:val="24"/>
          <w:szCs w:val="24"/>
          <w:highlight w:val="none"/>
          <w:u w:val="single"/>
          <w:lang w:val="en-US" w:eastAsia="zh-CN"/>
        </w:rPr>
        <w:t>100%</w:t>
      </w:r>
      <w:r>
        <w:rPr>
          <w:rFonts w:hint="eastAsia" w:ascii="宋体" w:hAnsi="宋体" w:eastAsia="宋体" w:cs="宋体"/>
          <w:b/>
          <w:bCs/>
          <w:color w:val="auto"/>
          <w:kern w:val="0"/>
          <w:sz w:val="24"/>
          <w:szCs w:val="24"/>
          <w:highlight w:val="none"/>
          <w:u w:val="single"/>
        </w:rPr>
        <w:t>。</w:t>
      </w:r>
    </w:p>
    <w:p w14:paraId="4FF12C86">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4）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w:t>
      </w:r>
      <w:r>
        <w:rPr>
          <w:rFonts w:hint="eastAsia" w:ascii="宋体" w:hAnsi="宋体" w:eastAsia="宋体" w:cs="宋体"/>
          <w:b/>
          <w:bCs/>
          <w:color w:val="auto"/>
          <w:kern w:val="0"/>
          <w:sz w:val="24"/>
          <w:szCs w:val="24"/>
          <w:highlight w:val="none"/>
          <w:u w:val="single"/>
          <w:lang w:val="en-US" w:eastAsia="zh-CN"/>
        </w:rPr>
        <w:t>发包人、承包人</w:t>
      </w:r>
      <w:r>
        <w:rPr>
          <w:rFonts w:hint="eastAsia" w:ascii="宋体" w:hAnsi="宋体" w:eastAsia="宋体" w:cs="宋体"/>
          <w:b/>
          <w:bCs/>
          <w:color w:val="auto"/>
          <w:kern w:val="0"/>
          <w:sz w:val="24"/>
          <w:szCs w:val="24"/>
          <w:highlight w:val="none"/>
          <w:u w:val="single"/>
        </w:rPr>
        <w:t>双方视情况协商解决，承包人需按合同价的</w:t>
      </w:r>
      <w:r>
        <w:rPr>
          <w:rFonts w:hint="eastAsia" w:ascii="宋体" w:hAnsi="宋体" w:eastAsia="宋体" w:cs="宋体"/>
          <w:b/>
          <w:bCs/>
          <w:color w:val="auto"/>
          <w:kern w:val="0"/>
          <w:sz w:val="24"/>
          <w:szCs w:val="24"/>
          <w:highlight w:val="none"/>
          <w:u w:val="single"/>
          <w:lang w:val="en-US" w:eastAsia="zh-CN"/>
        </w:rPr>
        <w:t>10%</w:t>
      </w:r>
      <w:r>
        <w:rPr>
          <w:rFonts w:hint="eastAsia" w:ascii="宋体" w:hAnsi="宋体" w:eastAsia="宋体" w:cs="宋体"/>
          <w:b/>
          <w:bCs/>
          <w:color w:val="auto"/>
          <w:kern w:val="0"/>
          <w:sz w:val="24"/>
          <w:szCs w:val="24"/>
          <w:highlight w:val="none"/>
          <w:u w:val="single"/>
        </w:rPr>
        <w:t xml:space="preserve">向发包人支付违约金，情节特别严重时，发包人有权根据实际情节解除合同。 </w:t>
      </w:r>
    </w:p>
    <w:p w14:paraId="7C7C688C">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（5）承包人需向发包人开具所有工程款的增值税发票。</w:t>
      </w:r>
    </w:p>
    <w:p w14:paraId="452285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12.4.6 支付分解表的编制</w:t>
      </w:r>
    </w:p>
    <w:p w14:paraId="284D6F8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2.总价合同支付分解表的编制与审批：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5A453E2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3.单价合同的总价项目支付分解表的编制与审批：</w:t>
      </w:r>
      <w:r>
        <w:rPr>
          <w:rFonts w:hint="eastAsia" w:ascii="宋体" w:hAnsi="宋体" w:eastAsia="宋体" w:cs="宋体"/>
          <w:b/>
          <w:bCs/>
          <w:color w:val="auto"/>
          <w:kern w:val="0"/>
          <w:sz w:val="24"/>
          <w:szCs w:val="24"/>
          <w:highlight w:val="none"/>
          <w:u w:val="single"/>
        </w:rPr>
        <w:t xml:space="preserve">按通用合同条款执行 </w:t>
      </w:r>
      <w:r>
        <w:rPr>
          <w:rFonts w:hint="eastAsia" w:ascii="宋体" w:hAnsi="宋体" w:eastAsia="宋体" w:cs="宋体"/>
          <w:bCs/>
          <w:color w:val="auto"/>
          <w:kern w:val="0"/>
          <w:sz w:val="24"/>
          <w:szCs w:val="24"/>
          <w:highlight w:val="none"/>
        </w:rPr>
        <w:t>。</w:t>
      </w:r>
    </w:p>
    <w:bookmarkEnd w:id="647"/>
    <w:p w14:paraId="163EA095">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04" w:name="_Toc351203645"/>
      <w:bookmarkStart w:id="805" w:name="_Toc297123564"/>
      <w:bookmarkStart w:id="806" w:name="_Toc292559424"/>
      <w:bookmarkStart w:id="807" w:name="_Toc297216223"/>
      <w:bookmarkStart w:id="808" w:name="_Toc296944558"/>
      <w:bookmarkStart w:id="809" w:name="_Toc300935015"/>
      <w:bookmarkStart w:id="810" w:name="_Toc297048405"/>
      <w:bookmarkStart w:id="811" w:name="_Toc296347218"/>
      <w:bookmarkStart w:id="812" w:name="_Toc296891047"/>
      <w:bookmarkStart w:id="813" w:name="_Toc303539172"/>
      <w:bookmarkStart w:id="814" w:name="_Toc304295593"/>
      <w:bookmarkStart w:id="815" w:name="_Toc296891259"/>
      <w:bookmarkStart w:id="816" w:name="_Toc292559929"/>
      <w:bookmarkStart w:id="817" w:name="_Toc297120519"/>
      <w:bookmarkStart w:id="818" w:name="_Toc296346720"/>
      <w:bookmarkStart w:id="819" w:name="_Toc296503219"/>
      <w:bookmarkStart w:id="820" w:name="_Toc312678053"/>
      <w:r>
        <w:rPr>
          <w:rFonts w:hint="eastAsia" w:ascii="宋体" w:hAnsi="宋体" w:eastAsia="宋体" w:cs="宋体"/>
          <w:color w:val="auto"/>
          <w:kern w:val="0"/>
          <w:sz w:val="24"/>
          <w:szCs w:val="24"/>
          <w:highlight w:val="none"/>
        </w:rPr>
        <w:t>13. 验收和工程试车</w:t>
      </w:r>
      <w:bookmarkEnd w:id="804"/>
    </w:p>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14:paraId="3323A99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 分部分项工程验收</w:t>
      </w:r>
    </w:p>
    <w:p w14:paraId="2612498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13.1.2监理人不能按时进行验收时，应提前</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rPr>
        <w:t>小时提交书面延期要求。</w:t>
      </w:r>
    </w:p>
    <w:p w14:paraId="4AFF5F8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关于延期最长不得超过：</w:t>
      </w:r>
      <w:r>
        <w:rPr>
          <w:rFonts w:hint="eastAsia" w:ascii="宋体" w:hAnsi="宋体" w:eastAsia="宋体" w:cs="宋体"/>
          <w:b/>
          <w:color w:val="auto"/>
          <w:kern w:val="0"/>
          <w:sz w:val="24"/>
          <w:szCs w:val="24"/>
          <w:highlight w:val="none"/>
          <w:u w:val="single"/>
        </w:rPr>
        <w:t xml:space="preserve"> 48 </w:t>
      </w:r>
      <w:r>
        <w:rPr>
          <w:rFonts w:hint="eastAsia" w:ascii="宋体" w:hAnsi="宋体" w:eastAsia="宋体" w:cs="宋体"/>
          <w:color w:val="auto"/>
          <w:kern w:val="0"/>
          <w:sz w:val="24"/>
          <w:szCs w:val="24"/>
          <w:highlight w:val="none"/>
        </w:rPr>
        <w:t>小时。</w:t>
      </w:r>
    </w:p>
    <w:p w14:paraId="206FB47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821" w:name="_Toc296346724"/>
      <w:bookmarkStart w:id="822" w:name="_Toc303539173"/>
      <w:bookmarkStart w:id="823" w:name="_Toc292559428"/>
      <w:bookmarkStart w:id="824" w:name="_Toc296347222"/>
      <w:bookmarkStart w:id="825" w:name="_Toc292559933"/>
      <w:bookmarkStart w:id="826" w:name="_Toc297123565"/>
      <w:bookmarkStart w:id="827" w:name="_Toc297120523"/>
      <w:bookmarkStart w:id="828" w:name="_Toc312678056"/>
      <w:bookmarkStart w:id="829" w:name="_Toc296944562"/>
      <w:bookmarkStart w:id="830" w:name="_Toc297216224"/>
      <w:bookmarkStart w:id="831" w:name="_Toc296891051"/>
      <w:bookmarkStart w:id="832" w:name="_Toc296891263"/>
      <w:bookmarkStart w:id="833" w:name="_Toc300935016"/>
      <w:bookmarkStart w:id="834" w:name="_Toc297048409"/>
      <w:bookmarkStart w:id="835" w:name="_Toc296503223"/>
      <w:bookmarkStart w:id="836" w:name="_Toc304295596"/>
      <w:bookmarkStart w:id="837" w:name="_Toc267251474"/>
      <w:bookmarkStart w:id="838" w:name="_Toc267251470"/>
      <w:bookmarkStart w:id="839" w:name="_Toc267251473"/>
      <w:bookmarkStart w:id="840" w:name="_Toc267251475"/>
      <w:bookmarkStart w:id="841" w:name="_Toc267251471"/>
      <w:bookmarkStart w:id="842" w:name="_Toc267251472"/>
      <w:bookmarkStart w:id="843" w:name="_Toc267251476"/>
      <w:r>
        <w:rPr>
          <w:rFonts w:hint="eastAsia" w:ascii="宋体" w:hAnsi="宋体" w:eastAsia="宋体" w:cs="宋体"/>
          <w:color w:val="auto"/>
          <w:kern w:val="0"/>
          <w:sz w:val="24"/>
          <w:szCs w:val="24"/>
          <w:highlight w:val="none"/>
        </w:rPr>
        <w:t>13.2 竣工验收</w:t>
      </w:r>
    </w:p>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14:paraId="0B3CE6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844" w:name="_Toc280868704"/>
      <w:bookmarkStart w:id="845" w:name="_Toc280868705"/>
      <w:bookmarkStart w:id="846" w:name="_Toc280868706"/>
      <w:bookmarkStart w:id="847" w:name="_Toc280868707"/>
      <w:bookmarkStart w:id="848" w:name="_Toc280868708"/>
      <w:bookmarkStart w:id="849" w:name="_Toc280868709"/>
      <w:r>
        <w:rPr>
          <w:rFonts w:hint="eastAsia" w:ascii="宋体" w:hAnsi="宋体" w:eastAsia="宋体" w:cs="宋体"/>
          <w:color w:val="auto"/>
          <w:kern w:val="0"/>
          <w:sz w:val="24"/>
          <w:szCs w:val="24"/>
          <w:highlight w:val="none"/>
        </w:rPr>
        <w:t>13.2.2竣工验收程序</w:t>
      </w:r>
    </w:p>
    <w:bookmarkEnd w:id="844"/>
    <w:p w14:paraId="3288EEE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C6DEE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发包人不按照本项约定组织竣工验收、颁发工程接收证书的违约金的计算方法：</w:t>
      </w:r>
      <w:r>
        <w:rPr>
          <w:rFonts w:hint="eastAsia" w:ascii="宋体" w:hAnsi="宋体" w:eastAsia="宋体" w:cs="宋体"/>
          <w:b/>
          <w:color w:val="auto"/>
          <w:kern w:val="0"/>
          <w:sz w:val="24"/>
          <w:szCs w:val="24"/>
          <w:highlight w:val="none"/>
          <w:u w:val="single"/>
        </w:rPr>
        <w:t xml:space="preserve">按通用合同条款执行 </w:t>
      </w:r>
      <w:r>
        <w:rPr>
          <w:rFonts w:hint="eastAsia" w:ascii="宋体" w:hAnsi="宋体" w:eastAsia="宋体" w:cs="宋体"/>
          <w:color w:val="auto"/>
          <w:kern w:val="0"/>
          <w:sz w:val="24"/>
          <w:szCs w:val="24"/>
          <w:highlight w:val="none"/>
        </w:rPr>
        <w:t>。</w:t>
      </w:r>
      <w:bookmarkEnd w:id="845"/>
    </w:p>
    <w:p w14:paraId="43798C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13.2.5移交、接收全部与部分工程</w:t>
      </w:r>
    </w:p>
    <w:bookmarkEnd w:id="846"/>
    <w:p w14:paraId="7E3C582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b/>
          <w:color w:val="auto"/>
          <w:kern w:val="0"/>
          <w:sz w:val="24"/>
          <w:szCs w:val="24"/>
          <w:highlight w:val="none"/>
          <w:u w:val="single"/>
        </w:rPr>
        <w:t>颁发工程接收证书后7天内完成工程的移交</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178344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847"/>
    <w:p w14:paraId="13EBF1D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承包人未按时移交工程的，违约金的计算方法为：</w:t>
      </w:r>
      <w:r>
        <w:rPr>
          <w:rFonts w:hint="eastAsia" w:ascii="宋体" w:hAnsi="宋体" w:eastAsia="宋体" w:cs="宋体"/>
          <w:b/>
          <w:bCs/>
          <w:color w:val="auto"/>
          <w:kern w:val="0"/>
          <w:sz w:val="24"/>
          <w:szCs w:val="24"/>
          <w:highlight w:val="none"/>
          <w:u w:val="single"/>
        </w:rPr>
        <w:t>每逾期一天</w:t>
      </w:r>
      <w:r>
        <w:rPr>
          <w:rFonts w:hint="eastAsia" w:ascii="宋体" w:hAnsi="宋体" w:eastAsia="宋体" w:cs="宋体"/>
          <w:b/>
          <w:bCs/>
          <w:color w:val="auto"/>
          <w:kern w:val="0"/>
          <w:sz w:val="24"/>
          <w:szCs w:val="24"/>
          <w:highlight w:val="none"/>
          <w:u w:val="single"/>
          <w:lang w:val="en-US" w:eastAsia="zh-CN"/>
        </w:rPr>
        <w:t>承包人须承担1</w:t>
      </w:r>
      <w:r>
        <w:rPr>
          <w:rFonts w:hint="eastAsia" w:ascii="宋体" w:hAnsi="宋体" w:eastAsia="宋体" w:cs="宋体"/>
          <w:b/>
          <w:bCs/>
          <w:color w:val="auto"/>
          <w:kern w:val="0"/>
          <w:sz w:val="24"/>
          <w:szCs w:val="24"/>
          <w:highlight w:val="none"/>
          <w:u w:val="single"/>
        </w:rPr>
        <w:t>000元/天的</w:t>
      </w:r>
      <w:r>
        <w:rPr>
          <w:rFonts w:hint="eastAsia" w:ascii="宋体" w:hAnsi="宋体" w:eastAsia="宋体" w:cs="宋体"/>
          <w:b/>
          <w:bCs/>
          <w:color w:val="auto"/>
          <w:kern w:val="0"/>
          <w:sz w:val="24"/>
          <w:szCs w:val="24"/>
          <w:highlight w:val="none"/>
          <w:u w:val="single"/>
          <w:lang w:val="en-US" w:eastAsia="zh-CN"/>
        </w:rPr>
        <w:t>违约金</w:t>
      </w:r>
      <w:r>
        <w:rPr>
          <w:rFonts w:hint="eastAsia" w:ascii="宋体" w:hAnsi="宋体" w:eastAsia="宋体" w:cs="宋体"/>
          <w:color w:val="auto"/>
          <w:kern w:val="0"/>
          <w:sz w:val="24"/>
          <w:szCs w:val="24"/>
          <w:highlight w:val="none"/>
        </w:rPr>
        <w:t>。</w:t>
      </w:r>
    </w:p>
    <w:p w14:paraId="55508D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13.2.6竣工验收的其他约定：</w:t>
      </w:r>
    </w:p>
    <w:p w14:paraId="6896230D">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承包人必须保证分部分项工程及整体工程按国家相关工程施工质量验收规范及标准一次性达到100%验收合格。并通过政府各专业主管部门一次验收并取得相关验收证件，且达到发包人要求的相关质量标准和本合同的各项要求；若工程质量达不到整体一次验收合格的标准和要求时，承包人按签约合同价15%向发包人支付违约金，并在发包人要求时间内自行承担所有费用，并整改至合格，且需赔偿因此给发包人造成的全部损失。</w:t>
      </w:r>
    </w:p>
    <w:p w14:paraId="16D67A25">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u w:val="single"/>
        </w:rPr>
        <w:t>承包人提供竣工资料的约定：工程竣工验收后30天内，按发包人要求提供完整的、经核验签证后的竣工资料（含竣工图）。工程竣工验收后60日内，完成竣工资料归档，并取得档案合格证</w:t>
      </w:r>
      <w:r>
        <w:rPr>
          <w:rFonts w:hint="eastAsia" w:ascii="宋体" w:hAnsi="宋体" w:eastAsia="宋体" w:cs="宋体"/>
          <w:color w:val="auto"/>
          <w:kern w:val="0"/>
          <w:sz w:val="24"/>
          <w:szCs w:val="24"/>
          <w:highlight w:val="none"/>
        </w:rPr>
        <w:t>。</w:t>
      </w:r>
    </w:p>
    <w:p w14:paraId="14006D9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 工程试车</w:t>
      </w:r>
    </w:p>
    <w:bookmarkEnd w:id="848"/>
    <w:p w14:paraId="0F2DD08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2F79E9B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C57E3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承担；</w:t>
      </w:r>
    </w:p>
    <w:p w14:paraId="4B41D86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承担。</w:t>
      </w:r>
    </w:p>
    <w:p w14:paraId="3DF8E9B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68127A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CA7D79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 竣工退场</w:t>
      </w:r>
    </w:p>
    <w:p w14:paraId="2FF1113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70534CE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b/>
          <w:color w:val="auto"/>
          <w:kern w:val="0"/>
          <w:sz w:val="24"/>
          <w:szCs w:val="24"/>
          <w:highlight w:val="none"/>
          <w:u w:val="single"/>
        </w:rPr>
        <w:t>颁发工程接收证书后7天内完成工程的移交</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9595C74">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50" w:name="_Toc351203646"/>
      <w:r>
        <w:rPr>
          <w:rFonts w:hint="eastAsia" w:ascii="宋体" w:hAnsi="宋体" w:eastAsia="宋体" w:cs="宋体"/>
          <w:color w:val="auto"/>
          <w:kern w:val="0"/>
          <w:sz w:val="24"/>
          <w:szCs w:val="24"/>
          <w:highlight w:val="none"/>
        </w:rPr>
        <w:t>14. 竣工结算</w:t>
      </w:r>
      <w:bookmarkEnd w:id="850"/>
    </w:p>
    <w:p w14:paraId="1715BB6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竣工结算申请</w:t>
      </w:r>
    </w:p>
    <w:p w14:paraId="5FDA6EFD">
      <w:pPr>
        <w:keepNext w:val="0"/>
        <w:keepLines w:val="0"/>
        <w:pageBreakBefore w:val="0"/>
        <w:kinsoku/>
        <w:wordWrap/>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承包人提交竣工结算申请单的期限：</w:t>
      </w:r>
      <w:r>
        <w:rPr>
          <w:rFonts w:hint="eastAsia" w:ascii="宋体" w:hAnsi="宋体" w:eastAsia="宋体" w:cs="宋体"/>
          <w:b/>
          <w:bCs/>
          <w:color w:val="auto"/>
          <w:kern w:val="0"/>
          <w:sz w:val="24"/>
          <w:szCs w:val="24"/>
          <w:highlight w:val="none"/>
          <w:u w:val="single"/>
        </w:rPr>
        <w:t>承包人应在工程竣工验收合格后</w:t>
      </w:r>
      <w:r>
        <w:rPr>
          <w:rFonts w:hint="eastAsia" w:ascii="宋体" w:hAnsi="宋体" w:eastAsia="宋体" w:cs="宋体"/>
          <w:b/>
          <w:bCs/>
          <w:color w:val="auto"/>
          <w:kern w:val="0"/>
          <w:sz w:val="24"/>
          <w:szCs w:val="24"/>
          <w:highlight w:val="none"/>
          <w:u w:val="single"/>
          <w:lang w:val="en-US" w:eastAsia="zh-CN"/>
        </w:rPr>
        <w:t>30</w:t>
      </w:r>
      <w:r>
        <w:rPr>
          <w:rFonts w:hint="eastAsia" w:ascii="宋体" w:hAnsi="宋体" w:eastAsia="宋体" w:cs="宋体"/>
          <w:b/>
          <w:bCs/>
          <w:color w:val="auto"/>
          <w:kern w:val="0"/>
          <w:sz w:val="24"/>
          <w:szCs w:val="24"/>
          <w:highlight w:val="none"/>
          <w:u w:val="single"/>
        </w:rPr>
        <w:t>天内向发包人和监理人提交竣工结算申请单，并提交完整的结算资料</w:t>
      </w:r>
      <w:r>
        <w:rPr>
          <w:rFonts w:hint="eastAsia" w:ascii="宋体" w:hAnsi="宋体" w:eastAsia="宋体" w:cs="宋体"/>
          <w:color w:val="auto"/>
          <w:kern w:val="0"/>
          <w:sz w:val="24"/>
          <w:szCs w:val="24"/>
          <w:highlight w:val="none"/>
        </w:rPr>
        <w:t>。</w:t>
      </w:r>
    </w:p>
    <w:p w14:paraId="5AE65E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竣工结算申请单应包括的内容：</w:t>
      </w:r>
      <w:r>
        <w:rPr>
          <w:rFonts w:hint="eastAsia" w:ascii="宋体" w:hAnsi="宋体" w:eastAsia="宋体" w:cs="宋体"/>
          <w:b/>
          <w:color w:val="auto"/>
          <w:kern w:val="0"/>
          <w:sz w:val="24"/>
          <w:szCs w:val="24"/>
          <w:highlight w:val="none"/>
          <w:u w:val="single"/>
          <w:lang w:eastAsia="zh-CN"/>
        </w:rPr>
        <w:t>竞争性磋商文件</w:t>
      </w:r>
      <w:r>
        <w:rPr>
          <w:rFonts w:hint="eastAsia" w:ascii="宋体" w:hAnsi="宋体" w:eastAsia="宋体" w:cs="宋体"/>
          <w:b/>
          <w:color w:val="auto"/>
          <w:kern w:val="0"/>
          <w:sz w:val="24"/>
          <w:szCs w:val="24"/>
          <w:highlight w:val="none"/>
          <w:u w:val="single"/>
        </w:rPr>
        <w:t>、招标答疑等有关文件；</w:t>
      </w:r>
      <w:r>
        <w:rPr>
          <w:rFonts w:hint="eastAsia" w:ascii="宋体" w:hAnsi="宋体" w:eastAsia="宋体" w:cs="宋体"/>
          <w:b/>
          <w:color w:val="auto"/>
          <w:kern w:val="0"/>
          <w:sz w:val="24"/>
          <w:szCs w:val="24"/>
          <w:highlight w:val="none"/>
          <w:u w:val="single"/>
          <w:lang w:eastAsia="zh-CN"/>
        </w:rPr>
        <w:t>响应文件</w:t>
      </w:r>
      <w:r>
        <w:rPr>
          <w:rFonts w:hint="eastAsia" w:ascii="宋体" w:hAnsi="宋体" w:eastAsia="宋体" w:cs="宋体"/>
          <w:b/>
          <w:color w:val="auto"/>
          <w:kern w:val="0"/>
          <w:sz w:val="24"/>
          <w:szCs w:val="24"/>
          <w:highlight w:val="none"/>
          <w:u w:val="single"/>
        </w:rPr>
        <w:t>及其电子软件版；</w:t>
      </w:r>
      <w:r>
        <w:rPr>
          <w:rFonts w:hint="eastAsia" w:ascii="宋体" w:hAnsi="宋体" w:eastAsia="宋体" w:cs="宋体"/>
          <w:b/>
          <w:color w:val="auto"/>
          <w:kern w:val="0"/>
          <w:sz w:val="24"/>
          <w:szCs w:val="24"/>
          <w:highlight w:val="none"/>
          <w:u w:val="single"/>
          <w:lang w:eastAsia="zh-CN"/>
        </w:rPr>
        <w:t>成交通知书</w:t>
      </w:r>
      <w:r>
        <w:rPr>
          <w:rFonts w:hint="eastAsia" w:ascii="宋体" w:hAnsi="宋体" w:eastAsia="宋体" w:cs="宋体"/>
          <w:b/>
          <w:color w:val="auto"/>
          <w:kern w:val="0"/>
          <w:sz w:val="24"/>
          <w:szCs w:val="24"/>
          <w:highlight w:val="none"/>
          <w:u w:val="single"/>
        </w:rPr>
        <w:t>；工程施工合同及有关会议纪要；图纸会审记录</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lang w:val="en-US" w:eastAsia="zh-CN"/>
        </w:rPr>
        <w:t>如有</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；设计施工图纸、变更修改图纸</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lang w:val="en-US" w:eastAsia="zh-CN"/>
        </w:rPr>
        <w:t>如有</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竣工图纸；设计变更通知单及联系单；施工变更签证；隐蔽工程竣工验收记录；承包人的送审工程结算书；施工组织设计；甲供材料清单（如有），包括品种、数量、单价、金额；开竣工报告；施工过程中发生的经监理、造价公司及发包人共同签批的新增单价或新增材料批价单；工程竣工验收证明书等；累计已实际支付的合同价款；实际应支付的竣工结算款金额</w:t>
      </w:r>
      <w:r>
        <w:rPr>
          <w:rFonts w:hint="eastAsia" w:ascii="宋体" w:hAnsi="宋体" w:eastAsia="宋体" w:cs="宋体"/>
          <w:color w:val="auto"/>
          <w:kern w:val="0"/>
          <w:sz w:val="24"/>
          <w:szCs w:val="24"/>
          <w:highlight w:val="none"/>
        </w:rPr>
        <w:t>。</w:t>
      </w:r>
    </w:p>
    <w:p w14:paraId="32200F8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竣工结算审核</w:t>
      </w:r>
    </w:p>
    <w:p w14:paraId="6C673C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发包人审批竣工结算申请单的期限：</w:t>
      </w:r>
      <w:r>
        <w:rPr>
          <w:rFonts w:hint="eastAsia" w:ascii="宋体" w:hAnsi="宋体" w:eastAsia="宋体" w:cs="宋体"/>
          <w:b/>
          <w:color w:val="auto"/>
          <w:kern w:val="0"/>
          <w:sz w:val="24"/>
          <w:szCs w:val="24"/>
          <w:highlight w:val="none"/>
          <w:u w:val="single"/>
        </w:rPr>
        <w:t>（1）发包人收到承包人提交的工程竣工结算申请资料后14个工作日内对结算资料的完整性进行核实，发包人对竣工结算申请单有异议的，有权要求承包人进行修正和提供补充资料，承包人应提交修正后的竣工结算申请单；（2）经核实的竣工结算申请单由发包人送交给</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审核，</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收到完整的竣工结算申请单之日起</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天内完成工程结算审核并向发包人、承包人提交结算审核成果书；（3）发包人对承包人严重不平衡报价项目有调整的权利及承包人对招标清单错误理解的报价；（4）发包人、承包人收到</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提交的结算审核成果书后，经双方确认无异议后签定审核成果定案书，发包人签发竣工付款证书。</w:t>
      </w:r>
    </w:p>
    <w:p w14:paraId="118D94C6">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发包人完成竣工付款的期限</w:t>
      </w:r>
      <w:r>
        <w:rPr>
          <w:rFonts w:hint="eastAsia" w:ascii="宋体" w:hAnsi="宋体" w:eastAsia="宋体" w:cs="宋体"/>
          <w:b/>
          <w:color w:val="auto"/>
          <w:kern w:val="0"/>
          <w:sz w:val="24"/>
          <w:szCs w:val="24"/>
          <w:highlight w:val="none"/>
        </w:rPr>
        <w:t>：</w:t>
      </w:r>
      <w:r>
        <w:rPr>
          <w:rFonts w:hint="eastAsia" w:ascii="宋体" w:hAnsi="宋体" w:eastAsia="宋体" w:cs="宋体"/>
          <w:b/>
          <w:color w:val="auto"/>
          <w:kern w:val="0"/>
          <w:sz w:val="24"/>
          <w:szCs w:val="24"/>
          <w:highlight w:val="none"/>
          <w:u w:val="single"/>
        </w:rPr>
        <w:t>发包人根据资金到位情况完成对承包人的竣工付款。</w:t>
      </w:r>
    </w:p>
    <w:p w14:paraId="1714D47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关于竣工付款证书异议部分复核的方式和程序：</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246BF252">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b/>
          <w:bCs/>
          <w:color w:val="auto"/>
          <w:kern w:val="0"/>
          <w:sz w:val="24"/>
          <w:szCs w:val="24"/>
          <w:highlight w:val="none"/>
          <w:lang w:val="en-US" w:eastAsia="zh-CN"/>
        </w:rPr>
        <w:t>本项目由造价咨询单位进行竣工结算审核，结算审核时，审减额小于送审额的5%（不含）时，审核费用由发包人承担；审减额达到送审额的5%（含）-10%（不含）时，审核费用由发包人和承包人各承担50%；审减额大于送审额的10%（含）时，审核费用由承包人全额承担。如承包人须承担审核费用，承包人应在发包人支付工程结算尾款前向造价咨询单位支付其所承担的审核费用。</w:t>
      </w:r>
    </w:p>
    <w:p w14:paraId="4E6520C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 最终结清</w:t>
      </w:r>
    </w:p>
    <w:p w14:paraId="4DAE5D2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1F365A9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rPr>
        <w:t>。</w:t>
      </w:r>
    </w:p>
    <w:p w14:paraId="4C86E9E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rPr>
        <w:t xml:space="preserve">。 </w:t>
      </w:r>
    </w:p>
    <w:p w14:paraId="05B5277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14.4.2 最终结清证书和支付</w:t>
      </w:r>
    </w:p>
    <w:p w14:paraId="32097EE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（1）发包人完成最终结清申请单的审批并颁发最终结清证书的期限：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按专用合同条款12.4.4执行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487CB3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（2）发包人完成支付的期限：</w:t>
      </w:r>
      <w:r>
        <w:rPr>
          <w:rFonts w:hint="eastAsia" w:ascii="宋体" w:hAnsi="宋体" w:eastAsia="宋体" w:cs="宋体"/>
          <w:b/>
          <w:color w:val="auto"/>
          <w:kern w:val="0"/>
          <w:sz w:val="24"/>
          <w:szCs w:val="24"/>
          <w:highlight w:val="none"/>
          <w:u w:val="single"/>
        </w:rPr>
        <w:t>按专用合同条款12.4.4执行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837"/>
    <w:bookmarkEnd w:id="838"/>
    <w:bookmarkEnd w:id="839"/>
    <w:bookmarkEnd w:id="840"/>
    <w:bookmarkEnd w:id="841"/>
    <w:bookmarkEnd w:id="842"/>
    <w:bookmarkEnd w:id="843"/>
    <w:bookmarkEnd w:id="849"/>
    <w:p w14:paraId="5CFD2836">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51" w:name="_Toc351203647"/>
      <w:bookmarkStart w:id="852" w:name="_Toc267251483"/>
      <w:bookmarkStart w:id="853" w:name="_Toc267251482"/>
      <w:bookmarkStart w:id="854" w:name="_Toc267251484"/>
      <w:bookmarkStart w:id="855" w:name="_Toc267251485"/>
      <w:bookmarkStart w:id="856" w:name="_Toc267251486"/>
      <w:bookmarkStart w:id="857" w:name="_Toc267251490"/>
      <w:bookmarkStart w:id="858" w:name="_Toc267251488"/>
      <w:bookmarkStart w:id="859" w:name="_Toc267251489"/>
      <w:bookmarkStart w:id="860" w:name="_Toc267251491"/>
      <w:bookmarkStart w:id="861" w:name="_Toc267251496"/>
      <w:bookmarkStart w:id="862" w:name="_Toc267251494"/>
      <w:bookmarkStart w:id="863" w:name="_Toc267251497"/>
      <w:bookmarkStart w:id="864" w:name="_Toc267251499"/>
      <w:bookmarkStart w:id="865" w:name="_Toc267251502"/>
      <w:bookmarkStart w:id="866" w:name="_Toc267251501"/>
      <w:bookmarkStart w:id="867" w:name="_Toc267251498"/>
      <w:bookmarkStart w:id="868" w:name="_Toc267251503"/>
      <w:bookmarkStart w:id="869" w:name="_Toc267251495"/>
      <w:bookmarkStart w:id="870" w:name="_Toc267251493"/>
      <w:bookmarkStart w:id="871" w:name="_Toc267251492"/>
      <w:bookmarkStart w:id="872" w:name="_Toc267251504"/>
      <w:bookmarkStart w:id="873" w:name="_Toc267251506"/>
      <w:bookmarkStart w:id="874" w:name="_Toc267251507"/>
      <w:bookmarkStart w:id="875" w:name="_Toc267251508"/>
      <w:bookmarkStart w:id="876" w:name="_Toc267251511"/>
      <w:bookmarkStart w:id="877" w:name="_Toc267251510"/>
      <w:bookmarkStart w:id="878" w:name="_Toc267251513"/>
      <w:bookmarkStart w:id="879" w:name="_Toc267251515"/>
      <w:bookmarkStart w:id="880" w:name="_Toc267251514"/>
      <w:bookmarkStart w:id="881" w:name="_Toc267251509"/>
      <w:r>
        <w:rPr>
          <w:rFonts w:hint="eastAsia" w:ascii="宋体" w:hAnsi="宋体" w:eastAsia="宋体" w:cs="宋体"/>
          <w:color w:val="auto"/>
          <w:kern w:val="0"/>
          <w:sz w:val="24"/>
          <w:szCs w:val="24"/>
          <w:highlight w:val="none"/>
        </w:rPr>
        <w:t>15. 缺陷责任期与保修</w:t>
      </w:r>
      <w:bookmarkEnd w:id="851"/>
    </w:p>
    <w:p w14:paraId="2923593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15.2缺陷责任期</w:t>
      </w:r>
      <w:bookmarkEnd w:id="852"/>
    </w:p>
    <w:p w14:paraId="498BD9E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缺陷责任期的具体期限：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24个月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853"/>
    <w:bookmarkEnd w:id="854"/>
    <w:p w14:paraId="763D7F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p>
    <w:p w14:paraId="7358199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承包人是否提供</w:t>
      </w:r>
      <w:r>
        <w:rPr>
          <w:rFonts w:hint="eastAsia" w:ascii="宋体" w:hAnsi="宋体" w:eastAsia="宋体" w:cs="宋体"/>
          <w:color w:val="auto"/>
          <w:sz w:val="24"/>
          <w:szCs w:val="24"/>
          <w:highlight w:val="none"/>
          <w:lang w:val="en-US" w:eastAsia="zh-CN"/>
        </w:rPr>
        <w:t>质量保证金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17BC7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承包人提供</w:t>
      </w:r>
      <w:r>
        <w:rPr>
          <w:rFonts w:hint="eastAsia" w:ascii="宋体" w:hAnsi="宋体" w:eastAsia="宋体" w:cs="宋体"/>
          <w:color w:val="auto"/>
          <w:sz w:val="24"/>
          <w:szCs w:val="24"/>
          <w:highlight w:val="none"/>
          <w:lang w:val="en-US" w:eastAsia="zh-CN"/>
        </w:rPr>
        <w:t>质量保证金</w:t>
      </w:r>
      <w:r>
        <w:rPr>
          <w:rFonts w:hint="eastAsia" w:ascii="宋体" w:hAnsi="宋体" w:eastAsia="宋体" w:cs="宋体"/>
          <w:color w:val="auto"/>
          <w:sz w:val="24"/>
          <w:szCs w:val="24"/>
          <w:highlight w:val="none"/>
        </w:rPr>
        <w:t>的形式、金额及期限：</w:t>
      </w:r>
    </w:p>
    <w:p w14:paraId="4A20616C">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none"/>
          <w:lang w:val="zh-CN"/>
        </w:rPr>
      </w:pPr>
      <w:r>
        <w:rPr>
          <w:rFonts w:hint="eastAsia" w:ascii="宋体" w:hAnsi="宋体" w:eastAsia="宋体" w:cs="宋体"/>
          <w:b w:val="0"/>
          <w:bCs w:val="0"/>
          <w:color w:val="auto"/>
          <w:kern w:val="0"/>
          <w:sz w:val="24"/>
          <w:szCs w:val="24"/>
          <w:highlight w:val="none"/>
          <w:u w:val="none"/>
          <w:lang w:val="en-US" w:eastAsia="zh-CN"/>
        </w:rPr>
        <w:t>①</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的形式：</w:t>
      </w:r>
      <w:r>
        <w:rPr>
          <w:rFonts w:hint="eastAsia" w:ascii="宋体" w:hAnsi="宋体" w:eastAsia="宋体" w:cs="宋体"/>
          <w:b/>
          <w:bCs/>
          <w:color w:val="auto"/>
          <w:kern w:val="0"/>
          <w:sz w:val="24"/>
          <w:szCs w:val="24"/>
          <w:highlight w:val="none"/>
          <w:u w:val="single"/>
          <w:lang w:val="zh-CN"/>
        </w:rPr>
        <w:t>银行转账</w:t>
      </w:r>
      <w:r>
        <w:rPr>
          <w:rFonts w:hint="eastAsia" w:ascii="宋体" w:hAnsi="宋体" w:eastAsia="宋体" w:cs="宋体"/>
          <w:b w:val="0"/>
          <w:bCs w:val="0"/>
          <w:color w:val="auto"/>
          <w:kern w:val="0"/>
          <w:sz w:val="24"/>
          <w:szCs w:val="24"/>
          <w:highlight w:val="none"/>
          <w:u w:val="none"/>
          <w:lang w:val="zh-CN"/>
        </w:rPr>
        <w:t>。</w:t>
      </w:r>
    </w:p>
    <w:p w14:paraId="0058F83C">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none"/>
          <w:lang w:val="zh-CN"/>
        </w:rPr>
      </w:pPr>
      <w:r>
        <w:rPr>
          <w:rFonts w:hint="eastAsia" w:ascii="宋体" w:hAnsi="宋体" w:eastAsia="宋体" w:cs="宋体"/>
          <w:b w:val="0"/>
          <w:bCs w:val="0"/>
          <w:color w:val="auto"/>
          <w:kern w:val="0"/>
          <w:sz w:val="24"/>
          <w:szCs w:val="24"/>
          <w:highlight w:val="none"/>
          <w:u w:val="none"/>
          <w:lang w:val="en-US" w:eastAsia="zh-CN"/>
        </w:rPr>
        <w:t>②</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的金额：</w:t>
      </w:r>
      <w:r>
        <w:rPr>
          <w:rFonts w:hint="eastAsia" w:ascii="宋体" w:hAnsi="宋体" w:eastAsia="宋体" w:cs="宋体"/>
          <w:b/>
          <w:bCs/>
          <w:color w:val="auto"/>
          <w:kern w:val="0"/>
          <w:sz w:val="24"/>
          <w:szCs w:val="24"/>
          <w:highlight w:val="none"/>
          <w:u w:val="single"/>
          <w:lang w:val="zh-CN" w:eastAsia="zh-CN"/>
        </w:rPr>
        <w:t>按工程价款结算总额的3%交纳。</w:t>
      </w:r>
    </w:p>
    <w:p w14:paraId="51CB84D9">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single"/>
          <w:lang w:val="en-US" w:eastAsia="zh-CN"/>
        </w:rPr>
      </w:pPr>
      <w:r>
        <w:rPr>
          <w:rFonts w:hint="eastAsia" w:ascii="宋体" w:hAnsi="宋体" w:eastAsia="宋体" w:cs="宋体"/>
          <w:b w:val="0"/>
          <w:bCs w:val="0"/>
          <w:color w:val="auto"/>
          <w:kern w:val="0"/>
          <w:sz w:val="24"/>
          <w:szCs w:val="24"/>
          <w:highlight w:val="none"/>
          <w:u w:val="none"/>
          <w:lang w:val="en-US" w:eastAsia="zh-CN"/>
        </w:rPr>
        <w:t>③</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en-US" w:eastAsia="zh-CN"/>
        </w:rPr>
        <w:t>的交纳时间：</w:t>
      </w:r>
      <w:r>
        <w:rPr>
          <w:rFonts w:hint="eastAsia" w:ascii="宋体" w:hAnsi="宋体" w:eastAsia="宋体" w:cs="宋体"/>
          <w:b/>
          <w:bCs/>
          <w:color w:val="auto"/>
          <w:kern w:val="0"/>
          <w:sz w:val="24"/>
          <w:szCs w:val="24"/>
          <w:highlight w:val="none"/>
          <w:u w:val="single"/>
          <w:lang w:val="en-US" w:eastAsia="zh-CN"/>
        </w:rPr>
        <w:t>工程竣工验收合格且工程竣工结算审核完成后5个工作日内将质量保证金转账至向发包人指定账户</w:t>
      </w:r>
      <w:r>
        <w:rPr>
          <w:rFonts w:hint="eastAsia" w:ascii="宋体" w:hAnsi="宋体" w:eastAsia="宋体" w:cs="宋体"/>
          <w:b w:val="0"/>
          <w:bCs w:val="0"/>
          <w:color w:val="auto"/>
          <w:kern w:val="0"/>
          <w:sz w:val="24"/>
          <w:szCs w:val="24"/>
          <w:highlight w:val="none"/>
          <w:u w:val="none"/>
          <w:lang w:val="zh-CN"/>
        </w:rPr>
        <w:t>。</w:t>
      </w:r>
    </w:p>
    <w:p w14:paraId="2AF0114A">
      <w:pPr>
        <w:keepNext w:val="0"/>
        <w:keepLines w:val="0"/>
        <w:pageBreakBefore w:val="0"/>
        <w:kinsoku/>
        <w:wordWrap w:val="0"/>
        <w:overflowPunct/>
        <w:topLinePunct w:val="0"/>
        <w:autoSpaceDE w:val="0"/>
        <w:autoSpaceDN w:val="0"/>
        <w:bidi w:val="0"/>
        <w:adjustRightInd w:val="0"/>
        <w:spacing w:line="50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sz w:val="24"/>
          <w:szCs w:val="24"/>
          <w:highlight w:val="none"/>
        </w:rPr>
        <w:t>质量保证金</w:t>
      </w:r>
      <w:r>
        <w:rPr>
          <w:rFonts w:hint="eastAsia" w:ascii="宋体" w:hAnsi="宋体" w:eastAsia="宋体" w:cs="宋体"/>
          <w:b w:val="0"/>
          <w:bCs w:val="0"/>
          <w:color w:val="auto"/>
          <w:kern w:val="0"/>
          <w:sz w:val="24"/>
          <w:szCs w:val="24"/>
          <w:highlight w:val="none"/>
        </w:rPr>
        <w:t>的退还</w:t>
      </w:r>
    </w:p>
    <w:p w14:paraId="6B81CC48">
      <w:pPr>
        <w:keepNext w:val="0"/>
        <w:keepLines w:val="0"/>
        <w:pageBreakBefore w:val="0"/>
        <w:kinsoku/>
        <w:wordWrap w:val="0"/>
        <w:overflowPunct/>
        <w:topLinePunct w:val="0"/>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缺陷责任期内，</w:t>
      </w:r>
      <w:r>
        <w:rPr>
          <w:rFonts w:hint="eastAsia" w:ascii="宋体" w:hAnsi="宋体" w:eastAsia="宋体" w:cs="宋体"/>
          <w:b w:val="0"/>
          <w:bCs w:val="0"/>
          <w:color w:val="auto"/>
          <w:kern w:val="0"/>
          <w:sz w:val="24"/>
          <w:szCs w:val="24"/>
          <w:highlight w:val="none"/>
          <w:u w:val="none"/>
          <w:lang w:val="zh-CN"/>
        </w:rPr>
        <w:t>如果承包人不</w:t>
      </w:r>
      <w:r>
        <w:rPr>
          <w:rFonts w:hint="eastAsia" w:ascii="宋体" w:hAnsi="宋体" w:eastAsia="宋体" w:cs="宋体"/>
          <w:color w:val="auto"/>
          <w:kern w:val="0"/>
          <w:sz w:val="24"/>
          <w:szCs w:val="24"/>
          <w:highlight w:val="none"/>
        </w:rPr>
        <w:t>履行缺陷修补</w:t>
      </w:r>
      <w:r>
        <w:rPr>
          <w:rFonts w:hint="eastAsia" w:ascii="宋体" w:hAnsi="宋体" w:eastAsia="宋体" w:cs="宋体"/>
          <w:b w:val="0"/>
          <w:bCs w:val="0"/>
          <w:color w:val="auto"/>
          <w:kern w:val="0"/>
          <w:sz w:val="24"/>
          <w:szCs w:val="24"/>
          <w:highlight w:val="none"/>
          <w:u w:val="none"/>
          <w:lang w:val="zh-CN"/>
        </w:rPr>
        <w:t>的约定，发包人有权扣划相应金额的</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w:t>
      </w:r>
      <w:r>
        <w:rPr>
          <w:rFonts w:hint="eastAsia" w:ascii="宋体" w:hAnsi="宋体" w:eastAsia="宋体" w:cs="宋体"/>
          <w:color w:val="auto"/>
          <w:kern w:val="0"/>
          <w:sz w:val="24"/>
          <w:szCs w:val="24"/>
          <w:highlight w:val="none"/>
        </w:rPr>
        <w:t>承包人认真履行合同约定的责任，到期后，承包人可向发包人申请返还保证金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工程无质量问题或质量缺陷全部处理完毕后，</w:t>
      </w:r>
      <w:r>
        <w:rPr>
          <w:rFonts w:hint="eastAsia" w:ascii="宋体" w:hAnsi="宋体" w:eastAsia="宋体" w:cs="宋体"/>
          <w:b w:val="0"/>
          <w:bCs w:val="0"/>
          <w:color w:val="auto"/>
          <w:kern w:val="0"/>
          <w:sz w:val="24"/>
          <w:szCs w:val="24"/>
          <w:highlight w:val="none"/>
          <w:u w:val="none"/>
          <w:lang w:val="zh-CN"/>
        </w:rPr>
        <w:t>发包人无息返还剩余部分</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en-US" w:eastAsia="zh-CN"/>
        </w:rPr>
        <w:t>。</w:t>
      </w:r>
    </w:p>
    <w:p w14:paraId="719BF4E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15.4保修</w:t>
      </w:r>
    </w:p>
    <w:bookmarkEnd w:id="855"/>
    <w:p w14:paraId="268683D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 保修责任</w:t>
      </w:r>
    </w:p>
    <w:p w14:paraId="1F19842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见工程质量保修书 </w:t>
      </w:r>
      <w:r>
        <w:rPr>
          <w:rFonts w:hint="eastAsia" w:ascii="宋体" w:hAnsi="宋体" w:eastAsia="宋体" w:cs="宋体"/>
          <w:color w:val="auto"/>
          <w:kern w:val="0"/>
          <w:sz w:val="24"/>
          <w:szCs w:val="24"/>
          <w:highlight w:val="none"/>
        </w:rPr>
        <w:t>。</w:t>
      </w:r>
    </w:p>
    <w:p w14:paraId="5CE6466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 修复通知</w:t>
      </w:r>
    </w:p>
    <w:p w14:paraId="005D9E8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b/>
          <w:color w:val="auto"/>
          <w:kern w:val="0"/>
          <w:sz w:val="24"/>
          <w:szCs w:val="24"/>
          <w:highlight w:val="none"/>
          <w:u w:val="single"/>
        </w:rPr>
        <w:t>24小时</w:t>
      </w:r>
      <w:r>
        <w:rPr>
          <w:rFonts w:hint="eastAsia" w:ascii="宋体" w:hAnsi="宋体" w:eastAsia="宋体" w:cs="宋体"/>
          <w:color w:val="auto"/>
          <w:kern w:val="0"/>
          <w:sz w:val="24"/>
          <w:szCs w:val="24"/>
          <w:highlight w:val="none"/>
        </w:rPr>
        <w:t>。</w:t>
      </w:r>
    </w:p>
    <w:bookmarkEnd w:id="856"/>
    <w:bookmarkEnd w:id="857"/>
    <w:bookmarkEnd w:id="858"/>
    <w:bookmarkEnd w:id="859"/>
    <w:p w14:paraId="1A830F1E">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82" w:name="_Toc351203648"/>
      <w:bookmarkStart w:id="883" w:name="_Toc280868717"/>
      <w:bookmarkStart w:id="884" w:name="_Toc280868718"/>
      <w:r>
        <w:rPr>
          <w:rFonts w:hint="eastAsia" w:ascii="宋体" w:hAnsi="宋体" w:eastAsia="宋体" w:cs="宋体"/>
          <w:color w:val="auto"/>
          <w:kern w:val="0"/>
          <w:sz w:val="24"/>
          <w:szCs w:val="24"/>
          <w:highlight w:val="none"/>
        </w:rPr>
        <w:t>16. 违约</w:t>
      </w:r>
      <w:bookmarkEnd w:id="882"/>
    </w:p>
    <w:p w14:paraId="71AEC2D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发包人违约</w:t>
      </w:r>
    </w:p>
    <w:p w14:paraId="4FAD9C3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16.1.1发包人违约的情形</w:t>
      </w:r>
    </w:p>
    <w:p w14:paraId="2FB271B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0C4F8B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16.1.2 发包人违约的责任</w:t>
      </w:r>
    </w:p>
    <w:p w14:paraId="1B34747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65DBF81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工期顺延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25A40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 签订合同时双方另行约定</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BE4694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b/>
          <w:color w:val="auto"/>
          <w:kern w:val="0"/>
          <w:sz w:val="24"/>
          <w:szCs w:val="24"/>
          <w:highlight w:val="none"/>
          <w:u w:val="single"/>
        </w:rPr>
        <w:t xml:space="preserve"> 发包人应承担因其违约给承包人增加的费用 </w:t>
      </w:r>
      <w:r>
        <w:rPr>
          <w:rFonts w:hint="eastAsia" w:ascii="宋体" w:hAnsi="宋体" w:eastAsia="宋体" w:cs="宋体"/>
          <w:color w:val="auto"/>
          <w:kern w:val="0"/>
          <w:sz w:val="24"/>
          <w:szCs w:val="24"/>
          <w:highlight w:val="none"/>
        </w:rPr>
        <w:t>。</w:t>
      </w:r>
    </w:p>
    <w:p w14:paraId="6AB887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发包人应承担因其违约给承包人增加的费用</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BF8B30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113E1C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0A0FC0F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04115D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16.1.3 因发包人违约解除合同</w:t>
      </w:r>
    </w:p>
    <w:p w14:paraId="710034B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w:t>
      </w:r>
      <w:r>
        <w:rPr>
          <w:rFonts w:hint="eastAsia" w:ascii="宋体" w:hAnsi="宋体" w:eastAsia="宋体" w:cs="宋体"/>
          <w:color w:val="auto"/>
          <w:kern w:val="0"/>
          <w:sz w:val="24"/>
          <w:szCs w:val="24"/>
          <w:highlight w:val="none"/>
          <w:lang w:val="en-US" w:eastAsia="zh-CN"/>
        </w:rPr>
        <w:t>第</w:t>
      </w:r>
      <w:r>
        <w:rPr>
          <w:rFonts w:hint="eastAsia" w:ascii="宋体" w:hAnsi="宋体" w:eastAsia="宋体" w:cs="宋体"/>
          <w:color w:val="auto"/>
          <w:kern w:val="0"/>
          <w:sz w:val="24"/>
          <w:szCs w:val="24"/>
          <w:highlight w:val="none"/>
        </w:rPr>
        <w:t>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611F6B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 承包人违约</w:t>
      </w:r>
    </w:p>
    <w:p w14:paraId="103CD02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19E42EC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（8）承包人未能按照合同约定履行其他义务：</w:t>
      </w:r>
    </w:p>
    <w:p w14:paraId="0918E03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①承包人未按合同文件的规定或承包人的承诺组织主要施工设备和工程技术及管理人员进场；或者未经发包人和监理人批准，承包人私自将已按合同规定进入施工场地的施工设备、临时设施或材料撤离施工场地。承包人项目经理或技术负责人、安全负责人未经发包人同意擅自离开工地。除不可抗力因素外，无论任何原因，承包人无权停工，否则视为违约。</w:t>
      </w:r>
    </w:p>
    <w:p w14:paraId="1C2A17A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②本项目未能按合同约定支付合同价款的，承包人保证工程不停工、如期推进，在此时间内未经发包人书面同意，承包人无权停工，否则视为违约。  </w:t>
      </w:r>
    </w:p>
    <w:p w14:paraId="2E79E7A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 承包人违约的责任</w:t>
      </w:r>
    </w:p>
    <w:p w14:paraId="1D6EBF4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本合同中关于承包人违约的具体责任如下：</w:t>
      </w:r>
    </w:p>
    <w:p w14:paraId="41A121E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违反合同约定延期开工的，每延迟开工1天，应给发包人支付本工程签约合同价的5‰的违约金，但最多不超过签约合同价的10%；迟延开工超过7天的，发包人有权解除合同，将本工程另行发包，并不免除承包人的违约赔偿责任。</w:t>
      </w:r>
    </w:p>
    <w:p w14:paraId="5C1D784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（2）承包人违反合同约定，造成一般节点工期延误时，发包人有权视严重程度做出一般违约至解除合同的违约处罚。造成发包人经济损失的，承包人应据实赔偿。</w:t>
      </w:r>
    </w:p>
    <w:p w14:paraId="70D5F2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承包人原因造成单项工程未能通过竣工验收，按该单项工程造价的15%承担违约金。同时，应无条件负责返工、修复、重做直至验收合同为止，由此造成工期延误的，违约金按专用合同条款第7.5.2项另行计算并累加。如果发包人认为需要交由第三方处理返工、修复、重做等事项的，由此发生全部费用由承包人承担。</w:t>
      </w:r>
    </w:p>
    <w:p w14:paraId="36E3ED7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（4）如果工程验收时的施工质量没有达到一次验收合格率100%，按专用合同条款第13.2.6项执行。</w:t>
      </w:r>
    </w:p>
    <w:p w14:paraId="0E9CDE1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承包人的施工行为，包括工程质量不合格造成对发包人或其他第三人损害的（包括在施工过程中和使用过程中造成的损害），由承包人负责赔偿发包人或第三人的损失。承包人因履行本合同而造成自己及其所派人员受到任何人身伤害、死亡或者发生各种经济损失，其赔偿责任均由承包人承担。</w:t>
      </w:r>
    </w:p>
    <w:p w14:paraId="4A8B097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甲、乙双方视情况协商解决，承包人需按合同价的</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向发包人支付违约金，情节特别严重时，发包人有权根据实际情节解除合同。</w:t>
      </w:r>
    </w:p>
    <w:p w14:paraId="78DFA80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（7）承包人擅自转包或违法分包工程的，发包人有权单方部分解除合同或解除合同，由此而造成的经济损失由承包人负责赔偿。</w:t>
      </w:r>
    </w:p>
    <w:p w14:paraId="473BF4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（8）人员和设备投入不到位的违约责任</w:t>
      </w:r>
    </w:p>
    <w:p w14:paraId="27D7397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①承包人违反专用合同条款约定的，每发现一例，承包人必须按照总监理工程师或发包人的指令限期改正，并承担一般违约责任；承包人拒不限期改正的，必须承担严重违约责任，直至部分或全部解除合同。</w:t>
      </w:r>
    </w:p>
    <w:p w14:paraId="0074AC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必须服从监理单位及发包人的管理，主动支持监理单位发包人的工作，对监理单位及发包人的指令，若无正当理由而公开或变相拒不执行的，发包人有权视情节严重程度给予一般违约及以上的处罚，由此造成的一切经济损失由承包人承担。</w:t>
      </w:r>
    </w:p>
    <w:p w14:paraId="278F781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③承包人的项目经理或技术负责人必须参加监理单位或发包人主持的工程例会和其他要求的专题会议。除获得监理单位或发包人批准外，每缺席1次，承包人须承担1次一般违约责任。</w:t>
      </w:r>
    </w:p>
    <w:p w14:paraId="2850971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（9）农民工工资支付方面的违约责任</w:t>
      </w:r>
    </w:p>
    <w:p w14:paraId="79586A2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违反本合同关于农民工工资支付的规定，被农民工投诉属实的，承包人必须在3天内予以发放拖欠的款项。若继续拖延被投诉2次及以上，经查实，承包人必须承担一般违约责任1次。同时，每发生一起类似事件，须向发包人交纳违约金人民币10万元／次。若仍然不予整改并发放拖欠的款项，使农民工采取停工、集聚围阻发包人办公地点甚至政府办公部门等行动的，承包人必须承担严重违约责任，并立即采取切实有效措施予以整改，同时须向发包人交纳罚金人民币15万元／次；拒不采取切实有效的措施整改的，或整改效果不明显的，发包人有权部分或全部解除合同，并要求承包人赔偿由此造成的损失。</w:t>
      </w:r>
    </w:p>
    <w:p w14:paraId="2C5D410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发生拖欠、克扣农民工工资行为的，由人力资源社会保障行政部门责令承包人限期支付。逾期未支付的，人力资源社会保障行政部门向承包人开具划支农民工工资保证金书面通知，由承包人在人力资源社会保障行政部门组织和监督下，使用农民工工资保证金支付被拖欠、克扣的农民工工资，并按照《劳动保障监察条例》的有关规定处理。</w:t>
      </w:r>
    </w:p>
    <w:p w14:paraId="706946F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（10）承包人违约责任的承担方式和计算方法：</w:t>
      </w:r>
      <w:r>
        <w:rPr>
          <w:rFonts w:hint="eastAsia" w:ascii="宋体" w:hAnsi="宋体" w:eastAsia="宋体" w:cs="宋体"/>
          <w:b/>
          <w:bCs/>
          <w:color w:val="auto"/>
          <w:kern w:val="0"/>
          <w:sz w:val="24"/>
          <w:szCs w:val="24"/>
          <w:highlight w:val="none"/>
          <w:u w:val="single"/>
        </w:rPr>
        <w:t>由承包人承担全部经济损失（包括按照约定承担并支付违约金）。同时，发包人有权暂停支付所有未付工程款，情节严重的或者发包人认为有必要时，发包人有权解除、终止合同，并追究承包人违约责任，违约经济损失由发包人在工程造价的20%范围内自行确定</w:t>
      </w:r>
      <w:r>
        <w:rPr>
          <w:rFonts w:hint="eastAsia" w:ascii="宋体" w:hAnsi="宋体" w:eastAsia="宋体" w:cs="宋体"/>
          <w:color w:val="auto"/>
          <w:kern w:val="0"/>
          <w:sz w:val="24"/>
          <w:szCs w:val="24"/>
          <w:highlight w:val="none"/>
        </w:rPr>
        <w:t>。</w:t>
      </w:r>
    </w:p>
    <w:p w14:paraId="13BD881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16.2.3 因承包人违约解除合同</w:t>
      </w:r>
    </w:p>
    <w:p w14:paraId="4E69BF5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b/>
          <w:bCs/>
          <w:color w:val="auto"/>
          <w:kern w:val="0"/>
          <w:sz w:val="24"/>
          <w:szCs w:val="24"/>
          <w:highlight w:val="none"/>
          <w:u w:val="single"/>
        </w:rPr>
        <w:t>因为承包人违约或者发包人根据约定，决定解除终止合同的，发包人有权按合同约定追索、扣收违约经济损失（包括约定违约金）和相关费用。承包人应当在发包人解除合同决定做出之日起30日内提交已经完成工程量的结算报告给监理工程师、发包人审定，并同时退场、向发包人或指定的人移交施工现场。发包人应当30日内完成对承包人提交的已经完成工程量结算报告的审定，并按审定结果进行结算支付，若承包人对审定结果有异议的，承包人可以通过向人民法院提起起诉讼解决。承包人未按前述约定提交已经完成工程量结算报告的，以监理工程师、发包人出具的结算结果为准或者按照已经计量、签订的工程量结算处理。承包人逾期未按前述约定退场或者移交施工现场的，视为承包人放弃现场所有物品、设施设备的所有权并无偿交归发包人或指定的人处置，发包人或指定的人可以单方面直接接受管理现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B47BAF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双方另行协商</w:t>
      </w:r>
      <w:r>
        <w:rPr>
          <w:rFonts w:hint="eastAsia" w:ascii="宋体" w:hAnsi="宋体" w:eastAsia="宋体" w:cs="宋体"/>
          <w:color w:val="auto"/>
          <w:kern w:val="0"/>
          <w:sz w:val="24"/>
          <w:szCs w:val="24"/>
          <w:highlight w:val="none"/>
        </w:rPr>
        <w:t>。</w:t>
      </w:r>
    </w:p>
    <w:p w14:paraId="0486912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16.2.6根据专用合同条款第16.2款各项的规定，承包人违约须向发包人支付违约金或赔偿金时，发包人有权从应支付给承包人的工程款中直接抵扣，承包人不得有异议。</w:t>
      </w:r>
    </w:p>
    <w:p w14:paraId="3EBF0D1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16.2.7除上述约定之外，承包人有违反其他合同义务的，均构成违约，应当承担违约责任。</w:t>
      </w:r>
    </w:p>
    <w:p w14:paraId="1C3B683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16.2.8承包人违约，按照本合同规定承担违约责任并不免除其应该承担的其他法律责任。其赔偿责任包括但不限于经济损失、诉讼费、公证费、律师费及为实现权利产生的全部费用。</w:t>
      </w:r>
    </w:p>
    <w:p w14:paraId="746C6C5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16.2.9承包人除遵守以上约定外,还应遵守发包人制定的现场管理制度并承担相应责任,如有冲突以如上约定为准。</w:t>
      </w:r>
    </w:p>
    <w:p w14:paraId="62F99B7E">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85" w:name="_Toc351203649"/>
      <w:r>
        <w:rPr>
          <w:rFonts w:hint="eastAsia" w:ascii="宋体" w:hAnsi="宋体" w:eastAsia="宋体" w:cs="宋体"/>
          <w:color w:val="auto"/>
          <w:kern w:val="0"/>
          <w:sz w:val="24"/>
          <w:szCs w:val="24"/>
          <w:highlight w:val="none"/>
        </w:rPr>
        <w:t>17. 不可抗力</w:t>
      </w:r>
      <w:bookmarkEnd w:id="885"/>
      <w:r>
        <w:rPr>
          <w:rFonts w:hint="eastAsia" w:ascii="宋体" w:hAnsi="宋体" w:eastAsia="宋体" w:cs="宋体"/>
          <w:color w:val="auto"/>
          <w:kern w:val="0"/>
          <w:sz w:val="24"/>
          <w:szCs w:val="24"/>
          <w:highlight w:val="none"/>
        </w:rPr>
        <w:t xml:space="preserve"> </w:t>
      </w:r>
      <w:bookmarkEnd w:id="883"/>
    </w:p>
    <w:p w14:paraId="3616CB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 不可抗力的确认</w:t>
      </w:r>
    </w:p>
    <w:p w14:paraId="6EBC792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除通用合同条款约定的不可抗力事件之外，视为不可抗力的其他情形：</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CCA71D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17.4 因不可抗力解除合同</w:t>
      </w:r>
    </w:p>
    <w:p w14:paraId="4E84E2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合同解除后，发包人应在商定或确定发包人应支付款项后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120</w:t>
      </w:r>
      <w:r>
        <w:rPr>
          <w:rFonts w:hint="eastAsia" w:ascii="宋体" w:hAnsi="宋体" w:eastAsia="宋体" w:cs="宋体"/>
          <w:bCs/>
          <w:color w:val="auto"/>
          <w:kern w:val="0"/>
          <w:sz w:val="24"/>
          <w:szCs w:val="24"/>
          <w:highlight w:val="none"/>
        </w:rPr>
        <w:t>天</w:t>
      </w:r>
      <w:r>
        <w:rPr>
          <w:rFonts w:hint="eastAsia" w:ascii="宋体" w:hAnsi="宋体" w:eastAsia="宋体" w:cs="宋体"/>
          <w:color w:val="auto"/>
          <w:kern w:val="0"/>
          <w:sz w:val="24"/>
          <w:szCs w:val="24"/>
          <w:highlight w:val="none"/>
        </w:rPr>
        <w:t>内完成款项的支付。</w:t>
      </w:r>
    </w:p>
    <w:p w14:paraId="44C383DB">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86" w:name="_Toc351203650"/>
      <w:r>
        <w:rPr>
          <w:rFonts w:hint="eastAsia" w:ascii="宋体" w:hAnsi="宋体" w:eastAsia="宋体" w:cs="宋体"/>
          <w:color w:val="auto"/>
          <w:kern w:val="0"/>
          <w:sz w:val="24"/>
          <w:szCs w:val="24"/>
          <w:highlight w:val="none"/>
        </w:rPr>
        <w:t>18. 保险</w:t>
      </w:r>
      <w:bookmarkEnd w:id="886"/>
    </w:p>
    <w:bookmarkEnd w:id="860"/>
    <w:bookmarkEnd w:id="861"/>
    <w:bookmarkEnd w:id="862"/>
    <w:bookmarkEnd w:id="863"/>
    <w:bookmarkEnd w:id="864"/>
    <w:bookmarkEnd w:id="865"/>
    <w:bookmarkEnd w:id="866"/>
    <w:bookmarkEnd w:id="867"/>
    <w:bookmarkEnd w:id="868"/>
    <w:bookmarkEnd w:id="869"/>
    <w:bookmarkEnd w:id="870"/>
    <w:bookmarkEnd w:id="871"/>
    <w:bookmarkEnd w:id="884"/>
    <w:p w14:paraId="0F7FB52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887" w:name="_Toc351203651"/>
      <w:r>
        <w:rPr>
          <w:rFonts w:hint="eastAsia" w:ascii="宋体" w:hAnsi="宋体" w:eastAsia="宋体" w:cs="宋体"/>
          <w:color w:val="auto"/>
          <w:kern w:val="0"/>
          <w:sz w:val="24"/>
          <w:szCs w:val="24"/>
          <w:highlight w:val="none"/>
        </w:rPr>
        <w:t>18.1 工程保险</w:t>
      </w:r>
    </w:p>
    <w:p w14:paraId="20F24E1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承包人应投保建筑工程一切险或安装工程一切险，因投保产生的保险费和其他相关费用由承包人承担。</w:t>
      </w:r>
    </w:p>
    <w:p w14:paraId="7B78D5B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18.3 其他保险</w:t>
      </w:r>
    </w:p>
    <w:p w14:paraId="7247E2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关于其他保险的约定：</w:t>
      </w:r>
    </w:p>
    <w:p w14:paraId="2C3D7EC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投保施工设备险，投保项目及其保险金额由承包人根据其配备的施工设备状况自行确定，但承包人应充分估计主要施工设备可能发生的重大事故或因自然灾害造成施工设备的损失和损坏对工程的影响。</w:t>
      </w:r>
    </w:p>
    <w:p w14:paraId="142206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投保的施工设备险的保险期限应从承包人进点至颁发工程移交证书期间，除保险公司规定的除外责任以外的工程（包括材料和工程设备）和施工设备的损失和损坏，其费用已包含在承包人的工程价款中。</w:t>
      </w:r>
    </w:p>
    <w:p w14:paraId="5ECAF2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（3）在合同实施期间，承包人应为其雇用人员（包括分包人员）投保人身意外伤害险或雇主责任险。</w:t>
      </w:r>
    </w:p>
    <w:p w14:paraId="3C97176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应以发包人和承包人的共同名义投保在工地及其毗邻地带的第三方人员的人身伤害和财产损失的第三者责任险。此项投保不免除承包人和发包人各自应负的在其管辖区内及其毗邻地带发生的第三者人员人身伤害和财产损失的赔偿责任，其赔偿费用应包括赔偿费、诉讼费和其它有关费用。</w:t>
      </w:r>
    </w:p>
    <w:p w14:paraId="0D2EDC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18.5保险凭证</w:t>
      </w:r>
    </w:p>
    <w:p w14:paraId="5FA4EA1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合同签订后7天内向发包人提交各项保险生效的证据和保险单副本，保险单必须与专用合同条款约定的条件保持一致。若承包未在规定时间内提交各项保险生效的证据和保险单副本，发包人将强制保险，保险费在工程款中扣除。</w:t>
      </w:r>
    </w:p>
    <w:p w14:paraId="07507B9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18.7 通知义务</w:t>
      </w:r>
    </w:p>
    <w:p w14:paraId="2F2074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E916207">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19.索赔</w:t>
      </w:r>
    </w:p>
    <w:p w14:paraId="6930F13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19.6以下情况不属于索赔范围</w:t>
      </w:r>
    </w:p>
    <w:p w14:paraId="75E4773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施工进度滞后于进度计划，在发包人及监理人督促后，仍无法满足施工进度要求的情况下，发包人认为承包人不能按时完工时，可将剩余工程的全部或部分另行安排其他承包人施工，承包人不得为此提出索赔要求。</w:t>
      </w:r>
    </w:p>
    <w:p w14:paraId="0F92DFC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（2）发包人提前通知的计划停电（检修等）不属于索赔范围；非承包商原因引起的事故停电，每次连续停电时间小于48小时不属于索赔范围。</w:t>
      </w:r>
    </w:p>
    <w:p w14:paraId="374F9F80">
      <w:pPr>
        <w:keepNext w:val="0"/>
        <w:keepLines w:val="0"/>
        <w:pageBreakBefore w:val="0"/>
        <w:kinsoku/>
        <w:wordWrap w:val="0"/>
        <w:overflowPunct/>
        <w:topLinePunct w:val="0"/>
        <w:bidi w:val="0"/>
        <w:spacing w:after="0" w:afterLines="0" w:afterAutospacing="0"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（3）因当地居民阻扰施工未连续超过72小时内的风险费用，承包人应在</w:t>
      </w:r>
      <w:r>
        <w:rPr>
          <w:rFonts w:hint="eastAsia" w:ascii="宋体" w:hAnsi="宋体" w:eastAsia="宋体" w:cs="宋体"/>
          <w:color w:val="auto"/>
          <w:kern w:val="0"/>
          <w:sz w:val="24"/>
          <w:szCs w:val="24"/>
          <w:highlight w:val="none"/>
          <w:lang w:eastAsia="zh-CN"/>
        </w:rPr>
        <w:t>报价</w:t>
      </w:r>
      <w:r>
        <w:rPr>
          <w:rFonts w:hint="eastAsia" w:ascii="宋体" w:hAnsi="宋体" w:eastAsia="宋体" w:cs="宋体"/>
          <w:color w:val="auto"/>
          <w:kern w:val="0"/>
          <w:sz w:val="24"/>
          <w:szCs w:val="24"/>
          <w:highlight w:val="none"/>
        </w:rPr>
        <w:t>中自行考虑，不属于索赔范围。</w:t>
      </w:r>
    </w:p>
    <w:bookmarkEnd w:id="872"/>
    <w:bookmarkEnd w:id="873"/>
    <w:bookmarkEnd w:id="874"/>
    <w:bookmarkEnd w:id="887"/>
    <w:p w14:paraId="1DBA1995">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 争议解决</w:t>
      </w:r>
    </w:p>
    <w:p w14:paraId="1BE02CA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 争议评审</w:t>
      </w:r>
    </w:p>
    <w:p w14:paraId="6E904A5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合同当事人是否同意将工程争议提交争议评审小组决定：</w:t>
      </w:r>
      <w:r>
        <w:rPr>
          <w:rFonts w:hint="eastAsia" w:ascii="宋体" w:hAnsi="宋体" w:eastAsia="宋体" w:cs="宋体"/>
          <w:b/>
          <w:bCs/>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 xml:space="preserve">。  </w:t>
      </w:r>
    </w:p>
    <w:p w14:paraId="0D03AA4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20.3.1 争议评审小组的确定</w:t>
      </w:r>
    </w:p>
    <w:p w14:paraId="74BA01A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争议评审小组成员的确定：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F54D24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选定争议评审员的期限：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FCEB36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争议评审小组成员的报酬承担方式：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06EE6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其他事项的约定：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2F18FF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52127BE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合同当事人关于本项的约定：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FA8A7D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20.4仲裁或诉讼</w:t>
      </w:r>
      <w:bookmarkEnd w:id="875"/>
    </w:p>
    <w:p w14:paraId="680D8AF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因合同及合同有关事项发生的争议，按下列第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种方式解决：</w:t>
      </w:r>
    </w:p>
    <w:p w14:paraId="1E3C656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仲裁委员会申请仲裁；</w:t>
      </w:r>
    </w:p>
    <w:p w14:paraId="1E3E91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项目所在地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人民法院起诉。</w:t>
      </w:r>
      <w:bookmarkEnd w:id="876"/>
      <w:bookmarkEnd w:id="877"/>
      <w:bookmarkEnd w:id="878"/>
      <w:bookmarkEnd w:id="879"/>
      <w:bookmarkEnd w:id="880"/>
      <w:bookmarkEnd w:id="881"/>
    </w:p>
    <w:bookmarkEnd w:id="388"/>
    <w:p w14:paraId="2B52A9A9">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EDB3094">
      <w:pPr>
        <w:pageBreakBefore w:val="0"/>
        <w:widowControl w:val="0"/>
        <w:wordWrap w:val="0"/>
        <w:overflowPunct/>
        <w:spacing w:line="460" w:lineRule="exact"/>
        <w:jc w:val="both"/>
        <w:rPr>
          <w:rFonts w:hint="eastAsia" w:ascii="宋体" w:hAnsi="宋体" w:eastAsia="宋体" w:cs="宋体"/>
          <w:color w:val="auto"/>
          <w:kern w:val="1"/>
          <w:sz w:val="24"/>
          <w:szCs w:val="24"/>
          <w:highlight w:val="none"/>
          <w:lang w:val="en-US" w:eastAsia="zh-CN" w:bidi="ar-SA"/>
        </w:rPr>
      </w:pPr>
    </w:p>
    <w:p w14:paraId="0B2CE435">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BB915A9">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D23BE58">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3301AE3D">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66A681F">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6DFAD415">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1CF73394">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73937BC">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270EB114">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758648E5">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6AA1DA9F">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438E0FC">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21502A3">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EA2B5AB">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附件</w:t>
      </w:r>
    </w:p>
    <w:p w14:paraId="604C541D">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协议书附件：</w:t>
      </w:r>
    </w:p>
    <w:p w14:paraId="4804C7D0">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附件1：承包人承揽工程项目一览表</w:t>
      </w:r>
    </w:p>
    <w:p w14:paraId="4738C485">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p>
    <w:p w14:paraId="6AE51347">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专用合同条款附件：</w:t>
      </w:r>
    </w:p>
    <w:p w14:paraId="59AE291C">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：工程质量保修书</w:t>
      </w:r>
    </w:p>
    <w:p w14:paraId="3937F546">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：履约担保格式</w:t>
      </w:r>
    </w:p>
    <w:p w14:paraId="0411E7F3">
      <w:pPr>
        <w:keepNext w:val="0"/>
        <w:keepLines w:val="0"/>
        <w:pageBreakBefore w:val="0"/>
        <w:kinsoku/>
        <w:wordWrap w:val="0"/>
        <w:overflowPunct/>
        <w:topLinePunct w:val="0"/>
        <w:bidi w:val="0"/>
        <w:spacing w:line="480" w:lineRule="exact"/>
        <w:textAlignment w:val="auto"/>
        <w:rPr>
          <w:rFonts w:hint="eastAsia" w:ascii="宋体" w:hAnsi="宋体" w:eastAsia="宋体" w:cs="宋体"/>
          <w:color w:val="auto"/>
          <w:kern w:val="0"/>
          <w:szCs w:val="21"/>
          <w:highlight w:val="none"/>
        </w:rPr>
      </w:pPr>
    </w:p>
    <w:p w14:paraId="7B4B7795">
      <w:pPr>
        <w:keepNext w:val="0"/>
        <w:keepLines w:val="0"/>
        <w:pageBreakBefore w:val="0"/>
        <w:kinsoku/>
        <w:wordWrap w:val="0"/>
        <w:overflowPunct/>
        <w:topLinePunct w:val="0"/>
        <w:bidi w:val="0"/>
        <w:spacing w:before="120" w:beforeLines="50" w:after="120" w:afterLines="50" w:line="400" w:lineRule="exact"/>
        <w:jc w:val="left"/>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kern w:val="0"/>
          <w:sz w:val="24"/>
          <w:szCs w:val="24"/>
          <w:highlight w:val="none"/>
        </w:rPr>
        <w:t>附件1：</w:t>
      </w:r>
      <w:r>
        <w:rPr>
          <w:rFonts w:hint="eastAsia" w:ascii="宋体" w:hAnsi="宋体" w:eastAsia="宋体" w:cs="宋体"/>
          <w:color w:val="auto"/>
          <w:kern w:val="0"/>
          <w:sz w:val="28"/>
          <w:szCs w:val="28"/>
          <w:highlight w:val="none"/>
        </w:rPr>
        <w:t xml:space="preserve">                      </w:t>
      </w:r>
      <w:r>
        <w:rPr>
          <w:rFonts w:hint="eastAsia" w:ascii="宋体" w:hAnsi="宋体" w:eastAsia="宋体" w:cs="宋体"/>
          <w:b/>
          <w:color w:val="auto"/>
          <w:kern w:val="0"/>
          <w:sz w:val="28"/>
          <w:szCs w:val="28"/>
          <w:highlight w:val="none"/>
        </w:rPr>
        <w:t xml:space="preserve"> </w:t>
      </w:r>
    </w:p>
    <w:p w14:paraId="6E0B1220">
      <w:pPr>
        <w:pageBreakBefore w:val="0"/>
        <w:wordWrap w:val="0"/>
        <w:overflowPunct/>
        <w:spacing w:before="120" w:beforeLines="50" w:after="120" w:afterLines="50" w:line="48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承包人承揽工程项目一览表</w:t>
      </w:r>
    </w:p>
    <w:tbl>
      <w:tblPr>
        <w:tblStyle w:val="29"/>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85"/>
        <w:gridCol w:w="824"/>
        <w:gridCol w:w="1303"/>
        <w:gridCol w:w="845"/>
        <w:gridCol w:w="777"/>
        <w:gridCol w:w="870"/>
        <w:gridCol w:w="1157"/>
        <w:gridCol w:w="902"/>
        <w:gridCol w:w="780"/>
        <w:gridCol w:w="778"/>
      </w:tblGrid>
      <w:tr w14:paraId="3543C6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89" w:type="pct"/>
            <w:tcBorders>
              <w:top w:val="single" w:color="auto" w:sz="12" w:space="0"/>
              <w:bottom w:val="double" w:color="auto" w:sz="6" w:space="0"/>
            </w:tcBorders>
            <w:vAlign w:val="center"/>
          </w:tcPr>
          <w:p w14:paraId="63B7504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单位工程名称</w:t>
            </w:r>
          </w:p>
        </w:tc>
        <w:tc>
          <w:tcPr>
            <w:tcW w:w="456" w:type="pct"/>
            <w:tcBorders>
              <w:top w:val="single" w:color="auto" w:sz="12" w:space="0"/>
              <w:bottom w:val="double" w:color="auto" w:sz="6" w:space="0"/>
            </w:tcBorders>
            <w:vAlign w:val="center"/>
          </w:tcPr>
          <w:p w14:paraId="5674E8E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建设规模</w:t>
            </w:r>
          </w:p>
        </w:tc>
        <w:tc>
          <w:tcPr>
            <w:tcW w:w="718" w:type="pct"/>
            <w:tcBorders>
              <w:top w:val="single" w:color="auto" w:sz="12" w:space="0"/>
              <w:bottom w:val="double" w:color="auto" w:sz="6" w:space="0"/>
            </w:tcBorders>
            <w:vAlign w:val="center"/>
          </w:tcPr>
          <w:p w14:paraId="3ED5A19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建筑面积(平方米)</w:t>
            </w:r>
          </w:p>
        </w:tc>
        <w:tc>
          <w:tcPr>
            <w:tcW w:w="467" w:type="pct"/>
            <w:tcBorders>
              <w:top w:val="single" w:color="auto" w:sz="12" w:space="0"/>
              <w:bottom w:val="double" w:color="auto" w:sz="6" w:space="0"/>
            </w:tcBorders>
            <w:vAlign w:val="center"/>
          </w:tcPr>
          <w:p w14:paraId="691DF81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结构形式</w:t>
            </w:r>
          </w:p>
        </w:tc>
        <w:tc>
          <w:tcPr>
            <w:tcW w:w="430" w:type="pct"/>
            <w:tcBorders>
              <w:top w:val="single" w:color="auto" w:sz="12" w:space="0"/>
              <w:bottom w:val="double" w:color="auto" w:sz="6" w:space="0"/>
            </w:tcBorders>
            <w:vAlign w:val="center"/>
          </w:tcPr>
          <w:p w14:paraId="6206C9D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层数</w:t>
            </w:r>
          </w:p>
        </w:tc>
        <w:tc>
          <w:tcPr>
            <w:tcW w:w="481" w:type="pct"/>
            <w:tcBorders>
              <w:top w:val="single" w:color="auto" w:sz="12" w:space="0"/>
              <w:bottom w:val="double" w:color="auto" w:sz="6" w:space="0"/>
            </w:tcBorders>
            <w:vAlign w:val="center"/>
          </w:tcPr>
          <w:p w14:paraId="2FCB1E0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生产能力</w:t>
            </w:r>
          </w:p>
        </w:tc>
        <w:tc>
          <w:tcPr>
            <w:tcW w:w="638" w:type="pct"/>
            <w:tcBorders>
              <w:top w:val="single" w:color="auto" w:sz="12" w:space="0"/>
              <w:bottom w:val="double" w:color="auto" w:sz="6" w:space="0"/>
            </w:tcBorders>
            <w:vAlign w:val="center"/>
          </w:tcPr>
          <w:p w14:paraId="7B82BCC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设备安装内容</w:t>
            </w:r>
          </w:p>
        </w:tc>
        <w:tc>
          <w:tcPr>
            <w:tcW w:w="456" w:type="pct"/>
            <w:tcBorders>
              <w:top w:val="single" w:color="auto" w:sz="12" w:space="0"/>
              <w:bottom w:val="double" w:color="auto" w:sz="6" w:space="0"/>
            </w:tcBorders>
            <w:vAlign w:val="center"/>
          </w:tcPr>
          <w:p w14:paraId="22ACFD6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合同价格（元）</w:t>
            </w:r>
          </w:p>
        </w:tc>
        <w:tc>
          <w:tcPr>
            <w:tcW w:w="431" w:type="pct"/>
            <w:tcBorders>
              <w:top w:val="single" w:color="auto" w:sz="12" w:space="0"/>
              <w:bottom w:val="double" w:color="auto" w:sz="6" w:space="0"/>
            </w:tcBorders>
            <w:vAlign w:val="center"/>
          </w:tcPr>
          <w:p w14:paraId="272468B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开工日期</w:t>
            </w:r>
          </w:p>
        </w:tc>
        <w:tc>
          <w:tcPr>
            <w:tcW w:w="430" w:type="pct"/>
            <w:tcBorders>
              <w:top w:val="single" w:color="auto" w:sz="12" w:space="0"/>
              <w:bottom w:val="double" w:color="auto" w:sz="6" w:space="0"/>
            </w:tcBorders>
            <w:vAlign w:val="center"/>
          </w:tcPr>
          <w:p w14:paraId="5448374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竣工日期</w:t>
            </w:r>
          </w:p>
        </w:tc>
      </w:tr>
      <w:tr w14:paraId="5EC08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double" w:color="auto" w:sz="6" w:space="0"/>
              <w:bottom w:val="single" w:color="auto" w:sz="6" w:space="0"/>
            </w:tcBorders>
            <w:vAlign w:val="center"/>
          </w:tcPr>
          <w:p w14:paraId="3477AEC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double" w:color="auto" w:sz="6" w:space="0"/>
              <w:bottom w:val="single" w:color="auto" w:sz="6" w:space="0"/>
            </w:tcBorders>
            <w:vAlign w:val="center"/>
          </w:tcPr>
          <w:p w14:paraId="4B5DA3C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double" w:color="auto" w:sz="6" w:space="0"/>
              <w:bottom w:val="single" w:color="auto" w:sz="6" w:space="0"/>
            </w:tcBorders>
            <w:vAlign w:val="center"/>
          </w:tcPr>
          <w:p w14:paraId="026B412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double" w:color="auto" w:sz="6" w:space="0"/>
              <w:bottom w:val="single" w:color="auto" w:sz="6" w:space="0"/>
            </w:tcBorders>
            <w:vAlign w:val="center"/>
          </w:tcPr>
          <w:p w14:paraId="2CAFD04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double" w:color="auto" w:sz="6" w:space="0"/>
              <w:bottom w:val="single" w:color="auto" w:sz="6" w:space="0"/>
            </w:tcBorders>
            <w:vAlign w:val="center"/>
          </w:tcPr>
          <w:p w14:paraId="6294CD2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double" w:color="auto" w:sz="6" w:space="0"/>
              <w:bottom w:val="single" w:color="auto" w:sz="6" w:space="0"/>
            </w:tcBorders>
            <w:vAlign w:val="center"/>
          </w:tcPr>
          <w:p w14:paraId="3F2D21A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double" w:color="auto" w:sz="6" w:space="0"/>
              <w:bottom w:val="single" w:color="auto" w:sz="6" w:space="0"/>
            </w:tcBorders>
            <w:vAlign w:val="center"/>
          </w:tcPr>
          <w:p w14:paraId="2B994DC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double" w:color="auto" w:sz="6" w:space="0"/>
              <w:bottom w:val="single" w:color="auto" w:sz="6" w:space="0"/>
            </w:tcBorders>
            <w:vAlign w:val="center"/>
          </w:tcPr>
          <w:p w14:paraId="258469E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double" w:color="auto" w:sz="6" w:space="0"/>
              <w:bottom w:val="single" w:color="auto" w:sz="6" w:space="0"/>
            </w:tcBorders>
            <w:vAlign w:val="center"/>
          </w:tcPr>
          <w:p w14:paraId="015CE29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double" w:color="auto" w:sz="6" w:space="0"/>
              <w:bottom w:val="single" w:color="auto" w:sz="6" w:space="0"/>
            </w:tcBorders>
            <w:vAlign w:val="center"/>
          </w:tcPr>
          <w:p w14:paraId="50CC7FD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73572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nil"/>
            </w:tcBorders>
            <w:vAlign w:val="center"/>
          </w:tcPr>
          <w:p w14:paraId="78E18E9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3E8E63C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nil"/>
            </w:tcBorders>
            <w:vAlign w:val="center"/>
          </w:tcPr>
          <w:p w14:paraId="22481CB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nil"/>
            </w:tcBorders>
            <w:vAlign w:val="center"/>
          </w:tcPr>
          <w:p w14:paraId="35A102A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650E02E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nil"/>
            </w:tcBorders>
            <w:vAlign w:val="center"/>
          </w:tcPr>
          <w:p w14:paraId="6233783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nil"/>
            </w:tcBorders>
            <w:vAlign w:val="center"/>
          </w:tcPr>
          <w:p w14:paraId="5E034DC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491C195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nil"/>
            </w:tcBorders>
            <w:vAlign w:val="center"/>
          </w:tcPr>
          <w:p w14:paraId="103D7FD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15C8E7D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76F2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nil"/>
            </w:tcBorders>
            <w:vAlign w:val="center"/>
          </w:tcPr>
          <w:p w14:paraId="02F7EA3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0831F1F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nil"/>
            </w:tcBorders>
            <w:vAlign w:val="center"/>
          </w:tcPr>
          <w:p w14:paraId="5E28DDC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nil"/>
            </w:tcBorders>
            <w:vAlign w:val="center"/>
          </w:tcPr>
          <w:p w14:paraId="5155A8B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2A22727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nil"/>
            </w:tcBorders>
            <w:vAlign w:val="center"/>
          </w:tcPr>
          <w:p w14:paraId="1CF6236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nil"/>
            </w:tcBorders>
            <w:vAlign w:val="center"/>
          </w:tcPr>
          <w:p w14:paraId="73E8705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73416FB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nil"/>
            </w:tcBorders>
            <w:vAlign w:val="center"/>
          </w:tcPr>
          <w:p w14:paraId="233E146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54E6B7E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3DF66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vAlign w:val="center"/>
          </w:tcPr>
          <w:p w14:paraId="5BAC69F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vAlign w:val="center"/>
          </w:tcPr>
          <w:p w14:paraId="510FA43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vAlign w:val="center"/>
          </w:tcPr>
          <w:p w14:paraId="692D415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vAlign w:val="center"/>
          </w:tcPr>
          <w:p w14:paraId="4869A81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vAlign w:val="center"/>
          </w:tcPr>
          <w:p w14:paraId="2B218FE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vAlign w:val="center"/>
          </w:tcPr>
          <w:p w14:paraId="04F2DDB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vAlign w:val="center"/>
          </w:tcPr>
          <w:p w14:paraId="7A034D8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vAlign w:val="center"/>
          </w:tcPr>
          <w:p w14:paraId="2135E95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vAlign w:val="center"/>
          </w:tcPr>
          <w:p w14:paraId="70E47FE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vAlign w:val="center"/>
          </w:tcPr>
          <w:p w14:paraId="1E01E41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7213A5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nil"/>
            </w:tcBorders>
            <w:vAlign w:val="center"/>
          </w:tcPr>
          <w:p w14:paraId="7C02B6D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47151B2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nil"/>
            </w:tcBorders>
            <w:vAlign w:val="center"/>
          </w:tcPr>
          <w:p w14:paraId="5A823D1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nil"/>
            </w:tcBorders>
            <w:vAlign w:val="center"/>
          </w:tcPr>
          <w:p w14:paraId="6F05A3A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7A02FFA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nil"/>
            </w:tcBorders>
            <w:vAlign w:val="center"/>
          </w:tcPr>
          <w:p w14:paraId="4DB5F91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nil"/>
            </w:tcBorders>
            <w:vAlign w:val="center"/>
          </w:tcPr>
          <w:p w14:paraId="1A652C9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498CEA0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nil"/>
            </w:tcBorders>
            <w:vAlign w:val="center"/>
          </w:tcPr>
          <w:p w14:paraId="0D80EDC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36FA7E1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680B3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vAlign w:val="center"/>
          </w:tcPr>
          <w:p w14:paraId="4C737A8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vAlign w:val="center"/>
          </w:tcPr>
          <w:p w14:paraId="6B35325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vAlign w:val="center"/>
          </w:tcPr>
          <w:p w14:paraId="53AE330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vAlign w:val="center"/>
          </w:tcPr>
          <w:p w14:paraId="1B08D73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vAlign w:val="center"/>
          </w:tcPr>
          <w:p w14:paraId="3705C76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vAlign w:val="center"/>
          </w:tcPr>
          <w:p w14:paraId="51AF59F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vAlign w:val="center"/>
          </w:tcPr>
          <w:p w14:paraId="64D31AF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vAlign w:val="center"/>
          </w:tcPr>
          <w:p w14:paraId="1BEC299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vAlign w:val="center"/>
          </w:tcPr>
          <w:p w14:paraId="1F2EE90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vAlign w:val="center"/>
          </w:tcPr>
          <w:p w14:paraId="791EE52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0552E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nil"/>
            </w:tcBorders>
            <w:vAlign w:val="center"/>
          </w:tcPr>
          <w:p w14:paraId="320CE76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3664CF7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nil"/>
            </w:tcBorders>
            <w:vAlign w:val="center"/>
          </w:tcPr>
          <w:p w14:paraId="32C14C5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nil"/>
            </w:tcBorders>
            <w:vAlign w:val="center"/>
          </w:tcPr>
          <w:p w14:paraId="02237EB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0FA9306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nil"/>
            </w:tcBorders>
            <w:vAlign w:val="center"/>
          </w:tcPr>
          <w:p w14:paraId="5E46491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nil"/>
            </w:tcBorders>
            <w:vAlign w:val="center"/>
          </w:tcPr>
          <w:p w14:paraId="3F9036E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21FFA5A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nil"/>
            </w:tcBorders>
            <w:vAlign w:val="center"/>
          </w:tcPr>
          <w:p w14:paraId="2B90D2F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617A30D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2DB12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nil"/>
            </w:tcBorders>
            <w:vAlign w:val="center"/>
          </w:tcPr>
          <w:p w14:paraId="015E5BA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27F74E3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nil"/>
            </w:tcBorders>
            <w:vAlign w:val="center"/>
          </w:tcPr>
          <w:p w14:paraId="51B0D74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nil"/>
            </w:tcBorders>
            <w:vAlign w:val="center"/>
          </w:tcPr>
          <w:p w14:paraId="3CC4308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71B39F2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nil"/>
            </w:tcBorders>
            <w:vAlign w:val="center"/>
          </w:tcPr>
          <w:p w14:paraId="33FBB40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nil"/>
            </w:tcBorders>
            <w:vAlign w:val="center"/>
          </w:tcPr>
          <w:p w14:paraId="3A4125E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nil"/>
            </w:tcBorders>
            <w:vAlign w:val="center"/>
          </w:tcPr>
          <w:p w14:paraId="26A1D3F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nil"/>
            </w:tcBorders>
            <w:vAlign w:val="center"/>
          </w:tcPr>
          <w:p w14:paraId="17FD9C3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nil"/>
            </w:tcBorders>
            <w:vAlign w:val="center"/>
          </w:tcPr>
          <w:p w14:paraId="12CF3B7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66678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bottom w:val="single" w:color="auto" w:sz="6" w:space="0"/>
            </w:tcBorders>
            <w:vAlign w:val="center"/>
          </w:tcPr>
          <w:p w14:paraId="799DFDE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bottom w:val="single" w:color="auto" w:sz="6" w:space="0"/>
            </w:tcBorders>
            <w:vAlign w:val="center"/>
          </w:tcPr>
          <w:p w14:paraId="58CF98E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bottom w:val="single" w:color="auto" w:sz="6" w:space="0"/>
            </w:tcBorders>
            <w:vAlign w:val="center"/>
          </w:tcPr>
          <w:p w14:paraId="5C0E3AF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bottom w:val="single" w:color="auto" w:sz="6" w:space="0"/>
            </w:tcBorders>
            <w:vAlign w:val="center"/>
          </w:tcPr>
          <w:p w14:paraId="6850F9E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bottom w:val="single" w:color="auto" w:sz="6" w:space="0"/>
            </w:tcBorders>
            <w:vAlign w:val="center"/>
          </w:tcPr>
          <w:p w14:paraId="0E301A3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bottom w:val="single" w:color="auto" w:sz="6" w:space="0"/>
            </w:tcBorders>
            <w:vAlign w:val="center"/>
          </w:tcPr>
          <w:p w14:paraId="3551613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bottom w:val="single" w:color="auto" w:sz="6" w:space="0"/>
            </w:tcBorders>
            <w:vAlign w:val="center"/>
          </w:tcPr>
          <w:p w14:paraId="6AC87E3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bottom w:val="single" w:color="auto" w:sz="6" w:space="0"/>
            </w:tcBorders>
            <w:vAlign w:val="center"/>
          </w:tcPr>
          <w:p w14:paraId="2B5611A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bottom w:val="single" w:color="auto" w:sz="6" w:space="0"/>
            </w:tcBorders>
            <w:vAlign w:val="center"/>
          </w:tcPr>
          <w:p w14:paraId="491F17D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bottom w:val="single" w:color="auto" w:sz="6" w:space="0"/>
            </w:tcBorders>
            <w:vAlign w:val="center"/>
          </w:tcPr>
          <w:p w14:paraId="1F8C8A1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18EF0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single" w:color="auto" w:sz="6" w:space="0"/>
              <w:bottom w:val="single" w:color="auto" w:sz="6" w:space="0"/>
            </w:tcBorders>
            <w:vAlign w:val="center"/>
          </w:tcPr>
          <w:p w14:paraId="79D75DD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0CF77F6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single" w:color="auto" w:sz="6" w:space="0"/>
              <w:bottom w:val="single" w:color="auto" w:sz="6" w:space="0"/>
            </w:tcBorders>
            <w:vAlign w:val="center"/>
          </w:tcPr>
          <w:p w14:paraId="679DBD8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single" w:color="auto" w:sz="6" w:space="0"/>
              <w:bottom w:val="single" w:color="auto" w:sz="6" w:space="0"/>
            </w:tcBorders>
            <w:vAlign w:val="center"/>
          </w:tcPr>
          <w:p w14:paraId="52E94F0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0E5B3A3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single" w:color="auto" w:sz="6" w:space="0"/>
              <w:bottom w:val="single" w:color="auto" w:sz="6" w:space="0"/>
            </w:tcBorders>
            <w:vAlign w:val="center"/>
          </w:tcPr>
          <w:p w14:paraId="6FE4B1E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single" w:color="auto" w:sz="6" w:space="0"/>
              <w:bottom w:val="single" w:color="auto" w:sz="6" w:space="0"/>
            </w:tcBorders>
            <w:vAlign w:val="center"/>
          </w:tcPr>
          <w:p w14:paraId="05236E5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16AF47B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single" w:color="auto" w:sz="6" w:space="0"/>
              <w:bottom w:val="single" w:color="auto" w:sz="6" w:space="0"/>
            </w:tcBorders>
            <w:vAlign w:val="center"/>
          </w:tcPr>
          <w:p w14:paraId="1A95F68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32E291A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47C92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single" w:color="auto" w:sz="6" w:space="0"/>
              <w:bottom w:val="single" w:color="auto" w:sz="6" w:space="0"/>
            </w:tcBorders>
            <w:vAlign w:val="center"/>
          </w:tcPr>
          <w:p w14:paraId="43C33CE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291B70D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single" w:color="auto" w:sz="6" w:space="0"/>
              <w:bottom w:val="single" w:color="auto" w:sz="6" w:space="0"/>
            </w:tcBorders>
            <w:vAlign w:val="center"/>
          </w:tcPr>
          <w:p w14:paraId="71F7F3A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single" w:color="auto" w:sz="6" w:space="0"/>
              <w:bottom w:val="single" w:color="auto" w:sz="6" w:space="0"/>
            </w:tcBorders>
            <w:vAlign w:val="center"/>
          </w:tcPr>
          <w:p w14:paraId="5803250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7E6FD48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single" w:color="auto" w:sz="6" w:space="0"/>
              <w:bottom w:val="single" w:color="auto" w:sz="6" w:space="0"/>
            </w:tcBorders>
            <w:vAlign w:val="center"/>
          </w:tcPr>
          <w:p w14:paraId="37D9FBE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single" w:color="auto" w:sz="6" w:space="0"/>
              <w:bottom w:val="single" w:color="auto" w:sz="6" w:space="0"/>
            </w:tcBorders>
            <w:vAlign w:val="center"/>
          </w:tcPr>
          <w:p w14:paraId="7795FA0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78A7ECD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single" w:color="auto" w:sz="6" w:space="0"/>
              <w:bottom w:val="single" w:color="auto" w:sz="6" w:space="0"/>
            </w:tcBorders>
            <w:vAlign w:val="center"/>
          </w:tcPr>
          <w:p w14:paraId="22E88A9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11420D3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3384A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single" w:color="auto" w:sz="6" w:space="0"/>
              <w:bottom w:val="single" w:color="auto" w:sz="6" w:space="0"/>
            </w:tcBorders>
            <w:vAlign w:val="center"/>
          </w:tcPr>
          <w:p w14:paraId="7317268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32770B2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single" w:color="auto" w:sz="6" w:space="0"/>
              <w:bottom w:val="single" w:color="auto" w:sz="6" w:space="0"/>
            </w:tcBorders>
            <w:vAlign w:val="center"/>
          </w:tcPr>
          <w:p w14:paraId="5FA20BE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single" w:color="auto" w:sz="6" w:space="0"/>
              <w:bottom w:val="single" w:color="auto" w:sz="6" w:space="0"/>
            </w:tcBorders>
            <w:vAlign w:val="center"/>
          </w:tcPr>
          <w:p w14:paraId="610CBAB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6CCF291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single" w:color="auto" w:sz="6" w:space="0"/>
              <w:bottom w:val="single" w:color="auto" w:sz="6" w:space="0"/>
            </w:tcBorders>
            <w:vAlign w:val="center"/>
          </w:tcPr>
          <w:p w14:paraId="3BF9679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single" w:color="auto" w:sz="6" w:space="0"/>
              <w:bottom w:val="single" w:color="auto" w:sz="6" w:space="0"/>
            </w:tcBorders>
            <w:vAlign w:val="center"/>
          </w:tcPr>
          <w:p w14:paraId="2D028B1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20AC632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single" w:color="auto" w:sz="6" w:space="0"/>
              <w:bottom w:val="single" w:color="auto" w:sz="6" w:space="0"/>
            </w:tcBorders>
            <w:vAlign w:val="center"/>
          </w:tcPr>
          <w:p w14:paraId="7B59BCC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7AC22DC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38206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single" w:color="auto" w:sz="6" w:space="0"/>
              <w:bottom w:val="single" w:color="auto" w:sz="6" w:space="0"/>
            </w:tcBorders>
            <w:vAlign w:val="center"/>
          </w:tcPr>
          <w:p w14:paraId="5F12176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528DFC8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single" w:color="auto" w:sz="6" w:space="0"/>
              <w:bottom w:val="single" w:color="auto" w:sz="6" w:space="0"/>
            </w:tcBorders>
            <w:vAlign w:val="center"/>
          </w:tcPr>
          <w:p w14:paraId="4EE4403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single" w:color="auto" w:sz="6" w:space="0"/>
              <w:bottom w:val="single" w:color="auto" w:sz="6" w:space="0"/>
            </w:tcBorders>
            <w:vAlign w:val="center"/>
          </w:tcPr>
          <w:p w14:paraId="2E7BAC6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6793B8C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single" w:color="auto" w:sz="6" w:space="0"/>
              <w:bottom w:val="single" w:color="auto" w:sz="6" w:space="0"/>
            </w:tcBorders>
            <w:vAlign w:val="center"/>
          </w:tcPr>
          <w:p w14:paraId="12F9437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single" w:color="auto" w:sz="6" w:space="0"/>
              <w:bottom w:val="single" w:color="auto" w:sz="6" w:space="0"/>
            </w:tcBorders>
            <w:vAlign w:val="center"/>
          </w:tcPr>
          <w:p w14:paraId="7E12B16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6" w:space="0"/>
            </w:tcBorders>
            <w:vAlign w:val="center"/>
          </w:tcPr>
          <w:p w14:paraId="1C6BEC4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single" w:color="auto" w:sz="6" w:space="0"/>
              <w:bottom w:val="single" w:color="auto" w:sz="6" w:space="0"/>
            </w:tcBorders>
            <w:vAlign w:val="center"/>
          </w:tcPr>
          <w:p w14:paraId="32F656F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6" w:space="0"/>
            </w:tcBorders>
            <w:vAlign w:val="center"/>
          </w:tcPr>
          <w:p w14:paraId="427AA53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0FBC6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9" w:type="pct"/>
            <w:tcBorders>
              <w:top w:val="single" w:color="auto" w:sz="6" w:space="0"/>
              <w:bottom w:val="single" w:color="auto" w:sz="12" w:space="0"/>
            </w:tcBorders>
            <w:vAlign w:val="center"/>
          </w:tcPr>
          <w:p w14:paraId="4123761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12" w:space="0"/>
            </w:tcBorders>
            <w:vAlign w:val="center"/>
          </w:tcPr>
          <w:p w14:paraId="02D7F87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718" w:type="pct"/>
            <w:tcBorders>
              <w:top w:val="single" w:color="auto" w:sz="6" w:space="0"/>
              <w:bottom w:val="single" w:color="auto" w:sz="12" w:space="0"/>
            </w:tcBorders>
            <w:vAlign w:val="center"/>
          </w:tcPr>
          <w:p w14:paraId="7B81A35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67" w:type="pct"/>
            <w:tcBorders>
              <w:top w:val="single" w:color="auto" w:sz="6" w:space="0"/>
              <w:bottom w:val="single" w:color="auto" w:sz="12" w:space="0"/>
            </w:tcBorders>
            <w:vAlign w:val="center"/>
          </w:tcPr>
          <w:p w14:paraId="4D03F58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12" w:space="0"/>
            </w:tcBorders>
            <w:vAlign w:val="center"/>
          </w:tcPr>
          <w:p w14:paraId="0120E3F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81" w:type="pct"/>
            <w:tcBorders>
              <w:top w:val="single" w:color="auto" w:sz="6" w:space="0"/>
              <w:bottom w:val="single" w:color="auto" w:sz="12" w:space="0"/>
            </w:tcBorders>
            <w:vAlign w:val="center"/>
          </w:tcPr>
          <w:p w14:paraId="6A05527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638" w:type="pct"/>
            <w:tcBorders>
              <w:top w:val="single" w:color="auto" w:sz="6" w:space="0"/>
              <w:bottom w:val="single" w:color="auto" w:sz="12" w:space="0"/>
            </w:tcBorders>
            <w:vAlign w:val="center"/>
          </w:tcPr>
          <w:p w14:paraId="5182237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56" w:type="pct"/>
            <w:tcBorders>
              <w:top w:val="single" w:color="auto" w:sz="6" w:space="0"/>
              <w:bottom w:val="single" w:color="auto" w:sz="12" w:space="0"/>
            </w:tcBorders>
            <w:vAlign w:val="center"/>
          </w:tcPr>
          <w:p w14:paraId="241A649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1" w:type="pct"/>
            <w:tcBorders>
              <w:top w:val="single" w:color="auto" w:sz="6" w:space="0"/>
              <w:bottom w:val="single" w:color="auto" w:sz="12" w:space="0"/>
            </w:tcBorders>
            <w:vAlign w:val="center"/>
          </w:tcPr>
          <w:p w14:paraId="0B46638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430" w:type="pct"/>
            <w:tcBorders>
              <w:top w:val="single" w:color="auto" w:sz="6" w:space="0"/>
              <w:bottom w:val="single" w:color="auto" w:sz="12" w:space="0"/>
            </w:tcBorders>
            <w:vAlign w:val="center"/>
          </w:tcPr>
          <w:p w14:paraId="563056D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bl>
    <w:p w14:paraId="00BBDBC8">
      <w:pPr>
        <w:pageBreakBefore w:val="0"/>
        <w:wordWrap w:val="0"/>
        <w:overflowPunct/>
        <w:spacing w:after="200" w:afterLines="0" w:line="480" w:lineRule="exact"/>
        <w:rPr>
          <w:rFonts w:hint="eastAsia" w:ascii="宋体" w:hAnsi="宋体" w:eastAsia="宋体" w:cs="宋体"/>
          <w:color w:val="auto"/>
          <w:kern w:val="0"/>
          <w:sz w:val="24"/>
          <w:szCs w:val="24"/>
          <w:highlight w:val="none"/>
        </w:rPr>
      </w:pPr>
    </w:p>
    <w:p w14:paraId="77D0DE41">
      <w:pPr>
        <w:pageBreakBefore w:val="0"/>
        <w:wordWrap w:val="0"/>
        <w:overflowPunct/>
        <w:spacing w:after="200" w:afterLines="0" w:line="440" w:lineRule="exac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szCs w:val="24"/>
          <w:highlight w:val="none"/>
        </w:rPr>
        <w:br w:type="page"/>
      </w:r>
      <w:r>
        <w:rPr>
          <w:rFonts w:hint="eastAsia" w:ascii="宋体" w:hAnsi="宋体" w:eastAsia="宋体" w:cs="宋体"/>
          <w:color w:val="auto"/>
          <w:kern w:val="0"/>
          <w:sz w:val="24"/>
          <w:szCs w:val="24"/>
          <w:highlight w:val="none"/>
        </w:rPr>
        <w:t>附</w:t>
      </w:r>
      <w:bookmarkStart w:id="888" w:name="_Toc296891266"/>
      <w:bookmarkStart w:id="889" w:name="_Toc296347225"/>
      <w:bookmarkStart w:id="890" w:name="_Toc296944565"/>
      <w:bookmarkStart w:id="891" w:name="_Toc267261693"/>
      <w:bookmarkStart w:id="892" w:name="_Toc296503226"/>
      <w:bookmarkStart w:id="893" w:name="_Toc296891054"/>
      <w:bookmarkStart w:id="894" w:name="_Toc296346727"/>
      <w:r>
        <w:rPr>
          <w:rFonts w:hint="eastAsia" w:ascii="宋体" w:hAnsi="宋体" w:eastAsia="宋体" w:cs="宋体"/>
          <w:color w:val="auto"/>
          <w:kern w:val="0"/>
          <w:sz w:val="24"/>
          <w:szCs w:val="24"/>
          <w:highlight w:val="none"/>
        </w:rPr>
        <w:t>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bookmarkEnd w:id="888"/>
      <w:bookmarkEnd w:id="889"/>
      <w:bookmarkEnd w:id="890"/>
      <w:bookmarkEnd w:id="891"/>
      <w:bookmarkEnd w:id="892"/>
      <w:bookmarkEnd w:id="893"/>
      <w:bookmarkEnd w:id="894"/>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8"/>
          <w:szCs w:val="28"/>
          <w:highlight w:val="none"/>
        </w:rPr>
        <w:t xml:space="preserve">   </w:t>
      </w:r>
    </w:p>
    <w:p w14:paraId="79AFEC6C">
      <w:pPr>
        <w:pageBreakBefore w:val="0"/>
        <w:wordWrap w:val="0"/>
        <w:overflowPunct/>
        <w:spacing w:before="120" w:beforeLines="50" w:after="120" w:afterLines="50" w:line="44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工程质量保修书</w:t>
      </w:r>
    </w:p>
    <w:p w14:paraId="36DD65CF">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发包人（全称）：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308EC3D2">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承包人（全称）：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3E7D5A3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发包人和承包人根据《中华人民共和国建筑法》和《建设工程质量管理条例》，经协商一致就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（工程全称）签订工程质量保修书。</w:t>
      </w:r>
    </w:p>
    <w:p w14:paraId="409DB683">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一、工程质量保修范围和内容</w:t>
      </w:r>
    </w:p>
    <w:p w14:paraId="61A4347F">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承包人在质量保修期内，按照有关法律规定和合同约定，承担工程质量保修责任。</w:t>
      </w:r>
    </w:p>
    <w:p w14:paraId="1C544763">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kern w:val="0"/>
          <w:sz w:val="24"/>
          <w:szCs w:val="24"/>
          <w:highlight w:val="none"/>
          <w:u w:val="single"/>
          <w:lang w:val="en-US" w:eastAsia="zh-CN"/>
        </w:rPr>
        <w:t xml:space="preserve"> 包括设计施工图纸中所包含的内容 </w:t>
      </w:r>
      <w:r>
        <w:rPr>
          <w:rFonts w:hint="eastAsia" w:ascii="宋体" w:hAnsi="宋体" w:eastAsia="宋体" w:cs="宋体"/>
          <w:color w:val="auto"/>
          <w:kern w:val="0"/>
          <w:sz w:val="24"/>
          <w:szCs w:val="24"/>
          <w:highlight w:val="none"/>
          <w:u w:val="none"/>
          <w:lang w:val="en-US" w:eastAsia="zh-CN"/>
        </w:rPr>
        <w:t>。</w:t>
      </w:r>
    </w:p>
    <w:p w14:paraId="432C146A">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r>
        <w:rPr>
          <w:rFonts w:hint="eastAsia" w:ascii="宋体" w:hAnsi="宋体" w:eastAsia="宋体" w:cs="宋体"/>
          <w:color w:val="auto"/>
          <w:kern w:val="0"/>
          <w:sz w:val="24"/>
          <w:szCs w:val="24"/>
          <w:highlight w:val="none"/>
        </w:rPr>
        <w:t>二、质量保修期</w:t>
      </w:r>
    </w:p>
    <w:p w14:paraId="197BCF30">
      <w:pPr>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ascii="宋体" w:hAnsi="宋体" w:eastAsia="宋体" w:cs="宋体"/>
          <w:b w:val="0"/>
          <w:bCs/>
          <w:color w:val="auto"/>
          <w:kern w:val="44"/>
          <w:sz w:val="24"/>
          <w:szCs w:val="24"/>
          <w:highlight w:val="none"/>
          <w:lang w:eastAsia="zh-CN"/>
        </w:rPr>
      </w:pPr>
      <w:r>
        <w:rPr>
          <w:rFonts w:hint="eastAsia" w:ascii="宋体" w:hAnsi="宋体" w:eastAsia="宋体" w:cs="宋体"/>
          <w:b w:val="0"/>
          <w:bCs/>
          <w:color w:val="auto"/>
          <w:kern w:val="44"/>
          <w:sz w:val="24"/>
          <w:szCs w:val="24"/>
          <w:highlight w:val="none"/>
          <w:lang w:eastAsia="zh-CN"/>
        </w:rPr>
        <w:t>根据国务院279号令规定执行。</w:t>
      </w:r>
    </w:p>
    <w:p w14:paraId="71AA9F3B">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三、缺陷责任期</w:t>
      </w:r>
    </w:p>
    <w:p w14:paraId="44BB3F67">
      <w:pPr>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工程缺陷责任期为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个月，缺陷责任期自工程竣工验收合格之日起计算。单位工程先于全部工程进行验收，单位工程缺陷责任期自单位工程验收合格之日起算。</w:t>
      </w:r>
    </w:p>
    <w:p w14:paraId="0EDD14FA">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缺陷责任期终止后，发包人应退还剩余的质量保证金。</w:t>
      </w:r>
    </w:p>
    <w:p w14:paraId="5E921D00">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四、质量保修责任</w:t>
      </w:r>
    </w:p>
    <w:p w14:paraId="39E5F775">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1．属于保修范围、内容的项目，承包人应当在接到保修通知之日起7天内派人保修。承包人不在约定期限内派人保修的，发包人可以委托他人修理。</w:t>
      </w:r>
    </w:p>
    <w:p w14:paraId="1F20FC0B">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2．发生紧急事故需抢修的，承包人在接到事故通知后，应当立即到达事故现场抢修。</w:t>
      </w:r>
    </w:p>
    <w:p w14:paraId="33DB776C">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D9F9370">
      <w:pPr>
        <w:keepNext w:val="0"/>
        <w:keepLines w:val="0"/>
        <w:pageBreakBefore w:val="0"/>
        <w:widowControl w:val="0"/>
        <w:kinsoku/>
        <w:wordWrap w:val="0"/>
        <w:overflowPunct/>
        <w:topLinePunct w:val="0"/>
        <w:autoSpaceDE/>
        <w:autoSpaceDN/>
        <w:bidi w:val="0"/>
        <w:adjustRightInd/>
        <w:snapToGrid/>
        <w:spacing w:line="500" w:lineRule="exact"/>
        <w:ind w:left="420" w:leftChars="200" w:firstLine="120" w:firstLineChars="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4．质量保修完成后，由发包人组织验收。</w:t>
      </w:r>
    </w:p>
    <w:p w14:paraId="1FF92D4C">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五、保修费用</w:t>
      </w:r>
    </w:p>
    <w:p w14:paraId="15ED8BFA">
      <w:pPr>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保修费用由造成质量缺陷的责任方承担。</w:t>
      </w:r>
    </w:p>
    <w:p w14:paraId="5619B2F5">
      <w:pPr>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六、</w:t>
      </w:r>
      <w:r>
        <w:rPr>
          <w:rFonts w:hint="eastAsia" w:ascii="宋体" w:hAnsi="宋体" w:eastAsia="宋体" w:cs="宋体"/>
          <w:color w:val="auto"/>
          <w:kern w:val="0"/>
          <w:sz w:val="24"/>
          <w:szCs w:val="24"/>
          <w:highlight w:val="none"/>
        </w:rPr>
        <w:t>双方约定的其他工程质量保修事项：</w:t>
      </w:r>
      <w:r>
        <w:rPr>
          <w:rFonts w:hint="eastAsia" w:ascii="宋体" w:hAnsi="宋体" w:eastAsia="宋体" w:cs="宋体"/>
          <w:color w:val="auto"/>
          <w:kern w:val="0"/>
          <w:sz w:val="24"/>
          <w:szCs w:val="24"/>
          <w:highlight w:val="none"/>
          <w:u w:val="single"/>
        </w:rPr>
        <w:t>因不可抗力造成的质量缺陷</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不属保修范围</w:t>
      </w:r>
      <w:r>
        <w:rPr>
          <w:rFonts w:hint="eastAsia" w:ascii="宋体" w:hAnsi="宋体" w:eastAsia="宋体" w:cs="宋体"/>
          <w:color w:val="auto"/>
          <w:kern w:val="0"/>
          <w:sz w:val="24"/>
          <w:szCs w:val="24"/>
          <w:highlight w:val="none"/>
        </w:rPr>
        <w:t>。</w:t>
      </w:r>
    </w:p>
    <w:p w14:paraId="439261A7">
      <w:pPr>
        <w:keepNext w:val="0"/>
        <w:keepLines w:val="0"/>
        <w:pageBreakBefore w:val="0"/>
        <w:widowControl w:val="0"/>
        <w:kinsoku/>
        <w:wordWrap w:val="0"/>
        <w:overflowPunct/>
        <w:topLinePunct w:val="0"/>
        <w:autoSpaceDE/>
        <w:autoSpaceDN/>
        <w:bidi w:val="0"/>
        <w:adjustRightInd/>
        <w:snapToGrid/>
        <w:spacing w:line="500" w:lineRule="exact"/>
        <w:ind w:firstLine="456" w:firstLineChars="19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工程质量保修书由发包人、承包人在工程竣工验收前共同签署，作为施工合同附件，其有效期限至保修期满。</w:t>
      </w:r>
    </w:p>
    <w:p w14:paraId="67C11E3B">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4C589D69">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15241D06">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7B7D70BE">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5EFEC8F7">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7CB9D68C">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0CC4460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发包人(公章)：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承包人(公章)：</w:t>
      </w:r>
      <w:r>
        <w:rPr>
          <w:rFonts w:hint="eastAsia" w:ascii="宋体" w:hAnsi="宋体" w:eastAsia="宋体" w:cs="宋体"/>
          <w:color w:val="auto"/>
          <w:kern w:val="0"/>
          <w:sz w:val="24"/>
          <w:szCs w:val="24"/>
          <w:highlight w:val="none"/>
          <w:u w:val="single"/>
        </w:rPr>
        <w:t xml:space="preserve">           </w:t>
      </w:r>
    </w:p>
    <w:p w14:paraId="5A388D80">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0549D898">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u w:val="single"/>
        </w:rPr>
        <w:t xml:space="preserve">      </w:t>
      </w:r>
    </w:p>
    <w:p w14:paraId="619C92D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委托代理人(签字)：</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委托代理人(签字)：</w:t>
      </w:r>
      <w:r>
        <w:rPr>
          <w:rFonts w:hint="eastAsia" w:ascii="宋体" w:hAnsi="宋体" w:eastAsia="宋体" w:cs="宋体"/>
          <w:color w:val="auto"/>
          <w:kern w:val="0"/>
          <w:sz w:val="24"/>
          <w:szCs w:val="24"/>
          <w:highlight w:val="none"/>
          <w:u w:val="single"/>
        </w:rPr>
        <w:t xml:space="preserve">         </w:t>
      </w:r>
    </w:p>
    <w:p w14:paraId="657DE077">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p>
    <w:p w14:paraId="2AE81A0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p>
    <w:p w14:paraId="631D69A7">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开户银行：</w:t>
      </w:r>
      <w:r>
        <w:rPr>
          <w:rFonts w:hint="eastAsia" w:ascii="宋体" w:hAnsi="宋体" w:eastAsia="宋体" w:cs="宋体"/>
          <w:color w:val="auto"/>
          <w:kern w:val="0"/>
          <w:sz w:val="24"/>
          <w:szCs w:val="24"/>
          <w:highlight w:val="none"/>
          <w:u w:val="single"/>
        </w:rPr>
        <w:t xml:space="preserve">           </w:t>
      </w:r>
    </w:p>
    <w:p w14:paraId="0C53E2DD">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账  号：</w:t>
      </w:r>
      <w:r>
        <w:rPr>
          <w:rFonts w:hint="eastAsia" w:ascii="宋体" w:hAnsi="宋体" w:eastAsia="宋体" w:cs="宋体"/>
          <w:color w:val="auto"/>
          <w:kern w:val="0"/>
          <w:sz w:val="24"/>
          <w:szCs w:val="24"/>
          <w:highlight w:val="none"/>
          <w:u w:val="single"/>
        </w:rPr>
        <w:t xml:space="preserve">            </w:t>
      </w:r>
    </w:p>
    <w:p w14:paraId="61AB13F4">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p>
    <w:p w14:paraId="3569A2F1">
      <w:pPr>
        <w:keepNext w:val="0"/>
        <w:keepLines w:val="0"/>
        <w:pageBreakBefore w:val="0"/>
        <w:kinsoku/>
        <w:wordWrap w:val="0"/>
        <w:overflowPunct/>
        <w:topLinePunct w:val="0"/>
        <w:autoSpaceDE/>
        <w:autoSpaceDN/>
        <w:bidi w:val="0"/>
        <w:adjustRightInd/>
        <w:snapToGrid/>
        <w:spacing w:after="200" w:afterLines="0" w:line="460" w:lineRule="exact"/>
        <w:textAlignment w:val="auto"/>
        <w:outlineLvl w:val="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br w:type="page"/>
      </w:r>
      <w:bookmarkStart w:id="895" w:name="_Toc267261701"/>
      <w:r>
        <w:rPr>
          <w:rFonts w:hint="eastAsia" w:ascii="宋体" w:hAnsi="宋体" w:eastAsia="宋体" w:cs="宋体"/>
          <w:color w:val="auto"/>
          <w:kern w:val="0"/>
          <w:sz w:val="24"/>
          <w:szCs w:val="24"/>
          <w:highlight w:val="none"/>
        </w:rPr>
        <w:t>附</w:t>
      </w:r>
      <w:bookmarkStart w:id="896" w:name="_Toc296347230"/>
      <w:bookmarkStart w:id="897" w:name="_Toc296891059"/>
      <w:bookmarkStart w:id="898" w:name="_Toc296944570"/>
      <w:bookmarkStart w:id="899" w:name="_Toc296346732"/>
      <w:bookmarkStart w:id="900" w:name="_Toc296891271"/>
      <w:bookmarkStart w:id="901" w:name="_Toc296503231"/>
      <w:r>
        <w:rPr>
          <w:rFonts w:hint="eastAsia" w:ascii="宋体" w:hAnsi="宋体" w:eastAsia="宋体" w:cs="宋体"/>
          <w:color w:val="auto"/>
          <w:kern w:val="0"/>
          <w:sz w:val="24"/>
          <w:szCs w:val="24"/>
          <w:highlight w:val="none"/>
        </w:rPr>
        <w:t>件</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bookmarkEnd w:id="895"/>
      <w:bookmarkEnd w:id="896"/>
      <w:bookmarkEnd w:id="897"/>
      <w:bookmarkEnd w:id="898"/>
      <w:bookmarkEnd w:id="899"/>
      <w:bookmarkEnd w:id="900"/>
      <w:bookmarkEnd w:id="901"/>
      <w:r>
        <w:rPr>
          <w:rFonts w:hint="eastAsia" w:ascii="宋体" w:hAnsi="宋体" w:eastAsia="宋体" w:cs="宋体"/>
          <w:color w:val="auto"/>
          <w:kern w:val="0"/>
          <w:sz w:val="28"/>
          <w:szCs w:val="28"/>
          <w:highlight w:val="none"/>
        </w:rPr>
        <w:t xml:space="preserve">                </w:t>
      </w:r>
      <w:r>
        <w:rPr>
          <w:rFonts w:hint="eastAsia" w:ascii="宋体" w:hAnsi="宋体" w:eastAsia="宋体" w:cs="宋体"/>
          <w:b/>
          <w:color w:val="auto"/>
          <w:kern w:val="0"/>
          <w:sz w:val="28"/>
          <w:szCs w:val="28"/>
          <w:highlight w:val="none"/>
        </w:rPr>
        <w:t xml:space="preserve">  </w:t>
      </w:r>
    </w:p>
    <w:p w14:paraId="42DBE863">
      <w:pPr>
        <w:keepNext w:val="0"/>
        <w:keepLines w:val="0"/>
        <w:pageBreakBefore w:val="0"/>
        <w:widowControl w:val="0"/>
        <w:kinsoku/>
        <w:wordWrap w:val="0"/>
        <w:overflowPunct/>
        <w:topLinePunct w:val="0"/>
        <w:autoSpaceDE/>
        <w:autoSpaceDN/>
        <w:bidi w:val="0"/>
        <w:adjustRightInd/>
        <w:snapToGrid/>
        <w:spacing w:after="200" w:afterLines="0" w:line="460" w:lineRule="exact"/>
        <w:jc w:val="center"/>
        <w:textAlignment w:val="auto"/>
        <w:outlineLvl w:val="9"/>
        <w:rPr>
          <w:rFonts w:hint="eastAsia" w:ascii="宋体" w:hAnsi="宋体" w:eastAsia="宋体" w:cs="宋体"/>
          <w:b/>
          <w:color w:val="auto"/>
          <w:kern w:val="0"/>
          <w:sz w:val="28"/>
          <w:szCs w:val="28"/>
          <w:highlight w:val="none"/>
        </w:rPr>
      </w:pPr>
      <w:bookmarkStart w:id="902" w:name="_Toc26333"/>
      <w:bookmarkStart w:id="903" w:name="_Toc30087"/>
      <w:r>
        <w:rPr>
          <w:rFonts w:hint="eastAsia" w:ascii="宋体" w:hAnsi="宋体" w:eastAsia="宋体" w:cs="宋体"/>
          <w:b/>
          <w:color w:val="auto"/>
          <w:kern w:val="0"/>
          <w:sz w:val="28"/>
          <w:szCs w:val="28"/>
          <w:highlight w:val="none"/>
        </w:rPr>
        <w:t>履约担保</w:t>
      </w:r>
      <w:bookmarkEnd w:id="902"/>
      <w:bookmarkEnd w:id="903"/>
    </w:p>
    <w:p w14:paraId="3D635F84">
      <w:pPr>
        <w:keepNext w:val="0"/>
        <w:keepLines w:val="0"/>
        <w:pageBreakBefore w:val="0"/>
        <w:widowControl w:val="0"/>
        <w:kinsoku/>
        <w:wordWrap w:val="0"/>
        <w:overflowPunct/>
        <w:topLinePunct w:val="0"/>
        <w:autoSpaceDE/>
        <w:autoSpaceDN/>
        <w:bidi w:val="0"/>
        <w:adjustRightInd/>
        <w:snapToGrid/>
        <w:spacing w:afterLines="0" w:line="500" w:lineRule="exac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rPr>
        <w:t>：</w:t>
      </w:r>
    </w:p>
    <w:p w14:paraId="335623EA">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b/>
          <w:color w:val="auto"/>
          <w:kern w:val="0"/>
          <w:sz w:val="24"/>
          <w:szCs w:val="24"/>
          <w:highlight w:val="none"/>
          <w:u w:val="single"/>
          <w:lang w:eastAsia="zh-CN"/>
        </w:rPr>
      </w:pPr>
      <w:r>
        <w:rPr>
          <w:rFonts w:hint="eastAsia" w:ascii="宋体" w:hAnsi="宋体" w:eastAsia="宋体" w:cs="宋体"/>
          <w:color w:val="auto"/>
          <w:kern w:val="0"/>
          <w:sz w:val="24"/>
          <w:szCs w:val="24"/>
          <w:highlight w:val="none"/>
        </w:rPr>
        <w:t>鉴于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（发包人名称，以下简称“发包人”）与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（承包人名称）（以下称“承包人”）于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p>
    <w:p w14:paraId="72568AF6">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0DDB7990">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担保金额人民币（大写）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元</w:t>
      </w:r>
      <w:r>
        <w:rPr>
          <w:rFonts w:hint="eastAsia" w:ascii="宋体" w:hAnsi="宋体" w:eastAsia="宋体" w:cs="宋体"/>
          <w:color w:val="auto"/>
          <w:kern w:val="0"/>
          <w:sz w:val="24"/>
          <w:szCs w:val="24"/>
          <w:highlight w:val="none"/>
        </w:rPr>
        <w:t>）。</w:t>
      </w:r>
    </w:p>
    <w:p w14:paraId="0D86F3B1">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担保有效期自你方与承包人签订的合同生效之日起至你方签发或应签发工程接收证书之日止。</w:t>
      </w:r>
    </w:p>
    <w:p w14:paraId="4D8BDD8D">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在本担保有效期内，因承包人违反合同约定的义务给你方造成经济损失时，我方在收到你方以书面形式提出的在担保金额内的赔偿要求后，在7天内无条件支付。</w:t>
      </w:r>
    </w:p>
    <w:p w14:paraId="0F80F049">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 你方和承包人按合同约定变更合同时，我方承担本担保规定的义务不变。</w:t>
      </w:r>
    </w:p>
    <w:p w14:paraId="082C3F16">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 因本保函发生的纠纷，可由双方协商解决，协商不成的，任何一方均可提请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仲裁委员会仲裁。</w:t>
      </w:r>
    </w:p>
    <w:p w14:paraId="3E3CAC76">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 本保函自我方法定代表人（或其授权代理人）签字并加盖公章之日起生效。</w:t>
      </w:r>
    </w:p>
    <w:p w14:paraId="04A1EB7E">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p>
    <w:p w14:paraId="6B71BE89">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p>
    <w:p w14:paraId="5EA267BC">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担 保 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（盖单位章）</w:t>
      </w:r>
    </w:p>
    <w:p w14:paraId="4BAD3546">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088215D8">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24ADFF76">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p>
    <w:p w14:paraId="2D04C19C">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p>
    <w:p w14:paraId="4BD2687B">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p>
    <w:p w14:paraId="7717EF15">
      <w:pPr>
        <w:keepNext w:val="0"/>
        <w:keepLines w:val="0"/>
        <w:pageBreakBefore w:val="0"/>
        <w:kinsoku/>
        <w:wordWrap w:val="0"/>
        <w:overflowPunct/>
        <w:topLinePunct w:val="0"/>
        <w:autoSpaceDE/>
        <w:autoSpaceDN/>
        <w:bidi w:val="0"/>
        <w:adjustRightInd/>
        <w:snapToGrid/>
        <w:spacing w:after="200" w:afterLines="0" w:line="380" w:lineRule="exact"/>
        <w:ind w:left="1772" w:hanging="1519" w:hangingChars="633"/>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1B98EDB0">
      <w:pPr>
        <w:pStyle w:val="3"/>
        <w:spacing w:line="440" w:lineRule="exact"/>
        <w:jc w:val="center"/>
        <w:rPr>
          <w:rFonts w:hint="eastAsia" w:ascii="宋体" w:hAnsi="宋体" w:eastAsia="宋体" w:cs="宋体"/>
          <w:color w:val="auto"/>
          <w:sz w:val="30"/>
          <w:szCs w:val="30"/>
          <w:highlight w:val="none"/>
        </w:rPr>
      </w:pPr>
      <w:bookmarkStart w:id="904" w:name="_Toc17683"/>
      <w:bookmarkStart w:id="905" w:name="_Toc17272"/>
      <w:bookmarkStart w:id="906" w:name="_Toc3166"/>
      <w:bookmarkStart w:id="907" w:name="_Toc2301"/>
      <w:bookmarkStart w:id="908" w:name="_Toc28954"/>
      <w:bookmarkStart w:id="909" w:name="_Toc8156"/>
      <w:r>
        <w:rPr>
          <w:rFonts w:hint="eastAsia" w:ascii="宋体" w:hAnsi="宋体" w:eastAsia="宋体" w:cs="宋体"/>
          <w:color w:val="auto"/>
          <w:sz w:val="30"/>
          <w:szCs w:val="30"/>
          <w:highlight w:val="none"/>
        </w:rPr>
        <w:t xml:space="preserve">第五章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lang w:eastAsia="zh-CN"/>
        </w:rPr>
        <w:t>响应</w:t>
      </w:r>
      <w:r>
        <w:rPr>
          <w:rFonts w:hint="eastAsia" w:ascii="宋体" w:hAnsi="宋体" w:eastAsia="宋体" w:cs="宋体"/>
          <w:color w:val="auto"/>
          <w:sz w:val="30"/>
          <w:szCs w:val="30"/>
          <w:highlight w:val="none"/>
        </w:rPr>
        <w:t>文件格式</w:t>
      </w:r>
      <w:bookmarkEnd w:id="904"/>
      <w:bookmarkEnd w:id="905"/>
      <w:bookmarkEnd w:id="906"/>
      <w:bookmarkEnd w:id="907"/>
      <w:bookmarkEnd w:id="908"/>
      <w:bookmarkEnd w:id="909"/>
    </w:p>
    <w:p w14:paraId="57409ED1">
      <w:pPr>
        <w:pStyle w:val="28"/>
        <w:ind w:firstLine="0"/>
        <w:rPr>
          <w:rFonts w:hint="eastAsia" w:ascii="宋体" w:hAnsi="宋体" w:eastAsia="宋体" w:cs="宋体"/>
          <w:bCs/>
          <w:color w:val="auto"/>
          <w:kern w:val="44"/>
          <w:szCs w:val="28"/>
          <w:highlight w:val="none"/>
        </w:rPr>
      </w:pPr>
    </w:p>
    <w:p w14:paraId="65FBDFC7">
      <w:pPr>
        <w:pStyle w:val="28"/>
        <w:ind w:firstLine="0"/>
        <w:rPr>
          <w:rFonts w:hint="eastAsia" w:ascii="宋体" w:hAnsi="宋体" w:eastAsia="宋体" w:cs="宋体"/>
          <w:color w:val="auto"/>
          <w:highlight w:val="none"/>
        </w:rPr>
      </w:pPr>
      <w:r>
        <w:rPr>
          <w:rFonts w:hint="eastAsia" w:ascii="宋体" w:hAnsi="宋体" w:eastAsia="宋体" w:cs="宋体"/>
          <w:bCs/>
          <w:color w:val="auto"/>
          <w:kern w:val="44"/>
          <w:szCs w:val="28"/>
          <w:highlight w:val="none"/>
        </w:rPr>
        <w:t>封面</w:t>
      </w:r>
    </w:p>
    <w:p w14:paraId="7C42630E">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w:t>
      </w:r>
    </w:p>
    <w:p w14:paraId="1129745B">
      <w:pPr>
        <w:pStyle w:val="28"/>
        <w:rPr>
          <w:rFonts w:hint="eastAsia" w:ascii="宋体" w:hAnsi="宋体" w:eastAsia="宋体" w:cs="宋体"/>
          <w:color w:val="auto"/>
          <w:highlight w:val="none"/>
        </w:rPr>
      </w:pPr>
    </w:p>
    <w:p w14:paraId="6FC25D05">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          </w:t>
      </w:r>
      <w:r>
        <w:rPr>
          <w:rFonts w:hint="eastAsia" w:ascii="宋体" w:hAnsi="宋体" w:eastAsia="宋体" w:cs="宋体"/>
          <w:bCs/>
          <w:color w:val="auto"/>
          <w:sz w:val="36"/>
          <w:szCs w:val="36"/>
          <w:highlight w:val="none"/>
          <w:u w:val="single"/>
        </w:rPr>
        <w:t xml:space="preserve">          </w:t>
      </w:r>
      <w:r>
        <w:rPr>
          <w:rFonts w:hint="eastAsia" w:ascii="宋体" w:hAnsi="宋体" w:eastAsia="宋体" w:cs="宋体"/>
          <w:bCs/>
          <w:color w:val="auto"/>
          <w:sz w:val="30"/>
          <w:szCs w:val="30"/>
          <w:highlight w:val="none"/>
          <w:u w:val="single"/>
        </w:rPr>
        <w:t xml:space="preserve">（项目名称） </w:t>
      </w:r>
      <w:r>
        <w:rPr>
          <w:rFonts w:hint="eastAsia" w:ascii="宋体" w:hAnsi="宋体" w:eastAsia="宋体" w:cs="宋体"/>
          <w:bCs/>
          <w:color w:val="auto"/>
          <w:sz w:val="36"/>
          <w:szCs w:val="36"/>
          <w:highlight w:val="none"/>
          <w:u w:val="single"/>
        </w:rPr>
        <w:t xml:space="preserve">           </w:t>
      </w:r>
    </w:p>
    <w:p w14:paraId="383F58A8">
      <w:pPr>
        <w:rPr>
          <w:rFonts w:hint="eastAsia" w:ascii="宋体" w:hAnsi="宋体" w:eastAsia="宋体" w:cs="宋体"/>
          <w:bCs/>
          <w:color w:val="auto"/>
          <w:sz w:val="32"/>
          <w:szCs w:val="32"/>
          <w:highlight w:val="none"/>
        </w:rPr>
      </w:pPr>
    </w:p>
    <w:p w14:paraId="20FC6DDC">
      <w:pPr>
        <w:rPr>
          <w:rFonts w:hint="eastAsia" w:ascii="宋体" w:hAnsi="宋体" w:eastAsia="宋体" w:cs="宋体"/>
          <w:bCs/>
          <w:color w:val="auto"/>
          <w:sz w:val="32"/>
          <w:szCs w:val="32"/>
          <w:highlight w:val="none"/>
        </w:rPr>
      </w:pPr>
    </w:p>
    <w:p w14:paraId="61617A38">
      <w:pPr>
        <w:pStyle w:val="28"/>
        <w:rPr>
          <w:rFonts w:hint="eastAsia" w:ascii="宋体" w:hAnsi="宋体" w:eastAsia="宋体" w:cs="宋体"/>
          <w:color w:val="auto"/>
          <w:highlight w:val="none"/>
        </w:rPr>
      </w:pPr>
    </w:p>
    <w:p w14:paraId="46E75253">
      <w:pPr>
        <w:rPr>
          <w:rFonts w:hint="eastAsia" w:ascii="宋体" w:hAnsi="宋体" w:eastAsia="宋体" w:cs="宋体"/>
          <w:bCs/>
          <w:color w:val="auto"/>
          <w:sz w:val="32"/>
          <w:szCs w:val="32"/>
          <w:highlight w:val="none"/>
        </w:rPr>
      </w:pPr>
    </w:p>
    <w:p w14:paraId="23729885">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lang w:eastAsia="zh-CN"/>
        </w:rPr>
        <w:t>响</w:t>
      </w:r>
      <w:r>
        <w:rPr>
          <w:rFonts w:hint="eastAsia" w:ascii="宋体" w:hAnsi="宋体" w:eastAsia="宋体" w:cs="宋体"/>
          <w:b/>
          <w:color w:val="auto"/>
          <w:sz w:val="48"/>
          <w:szCs w:val="48"/>
          <w:highlight w:val="none"/>
          <w:lang w:val="en-US" w:eastAsia="zh-CN"/>
        </w:rPr>
        <w:t xml:space="preserve"> </w:t>
      </w:r>
      <w:r>
        <w:rPr>
          <w:rFonts w:hint="eastAsia" w:ascii="宋体" w:hAnsi="宋体" w:eastAsia="宋体" w:cs="宋体"/>
          <w:b/>
          <w:color w:val="auto"/>
          <w:sz w:val="48"/>
          <w:szCs w:val="48"/>
          <w:highlight w:val="none"/>
          <w:lang w:eastAsia="zh-CN"/>
        </w:rPr>
        <w:t>应</w:t>
      </w:r>
      <w:r>
        <w:rPr>
          <w:rFonts w:hint="eastAsia" w:ascii="宋体" w:hAnsi="宋体" w:eastAsia="宋体" w:cs="宋体"/>
          <w:b/>
          <w:color w:val="auto"/>
          <w:sz w:val="48"/>
          <w:szCs w:val="48"/>
          <w:highlight w:val="none"/>
          <w:lang w:val="en-US" w:eastAsia="zh-CN"/>
        </w:rPr>
        <w:t xml:space="preserve"> </w:t>
      </w:r>
      <w:r>
        <w:rPr>
          <w:rFonts w:hint="eastAsia" w:ascii="宋体" w:hAnsi="宋体" w:eastAsia="宋体" w:cs="宋体"/>
          <w:b/>
          <w:color w:val="auto"/>
          <w:sz w:val="48"/>
          <w:szCs w:val="48"/>
          <w:highlight w:val="none"/>
        </w:rPr>
        <w:t>文</w:t>
      </w:r>
      <w:r>
        <w:rPr>
          <w:rFonts w:hint="eastAsia" w:ascii="宋体" w:hAnsi="宋体" w:eastAsia="宋体" w:cs="宋体"/>
          <w:b/>
          <w:color w:val="auto"/>
          <w:sz w:val="48"/>
          <w:szCs w:val="48"/>
          <w:highlight w:val="none"/>
          <w:lang w:val="en-US" w:eastAsia="zh-CN"/>
        </w:rPr>
        <w:t xml:space="preserve"> </w:t>
      </w:r>
      <w:r>
        <w:rPr>
          <w:rFonts w:hint="eastAsia" w:ascii="宋体" w:hAnsi="宋体" w:eastAsia="宋体" w:cs="宋体"/>
          <w:b/>
          <w:color w:val="auto"/>
          <w:sz w:val="48"/>
          <w:szCs w:val="48"/>
          <w:highlight w:val="none"/>
        </w:rPr>
        <w:t>件</w:t>
      </w:r>
    </w:p>
    <w:p w14:paraId="5CB2CF2C">
      <w:pPr>
        <w:ind w:firstLine="2800" w:firstLineChars="10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项目编号： </w:t>
      </w:r>
      <w:r>
        <w:rPr>
          <w:rFonts w:hint="eastAsia" w:ascii="宋体" w:hAnsi="宋体" w:eastAsia="宋体" w:cs="宋体"/>
          <w:bCs/>
          <w:color w:val="auto"/>
          <w:sz w:val="28"/>
          <w:szCs w:val="28"/>
          <w:highlight w:val="none"/>
          <w:u w:val="single"/>
        </w:rPr>
        <w:t xml:space="preserve">                    </w:t>
      </w:r>
    </w:p>
    <w:p w14:paraId="15496D6D">
      <w:pPr>
        <w:rPr>
          <w:rFonts w:hint="eastAsia" w:ascii="宋体" w:hAnsi="宋体" w:eastAsia="宋体" w:cs="宋体"/>
          <w:bCs/>
          <w:color w:val="auto"/>
          <w:sz w:val="32"/>
          <w:szCs w:val="32"/>
          <w:highlight w:val="none"/>
        </w:rPr>
      </w:pPr>
    </w:p>
    <w:p w14:paraId="533325DD">
      <w:pPr>
        <w:rPr>
          <w:rFonts w:hint="eastAsia" w:ascii="宋体" w:hAnsi="宋体" w:eastAsia="宋体" w:cs="宋体"/>
          <w:bCs/>
          <w:color w:val="auto"/>
          <w:sz w:val="32"/>
          <w:szCs w:val="32"/>
          <w:highlight w:val="none"/>
        </w:rPr>
      </w:pPr>
    </w:p>
    <w:p w14:paraId="29BBE627">
      <w:pPr>
        <w:rPr>
          <w:rFonts w:hint="eastAsia" w:ascii="宋体" w:hAnsi="宋体" w:eastAsia="宋体" w:cs="宋体"/>
          <w:bCs/>
          <w:color w:val="auto"/>
          <w:sz w:val="32"/>
          <w:szCs w:val="32"/>
          <w:highlight w:val="none"/>
        </w:rPr>
      </w:pPr>
    </w:p>
    <w:p w14:paraId="15D01B77">
      <w:pPr>
        <w:pStyle w:val="47"/>
        <w:rPr>
          <w:rFonts w:hint="eastAsia" w:ascii="宋体" w:hAnsi="宋体" w:eastAsia="宋体" w:cs="宋体"/>
          <w:color w:val="auto"/>
          <w:highlight w:val="none"/>
        </w:rPr>
      </w:pPr>
    </w:p>
    <w:p w14:paraId="4E598CFF">
      <w:pPr>
        <w:pStyle w:val="28"/>
        <w:rPr>
          <w:rFonts w:hint="eastAsia" w:ascii="宋体" w:hAnsi="宋体" w:eastAsia="宋体" w:cs="宋体"/>
          <w:color w:val="auto"/>
          <w:highlight w:val="none"/>
        </w:rPr>
      </w:pPr>
    </w:p>
    <w:p w14:paraId="41162F49">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 xml:space="preserve">)         </w:t>
      </w:r>
    </w:p>
    <w:p w14:paraId="358A0804">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  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6D75579D">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法定代表人或其委托代理人：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 xml:space="preserve">）      </w:t>
      </w:r>
    </w:p>
    <w:p w14:paraId="1CA4E3AE">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联系电话：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542AD04C">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5DBC8244">
      <w:pPr>
        <w:spacing w:line="500" w:lineRule="exact"/>
        <w:ind w:firstLine="960" w:firstLineChars="400"/>
        <w:rPr>
          <w:rFonts w:hint="eastAsia" w:ascii="宋体" w:hAnsi="宋体" w:eastAsia="宋体" w:cs="宋体"/>
          <w:bCs/>
          <w:color w:val="auto"/>
          <w:sz w:val="24"/>
          <w:highlight w:val="none"/>
        </w:rPr>
      </w:pPr>
    </w:p>
    <w:p w14:paraId="41FCC67C">
      <w:pPr>
        <w:spacing w:line="500" w:lineRule="exact"/>
        <w:ind w:firstLine="960" w:firstLineChars="400"/>
        <w:rPr>
          <w:rFonts w:hint="eastAsia" w:ascii="宋体" w:hAnsi="宋体" w:eastAsia="宋体" w:cs="宋体"/>
          <w:bCs/>
          <w:color w:val="auto"/>
          <w:sz w:val="24"/>
          <w:highlight w:val="none"/>
        </w:rPr>
      </w:pPr>
    </w:p>
    <w:p w14:paraId="43F72162">
      <w:pPr>
        <w:spacing w:line="500" w:lineRule="exact"/>
        <w:ind w:firstLine="960" w:firstLineChars="400"/>
        <w:rPr>
          <w:rFonts w:hint="eastAsia" w:ascii="宋体" w:hAnsi="宋体" w:eastAsia="宋体" w:cs="宋体"/>
          <w:bCs/>
          <w:color w:val="auto"/>
          <w:sz w:val="24"/>
          <w:highlight w:val="none"/>
        </w:rPr>
      </w:pPr>
    </w:p>
    <w:p w14:paraId="5E97FE3C">
      <w:pPr>
        <w:spacing w:line="500" w:lineRule="exact"/>
        <w:ind w:firstLine="1124" w:firstLineChars="400"/>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目</w:t>
      </w:r>
      <w:r>
        <w:rPr>
          <w:rFonts w:hint="eastAsia" w:ascii="宋体" w:hAnsi="宋体" w:eastAsia="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eastAsia="zh-CN"/>
        </w:rPr>
        <w:t>录</w:t>
      </w:r>
    </w:p>
    <w:p w14:paraId="50DC4BCC">
      <w:pPr>
        <w:pageBreakBefore w:val="0"/>
        <w:widowControl w:val="0"/>
        <w:numPr>
          <w:ilvl w:val="0"/>
          <w:numId w:val="0"/>
        </w:numPr>
        <w:wordWrap w:val="0"/>
        <w:overflowPunct/>
        <w:spacing w:line="52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（供应商自拟）</w:t>
      </w:r>
    </w:p>
    <w:p w14:paraId="2A9EF6CD">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10794A7F">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32D8A35">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59CF30C4">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186F611F">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CBC94F4">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0829694">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263EDBA8">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9EFA4AB">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D0B1676">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9D6C93A">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61F6F262">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6C4F94FC">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5DCDF21B">
      <w:pPr>
        <w:rPr>
          <w:rFonts w:hint="eastAsia" w:ascii="宋体" w:hAnsi="宋体" w:eastAsia="宋体" w:cs="宋体"/>
          <w:color w:val="auto"/>
          <w:kern w:val="0"/>
          <w:sz w:val="28"/>
          <w:szCs w:val="28"/>
          <w:highlight w:val="none"/>
        </w:rPr>
      </w:pPr>
      <w:bookmarkStart w:id="910" w:name="_Toc25391"/>
      <w:bookmarkStart w:id="911" w:name="_Toc20290"/>
      <w:bookmarkStart w:id="912" w:name="_Toc3311"/>
      <w:bookmarkStart w:id="913" w:name="_Toc12442"/>
      <w:bookmarkStart w:id="914" w:name="_Toc14039"/>
      <w:r>
        <w:rPr>
          <w:rFonts w:hint="eastAsia" w:ascii="宋体" w:hAnsi="宋体" w:eastAsia="宋体" w:cs="宋体"/>
          <w:color w:val="auto"/>
          <w:kern w:val="0"/>
          <w:sz w:val="28"/>
          <w:szCs w:val="28"/>
          <w:highlight w:val="none"/>
        </w:rPr>
        <w:br w:type="page"/>
      </w:r>
    </w:p>
    <w:p w14:paraId="3F272613">
      <w:pPr>
        <w:pStyle w:val="4"/>
        <w:spacing w:before="0" w:after="0" w:line="360" w:lineRule="auto"/>
        <w:ind w:left="0" w:leftChars="0" w:right="0" w:rightChars="0" w:firstLine="0" w:firstLineChars="0"/>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一、</w:t>
      </w:r>
      <w:r>
        <w:rPr>
          <w:rFonts w:hint="eastAsia" w:ascii="宋体" w:hAnsi="宋体" w:eastAsia="宋体" w:cs="宋体"/>
          <w:color w:val="auto"/>
          <w:kern w:val="0"/>
          <w:sz w:val="28"/>
          <w:szCs w:val="28"/>
          <w:highlight w:val="none"/>
          <w:lang w:eastAsia="zh-CN"/>
        </w:rPr>
        <w:t>投标</w:t>
      </w:r>
      <w:r>
        <w:rPr>
          <w:rFonts w:hint="eastAsia" w:ascii="宋体" w:hAnsi="宋体" w:eastAsia="宋体" w:cs="宋体"/>
          <w:color w:val="auto"/>
          <w:kern w:val="0"/>
          <w:sz w:val="28"/>
          <w:szCs w:val="28"/>
          <w:highlight w:val="none"/>
        </w:rPr>
        <w:t>报价一览表</w:t>
      </w:r>
      <w:bookmarkEnd w:id="910"/>
      <w:bookmarkEnd w:id="911"/>
      <w:bookmarkEnd w:id="912"/>
      <w:bookmarkEnd w:id="913"/>
      <w:bookmarkEnd w:id="914"/>
    </w:p>
    <w:p w14:paraId="6DF08AD7">
      <w:pPr>
        <w:pStyle w:val="17"/>
        <w:widowControl/>
        <w:tabs>
          <w:tab w:val="left" w:pos="5580"/>
        </w:tabs>
        <w:spacing w:before="120" w:line="360" w:lineRule="auto"/>
        <w:rPr>
          <w:rFonts w:hint="eastAsia" w:ascii="宋体" w:hAnsi="宋体" w:eastAsia="宋体" w:cs="宋体"/>
          <w:b/>
          <w:color w:val="auto"/>
          <w:sz w:val="24"/>
          <w:highlight w:val="none"/>
        </w:rPr>
      </w:pPr>
    </w:p>
    <w:p w14:paraId="5D1AAB0E">
      <w:pPr>
        <w:pStyle w:val="17"/>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       项目名称：</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项目编号：</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bl>
      <w:tblPr>
        <w:tblStyle w:val="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3066"/>
        <w:gridCol w:w="5358"/>
      </w:tblGrid>
      <w:tr w14:paraId="4E3E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464" w:type="pct"/>
            <w:vAlign w:val="center"/>
          </w:tcPr>
          <w:p w14:paraId="2216C1C0">
            <w:pPr>
              <w:pStyle w:val="17"/>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序号</w:t>
            </w:r>
          </w:p>
        </w:tc>
        <w:tc>
          <w:tcPr>
            <w:tcW w:w="1651" w:type="pct"/>
            <w:vAlign w:val="center"/>
          </w:tcPr>
          <w:p w14:paraId="0B5B09A1">
            <w:pPr>
              <w:pStyle w:val="17"/>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项目</w:t>
            </w:r>
          </w:p>
        </w:tc>
        <w:tc>
          <w:tcPr>
            <w:tcW w:w="2884" w:type="pct"/>
            <w:vAlign w:val="center"/>
          </w:tcPr>
          <w:p w14:paraId="6EE55978">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14:paraId="69BD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5" w:hRule="atLeast"/>
          <w:jc w:val="center"/>
        </w:trPr>
        <w:tc>
          <w:tcPr>
            <w:tcW w:w="464" w:type="pct"/>
            <w:vAlign w:val="center"/>
          </w:tcPr>
          <w:p w14:paraId="3651F013">
            <w:pPr>
              <w:pStyle w:val="1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p>
        </w:tc>
        <w:tc>
          <w:tcPr>
            <w:tcW w:w="1651" w:type="pct"/>
            <w:vAlign w:val="center"/>
          </w:tcPr>
          <w:p w14:paraId="427D34E4">
            <w:pPr>
              <w:pStyle w:val="17"/>
              <w:jc w:val="center"/>
              <w:rPr>
                <w:rFonts w:hint="eastAsia" w:ascii="宋体" w:hAnsi="宋体" w:eastAsia="宋体" w:cs="宋体"/>
                <w:color w:val="auto"/>
                <w:sz w:val="24"/>
                <w:szCs w:val="24"/>
                <w:highlight w:val="none"/>
              </w:rPr>
            </w:pPr>
            <w:r>
              <w:rPr>
                <w:rFonts w:hint="eastAsia" w:hAnsi="宋体" w:cs="宋体"/>
                <w:b/>
                <w:color w:val="auto"/>
                <w:spacing w:val="0"/>
                <w:sz w:val="24"/>
                <w:szCs w:val="24"/>
                <w:highlight w:val="none"/>
                <w:lang w:val="en-US" w:eastAsia="zh-CN"/>
              </w:rPr>
              <w:t>磋商</w:t>
            </w:r>
            <w:r>
              <w:rPr>
                <w:rFonts w:hint="eastAsia" w:ascii="宋体" w:hAnsi="宋体" w:eastAsia="宋体" w:cs="宋体"/>
                <w:b/>
                <w:color w:val="auto"/>
                <w:spacing w:val="0"/>
                <w:sz w:val="24"/>
                <w:szCs w:val="24"/>
                <w:highlight w:val="none"/>
              </w:rPr>
              <w:t>总报价（元）</w:t>
            </w:r>
          </w:p>
        </w:tc>
        <w:tc>
          <w:tcPr>
            <w:tcW w:w="2884" w:type="pct"/>
            <w:vAlign w:val="center"/>
          </w:tcPr>
          <w:p w14:paraId="2F6B3D28">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小写：</w:t>
            </w:r>
            <w:r>
              <w:rPr>
                <w:rFonts w:hint="eastAsia" w:ascii="宋体" w:hAnsi="宋体" w:eastAsia="宋体" w:cs="宋体"/>
                <w:b/>
                <w:color w:val="auto"/>
                <w:sz w:val="24"/>
                <w:szCs w:val="24"/>
                <w:highlight w:val="none"/>
                <w:u w:val="single"/>
              </w:rPr>
              <w:t xml:space="preserve">                      </w:t>
            </w:r>
          </w:p>
          <w:p w14:paraId="13DB34F8">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大写：</w:t>
            </w:r>
            <w:r>
              <w:rPr>
                <w:rFonts w:hint="eastAsia" w:ascii="宋体" w:hAnsi="宋体" w:eastAsia="宋体" w:cs="宋体"/>
                <w:b/>
                <w:color w:val="auto"/>
                <w:sz w:val="24"/>
                <w:szCs w:val="24"/>
                <w:highlight w:val="none"/>
                <w:u w:val="single"/>
              </w:rPr>
              <w:t xml:space="preserve">                      </w:t>
            </w:r>
          </w:p>
        </w:tc>
      </w:tr>
      <w:tr w14:paraId="5F3D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464" w:type="pct"/>
            <w:vAlign w:val="center"/>
          </w:tcPr>
          <w:p w14:paraId="39FE0681">
            <w:pPr>
              <w:pStyle w:val="17"/>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1651" w:type="pct"/>
            <w:vAlign w:val="center"/>
          </w:tcPr>
          <w:p w14:paraId="77EF0A91">
            <w:pPr>
              <w:pStyle w:val="17"/>
              <w:jc w:val="center"/>
              <w:rPr>
                <w:rFonts w:hint="eastAsia" w:ascii="宋体" w:hAnsi="宋体" w:eastAsia="宋体" w:cs="宋体"/>
                <w:b/>
                <w:color w:val="auto"/>
                <w:spacing w:val="-20"/>
                <w:sz w:val="24"/>
                <w:szCs w:val="24"/>
                <w:highlight w:val="none"/>
                <w:lang w:val="en-US" w:eastAsia="zh-CN"/>
              </w:rPr>
            </w:pPr>
            <w:r>
              <w:rPr>
                <w:rFonts w:hint="eastAsia" w:ascii="宋体" w:hAnsi="宋体" w:eastAsia="宋体" w:cs="宋体"/>
                <w:b/>
                <w:color w:val="auto"/>
                <w:spacing w:val="-20"/>
                <w:sz w:val="24"/>
                <w:szCs w:val="24"/>
                <w:highlight w:val="none"/>
                <w:lang w:val="en-US" w:eastAsia="zh-CN"/>
              </w:rPr>
              <w:t>项目负责人</w:t>
            </w:r>
          </w:p>
        </w:tc>
        <w:tc>
          <w:tcPr>
            <w:tcW w:w="2884" w:type="pct"/>
            <w:vAlign w:val="center"/>
          </w:tcPr>
          <w:p w14:paraId="74BCED58">
            <w:pPr>
              <w:pStyle w:val="17"/>
              <w:spacing w:line="360" w:lineRule="auto"/>
              <w:jc w:val="left"/>
              <w:rPr>
                <w:rFonts w:hint="eastAsia" w:ascii="宋体" w:hAnsi="宋体" w:eastAsia="宋体" w:cs="宋体"/>
                <w:b/>
                <w:color w:val="auto"/>
                <w:sz w:val="24"/>
                <w:szCs w:val="24"/>
                <w:highlight w:val="none"/>
              </w:rPr>
            </w:pPr>
          </w:p>
        </w:tc>
      </w:tr>
      <w:tr w14:paraId="38FB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464" w:type="pct"/>
            <w:vAlign w:val="center"/>
          </w:tcPr>
          <w:p w14:paraId="71D2DFA9">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p>
        </w:tc>
        <w:tc>
          <w:tcPr>
            <w:tcW w:w="1651" w:type="pct"/>
            <w:vAlign w:val="center"/>
          </w:tcPr>
          <w:p w14:paraId="29B1743F">
            <w:pPr>
              <w:pStyle w:val="17"/>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工期</w:t>
            </w:r>
          </w:p>
        </w:tc>
        <w:tc>
          <w:tcPr>
            <w:tcW w:w="2884" w:type="pct"/>
            <w:vAlign w:val="center"/>
          </w:tcPr>
          <w:p w14:paraId="5100479D">
            <w:pPr>
              <w:pStyle w:val="17"/>
              <w:jc w:val="left"/>
              <w:rPr>
                <w:rFonts w:hint="eastAsia" w:ascii="宋体" w:hAnsi="宋体" w:eastAsia="宋体" w:cs="宋体"/>
                <w:color w:val="auto"/>
                <w:sz w:val="24"/>
                <w:szCs w:val="24"/>
                <w:highlight w:val="none"/>
              </w:rPr>
            </w:pPr>
          </w:p>
        </w:tc>
      </w:tr>
      <w:tr w14:paraId="06F7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464" w:type="pct"/>
            <w:vAlign w:val="center"/>
          </w:tcPr>
          <w:p w14:paraId="1228B38A">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p>
        </w:tc>
        <w:tc>
          <w:tcPr>
            <w:tcW w:w="1651" w:type="pct"/>
            <w:vAlign w:val="center"/>
          </w:tcPr>
          <w:p w14:paraId="00447193">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质量要求</w:t>
            </w:r>
          </w:p>
        </w:tc>
        <w:tc>
          <w:tcPr>
            <w:tcW w:w="2884" w:type="pct"/>
            <w:vAlign w:val="center"/>
          </w:tcPr>
          <w:p w14:paraId="765E7EBC">
            <w:pPr>
              <w:pStyle w:val="17"/>
              <w:jc w:val="left"/>
              <w:rPr>
                <w:rFonts w:hint="eastAsia" w:ascii="宋体" w:hAnsi="宋体" w:eastAsia="宋体" w:cs="宋体"/>
                <w:color w:val="auto"/>
                <w:sz w:val="24"/>
                <w:szCs w:val="24"/>
                <w:highlight w:val="none"/>
              </w:rPr>
            </w:pPr>
          </w:p>
        </w:tc>
      </w:tr>
      <w:tr w14:paraId="6CE3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464" w:type="pct"/>
            <w:vAlign w:val="center"/>
          </w:tcPr>
          <w:p w14:paraId="0FDF05FF">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p>
        </w:tc>
        <w:tc>
          <w:tcPr>
            <w:tcW w:w="1651" w:type="pct"/>
            <w:vAlign w:val="center"/>
          </w:tcPr>
          <w:p w14:paraId="3AB1EE38">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保证金</w:t>
            </w:r>
            <w:r>
              <w:rPr>
                <w:rFonts w:hint="eastAsia" w:ascii="宋体" w:hAnsi="宋体" w:eastAsia="宋体" w:cs="宋体"/>
                <w:b/>
                <w:color w:val="auto"/>
                <w:spacing w:val="-20"/>
                <w:sz w:val="24"/>
                <w:szCs w:val="24"/>
                <w:highlight w:val="none"/>
              </w:rPr>
              <w:t>（元）</w:t>
            </w:r>
          </w:p>
        </w:tc>
        <w:tc>
          <w:tcPr>
            <w:tcW w:w="2884" w:type="pct"/>
            <w:vAlign w:val="center"/>
          </w:tcPr>
          <w:p w14:paraId="35299D90">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小写：</w:t>
            </w:r>
            <w:r>
              <w:rPr>
                <w:rFonts w:hint="eastAsia" w:ascii="宋体" w:hAnsi="宋体" w:eastAsia="宋体" w:cs="宋体"/>
                <w:b/>
                <w:color w:val="auto"/>
                <w:sz w:val="24"/>
                <w:szCs w:val="24"/>
                <w:highlight w:val="none"/>
                <w:u w:val="single"/>
              </w:rPr>
              <w:t xml:space="preserve">                      </w:t>
            </w:r>
          </w:p>
          <w:p w14:paraId="7F61AA9D">
            <w:pPr>
              <w:pStyle w:val="17"/>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大写：</w:t>
            </w:r>
            <w:r>
              <w:rPr>
                <w:rFonts w:hint="eastAsia" w:ascii="宋体" w:hAnsi="宋体" w:eastAsia="宋体" w:cs="宋体"/>
                <w:b/>
                <w:color w:val="auto"/>
                <w:sz w:val="24"/>
                <w:szCs w:val="24"/>
                <w:highlight w:val="none"/>
                <w:u w:val="single"/>
              </w:rPr>
              <w:t xml:space="preserve">                      </w:t>
            </w:r>
          </w:p>
        </w:tc>
      </w:tr>
      <w:tr w14:paraId="7B54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464" w:type="pct"/>
            <w:vAlign w:val="center"/>
          </w:tcPr>
          <w:p w14:paraId="06ADED4A">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6</w:t>
            </w:r>
          </w:p>
        </w:tc>
        <w:tc>
          <w:tcPr>
            <w:tcW w:w="1651" w:type="pct"/>
            <w:vAlign w:val="center"/>
          </w:tcPr>
          <w:p w14:paraId="3D6584BC">
            <w:pPr>
              <w:pStyle w:val="17"/>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     注</w:t>
            </w:r>
          </w:p>
        </w:tc>
        <w:tc>
          <w:tcPr>
            <w:tcW w:w="2884" w:type="pct"/>
            <w:vAlign w:val="center"/>
          </w:tcPr>
          <w:p w14:paraId="22AAB6BB">
            <w:pPr>
              <w:pStyle w:val="17"/>
              <w:jc w:val="left"/>
              <w:rPr>
                <w:rFonts w:hint="eastAsia" w:ascii="宋体" w:hAnsi="宋体" w:eastAsia="宋体" w:cs="宋体"/>
                <w:color w:val="auto"/>
                <w:sz w:val="24"/>
                <w:szCs w:val="24"/>
                <w:highlight w:val="none"/>
              </w:rPr>
            </w:pPr>
          </w:p>
        </w:tc>
      </w:tr>
      <w:tr w14:paraId="30AE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5000" w:type="pct"/>
            <w:gridSpan w:val="3"/>
            <w:vAlign w:val="top"/>
          </w:tcPr>
          <w:p w14:paraId="00F02D72">
            <w:pPr>
              <w:spacing w:line="360" w:lineRule="exact"/>
              <w:rPr>
                <w:rFonts w:hint="eastAsia" w:ascii="宋体" w:hAnsi="宋体" w:eastAsia="宋体" w:cs="宋体"/>
                <w:bCs/>
                <w:color w:val="auto"/>
                <w:sz w:val="24"/>
                <w:highlight w:val="none"/>
              </w:rPr>
            </w:pPr>
          </w:p>
          <w:p w14:paraId="37230278">
            <w:pPr>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w:t>
            </w:r>
          </w:p>
          <w:p w14:paraId="5337555B">
            <w:pPr>
              <w:spacing w:line="360" w:lineRule="exact"/>
              <w:rPr>
                <w:rFonts w:hint="eastAsia" w:ascii="宋体" w:hAnsi="宋体" w:eastAsia="宋体" w:cs="宋体"/>
                <w:bCs/>
                <w:color w:val="auto"/>
                <w:sz w:val="24"/>
                <w:highlight w:val="none"/>
              </w:rPr>
            </w:pPr>
          </w:p>
        </w:tc>
      </w:tr>
      <w:tr w14:paraId="2FBE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jc w:val="center"/>
        </w:trPr>
        <w:tc>
          <w:tcPr>
            <w:tcW w:w="5000" w:type="pct"/>
            <w:gridSpan w:val="3"/>
            <w:vAlign w:val="top"/>
          </w:tcPr>
          <w:p w14:paraId="6F2ABEB7">
            <w:pPr>
              <w:spacing w:line="320" w:lineRule="exact"/>
              <w:rPr>
                <w:rFonts w:hint="eastAsia" w:ascii="宋体" w:hAnsi="宋体" w:eastAsia="宋体" w:cs="宋体"/>
                <w:color w:val="auto"/>
                <w:sz w:val="24"/>
                <w:highlight w:val="none"/>
              </w:rPr>
            </w:pPr>
          </w:p>
          <w:p w14:paraId="4D2500EE">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cs="宋体"/>
                <w:bCs/>
                <w:color w:val="auto"/>
                <w:sz w:val="24"/>
                <w:highlight w:val="none"/>
                <w:lang w:val="en-US" w:eastAsia="zh-CN"/>
              </w:rPr>
              <w:t>电子签章</w:t>
            </w:r>
            <w:r>
              <w:rPr>
                <w:rFonts w:hint="eastAsia" w:ascii="宋体" w:hAnsi="宋体" w:eastAsia="宋体" w:cs="宋体"/>
                <w:color w:val="auto"/>
                <w:sz w:val="24"/>
                <w:highlight w:val="none"/>
              </w:rPr>
              <w:t>）：</w:t>
            </w:r>
          </w:p>
          <w:p w14:paraId="36292AA8">
            <w:pPr>
              <w:spacing w:line="360" w:lineRule="exact"/>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日  期：   年    月    日</w:t>
            </w:r>
          </w:p>
        </w:tc>
      </w:tr>
    </w:tbl>
    <w:p w14:paraId="7C582D28">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r>
        <w:rPr>
          <w:rFonts w:hint="eastAsia" w:ascii="宋体" w:hAnsi="宋体" w:eastAsia="宋体" w:cs="宋体"/>
          <w:b w:val="0"/>
          <w:bCs/>
          <w:color w:val="auto"/>
          <w:kern w:val="1"/>
          <w:sz w:val="24"/>
          <w:highlight w:val="none"/>
          <w:lang w:bidi="ar"/>
        </w:rPr>
        <w:t>注：1、开标时，</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中开标一览表(报价表)内容与</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中明细表内容不一致的，以开标一览表(报价表)为准。</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的大写金额和小写金额不一致的，以大写金额为准；总价金额与按单价汇总金额不一致的，以单价金额计算结果为准；单价金额小数点有明显错位的，应以总价为准，并修改单价；对不同文字文本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的解释发生异议的，以中文文本为准；</w:t>
      </w:r>
    </w:p>
    <w:p w14:paraId="7E3D2870">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p>
    <w:p w14:paraId="4B68441D">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p>
    <w:p w14:paraId="70885DA6">
      <w:pPr>
        <w:pStyle w:val="4"/>
        <w:widowControl/>
        <w:tabs>
          <w:tab w:val="left" w:pos="576"/>
        </w:tabs>
        <w:spacing w:before="240" w:line="360" w:lineRule="exact"/>
        <w:ind w:right="-250" w:rightChars="-119"/>
        <w:jc w:val="center"/>
        <w:rPr>
          <w:rFonts w:hint="eastAsia" w:ascii="宋体" w:hAnsi="宋体" w:eastAsia="宋体" w:cs="宋体"/>
          <w:b w:val="0"/>
          <w:color w:val="auto"/>
          <w:kern w:val="1"/>
          <w:sz w:val="24"/>
          <w:highlight w:val="none"/>
          <w:lang w:bidi="ar"/>
        </w:rPr>
      </w:pPr>
      <w:bookmarkStart w:id="915" w:name="_Toc28579"/>
      <w:bookmarkStart w:id="916" w:name="_Toc19492"/>
      <w:bookmarkStart w:id="917" w:name="_Toc17828"/>
      <w:bookmarkStart w:id="918" w:name="_Toc4344"/>
      <w:bookmarkStart w:id="919" w:name="_Toc24922"/>
      <w:r>
        <w:rPr>
          <w:rFonts w:hint="eastAsia" w:ascii="宋体" w:hAnsi="宋体" w:eastAsia="宋体" w:cs="宋体"/>
          <w:color w:val="auto"/>
          <w:sz w:val="30"/>
          <w:szCs w:val="30"/>
          <w:highlight w:val="none"/>
          <w:lang w:val="zh-CN"/>
        </w:rPr>
        <w:t>二、磋商函</w:t>
      </w:r>
      <w:bookmarkEnd w:id="915"/>
      <w:bookmarkEnd w:id="916"/>
      <w:bookmarkEnd w:id="917"/>
      <w:bookmarkEnd w:id="918"/>
      <w:bookmarkEnd w:id="919"/>
    </w:p>
    <w:p w14:paraId="2CD93ED4">
      <w:pPr>
        <w:spacing w:line="480" w:lineRule="exact"/>
        <w:ind w:right="-250" w:rightChars="-119"/>
        <w:rPr>
          <w:rFonts w:hint="eastAsia" w:ascii="宋体" w:hAnsi="宋体" w:eastAsia="宋体" w:cs="宋体"/>
          <w:color w:val="auto"/>
          <w:kern w:val="1"/>
          <w:sz w:val="24"/>
          <w:highlight w:val="none"/>
        </w:rPr>
      </w:pPr>
      <w:r>
        <w:rPr>
          <w:rFonts w:hint="eastAsia" w:ascii="宋体" w:hAnsi="宋体" w:eastAsia="宋体" w:cs="宋体"/>
          <w:bCs/>
          <w:color w:val="auto"/>
          <w:kern w:val="1"/>
          <w:sz w:val="24"/>
          <w:highlight w:val="none"/>
          <w:lang w:bidi="ar"/>
        </w:rPr>
        <w:t>致：</w:t>
      </w:r>
      <w:r>
        <w:rPr>
          <w:rFonts w:hint="eastAsia" w:ascii="宋体" w:hAnsi="宋体" w:eastAsia="宋体" w:cs="宋体"/>
          <w:bCs/>
          <w:color w:val="auto"/>
          <w:kern w:val="1"/>
          <w:sz w:val="24"/>
          <w:highlight w:val="none"/>
          <w:u w:val="single"/>
          <w:lang w:bidi="ar"/>
        </w:rPr>
        <w:t xml:space="preserve">    （采购人名称）</w:t>
      </w:r>
    </w:p>
    <w:p w14:paraId="671789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我方已仔细研究了</w:t>
      </w:r>
      <w:r>
        <w:rPr>
          <w:rFonts w:hint="eastAsia" w:ascii="宋体" w:hAnsi="宋体" w:eastAsia="宋体" w:cs="宋体"/>
          <w:color w:val="auto"/>
          <w:sz w:val="24"/>
          <w:highlight w:val="none"/>
          <w:u w:val="single"/>
        </w:rPr>
        <w:t xml:space="preserve">         （项目名称）</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全部内容，正式授权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（姓名）代表</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供应商</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，提交</w:t>
      </w:r>
      <w:r>
        <w:rPr>
          <w:rFonts w:hint="eastAsia" w:ascii="宋体" w:hAnsi="宋体" w:eastAsia="宋体" w:cs="宋体"/>
          <w:color w:val="auto"/>
          <w:sz w:val="24"/>
          <w:highlight w:val="none"/>
          <w:lang w:eastAsia="zh-CN"/>
        </w:rPr>
        <w:t>电子</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w:t>
      </w:r>
      <w:r>
        <w:rPr>
          <w:rFonts w:hint="eastAsia" w:ascii="宋体" w:hAnsi="宋体" w:eastAsia="宋体" w:cs="宋体"/>
          <w:b/>
          <w:color w:val="auto"/>
          <w:sz w:val="24"/>
          <w:highlight w:val="none"/>
          <w:u w:val="single"/>
          <w:lang w:val="en-US" w:eastAsia="zh-CN"/>
        </w:rPr>
        <w:t>1</w:t>
      </w:r>
      <w:r>
        <w:rPr>
          <w:rFonts w:hint="eastAsia" w:ascii="宋体" w:hAnsi="宋体" w:eastAsia="宋体" w:cs="宋体"/>
          <w:bCs/>
          <w:color w:val="auto"/>
          <w:sz w:val="24"/>
          <w:highlight w:val="none"/>
        </w:rPr>
        <w:t>份</w:t>
      </w:r>
      <w:r>
        <w:rPr>
          <w:rFonts w:hint="eastAsia" w:ascii="宋体" w:hAnsi="宋体" w:eastAsia="宋体" w:cs="宋体"/>
          <w:color w:val="auto"/>
          <w:sz w:val="24"/>
          <w:highlight w:val="none"/>
          <w:lang w:bidi="ar"/>
        </w:rPr>
        <w:t>。</w:t>
      </w:r>
    </w:p>
    <w:p w14:paraId="2F92FB9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我方承诺如下：</w:t>
      </w:r>
    </w:p>
    <w:p w14:paraId="65F13E8B">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1、根据你方采购项目编号为</w:t>
      </w:r>
      <w:r>
        <w:rPr>
          <w:rFonts w:hint="eastAsia" w:ascii="宋体" w:hAnsi="宋体" w:eastAsia="宋体" w:cs="宋体"/>
          <w:color w:val="auto"/>
          <w:sz w:val="24"/>
          <w:highlight w:val="none"/>
          <w:u w:val="single"/>
        </w:rPr>
        <w:t xml:space="preserve">    （项目编号）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项目</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，遵照《政府采购竞争性磋商采购方式管理暂行办法》等有关规定，经研究上述</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要求后，我方</w:t>
      </w:r>
      <w:r>
        <w:rPr>
          <w:rFonts w:hint="eastAsia" w:ascii="宋体" w:hAnsi="宋体" w:eastAsia="宋体" w:cs="宋体"/>
          <w:bCs/>
          <w:color w:val="auto"/>
          <w:sz w:val="24"/>
          <w:highlight w:val="none"/>
        </w:rPr>
        <w:t>愿意以人民币（大写）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w:t>
      </w:r>
      <w:r>
        <w:rPr>
          <w:rFonts w:hint="eastAsia" w:ascii="宋体" w:hAnsi="宋体" w:cs="宋体"/>
          <w:bCs/>
          <w:color w:val="auto"/>
          <w:sz w:val="24"/>
          <w:highlight w:val="none"/>
          <w:lang w:eastAsia="zh-CN"/>
        </w:rPr>
        <w:t>，如有二次报价，以二次报价金额为准，</w:t>
      </w:r>
      <w:r>
        <w:rPr>
          <w:rFonts w:hint="eastAsia" w:ascii="宋体" w:hAnsi="宋体" w:eastAsia="宋体" w:cs="宋体"/>
          <w:bCs/>
          <w:color w:val="auto"/>
          <w:sz w:val="24"/>
          <w:highlight w:val="none"/>
        </w:rPr>
        <w:t>按合同约定实施和完成本项目</w:t>
      </w:r>
      <w:r>
        <w:rPr>
          <w:rFonts w:hint="eastAsia" w:ascii="宋体" w:hAnsi="宋体" w:eastAsia="宋体" w:cs="宋体"/>
          <w:color w:val="auto"/>
          <w:sz w:val="24"/>
          <w:highlight w:val="none"/>
        </w:rPr>
        <w:t>,并按</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合同条款、</w:t>
      </w:r>
      <w:r>
        <w:rPr>
          <w:rFonts w:hint="eastAsia" w:ascii="宋体" w:hAnsi="宋体" w:eastAsia="宋体" w:cs="宋体"/>
          <w:color w:val="auto"/>
          <w:sz w:val="24"/>
          <w:highlight w:val="none"/>
          <w:lang w:val="en-US" w:eastAsia="zh-CN"/>
        </w:rPr>
        <w:t>合同履行期限</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lang w:eastAsia="zh-CN"/>
        </w:rPr>
        <w:t>地点</w:t>
      </w:r>
      <w:r>
        <w:rPr>
          <w:rFonts w:hint="eastAsia" w:ascii="宋体" w:hAnsi="宋体" w:eastAsia="宋体" w:cs="宋体"/>
          <w:color w:val="auto"/>
          <w:sz w:val="24"/>
          <w:highlight w:val="none"/>
        </w:rPr>
        <w:t>的条件要求完成采购人委托的服务事项，并达到采购人的质量考核标准。</w:t>
      </w:r>
    </w:p>
    <w:p w14:paraId="104328A4">
      <w:pPr>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2、我方承诺我们的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报价不低于我们自身的成本。</w:t>
      </w:r>
    </w:p>
    <w:p w14:paraId="3574AFA0">
      <w:pPr>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3、我方已详细审核全部</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，包括补遗文件及有关附件。</w:t>
      </w:r>
    </w:p>
    <w:p w14:paraId="4ADA811E">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如我方成交，承诺如下：</w:t>
      </w:r>
    </w:p>
    <w:p w14:paraId="580AC8FF">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（1）我方承诺在收到成交通知书后，在成交通知书规定的期限内与你方签订合同。</w:t>
      </w:r>
    </w:p>
    <w:p w14:paraId="5929066F">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（2）在签订合同时不向你方提出附加条件。</w:t>
      </w:r>
    </w:p>
    <w:p w14:paraId="609A3E10">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（3）按照竞争性磋商文件要求提交履约保证金。</w:t>
      </w:r>
    </w:p>
    <w:p w14:paraId="49D8736F">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（4）我方承诺遵守竞争性磋商文件的各项条款及一切有关规定。</w:t>
      </w:r>
    </w:p>
    <w:p w14:paraId="58E324C6">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（5）我方在此声明，所提交的响应文件及有关资料内容完整、真实和准确。</w:t>
      </w:r>
    </w:p>
    <w:p w14:paraId="1678C07A">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（6）我方愿意支付本项目的代理服务费。</w:t>
      </w:r>
    </w:p>
    <w:p w14:paraId="0305CB8C">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（其他补充说明）。</w:t>
      </w:r>
    </w:p>
    <w:p w14:paraId="0CEB45FC">
      <w:pPr>
        <w:spacing w:line="480" w:lineRule="exact"/>
        <w:ind w:firstLine="480" w:firstLineChars="200"/>
        <w:rPr>
          <w:rFonts w:hint="eastAsia" w:ascii="宋体" w:hAnsi="宋体" w:eastAsia="宋体" w:cs="宋体"/>
          <w:bCs/>
          <w:color w:val="auto"/>
          <w:sz w:val="24"/>
          <w:highlight w:val="none"/>
        </w:rPr>
      </w:pPr>
    </w:p>
    <w:p w14:paraId="62A10FBE">
      <w:pPr>
        <w:spacing w:line="480" w:lineRule="exact"/>
        <w:ind w:firstLine="480" w:firstLineChars="200"/>
        <w:rPr>
          <w:rFonts w:hint="eastAsia" w:ascii="宋体" w:hAnsi="宋体" w:eastAsia="宋体" w:cs="宋体"/>
          <w:bCs/>
          <w:color w:val="auto"/>
          <w:sz w:val="24"/>
          <w:highlight w:val="none"/>
        </w:rPr>
      </w:pPr>
    </w:p>
    <w:p w14:paraId="215ADE7F">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 xml:space="preserve">                               </w:t>
      </w:r>
    </w:p>
    <w:p w14:paraId="5F14C3DC">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 xml:space="preserve">                                </w:t>
      </w:r>
    </w:p>
    <w:p w14:paraId="25763658">
      <w:pPr>
        <w:spacing w:line="480" w:lineRule="exact"/>
        <w:ind w:right="-250" w:rightChars="-119" w:firstLine="480" w:firstLineChars="200"/>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4DDA7063">
      <w:pPr>
        <w:spacing w:line="480" w:lineRule="exact"/>
        <w:ind w:right="-250" w:rightChars="-119" w:firstLine="480" w:firstLineChars="200"/>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09ADB9AD">
      <w:pPr>
        <w:spacing w:line="480" w:lineRule="exact"/>
        <w:ind w:right="355" w:rightChars="169" w:firstLine="480" w:firstLineChars="200"/>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日 </w:t>
      </w:r>
    </w:p>
    <w:p w14:paraId="4C122180">
      <w:pPr>
        <w:spacing w:line="480" w:lineRule="exact"/>
        <w:ind w:left="0" w:leftChars="0" w:right="0" w:rightChars="0" w:firstLine="0" w:firstLineChars="0"/>
        <w:jc w:val="center"/>
        <w:rPr>
          <w:rFonts w:hint="eastAsia" w:ascii="宋体" w:hAnsi="宋体" w:eastAsia="宋体" w:cs="宋体"/>
          <w:b/>
          <w:bCs/>
          <w:color w:val="auto"/>
          <w:sz w:val="30"/>
          <w:szCs w:val="30"/>
          <w:highlight w:val="none"/>
        </w:rPr>
      </w:pPr>
      <w:bookmarkStart w:id="920" w:name="_Toc222025325"/>
      <w:bookmarkEnd w:id="920"/>
      <w:bookmarkStart w:id="921" w:name="_Toc38173197"/>
      <w:bookmarkEnd w:id="921"/>
      <w:bookmarkStart w:id="922" w:name="_Toc78603134"/>
      <w:bookmarkEnd w:id="922"/>
      <w:bookmarkStart w:id="923" w:name="_Toc31603098"/>
      <w:bookmarkEnd w:id="923"/>
      <w:bookmarkStart w:id="924" w:name="_Toc18141"/>
      <w:bookmarkStart w:id="925" w:name="_Toc485249639"/>
      <w:bookmarkStart w:id="926" w:name="_Toc453658197"/>
      <w:bookmarkStart w:id="927" w:name="_Toc1684"/>
      <w:bookmarkStart w:id="928" w:name="_Toc7425"/>
      <w:bookmarkStart w:id="929" w:name="_Toc22885"/>
      <w:bookmarkStart w:id="930" w:name="_Toc10364"/>
      <w:bookmarkStart w:id="931" w:name="_Toc32503"/>
      <w:bookmarkStart w:id="932" w:name="_Toc29148"/>
      <w:bookmarkStart w:id="933" w:name="_Toc25078"/>
      <w:r>
        <w:rPr>
          <w:rFonts w:hint="eastAsia" w:ascii="宋体" w:hAnsi="宋体" w:cs="宋体"/>
          <w:b/>
          <w:bCs/>
          <w:color w:val="auto"/>
          <w:sz w:val="30"/>
          <w:szCs w:val="30"/>
          <w:highlight w:val="none"/>
          <w:lang w:val="en-US" w:eastAsia="zh-CN"/>
        </w:rPr>
        <w:t>三</w:t>
      </w:r>
      <w:r>
        <w:rPr>
          <w:rFonts w:hint="eastAsia" w:ascii="宋体" w:hAnsi="宋体" w:eastAsia="宋体" w:cs="宋体"/>
          <w:b/>
          <w:bCs/>
          <w:color w:val="auto"/>
          <w:sz w:val="30"/>
          <w:szCs w:val="30"/>
          <w:highlight w:val="none"/>
          <w:lang w:val="zh-CN"/>
        </w:rPr>
        <w:t>、</w:t>
      </w:r>
      <w:bookmarkEnd w:id="924"/>
      <w:bookmarkEnd w:id="925"/>
      <w:bookmarkEnd w:id="926"/>
      <w:bookmarkEnd w:id="927"/>
      <w:r>
        <w:rPr>
          <w:rFonts w:hint="eastAsia" w:ascii="宋体" w:hAnsi="宋体" w:eastAsia="宋体" w:cs="宋体"/>
          <w:b/>
          <w:bCs/>
          <w:color w:val="auto"/>
          <w:sz w:val="30"/>
          <w:szCs w:val="30"/>
          <w:highlight w:val="none"/>
        </w:rPr>
        <w:t>声明函</w:t>
      </w:r>
      <w:bookmarkEnd w:id="928"/>
      <w:bookmarkEnd w:id="929"/>
      <w:bookmarkEnd w:id="930"/>
      <w:bookmarkEnd w:id="931"/>
    </w:p>
    <w:p w14:paraId="234AF13A">
      <w:pPr>
        <w:keepNext w:val="0"/>
        <w:keepLines w:val="0"/>
        <w:pageBreakBefore w:val="0"/>
        <w:widowControl/>
        <w:suppressLineNumbers w:val="0"/>
        <w:kinsoku/>
        <w:wordWrap w:val="0"/>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中小企业声明函</w:t>
      </w:r>
      <w:r>
        <w:rPr>
          <w:rFonts w:hint="eastAsia" w:ascii="宋体" w:hAnsi="宋体" w:eastAsia="宋体" w:cs="宋体"/>
          <w:b/>
          <w:color w:val="auto"/>
          <w:sz w:val="28"/>
          <w:szCs w:val="28"/>
          <w:highlight w:val="none"/>
          <w:lang w:val="en-US" w:eastAsia="zh-CN"/>
        </w:rPr>
        <w:t>（工程）</w:t>
      </w:r>
    </w:p>
    <w:p w14:paraId="30E38AFC">
      <w:pPr>
        <w:pStyle w:val="2"/>
        <w:rPr>
          <w:rFonts w:hint="eastAsia"/>
          <w:color w:val="auto"/>
          <w:highlight w:val="none"/>
        </w:rPr>
      </w:pPr>
    </w:p>
    <w:p w14:paraId="0FB27C04">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  （单位名称）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 xml:space="preserve">  （项目名称）  </w:t>
      </w:r>
      <w:r>
        <w:rPr>
          <w:rFonts w:hint="eastAsia" w:ascii="宋体" w:hAnsi="宋体" w:eastAsia="宋体" w:cs="宋体"/>
          <w:color w:val="auto"/>
          <w:kern w:val="0"/>
          <w:sz w:val="24"/>
          <w:szCs w:val="24"/>
          <w:highlight w:val="none"/>
          <w:lang w:bidi="ar"/>
        </w:rPr>
        <w:t>采购活动，</w:t>
      </w:r>
      <w:r>
        <w:rPr>
          <w:rFonts w:hint="eastAsia" w:ascii="宋体" w:hAnsi="宋体" w:cs="宋体"/>
          <w:color w:val="auto"/>
          <w:kern w:val="0"/>
          <w:sz w:val="24"/>
          <w:szCs w:val="24"/>
          <w:highlight w:val="none"/>
          <w:lang w:val="en-US" w:eastAsia="zh-CN" w:bidi="ar"/>
        </w:rPr>
        <w:t>工程的施工单位</w:t>
      </w:r>
      <w:r>
        <w:rPr>
          <w:rFonts w:hint="eastAsia" w:ascii="宋体" w:hAnsi="宋体" w:eastAsia="宋体" w:cs="宋体"/>
          <w:color w:val="auto"/>
          <w:kern w:val="0"/>
          <w:sz w:val="24"/>
          <w:szCs w:val="24"/>
          <w:highlight w:val="none"/>
          <w:lang w:bidi="ar"/>
        </w:rPr>
        <w:t>全部</w:t>
      </w:r>
      <w:r>
        <w:rPr>
          <w:rFonts w:hint="eastAsia" w:ascii="宋体" w:hAnsi="宋体" w:cs="宋体"/>
          <w:color w:val="auto"/>
          <w:kern w:val="0"/>
          <w:sz w:val="24"/>
          <w:szCs w:val="24"/>
          <w:highlight w:val="none"/>
          <w:lang w:val="en-US" w:eastAsia="zh-CN" w:bidi="ar"/>
        </w:rPr>
        <w:t>为符合</w:t>
      </w:r>
      <w:r>
        <w:rPr>
          <w:rFonts w:hint="eastAsia" w:ascii="宋体" w:hAnsi="宋体" w:eastAsia="宋体" w:cs="宋体"/>
          <w:color w:val="auto"/>
          <w:kern w:val="0"/>
          <w:sz w:val="24"/>
          <w:szCs w:val="24"/>
          <w:highlight w:val="none"/>
          <w:lang w:bidi="ar"/>
        </w:rPr>
        <w:t>政策要求的中小企业。相关企业（含联合体中的中小企业、签订分包意向协议的中小企业）的具体情况如下：</w:t>
      </w:r>
    </w:p>
    <w:p w14:paraId="68109309">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1. </w:t>
      </w:r>
      <w:r>
        <w:rPr>
          <w:rFonts w:hint="eastAsia" w:ascii="宋体" w:hAnsi="宋体" w:eastAsia="宋体" w:cs="宋体"/>
          <w:color w:val="auto"/>
          <w:kern w:val="0"/>
          <w:sz w:val="24"/>
          <w:szCs w:val="24"/>
          <w:highlight w:val="none"/>
          <w:u w:val="single"/>
          <w:lang w:bidi="ar"/>
        </w:rPr>
        <w:t xml:space="preserve">（标的名称） </w:t>
      </w:r>
      <w:r>
        <w:rPr>
          <w:rFonts w:hint="eastAsia" w:ascii="宋体" w:hAnsi="宋体" w:eastAsia="宋体" w:cs="宋体"/>
          <w:color w:val="auto"/>
          <w:kern w:val="0"/>
          <w:sz w:val="24"/>
          <w:szCs w:val="24"/>
          <w:highlight w:val="none"/>
          <w:lang w:bidi="ar"/>
        </w:rPr>
        <w:t>，属于</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u w:val="single"/>
          <w:lang w:val="en-US" w:eastAsia="zh-CN" w:bidi="ar"/>
        </w:rPr>
        <w:t>竞争性磋商文件</w:t>
      </w:r>
      <w:r>
        <w:rPr>
          <w:rFonts w:hint="eastAsia" w:ascii="宋体" w:hAnsi="宋体" w:eastAsia="宋体" w:cs="宋体"/>
          <w:color w:val="auto"/>
          <w:kern w:val="0"/>
          <w:sz w:val="24"/>
          <w:szCs w:val="24"/>
          <w:highlight w:val="none"/>
          <w:u w:val="single"/>
          <w:lang w:bidi="ar"/>
        </w:rPr>
        <w:t>中明确的所属行业）</w:t>
      </w:r>
      <w:r>
        <w:rPr>
          <w:rFonts w:hint="eastAsia" w:ascii="宋体" w:hAnsi="宋体" w:eastAsia="宋体" w:cs="宋体"/>
          <w:color w:val="auto"/>
          <w:kern w:val="0"/>
          <w:sz w:val="24"/>
          <w:szCs w:val="24"/>
          <w:highlight w:val="none"/>
          <w:lang w:bidi="ar"/>
        </w:rPr>
        <w:t>；</w:t>
      </w:r>
      <w:r>
        <w:rPr>
          <w:rFonts w:hint="eastAsia" w:ascii="宋体" w:hAnsi="宋体" w:cs="宋体"/>
          <w:color w:val="auto"/>
          <w:kern w:val="0"/>
          <w:sz w:val="24"/>
          <w:szCs w:val="24"/>
          <w:highlight w:val="none"/>
          <w:lang w:val="en-US" w:eastAsia="zh-CN" w:bidi="ar"/>
        </w:rPr>
        <w:t>承建</w:t>
      </w:r>
      <w:r>
        <w:rPr>
          <w:rFonts w:hint="eastAsia" w:ascii="宋体" w:hAnsi="宋体" w:eastAsia="宋体" w:cs="宋体"/>
          <w:color w:val="auto"/>
          <w:kern w:val="0"/>
          <w:sz w:val="24"/>
          <w:szCs w:val="24"/>
          <w:highlight w:val="none"/>
          <w:lang w:bidi="ar"/>
        </w:rPr>
        <w:t>企业为</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（企业名称）</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，从业人员</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人，营业收入为</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 xml:space="preserve">万元，资产总额为 </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万元，属于</w:t>
      </w:r>
      <w:r>
        <w:rPr>
          <w:rFonts w:hint="eastAsia" w:ascii="宋体" w:hAnsi="宋体" w:eastAsia="宋体" w:cs="宋体"/>
          <w:color w:val="auto"/>
          <w:kern w:val="0"/>
          <w:sz w:val="24"/>
          <w:szCs w:val="24"/>
          <w:highlight w:val="none"/>
          <w:u w:val="single"/>
          <w:lang w:bidi="ar"/>
        </w:rPr>
        <w:t>（中型企业、小型企业、微型企业）</w:t>
      </w:r>
      <w:r>
        <w:rPr>
          <w:rFonts w:hint="eastAsia" w:ascii="宋体" w:hAnsi="宋体" w:eastAsia="宋体" w:cs="宋体"/>
          <w:color w:val="auto"/>
          <w:kern w:val="0"/>
          <w:sz w:val="24"/>
          <w:szCs w:val="24"/>
          <w:highlight w:val="none"/>
          <w:lang w:bidi="ar"/>
        </w:rPr>
        <w:t xml:space="preserve">； </w:t>
      </w:r>
    </w:p>
    <w:p w14:paraId="20367473">
      <w:pPr>
        <w:widowControl/>
        <w:spacing w:line="360" w:lineRule="auto"/>
        <w:ind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2. </w:t>
      </w:r>
      <w:r>
        <w:rPr>
          <w:rFonts w:hint="eastAsia" w:ascii="宋体" w:hAnsi="宋体" w:eastAsia="宋体" w:cs="宋体"/>
          <w:color w:val="auto"/>
          <w:kern w:val="0"/>
          <w:sz w:val="24"/>
          <w:szCs w:val="24"/>
          <w:highlight w:val="none"/>
          <w:u w:val="single"/>
          <w:lang w:bidi="ar"/>
        </w:rPr>
        <w:t>（标的名称）</w:t>
      </w:r>
      <w:r>
        <w:rPr>
          <w:rFonts w:hint="eastAsia" w:ascii="宋体" w:hAnsi="宋体" w:eastAsia="宋体" w:cs="宋体"/>
          <w:color w:val="auto"/>
          <w:kern w:val="0"/>
          <w:sz w:val="24"/>
          <w:szCs w:val="24"/>
          <w:highlight w:val="none"/>
          <w:lang w:bidi="ar"/>
        </w:rPr>
        <w:t xml:space="preserve"> ，属于</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color w:val="auto"/>
          <w:kern w:val="0"/>
          <w:sz w:val="24"/>
          <w:szCs w:val="24"/>
          <w:highlight w:val="none"/>
          <w:u w:val="single"/>
          <w:lang w:val="en-US" w:eastAsia="zh-CN" w:bidi="ar"/>
        </w:rPr>
        <w:t>竞争性磋商文件</w:t>
      </w:r>
      <w:r>
        <w:rPr>
          <w:rFonts w:hint="eastAsia" w:ascii="宋体" w:hAnsi="宋体" w:eastAsia="宋体" w:cs="宋体"/>
          <w:color w:val="auto"/>
          <w:kern w:val="0"/>
          <w:sz w:val="24"/>
          <w:szCs w:val="24"/>
          <w:highlight w:val="none"/>
          <w:u w:val="single"/>
          <w:lang w:bidi="ar"/>
        </w:rPr>
        <w:t>中明确的所属行业）</w:t>
      </w:r>
      <w:r>
        <w:rPr>
          <w:rFonts w:hint="eastAsia" w:ascii="宋体" w:hAnsi="宋体" w:eastAsia="宋体" w:cs="宋体"/>
          <w:color w:val="auto"/>
          <w:kern w:val="0"/>
          <w:sz w:val="24"/>
          <w:szCs w:val="24"/>
          <w:highlight w:val="none"/>
          <w:lang w:bidi="ar"/>
        </w:rPr>
        <w:t>；</w:t>
      </w:r>
      <w:r>
        <w:rPr>
          <w:rFonts w:hint="eastAsia" w:ascii="宋体" w:hAnsi="宋体" w:cs="宋体"/>
          <w:color w:val="auto"/>
          <w:kern w:val="0"/>
          <w:sz w:val="24"/>
          <w:szCs w:val="24"/>
          <w:highlight w:val="none"/>
          <w:lang w:val="en-US" w:eastAsia="zh-CN" w:bidi="ar"/>
        </w:rPr>
        <w:t>承建</w:t>
      </w:r>
      <w:r>
        <w:rPr>
          <w:rFonts w:hint="eastAsia" w:ascii="宋体" w:hAnsi="宋体" w:eastAsia="宋体" w:cs="宋体"/>
          <w:color w:val="auto"/>
          <w:kern w:val="0"/>
          <w:sz w:val="24"/>
          <w:szCs w:val="24"/>
          <w:highlight w:val="none"/>
          <w:lang w:bidi="ar"/>
        </w:rPr>
        <w:t>企业为</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（企业名称）</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，从业人员</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 xml:space="preserve">人，营业收入为 </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万元，资产总额为</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万元，属于</w:t>
      </w:r>
      <w:r>
        <w:rPr>
          <w:rFonts w:hint="eastAsia" w:ascii="宋体" w:hAnsi="宋体" w:eastAsia="宋体" w:cs="宋体"/>
          <w:color w:val="auto"/>
          <w:kern w:val="0"/>
          <w:sz w:val="24"/>
          <w:szCs w:val="24"/>
          <w:highlight w:val="none"/>
          <w:u w:val="single"/>
          <w:lang w:bidi="ar"/>
        </w:rPr>
        <w:t>（中型企业、小型企业、微型企业）</w:t>
      </w:r>
      <w:r>
        <w:rPr>
          <w:rFonts w:hint="eastAsia" w:ascii="宋体" w:hAnsi="宋体" w:eastAsia="宋体" w:cs="宋体"/>
          <w:color w:val="auto"/>
          <w:kern w:val="0"/>
          <w:sz w:val="24"/>
          <w:szCs w:val="24"/>
          <w:highlight w:val="none"/>
          <w:lang w:bidi="ar"/>
        </w:rPr>
        <w:t xml:space="preserve">； </w:t>
      </w:r>
    </w:p>
    <w:p w14:paraId="74A065A4">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p w14:paraId="0C7805D8">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以上企业，不属于大企业的分支机构，不存在控股股东为大企业的情形，也不存在与大企业的负责人为同一人的情形。</w:t>
      </w:r>
    </w:p>
    <w:p w14:paraId="5A29DF8F">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本企业对上述声明内容的真实性负责。如有虚假，将依法承担相应责任。 </w:t>
      </w:r>
    </w:p>
    <w:p w14:paraId="42D011B4">
      <w:pPr>
        <w:widowControl/>
        <w:spacing w:line="360" w:lineRule="auto"/>
        <w:ind w:firstLine="4800" w:firstLineChars="2000"/>
        <w:jc w:val="left"/>
        <w:rPr>
          <w:rFonts w:hint="eastAsia" w:ascii="宋体" w:hAnsi="宋体" w:eastAsia="宋体" w:cs="宋体"/>
          <w:color w:val="auto"/>
          <w:kern w:val="0"/>
          <w:sz w:val="24"/>
          <w:szCs w:val="24"/>
          <w:highlight w:val="none"/>
          <w:lang w:bidi="ar"/>
        </w:rPr>
      </w:pPr>
    </w:p>
    <w:p w14:paraId="6B8F8F2F">
      <w:pPr>
        <w:widowControl/>
        <w:spacing w:line="480" w:lineRule="auto"/>
        <w:ind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企业名称（盖章）： </w:t>
      </w:r>
    </w:p>
    <w:p w14:paraId="12C85103">
      <w:pPr>
        <w:widowControl/>
        <w:spacing w:line="480" w:lineRule="auto"/>
        <w:ind w:firstLine="4800" w:firstLineChars="20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日 期： </w:t>
      </w:r>
    </w:p>
    <w:p w14:paraId="37EC6895">
      <w:pPr>
        <w:rPr>
          <w:rFonts w:hint="eastAsia" w:ascii="宋体" w:hAnsi="宋体" w:eastAsia="宋体" w:cs="宋体"/>
          <w:color w:val="auto"/>
          <w:kern w:val="0"/>
          <w:sz w:val="24"/>
          <w:szCs w:val="24"/>
          <w:highlight w:val="none"/>
          <w:lang w:bidi="ar"/>
        </w:rPr>
      </w:pPr>
    </w:p>
    <w:p w14:paraId="04D1286D">
      <w:pPr>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kern w:val="0"/>
          <w:sz w:val="24"/>
          <w:szCs w:val="24"/>
          <w:highlight w:val="none"/>
          <w:lang w:bidi="ar"/>
        </w:rPr>
        <w:t>注：从业人员、营业收入、资产总额填报上一年度数据，无上一年度数据的新成立企业可不填报。</w:t>
      </w:r>
    </w:p>
    <w:p w14:paraId="1D250C89">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78B1EAD7">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70C4CDE6">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34205A1F">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17FA5446">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0CE64890">
      <w:pPr>
        <w:widowControl/>
        <w:spacing w:line="40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附表</w:t>
      </w:r>
    </w:p>
    <w:p w14:paraId="0AE57EE3">
      <w:pPr>
        <w:widowControl/>
        <w:spacing w:line="330" w:lineRule="atLeas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大中小微型企业划分标准</w:t>
      </w:r>
    </w:p>
    <w:tbl>
      <w:tblPr>
        <w:tblStyle w:val="29"/>
        <w:tblW w:w="10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1417"/>
        <w:gridCol w:w="705"/>
        <w:gridCol w:w="1254"/>
        <w:gridCol w:w="2072"/>
        <w:gridCol w:w="1740"/>
        <w:gridCol w:w="1038"/>
      </w:tblGrid>
      <w:tr w14:paraId="586FA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jc w:val="center"/>
        </w:trPr>
        <w:tc>
          <w:tcPr>
            <w:tcW w:w="1920" w:type="dxa"/>
            <w:noWrap w:val="0"/>
            <w:vAlign w:val="center"/>
          </w:tcPr>
          <w:p w14:paraId="31937768">
            <w:pPr>
              <w:widowControl/>
              <w:spacing w:line="240" w:lineRule="exact"/>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行业名称</w:t>
            </w:r>
          </w:p>
        </w:tc>
        <w:tc>
          <w:tcPr>
            <w:tcW w:w="1417" w:type="dxa"/>
            <w:noWrap w:val="0"/>
            <w:vAlign w:val="center"/>
          </w:tcPr>
          <w:p w14:paraId="15E76231">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指标名称</w:t>
            </w:r>
          </w:p>
        </w:tc>
        <w:tc>
          <w:tcPr>
            <w:tcW w:w="705" w:type="dxa"/>
            <w:noWrap w:val="0"/>
            <w:vAlign w:val="center"/>
          </w:tcPr>
          <w:p w14:paraId="53B40E2B">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计量</w:t>
            </w:r>
          </w:p>
          <w:p w14:paraId="7C768DF5">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单位</w:t>
            </w:r>
          </w:p>
        </w:tc>
        <w:tc>
          <w:tcPr>
            <w:tcW w:w="1254" w:type="dxa"/>
            <w:noWrap w:val="0"/>
            <w:vAlign w:val="center"/>
          </w:tcPr>
          <w:p w14:paraId="47A63D1C">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大型</w:t>
            </w:r>
          </w:p>
        </w:tc>
        <w:tc>
          <w:tcPr>
            <w:tcW w:w="2072" w:type="dxa"/>
            <w:noWrap w:val="0"/>
            <w:vAlign w:val="center"/>
          </w:tcPr>
          <w:p w14:paraId="492E7615">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中型</w:t>
            </w:r>
          </w:p>
        </w:tc>
        <w:tc>
          <w:tcPr>
            <w:tcW w:w="1740" w:type="dxa"/>
            <w:noWrap w:val="0"/>
            <w:vAlign w:val="center"/>
          </w:tcPr>
          <w:p w14:paraId="07473E26">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小型</w:t>
            </w:r>
          </w:p>
        </w:tc>
        <w:tc>
          <w:tcPr>
            <w:tcW w:w="1038" w:type="dxa"/>
            <w:noWrap w:val="0"/>
            <w:vAlign w:val="center"/>
          </w:tcPr>
          <w:p w14:paraId="29237976">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微型</w:t>
            </w:r>
          </w:p>
        </w:tc>
      </w:tr>
      <w:tr w14:paraId="16B5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noWrap w:val="0"/>
            <w:vAlign w:val="center"/>
          </w:tcPr>
          <w:p w14:paraId="0A2A09F5">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农、林、牧、渔业</w:t>
            </w:r>
          </w:p>
        </w:tc>
        <w:tc>
          <w:tcPr>
            <w:tcW w:w="1417" w:type="dxa"/>
            <w:noWrap w:val="0"/>
            <w:vAlign w:val="center"/>
          </w:tcPr>
          <w:p w14:paraId="56B7253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1373104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3CE8D2D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Y≥20000</w:t>
            </w:r>
          </w:p>
        </w:tc>
        <w:tc>
          <w:tcPr>
            <w:tcW w:w="2072" w:type="dxa"/>
            <w:noWrap w:val="0"/>
            <w:vAlign w:val="center"/>
          </w:tcPr>
          <w:p w14:paraId="5F8B134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500≤Y＜20000</w:t>
            </w:r>
          </w:p>
        </w:tc>
        <w:tc>
          <w:tcPr>
            <w:tcW w:w="1740" w:type="dxa"/>
            <w:noWrap w:val="0"/>
            <w:vAlign w:val="center"/>
          </w:tcPr>
          <w:p w14:paraId="2B4D611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50≤Y＜500</w:t>
            </w:r>
          </w:p>
        </w:tc>
        <w:tc>
          <w:tcPr>
            <w:tcW w:w="1038" w:type="dxa"/>
            <w:noWrap w:val="0"/>
            <w:vAlign w:val="center"/>
          </w:tcPr>
          <w:p w14:paraId="38AA4D7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w:t>
            </w:r>
          </w:p>
        </w:tc>
      </w:tr>
      <w:tr w14:paraId="4C3F1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4865C1E0">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工业 *</w:t>
            </w:r>
          </w:p>
        </w:tc>
        <w:tc>
          <w:tcPr>
            <w:tcW w:w="1417" w:type="dxa"/>
            <w:noWrap w:val="0"/>
            <w:vAlign w:val="center"/>
          </w:tcPr>
          <w:p w14:paraId="2474E2B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409C086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2DEE9D4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X≥1000</w:t>
            </w:r>
          </w:p>
        </w:tc>
        <w:tc>
          <w:tcPr>
            <w:tcW w:w="2072" w:type="dxa"/>
            <w:noWrap w:val="0"/>
            <w:vAlign w:val="center"/>
          </w:tcPr>
          <w:p w14:paraId="2DB5602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740" w:type="dxa"/>
            <w:noWrap w:val="0"/>
            <w:vAlign w:val="center"/>
          </w:tcPr>
          <w:p w14:paraId="45FBC6A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20≤X＜300</w:t>
            </w:r>
          </w:p>
        </w:tc>
        <w:tc>
          <w:tcPr>
            <w:tcW w:w="1038" w:type="dxa"/>
            <w:noWrap w:val="0"/>
            <w:vAlign w:val="center"/>
          </w:tcPr>
          <w:p w14:paraId="177A33A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4460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698E55B6">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7411D6CE">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1F8F798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6AA360A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Y≥40000</w:t>
            </w:r>
          </w:p>
        </w:tc>
        <w:tc>
          <w:tcPr>
            <w:tcW w:w="2072" w:type="dxa"/>
            <w:noWrap w:val="0"/>
            <w:vAlign w:val="center"/>
          </w:tcPr>
          <w:p w14:paraId="47A2E77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2000≤Y＜40000</w:t>
            </w:r>
          </w:p>
        </w:tc>
        <w:tc>
          <w:tcPr>
            <w:tcW w:w="1740" w:type="dxa"/>
            <w:noWrap w:val="0"/>
            <w:vAlign w:val="center"/>
          </w:tcPr>
          <w:p w14:paraId="6B944A6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300≤Y＜2000</w:t>
            </w:r>
          </w:p>
        </w:tc>
        <w:tc>
          <w:tcPr>
            <w:tcW w:w="1038" w:type="dxa"/>
            <w:noWrap w:val="0"/>
            <w:vAlign w:val="center"/>
          </w:tcPr>
          <w:p w14:paraId="41D169F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w:t>
            </w:r>
          </w:p>
        </w:tc>
      </w:tr>
      <w:tr w14:paraId="1828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54C6897B">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建筑业</w:t>
            </w:r>
          </w:p>
        </w:tc>
        <w:tc>
          <w:tcPr>
            <w:tcW w:w="1417" w:type="dxa"/>
            <w:noWrap w:val="0"/>
            <w:vAlign w:val="center"/>
          </w:tcPr>
          <w:p w14:paraId="380D0E2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7295BBA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05FF6A4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Y≥80000</w:t>
            </w:r>
          </w:p>
        </w:tc>
        <w:tc>
          <w:tcPr>
            <w:tcW w:w="2072" w:type="dxa"/>
            <w:noWrap w:val="0"/>
            <w:vAlign w:val="center"/>
          </w:tcPr>
          <w:p w14:paraId="77873D5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6000≤Y＜80000</w:t>
            </w:r>
          </w:p>
        </w:tc>
        <w:tc>
          <w:tcPr>
            <w:tcW w:w="1740" w:type="dxa"/>
            <w:noWrap w:val="0"/>
            <w:vAlign w:val="center"/>
          </w:tcPr>
          <w:p w14:paraId="6B4FBFC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300≤Y＜6000</w:t>
            </w:r>
          </w:p>
        </w:tc>
        <w:tc>
          <w:tcPr>
            <w:tcW w:w="1038" w:type="dxa"/>
            <w:noWrap w:val="0"/>
            <w:vAlign w:val="center"/>
          </w:tcPr>
          <w:p w14:paraId="2E4714E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w:t>
            </w:r>
          </w:p>
        </w:tc>
      </w:tr>
      <w:tr w14:paraId="4791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46A32B4D">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56F61AFC">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705" w:type="dxa"/>
            <w:noWrap w:val="0"/>
            <w:vAlign w:val="center"/>
          </w:tcPr>
          <w:p w14:paraId="43B9FC7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0738705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Z≥80000</w:t>
            </w:r>
          </w:p>
        </w:tc>
        <w:tc>
          <w:tcPr>
            <w:tcW w:w="2072" w:type="dxa"/>
            <w:noWrap w:val="0"/>
            <w:vAlign w:val="center"/>
          </w:tcPr>
          <w:p w14:paraId="5E5F448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5000≤Z＜80000</w:t>
            </w:r>
          </w:p>
        </w:tc>
        <w:tc>
          <w:tcPr>
            <w:tcW w:w="1740" w:type="dxa"/>
            <w:noWrap w:val="0"/>
            <w:vAlign w:val="center"/>
          </w:tcPr>
          <w:p w14:paraId="3128948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300≤Z＜5000</w:t>
            </w:r>
          </w:p>
        </w:tc>
        <w:tc>
          <w:tcPr>
            <w:tcW w:w="1038" w:type="dxa"/>
            <w:noWrap w:val="0"/>
            <w:vAlign w:val="center"/>
          </w:tcPr>
          <w:p w14:paraId="3CB4743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Z＜300</w:t>
            </w:r>
          </w:p>
        </w:tc>
      </w:tr>
      <w:tr w14:paraId="064A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216ED52F">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批发业</w:t>
            </w:r>
          </w:p>
        </w:tc>
        <w:tc>
          <w:tcPr>
            <w:tcW w:w="1417" w:type="dxa"/>
            <w:noWrap w:val="0"/>
            <w:vAlign w:val="center"/>
          </w:tcPr>
          <w:p w14:paraId="2420CC5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687867E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4EDEAAD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X≥200</w:t>
            </w:r>
          </w:p>
        </w:tc>
        <w:tc>
          <w:tcPr>
            <w:tcW w:w="2072" w:type="dxa"/>
            <w:noWrap w:val="0"/>
            <w:vAlign w:val="center"/>
          </w:tcPr>
          <w:p w14:paraId="6B0F399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20≤X＜200</w:t>
            </w:r>
          </w:p>
        </w:tc>
        <w:tc>
          <w:tcPr>
            <w:tcW w:w="1740" w:type="dxa"/>
            <w:noWrap w:val="0"/>
            <w:vAlign w:val="center"/>
          </w:tcPr>
          <w:p w14:paraId="7784DBD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5≤X＜20</w:t>
            </w:r>
          </w:p>
        </w:tc>
        <w:tc>
          <w:tcPr>
            <w:tcW w:w="1038" w:type="dxa"/>
            <w:noWrap w:val="0"/>
            <w:vAlign w:val="center"/>
          </w:tcPr>
          <w:p w14:paraId="0876AFF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X＜5</w:t>
            </w:r>
          </w:p>
        </w:tc>
      </w:tr>
      <w:tr w14:paraId="49FE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0ACB1A52">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6DFC6414">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62F21BC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1AE655B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Y≥40000</w:t>
            </w:r>
          </w:p>
        </w:tc>
        <w:tc>
          <w:tcPr>
            <w:tcW w:w="2072" w:type="dxa"/>
            <w:noWrap w:val="0"/>
            <w:vAlign w:val="center"/>
          </w:tcPr>
          <w:p w14:paraId="75EAB93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5000≤Y＜40000</w:t>
            </w:r>
          </w:p>
        </w:tc>
        <w:tc>
          <w:tcPr>
            <w:tcW w:w="1740" w:type="dxa"/>
            <w:noWrap w:val="0"/>
            <w:vAlign w:val="center"/>
          </w:tcPr>
          <w:p w14:paraId="5696ACF4">
            <w:pPr>
              <w:widowControl/>
              <w:ind w:left="-1" w:leftChars="-1" w:hanging="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1000≤Y＜5000</w:t>
            </w:r>
          </w:p>
        </w:tc>
        <w:tc>
          <w:tcPr>
            <w:tcW w:w="1038" w:type="dxa"/>
            <w:noWrap w:val="0"/>
            <w:vAlign w:val="center"/>
          </w:tcPr>
          <w:p w14:paraId="35FFF15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w:t>
            </w:r>
          </w:p>
        </w:tc>
      </w:tr>
      <w:tr w14:paraId="458B5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644902B2">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零售业</w:t>
            </w:r>
          </w:p>
        </w:tc>
        <w:tc>
          <w:tcPr>
            <w:tcW w:w="1417" w:type="dxa"/>
            <w:noWrap w:val="0"/>
            <w:vAlign w:val="center"/>
          </w:tcPr>
          <w:p w14:paraId="189FE8F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79CE724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0A6F12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63AC4FA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50≤X＜300</w:t>
            </w:r>
          </w:p>
        </w:tc>
        <w:tc>
          <w:tcPr>
            <w:tcW w:w="1740" w:type="dxa"/>
            <w:noWrap w:val="0"/>
            <w:vAlign w:val="center"/>
          </w:tcPr>
          <w:p w14:paraId="72B38CA1">
            <w:pPr>
              <w:widowControl/>
              <w:ind w:left="-1" w:leftChars="-1" w:hanging="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10≤X＜50 </w:t>
            </w:r>
          </w:p>
        </w:tc>
        <w:tc>
          <w:tcPr>
            <w:tcW w:w="1038" w:type="dxa"/>
            <w:noWrap w:val="0"/>
            <w:vAlign w:val="center"/>
          </w:tcPr>
          <w:p w14:paraId="035BFC8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1098F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2BA7A1CA">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1CCB68C1">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69652A1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0151776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Y≥20000</w:t>
            </w:r>
          </w:p>
        </w:tc>
        <w:tc>
          <w:tcPr>
            <w:tcW w:w="2072" w:type="dxa"/>
            <w:noWrap w:val="0"/>
            <w:vAlign w:val="center"/>
          </w:tcPr>
          <w:p w14:paraId="169D4A6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500≤Y＜20000</w:t>
            </w:r>
          </w:p>
        </w:tc>
        <w:tc>
          <w:tcPr>
            <w:tcW w:w="1740" w:type="dxa"/>
            <w:noWrap w:val="0"/>
            <w:vAlign w:val="center"/>
          </w:tcPr>
          <w:p w14:paraId="329CBAFD">
            <w:pPr>
              <w:widowControl/>
              <w:ind w:left="-1" w:leftChars="-1" w:hanging="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100≤Y＜500 </w:t>
            </w:r>
          </w:p>
        </w:tc>
        <w:tc>
          <w:tcPr>
            <w:tcW w:w="1038" w:type="dxa"/>
            <w:noWrap w:val="0"/>
            <w:vAlign w:val="center"/>
          </w:tcPr>
          <w:p w14:paraId="0E1C152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5769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09AB44B8">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交通运输业 *</w:t>
            </w:r>
          </w:p>
        </w:tc>
        <w:tc>
          <w:tcPr>
            <w:tcW w:w="1417" w:type="dxa"/>
            <w:noWrap w:val="0"/>
            <w:vAlign w:val="center"/>
          </w:tcPr>
          <w:p w14:paraId="5208916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562015E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50A8C5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X≥1000</w:t>
            </w:r>
          </w:p>
        </w:tc>
        <w:tc>
          <w:tcPr>
            <w:tcW w:w="2072" w:type="dxa"/>
            <w:noWrap w:val="0"/>
            <w:vAlign w:val="center"/>
          </w:tcPr>
          <w:p w14:paraId="6AE75A9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740" w:type="dxa"/>
            <w:noWrap w:val="0"/>
            <w:vAlign w:val="center"/>
          </w:tcPr>
          <w:p w14:paraId="738FB62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20≤X＜300</w:t>
            </w:r>
          </w:p>
        </w:tc>
        <w:tc>
          <w:tcPr>
            <w:tcW w:w="1038" w:type="dxa"/>
            <w:noWrap w:val="0"/>
            <w:vAlign w:val="center"/>
          </w:tcPr>
          <w:p w14:paraId="7C21AB1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155D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3B4250D5">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0752497A">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26349D3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59C92D0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Y≥30000</w:t>
            </w:r>
          </w:p>
        </w:tc>
        <w:tc>
          <w:tcPr>
            <w:tcW w:w="2072" w:type="dxa"/>
            <w:noWrap w:val="0"/>
            <w:vAlign w:val="center"/>
          </w:tcPr>
          <w:p w14:paraId="5D76DF9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3000≤Y＜30000</w:t>
            </w:r>
          </w:p>
        </w:tc>
        <w:tc>
          <w:tcPr>
            <w:tcW w:w="1740" w:type="dxa"/>
            <w:noWrap w:val="0"/>
            <w:vAlign w:val="center"/>
          </w:tcPr>
          <w:p w14:paraId="526696C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200≤Y＜3000</w:t>
            </w:r>
          </w:p>
        </w:tc>
        <w:tc>
          <w:tcPr>
            <w:tcW w:w="1038" w:type="dxa"/>
            <w:noWrap w:val="0"/>
            <w:vAlign w:val="center"/>
          </w:tcPr>
          <w:p w14:paraId="6F0C4F5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w:t>
            </w:r>
          </w:p>
        </w:tc>
      </w:tr>
      <w:tr w14:paraId="4845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5D1BE76B">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仓储业*</w:t>
            </w:r>
          </w:p>
        </w:tc>
        <w:tc>
          <w:tcPr>
            <w:tcW w:w="1417" w:type="dxa"/>
            <w:noWrap w:val="0"/>
            <w:vAlign w:val="center"/>
          </w:tcPr>
          <w:p w14:paraId="5AE2D2A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505E573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6755D76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X≥200</w:t>
            </w:r>
          </w:p>
        </w:tc>
        <w:tc>
          <w:tcPr>
            <w:tcW w:w="2072" w:type="dxa"/>
            <w:noWrap w:val="0"/>
            <w:vAlign w:val="center"/>
          </w:tcPr>
          <w:p w14:paraId="6A518834">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100≤X＜200</w:t>
            </w:r>
          </w:p>
        </w:tc>
        <w:tc>
          <w:tcPr>
            <w:tcW w:w="1740" w:type="dxa"/>
            <w:noWrap w:val="0"/>
            <w:vAlign w:val="center"/>
          </w:tcPr>
          <w:p w14:paraId="4D0AF77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20≤X＜100</w:t>
            </w:r>
          </w:p>
        </w:tc>
        <w:tc>
          <w:tcPr>
            <w:tcW w:w="1038" w:type="dxa"/>
            <w:noWrap w:val="0"/>
            <w:vAlign w:val="center"/>
          </w:tcPr>
          <w:p w14:paraId="6270AEB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0AF9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388083CA">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0F29DBDD">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7DC48AB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4F667EC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Y≥30000</w:t>
            </w:r>
          </w:p>
        </w:tc>
        <w:tc>
          <w:tcPr>
            <w:tcW w:w="2072" w:type="dxa"/>
            <w:noWrap w:val="0"/>
            <w:vAlign w:val="center"/>
          </w:tcPr>
          <w:p w14:paraId="1E15A1A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1000≤Y＜30000</w:t>
            </w:r>
          </w:p>
        </w:tc>
        <w:tc>
          <w:tcPr>
            <w:tcW w:w="1740" w:type="dxa"/>
            <w:noWrap w:val="0"/>
            <w:vAlign w:val="center"/>
          </w:tcPr>
          <w:p w14:paraId="3245839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100≤Y＜1000</w:t>
            </w:r>
          </w:p>
        </w:tc>
        <w:tc>
          <w:tcPr>
            <w:tcW w:w="1038" w:type="dxa"/>
            <w:noWrap w:val="0"/>
            <w:vAlign w:val="center"/>
          </w:tcPr>
          <w:p w14:paraId="09CE928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695B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21A7905A">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邮政业</w:t>
            </w:r>
          </w:p>
        </w:tc>
        <w:tc>
          <w:tcPr>
            <w:tcW w:w="1417" w:type="dxa"/>
            <w:noWrap w:val="0"/>
            <w:vAlign w:val="center"/>
          </w:tcPr>
          <w:p w14:paraId="01AB90A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77923DA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91FC8F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X≥1000</w:t>
            </w:r>
          </w:p>
        </w:tc>
        <w:tc>
          <w:tcPr>
            <w:tcW w:w="2072" w:type="dxa"/>
            <w:noWrap w:val="0"/>
            <w:vAlign w:val="center"/>
          </w:tcPr>
          <w:p w14:paraId="40C842E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740" w:type="dxa"/>
            <w:noWrap w:val="0"/>
            <w:vAlign w:val="center"/>
          </w:tcPr>
          <w:p w14:paraId="3FE4B87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20≤X＜300</w:t>
            </w:r>
          </w:p>
        </w:tc>
        <w:tc>
          <w:tcPr>
            <w:tcW w:w="1038" w:type="dxa"/>
            <w:noWrap w:val="0"/>
            <w:vAlign w:val="center"/>
          </w:tcPr>
          <w:p w14:paraId="3804DFF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3A2B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4A9C98DE">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7A3D93E4">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596ACB4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26A24B1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Y≥30000</w:t>
            </w:r>
          </w:p>
        </w:tc>
        <w:tc>
          <w:tcPr>
            <w:tcW w:w="2072" w:type="dxa"/>
            <w:noWrap w:val="0"/>
            <w:vAlign w:val="center"/>
          </w:tcPr>
          <w:p w14:paraId="7A613E4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2000≤Y＜30000</w:t>
            </w:r>
          </w:p>
        </w:tc>
        <w:tc>
          <w:tcPr>
            <w:tcW w:w="1740" w:type="dxa"/>
            <w:noWrap w:val="0"/>
            <w:vAlign w:val="center"/>
          </w:tcPr>
          <w:p w14:paraId="5BBED01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100≤Y＜2000</w:t>
            </w:r>
          </w:p>
        </w:tc>
        <w:tc>
          <w:tcPr>
            <w:tcW w:w="1038" w:type="dxa"/>
            <w:noWrap w:val="0"/>
            <w:vAlign w:val="center"/>
          </w:tcPr>
          <w:p w14:paraId="5035592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58BE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67CDF998">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住宿业</w:t>
            </w:r>
          </w:p>
        </w:tc>
        <w:tc>
          <w:tcPr>
            <w:tcW w:w="1417" w:type="dxa"/>
            <w:noWrap w:val="0"/>
            <w:vAlign w:val="center"/>
          </w:tcPr>
          <w:p w14:paraId="1B7CB77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52D35B6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78C8984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527B64CE">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740" w:type="dxa"/>
            <w:noWrap w:val="0"/>
            <w:vAlign w:val="center"/>
          </w:tcPr>
          <w:p w14:paraId="7A2E648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5AE396F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3141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2BE53369">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5EAA9363">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42EFB56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0C6E1FB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Y≥10000</w:t>
            </w:r>
          </w:p>
        </w:tc>
        <w:tc>
          <w:tcPr>
            <w:tcW w:w="2072" w:type="dxa"/>
            <w:noWrap w:val="0"/>
            <w:vAlign w:val="center"/>
          </w:tcPr>
          <w:p w14:paraId="506320A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2000≤Y＜10000</w:t>
            </w:r>
          </w:p>
        </w:tc>
        <w:tc>
          <w:tcPr>
            <w:tcW w:w="1740" w:type="dxa"/>
            <w:noWrap w:val="0"/>
            <w:vAlign w:val="center"/>
          </w:tcPr>
          <w:p w14:paraId="53B7283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100≤Y＜2000</w:t>
            </w:r>
          </w:p>
        </w:tc>
        <w:tc>
          <w:tcPr>
            <w:tcW w:w="1038" w:type="dxa"/>
            <w:noWrap w:val="0"/>
            <w:vAlign w:val="center"/>
          </w:tcPr>
          <w:p w14:paraId="1A5A5B6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6C2D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0860A021">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餐饮业</w:t>
            </w:r>
          </w:p>
        </w:tc>
        <w:tc>
          <w:tcPr>
            <w:tcW w:w="1417" w:type="dxa"/>
            <w:noWrap w:val="0"/>
            <w:vAlign w:val="center"/>
          </w:tcPr>
          <w:p w14:paraId="06D2A17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433F05A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00BC36D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47C2C887">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740" w:type="dxa"/>
            <w:noWrap w:val="0"/>
            <w:vAlign w:val="center"/>
          </w:tcPr>
          <w:p w14:paraId="7E06847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69416E7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7443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74AA81FF">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7517FEF4">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35321D4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3FD3C3D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Y≥10000</w:t>
            </w:r>
          </w:p>
        </w:tc>
        <w:tc>
          <w:tcPr>
            <w:tcW w:w="2072" w:type="dxa"/>
            <w:noWrap w:val="0"/>
            <w:vAlign w:val="center"/>
          </w:tcPr>
          <w:p w14:paraId="16FF090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2000≤Y＜10000</w:t>
            </w:r>
          </w:p>
        </w:tc>
        <w:tc>
          <w:tcPr>
            <w:tcW w:w="1740" w:type="dxa"/>
            <w:noWrap w:val="0"/>
            <w:vAlign w:val="center"/>
          </w:tcPr>
          <w:p w14:paraId="7FC391D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100≤Y＜2000</w:t>
            </w:r>
          </w:p>
        </w:tc>
        <w:tc>
          <w:tcPr>
            <w:tcW w:w="1038" w:type="dxa"/>
            <w:noWrap w:val="0"/>
            <w:vAlign w:val="center"/>
          </w:tcPr>
          <w:p w14:paraId="708875F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723B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restart"/>
            <w:noWrap w:val="0"/>
            <w:vAlign w:val="center"/>
          </w:tcPr>
          <w:p w14:paraId="78A96BC5">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信息传输业 *</w:t>
            </w:r>
          </w:p>
        </w:tc>
        <w:tc>
          <w:tcPr>
            <w:tcW w:w="1417" w:type="dxa"/>
            <w:noWrap w:val="0"/>
            <w:vAlign w:val="center"/>
          </w:tcPr>
          <w:p w14:paraId="6A282C4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5089F28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72DB79D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X≥2000</w:t>
            </w:r>
          </w:p>
        </w:tc>
        <w:tc>
          <w:tcPr>
            <w:tcW w:w="2072" w:type="dxa"/>
            <w:noWrap w:val="0"/>
            <w:vAlign w:val="center"/>
          </w:tcPr>
          <w:p w14:paraId="3D2D20C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100≤X＜2000</w:t>
            </w:r>
          </w:p>
        </w:tc>
        <w:tc>
          <w:tcPr>
            <w:tcW w:w="1740" w:type="dxa"/>
            <w:noWrap w:val="0"/>
            <w:vAlign w:val="center"/>
          </w:tcPr>
          <w:p w14:paraId="336F95B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4DAE2D2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1A08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20" w:type="dxa"/>
            <w:vMerge w:val="continue"/>
            <w:noWrap w:val="0"/>
            <w:vAlign w:val="center"/>
          </w:tcPr>
          <w:p w14:paraId="2B8E9E9F">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1E51A9FB">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0691892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02685B4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Y≥100000</w:t>
            </w:r>
          </w:p>
        </w:tc>
        <w:tc>
          <w:tcPr>
            <w:tcW w:w="2072" w:type="dxa"/>
            <w:noWrap w:val="0"/>
            <w:vAlign w:val="center"/>
          </w:tcPr>
          <w:p w14:paraId="0D89DBC1">
            <w:pPr>
              <w:widowControl/>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1000≤Y＜100000</w:t>
            </w:r>
          </w:p>
        </w:tc>
        <w:tc>
          <w:tcPr>
            <w:tcW w:w="1740" w:type="dxa"/>
            <w:noWrap w:val="0"/>
            <w:vAlign w:val="center"/>
          </w:tcPr>
          <w:p w14:paraId="7D563B5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100≤Y＜1000</w:t>
            </w:r>
          </w:p>
        </w:tc>
        <w:tc>
          <w:tcPr>
            <w:tcW w:w="1038" w:type="dxa"/>
            <w:noWrap w:val="0"/>
            <w:vAlign w:val="center"/>
          </w:tcPr>
          <w:p w14:paraId="0757B63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3FBA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restart"/>
            <w:noWrap w:val="0"/>
            <w:vAlign w:val="center"/>
          </w:tcPr>
          <w:p w14:paraId="6583BAD2">
            <w:pPr>
              <w:widowControl/>
              <w:spacing w:line="240" w:lineRule="exact"/>
              <w:ind w:left="0" w:leftChars="0" w:right="0" w:rightChars="0" w:firstLine="0" w:firstLineChars="0"/>
              <w:jc w:val="center"/>
              <w:rPr>
                <w:rFonts w:hint="eastAsia" w:ascii="宋体" w:hAnsi="宋体" w:eastAsia="宋体" w:cs="宋体"/>
                <w:color w:val="auto"/>
                <w:spacing w:val="-12"/>
                <w:kern w:val="0"/>
                <w:sz w:val="21"/>
                <w:szCs w:val="21"/>
                <w:highlight w:val="none"/>
              </w:rPr>
            </w:pPr>
            <w:r>
              <w:rPr>
                <w:rFonts w:hint="eastAsia" w:ascii="宋体" w:hAnsi="宋体" w:eastAsia="宋体" w:cs="宋体"/>
                <w:color w:val="auto"/>
                <w:spacing w:val="-12"/>
                <w:kern w:val="0"/>
                <w:sz w:val="21"/>
                <w:szCs w:val="21"/>
                <w:highlight w:val="none"/>
              </w:rPr>
              <w:t>软件和信息技术服</w:t>
            </w:r>
            <w:r>
              <w:rPr>
                <w:rFonts w:hint="eastAsia" w:ascii="宋体" w:hAnsi="宋体" w:eastAsia="宋体" w:cs="宋体"/>
                <w:color w:val="auto"/>
                <w:kern w:val="0"/>
                <w:sz w:val="21"/>
                <w:szCs w:val="21"/>
                <w:highlight w:val="none"/>
              </w:rPr>
              <w:t>务业</w:t>
            </w:r>
          </w:p>
        </w:tc>
        <w:tc>
          <w:tcPr>
            <w:tcW w:w="1417" w:type="dxa"/>
            <w:noWrap w:val="0"/>
            <w:vAlign w:val="center"/>
          </w:tcPr>
          <w:p w14:paraId="5A4252E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75A3DD3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C2B031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18C5E17F">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740" w:type="dxa"/>
            <w:noWrap w:val="0"/>
            <w:vAlign w:val="center"/>
          </w:tcPr>
          <w:p w14:paraId="48FA90C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77C4BFB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6E18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continue"/>
            <w:noWrap w:val="0"/>
            <w:vAlign w:val="center"/>
          </w:tcPr>
          <w:p w14:paraId="09056812">
            <w:pPr>
              <w:widowControl/>
              <w:ind w:left="0" w:leftChars="0" w:right="0" w:rightChars="0" w:firstLine="0" w:firstLineChars="0"/>
              <w:jc w:val="center"/>
              <w:rPr>
                <w:rFonts w:hint="eastAsia" w:ascii="宋体" w:hAnsi="宋体" w:eastAsia="宋体" w:cs="宋体"/>
                <w:color w:val="auto"/>
                <w:spacing w:val="-12"/>
                <w:kern w:val="0"/>
                <w:sz w:val="21"/>
                <w:szCs w:val="21"/>
                <w:highlight w:val="none"/>
              </w:rPr>
            </w:pPr>
          </w:p>
        </w:tc>
        <w:tc>
          <w:tcPr>
            <w:tcW w:w="1417" w:type="dxa"/>
            <w:noWrap w:val="0"/>
            <w:vAlign w:val="center"/>
          </w:tcPr>
          <w:p w14:paraId="41BDD02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2981B0D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5520419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Y≥10000</w:t>
            </w:r>
          </w:p>
        </w:tc>
        <w:tc>
          <w:tcPr>
            <w:tcW w:w="2072" w:type="dxa"/>
            <w:noWrap w:val="0"/>
            <w:vAlign w:val="center"/>
          </w:tcPr>
          <w:p w14:paraId="0F7C241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1000≤Y＜10000</w:t>
            </w:r>
          </w:p>
        </w:tc>
        <w:tc>
          <w:tcPr>
            <w:tcW w:w="1740" w:type="dxa"/>
            <w:noWrap w:val="0"/>
            <w:vAlign w:val="center"/>
          </w:tcPr>
          <w:p w14:paraId="24BD443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50≤Y＜1000</w:t>
            </w:r>
          </w:p>
        </w:tc>
        <w:tc>
          <w:tcPr>
            <w:tcW w:w="1038" w:type="dxa"/>
            <w:noWrap w:val="0"/>
            <w:vAlign w:val="center"/>
          </w:tcPr>
          <w:p w14:paraId="78E058D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w:t>
            </w:r>
          </w:p>
        </w:tc>
      </w:tr>
      <w:tr w14:paraId="533A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restart"/>
            <w:noWrap w:val="0"/>
            <w:vAlign w:val="center"/>
          </w:tcPr>
          <w:p w14:paraId="02D1D6F2">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房地产开发经营</w:t>
            </w:r>
          </w:p>
        </w:tc>
        <w:tc>
          <w:tcPr>
            <w:tcW w:w="1417" w:type="dxa"/>
            <w:noWrap w:val="0"/>
            <w:vAlign w:val="center"/>
          </w:tcPr>
          <w:p w14:paraId="73D8886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207B41E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3E417A4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Y≥200000</w:t>
            </w:r>
          </w:p>
        </w:tc>
        <w:tc>
          <w:tcPr>
            <w:tcW w:w="2072" w:type="dxa"/>
            <w:noWrap w:val="0"/>
            <w:vAlign w:val="center"/>
          </w:tcPr>
          <w:p w14:paraId="7F226F3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1000≤Y＜200000</w:t>
            </w:r>
          </w:p>
        </w:tc>
        <w:tc>
          <w:tcPr>
            <w:tcW w:w="1740" w:type="dxa"/>
            <w:noWrap w:val="0"/>
            <w:vAlign w:val="center"/>
          </w:tcPr>
          <w:p w14:paraId="2B07E3A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100≤Y＜1000</w:t>
            </w:r>
          </w:p>
        </w:tc>
        <w:tc>
          <w:tcPr>
            <w:tcW w:w="1038" w:type="dxa"/>
            <w:noWrap w:val="0"/>
            <w:vAlign w:val="center"/>
          </w:tcPr>
          <w:p w14:paraId="7A350AE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3A97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continue"/>
            <w:noWrap w:val="0"/>
            <w:vAlign w:val="center"/>
          </w:tcPr>
          <w:p w14:paraId="2E62DEAD">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4AD57700">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705" w:type="dxa"/>
            <w:noWrap w:val="0"/>
            <w:vAlign w:val="center"/>
          </w:tcPr>
          <w:p w14:paraId="7FA3E57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351E16D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Z≥10000</w:t>
            </w:r>
          </w:p>
        </w:tc>
        <w:tc>
          <w:tcPr>
            <w:tcW w:w="2072" w:type="dxa"/>
            <w:noWrap w:val="0"/>
            <w:vAlign w:val="center"/>
          </w:tcPr>
          <w:p w14:paraId="03BE4EE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5000≤Z＜10000</w:t>
            </w:r>
          </w:p>
        </w:tc>
        <w:tc>
          <w:tcPr>
            <w:tcW w:w="1740" w:type="dxa"/>
            <w:noWrap w:val="0"/>
            <w:vAlign w:val="center"/>
          </w:tcPr>
          <w:p w14:paraId="5F8F79B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2000≤Z＜5000   </w:t>
            </w:r>
          </w:p>
        </w:tc>
        <w:tc>
          <w:tcPr>
            <w:tcW w:w="1038" w:type="dxa"/>
            <w:noWrap w:val="0"/>
            <w:vAlign w:val="center"/>
          </w:tcPr>
          <w:p w14:paraId="4730A99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Z＜2000</w:t>
            </w:r>
          </w:p>
        </w:tc>
      </w:tr>
      <w:tr w14:paraId="0ACB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restart"/>
            <w:noWrap w:val="0"/>
            <w:vAlign w:val="center"/>
          </w:tcPr>
          <w:p w14:paraId="65858701">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物业管理</w:t>
            </w:r>
          </w:p>
        </w:tc>
        <w:tc>
          <w:tcPr>
            <w:tcW w:w="1417" w:type="dxa"/>
            <w:noWrap w:val="0"/>
            <w:vAlign w:val="center"/>
          </w:tcPr>
          <w:p w14:paraId="14CDD09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2A69603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10D26E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X≥1000</w:t>
            </w:r>
          </w:p>
        </w:tc>
        <w:tc>
          <w:tcPr>
            <w:tcW w:w="2072" w:type="dxa"/>
            <w:noWrap w:val="0"/>
            <w:vAlign w:val="center"/>
          </w:tcPr>
          <w:p w14:paraId="1D300F1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740" w:type="dxa"/>
            <w:noWrap w:val="0"/>
            <w:vAlign w:val="center"/>
          </w:tcPr>
          <w:p w14:paraId="4F4C400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038" w:type="dxa"/>
            <w:noWrap w:val="0"/>
            <w:vAlign w:val="center"/>
          </w:tcPr>
          <w:p w14:paraId="5DA1D80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w:t>
            </w:r>
          </w:p>
        </w:tc>
      </w:tr>
      <w:tr w14:paraId="3985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continue"/>
            <w:noWrap w:val="0"/>
            <w:vAlign w:val="center"/>
          </w:tcPr>
          <w:p w14:paraId="665BE8B3">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6485B2AA">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705" w:type="dxa"/>
            <w:noWrap w:val="0"/>
            <w:vAlign w:val="center"/>
          </w:tcPr>
          <w:p w14:paraId="4E78010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51C579F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Y≥5000</w:t>
            </w:r>
          </w:p>
        </w:tc>
        <w:tc>
          <w:tcPr>
            <w:tcW w:w="2072" w:type="dxa"/>
            <w:noWrap w:val="0"/>
            <w:vAlign w:val="center"/>
          </w:tcPr>
          <w:p w14:paraId="541B31A6">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1000≤Y＜5000 </w:t>
            </w:r>
          </w:p>
        </w:tc>
        <w:tc>
          <w:tcPr>
            <w:tcW w:w="1740" w:type="dxa"/>
            <w:noWrap w:val="0"/>
            <w:vAlign w:val="center"/>
          </w:tcPr>
          <w:p w14:paraId="19004E6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500≤Y＜1000</w:t>
            </w:r>
          </w:p>
        </w:tc>
        <w:tc>
          <w:tcPr>
            <w:tcW w:w="1038" w:type="dxa"/>
            <w:noWrap w:val="0"/>
            <w:vAlign w:val="center"/>
          </w:tcPr>
          <w:p w14:paraId="3BE15E1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Y＜500</w:t>
            </w:r>
          </w:p>
        </w:tc>
      </w:tr>
      <w:tr w14:paraId="23B9D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restart"/>
            <w:noWrap w:val="0"/>
            <w:vAlign w:val="center"/>
          </w:tcPr>
          <w:p w14:paraId="22DF7FDA">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租赁和商务服务业</w:t>
            </w:r>
          </w:p>
        </w:tc>
        <w:tc>
          <w:tcPr>
            <w:tcW w:w="1417" w:type="dxa"/>
            <w:noWrap w:val="0"/>
            <w:vAlign w:val="center"/>
          </w:tcPr>
          <w:p w14:paraId="3005495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7F36CF0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476B23F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4D8A9466">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740" w:type="dxa"/>
            <w:noWrap w:val="0"/>
            <w:vAlign w:val="center"/>
          </w:tcPr>
          <w:p w14:paraId="4AE044A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6268E9A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02DDC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jc w:val="center"/>
        </w:trPr>
        <w:tc>
          <w:tcPr>
            <w:tcW w:w="1920" w:type="dxa"/>
            <w:vMerge w:val="continue"/>
            <w:noWrap w:val="0"/>
            <w:vAlign w:val="center"/>
          </w:tcPr>
          <w:p w14:paraId="6CDD5BC8">
            <w:pPr>
              <w:widowControl/>
              <w:ind w:left="0" w:leftChars="0" w:right="0" w:rightChars="0" w:firstLine="0" w:firstLineChars="0"/>
              <w:jc w:val="center"/>
              <w:rPr>
                <w:rFonts w:hint="eastAsia" w:ascii="宋体" w:hAnsi="宋体" w:eastAsia="宋体" w:cs="宋体"/>
                <w:color w:val="auto"/>
                <w:kern w:val="0"/>
                <w:sz w:val="21"/>
                <w:szCs w:val="21"/>
                <w:highlight w:val="none"/>
              </w:rPr>
            </w:pPr>
          </w:p>
        </w:tc>
        <w:tc>
          <w:tcPr>
            <w:tcW w:w="1417" w:type="dxa"/>
            <w:noWrap w:val="0"/>
            <w:vAlign w:val="center"/>
          </w:tcPr>
          <w:p w14:paraId="310040D0">
            <w:pPr>
              <w:widowControl/>
              <w:spacing w:line="2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705" w:type="dxa"/>
            <w:noWrap w:val="0"/>
            <w:vAlign w:val="center"/>
          </w:tcPr>
          <w:p w14:paraId="559CE43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1254" w:type="dxa"/>
            <w:noWrap w:val="0"/>
            <w:vAlign w:val="center"/>
          </w:tcPr>
          <w:p w14:paraId="6745D5F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Z≥120000</w:t>
            </w:r>
          </w:p>
        </w:tc>
        <w:tc>
          <w:tcPr>
            <w:tcW w:w="2072" w:type="dxa"/>
            <w:noWrap w:val="0"/>
            <w:vAlign w:val="center"/>
          </w:tcPr>
          <w:p w14:paraId="388BC49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8000≤Z＜120000</w:t>
            </w:r>
          </w:p>
        </w:tc>
        <w:tc>
          <w:tcPr>
            <w:tcW w:w="1740" w:type="dxa"/>
            <w:noWrap w:val="0"/>
            <w:vAlign w:val="center"/>
          </w:tcPr>
          <w:p w14:paraId="0A155BF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100≤Z＜8000</w:t>
            </w:r>
          </w:p>
        </w:tc>
        <w:tc>
          <w:tcPr>
            <w:tcW w:w="1038" w:type="dxa"/>
            <w:noWrap w:val="0"/>
            <w:vAlign w:val="center"/>
          </w:tcPr>
          <w:p w14:paraId="6B834DD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Z＜100</w:t>
            </w:r>
          </w:p>
        </w:tc>
      </w:tr>
      <w:tr w14:paraId="4E55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1920" w:type="dxa"/>
            <w:noWrap w:val="0"/>
            <w:vAlign w:val="center"/>
          </w:tcPr>
          <w:p w14:paraId="4893BEAC">
            <w:pPr>
              <w:widowControl/>
              <w:spacing w:line="240" w:lineRule="exact"/>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其他未列明行业 *</w:t>
            </w:r>
          </w:p>
        </w:tc>
        <w:tc>
          <w:tcPr>
            <w:tcW w:w="1417" w:type="dxa"/>
            <w:noWrap w:val="0"/>
            <w:vAlign w:val="center"/>
          </w:tcPr>
          <w:p w14:paraId="5B0B3CC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705" w:type="dxa"/>
            <w:noWrap w:val="0"/>
            <w:vAlign w:val="center"/>
          </w:tcPr>
          <w:p w14:paraId="6B5FA06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1254" w:type="dxa"/>
            <w:noWrap w:val="0"/>
            <w:vAlign w:val="center"/>
          </w:tcPr>
          <w:p w14:paraId="56F3994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X≥300</w:t>
            </w:r>
          </w:p>
        </w:tc>
        <w:tc>
          <w:tcPr>
            <w:tcW w:w="2072" w:type="dxa"/>
            <w:noWrap w:val="0"/>
            <w:vAlign w:val="center"/>
          </w:tcPr>
          <w:p w14:paraId="2778829B">
            <w:pPr>
              <w:widowControl/>
              <w:ind w:left="19" w:leftChars="-51" w:hanging="126" w:hangingChars="6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100≤X＜300 </w:t>
            </w:r>
          </w:p>
        </w:tc>
        <w:tc>
          <w:tcPr>
            <w:tcW w:w="1740" w:type="dxa"/>
            <w:noWrap w:val="0"/>
            <w:vAlign w:val="center"/>
          </w:tcPr>
          <w:p w14:paraId="086A6F1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10≤X＜100</w:t>
            </w:r>
          </w:p>
        </w:tc>
        <w:tc>
          <w:tcPr>
            <w:tcW w:w="1038" w:type="dxa"/>
            <w:noWrap w:val="0"/>
            <w:vAlign w:val="center"/>
          </w:tcPr>
          <w:p w14:paraId="1C920EF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bl>
    <w:p w14:paraId="41D9D622">
      <w:pPr>
        <w:keepNext w:val="0"/>
        <w:keepLines w:val="0"/>
        <w:pageBreakBefore w:val="0"/>
        <w:widowControl/>
        <w:kinsoku/>
        <w:wordWrap/>
        <w:overflowPunct/>
        <w:topLinePunct w:val="0"/>
        <w:autoSpaceDE/>
        <w:autoSpaceDN/>
        <w:bidi w:val="0"/>
        <w:adjustRightInd/>
        <w:snapToGrid/>
        <w:spacing w:line="540" w:lineRule="exact"/>
        <w:textAlignment w:val="auto"/>
        <w:rPr>
          <w:rFonts w:ascii="宋体" w:hAnsi="宋体" w:cs="宋体"/>
          <w:b/>
          <w:bCs/>
          <w:color w:val="auto"/>
          <w:spacing w:val="8"/>
          <w:kern w:val="0"/>
          <w:sz w:val="24"/>
          <w:szCs w:val="24"/>
          <w:highlight w:val="none"/>
        </w:rPr>
      </w:pPr>
      <w:r>
        <w:rPr>
          <w:rFonts w:hint="eastAsia" w:ascii="宋体" w:hAnsi="宋体" w:cs="宋体"/>
          <w:b/>
          <w:bCs/>
          <w:color w:val="auto"/>
          <w:spacing w:val="8"/>
          <w:kern w:val="0"/>
          <w:sz w:val="24"/>
          <w:szCs w:val="24"/>
          <w:highlight w:val="none"/>
        </w:rPr>
        <w:t>说明：</w:t>
      </w:r>
    </w:p>
    <w:p w14:paraId="29B82D1A">
      <w:pPr>
        <w:keepNext w:val="0"/>
        <w:keepLines w:val="0"/>
        <w:pageBreakBefore w:val="0"/>
        <w:kinsoku/>
        <w:wordWrap/>
        <w:overflowPunct/>
        <w:topLinePunct w:val="0"/>
        <w:autoSpaceDE/>
        <w:autoSpaceDN/>
        <w:bidi w:val="0"/>
        <w:adjustRightInd/>
        <w:snapToGrid/>
        <w:spacing w:line="540" w:lineRule="exact"/>
        <w:ind w:firstLine="512" w:firstLineChars="200"/>
        <w:textAlignment w:val="auto"/>
        <w:rPr>
          <w:rFonts w:ascii="宋体" w:hAnsi="宋体" w:cs="宋体"/>
          <w:color w:val="auto"/>
          <w:spacing w:val="8"/>
          <w:kern w:val="0"/>
          <w:sz w:val="24"/>
          <w:szCs w:val="24"/>
          <w:highlight w:val="none"/>
        </w:rPr>
      </w:pPr>
      <w:r>
        <w:rPr>
          <w:rFonts w:hint="eastAsia" w:ascii="宋体" w:hAnsi="宋体" w:cs="宋体"/>
          <w:color w:val="auto"/>
          <w:spacing w:val="8"/>
          <w:kern w:val="0"/>
          <w:sz w:val="24"/>
          <w:szCs w:val="24"/>
          <w:highlight w:val="none"/>
        </w:rPr>
        <w:t>1.大型、中型和小型企业须同时满足所列指标的下限，否则下划一档；微型企业只须满足所列指标中的一项即可。</w:t>
      </w:r>
    </w:p>
    <w:p w14:paraId="4F857EFA">
      <w:pPr>
        <w:keepNext w:val="0"/>
        <w:keepLines w:val="0"/>
        <w:pageBreakBefore w:val="0"/>
        <w:kinsoku/>
        <w:wordWrap/>
        <w:overflowPunct/>
        <w:topLinePunct w:val="0"/>
        <w:autoSpaceDE/>
        <w:autoSpaceDN/>
        <w:bidi w:val="0"/>
        <w:adjustRightInd/>
        <w:snapToGrid/>
        <w:spacing w:line="540" w:lineRule="exact"/>
        <w:ind w:firstLine="512" w:firstLineChars="200"/>
        <w:textAlignment w:val="auto"/>
        <w:rPr>
          <w:rFonts w:ascii="宋体" w:hAnsi="宋体" w:cs="宋体"/>
          <w:color w:val="auto"/>
          <w:spacing w:val="8"/>
          <w:kern w:val="0"/>
          <w:sz w:val="24"/>
          <w:szCs w:val="24"/>
          <w:highlight w:val="none"/>
        </w:rPr>
      </w:pPr>
      <w:r>
        <w:rPr>
          <w:rFonts w:hint="eastAsia" w:ascii="宋体" w:hAnsi="宋体" w:cs="宋体"/>
          <w:color w:val="auto"/>
          <w:spacing w:val="8"/>
          <w:kern w:val="0"/>
          <w:sz w:val="24"/>
          <w:szCs w:val="24"/>
          <w:highlight w:val="none"/>
        </w:rPr>
        <w:t>2.附表中各行业的范围以《国民经济行业分类》（GB/T4754-2017）为准。带*的项为行业组合类别，其中，</w:t>
      </w:r>
      <w:r>
        <w:rPr>
          <w:rFonts w:hint="eastAsia" w:ascii="宋体" w:hAnsi="宋体" w:cs="宋体"/>
          <w:b/>
          <w:bCs/>
          <w:color w:val="auto"/>
          <w:spacing w:val="8"/>
          <w:kern w:val="0"/>
          <w:sz w:val="24"/>
          <w:szCs w:val="24"/>
          <w:highlight w:val="none"/>
        </w:rPr>
        <w:t>工业包括</w:t>
      </w:r>
      <w:r>
        <w:rPr>
          <w:rFonts w:hint="eastAsia" w:ascii="宋体" w:hAnsi="宋体" w:cs="宋体"/>
          <w:b/>
          <w:bCs/>
          <w:color w:val="auto"/>
          <w:spacing w:val="8"/>
          <w:kern w:val="0"/>
          <w:sz w:val="24"/>
          <w:szCs w:val="24"/>
          <w:highlight w:val="none"/>
          <w:lang w:eastAsia="zh-CN"/>
        </w:rPr>
        <w:t>：</w:t>
      </w:r>
      <w:r>
        <w:rPr>
          <w:rFonts w:hint="eastAsia" w:ascii="宋体" w:hAnsi="宋体" w:cs="宋体"/>
          <w:b w:val="0"/>
          <w:bCs w:val="0"/>
          <w:color w:val="auto"/>
          <w:spacing w:val="8"/>
          <w:kern w:val="0"/>
          <w:sz w:val="24"/>
          <w:szCs w:val="24"/>
          <w:highlight w:val="none"/>
        </w:rPr>
        <w:t>采矿业</w:t>
      </w:r>
      <w:r>
        <w:rPr>
          <w:rFonts w:hint="eastAsia" w:ascii="宋体" w:hAnsi="宋体" w:cs="宋体"/>
          <w:b/>
          <w:bCs/>
          <w:color w:val="auto"/>
          <w:spacing w:val="8"/>
          <w:kern w:val="0"/>
          <w:sz w:val="24"/>
          <w:szCs w:val="24"/>
          <w:highlight w:val="none"/>
          <w:lang w:eastAsia="zh-CN"/>
        </w:rPr>
        <w:t>、</w:t>
      </w:r>
      <w:r>
        <w:rPr>
          <w:rFonts w:hint="eastAsia" w:ascii="宋体" w:hAnsi="宋体" w:cs="宋体"/>
          <w:b/>
          <w:bCs/>
          <w:color w:val="auto"/>
          <w:spacing w:val="8"/>
          <w:kern w:val="0"/>
          <w:sz w:val="24"/>
          <w:szCs w:val="24"/>
          <w:highlight w:val="none"/>
        </w:rPr>
        <w:t>制造业</w:t>
      </w:r>
      <w:r>
        <w:rPr>
          <w:rFonts w:hint="eastAsia" w:ascii="宋体" w:hAnsi="宋体" w:cs="宋体"/>
          <w:color w:val="auto"/>
          <w:spacing w:val="8"/>
          <w:kern w:val="0"/>
          <w:sz w:val="24"/>
          <w:szCs w:val="24"/>
          <w:highlight w:val="none"/>
          <w:lang w:eastAsia="zh-CN"/>
        </w:rPr>
        <w:t>、</w:t>
      </w:r>
      <w:r>
        <w:rPr>
          <w:rFonts w:hint="eastAsia" w:ascii="宋体" w:hAnsi="宋体" w:cs="宋体"/>
          <w:color w:val="auto"/>
          <w:spacing w:val="8"/>
          <w:kern w:val="0"/>
          <w:sz w:val="24"/>
          <w:szCs w:val="24"/>
          <w:highlight w:val="none"/>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cs="宋体"/>
          <w:b/>
          <w:bCs/>
          <w:color w:val="auto"/>
          <w:spacing w:val="8"/>
          <w:kern w:val="0"/>
          <w:sz w:val="24"/>
          <w:szCs w:val="24"/>
          <w:highlight w:val="none"/>
        </w:rPr>
        <w:t>信息传输业包括</w:t>
      </w:r>
      <w:r>
        <w:rPr>
          <w:rFonts w:hint="eastAsia" w:ascii="宋体" w:hAnsi="宋体" w:cs="宋体"/>
          <w:b/>
          <w:bCs/>
          <w:color w:val="auto"/>
          <w:spacing w:val="8"/>
          <w:kern w:val="0"/>
          <w:sz w:val="24"/>
          <w:szCs w:val="24"/>
          <w:highlight w:val="none"/>
          <w:lang w:eastAsia="zh-CN"/>
        </w:rPr>
        <w:t>：</w:t>
      </w:r>
      <w:r>
        <w:rPr>
          <w:rFonts w:hint="eastAsia" w:ascii="宋体" w:hAnsi="宋体" w:cs="宋体"/>
          <w:color w:val="auto"/>
          <w:spacing w:val="8"/>
          <w:kern w:val="0"/>
          <w:sz w:val="24"/>
          <w:szCs w:val="24"/>
          <w:highlight w:val="none"/>
        </w:rPr>
        <w:t>电信、广播电视和卫星传输服务，</w:t>
      </w:r>
      <w:r>
        <w:rPr>
          <w:rFonts w:hint="eastAsia" w:ascii="宋体" w:hAnsi="宋体" w:cs="宋体"/>
          <w:b/>
          <w:bCs/>
          <w:color w:val="auto"/>
          <w:spacing w:val="8"/>
          <w:kern w:val="0"/>
          <w:sz w:val="24"/>
          <w:szCs w:val="24"/>
          <w:highlight w:val="none"/>
        </w:rPr>
        <w:t>互联网和相关服务</w:t>
      </w:r>
      <w:r>
        <w:rPr>
          <w:rFonts w:hint="eastAsia" w:ascii="宋体" w:hAnsi="宋体" w:cs="宋体"/>
          <w:color w:val="auto"/>
          <w:spacing w:val="8"/>
          <w:kern w:val="0"/>
          <w:sz w:val="24"/>
          <w:szCs w:val="24"/>
          <w:highlight w:val="none"/>
        </w:rPr>
        <w:t>；</w:t>
      </w:r>
      <w:r>
        <w:rPr>
          <w:rFonts w:hint="eastAsia" w:ascii="宋体" w:hAnsi="宋体" w:cs="宋体"/>
          <w:b w:val="0"/>
          <w:bCs w:val="0"/>
          <w:color w:val="auto"/>
          <w:spacing w:val="8"/>
          <w:kern w:val="0"/>
          <w:sz w:val="24"/>
          <w:szCs w:val="24"/>
          <w:highlight w:val="none"/>
        </w:rPr>
        <w:t>其他未列明行业包括</w:t>
      </w:r>
      <w:r>
        <w:rPr>
          <w:rFonts w:hint="eastAsia" w:ascii="宋体" w:hAnsi="宋体" w:cs="宋体"/>
          <w:b w:val="0"/>
          <w:bCs w:val="0"/>
          <w:color w:val="auto"/>
          <w:spacing w:val="8"/>
          <w:kern w:val="0"/>
          <w:sz w:val="24"/>
          <w:szCs w:val="24"/>
          <w:highlight w:val="none"/>
          <w:lang w:eastAsia="zh-CN"/>
        </w:rPr>
        <w:t>：</w:t>
      </w:r>
      <w:r>
        <w:rPr>
          <w:rFonts w:hint="eastAsia" w:ascii="宋体" w:hAnsi="宋体" w:cs="宋体"/>
          <w:b w:val="0"/>
          <w:bCs w:val="0"/>
          <w:color w:val="auto"/>
          <w:spacing w:val="8"/>
          <w:kern w:val="0"/>
          <w:sz w:val="24"/>
          <w:szCs w:val="24"/>
          <w:highlight w:val="none"/>
        </w:rPr>
        <w:t>科</w:t>
      </w:r>
      <w:r>
        <w:rPr>
          <w:rFonts w:hint="eastAsia" w:ascii="宋体" w:hAnsi="宋体" w:cs="宋体"/>
          <w:color w:val="auto"/>
          <w:spacing w:val="8"/>
          <w:kern w:val="0"/>
          <w:sz w:val="24"/>
          <w:szCs w:val="24"/>
          <w:highlight w:val="none"/>
        </w:rPr>
        <w:t>学研究和技术服务业，水利、环境和公共设施管理业，居民服务、修理和其他服务业，社会工作，文化、体育和娱乐业，以及房地产中介服务，其他房地产业等，不包括自有房地产经营活动。</w:t>
      </w:r>
    </w:p>
    <w:p w14:paraId="7256E463">
      <w:pPr>
        <w:keepNext w:val="0"/>
        <w:keepLines w:val="0"/>
        <w:pageBreakBefore w:val="0"/>
        <w:kinsoku/>
        <w:wordWrap/>
        <w:overflowPunct/>
        <w:topLinePunct w:val="0"/>
        <w:autoSpaceDE/>
        <w:autoSpaceDN/>
        <w:bidi w:val="0"/>
        <w:adjustRightInd/>
        <w:snapToGrid/>
        <w:spacing w:line="540" w:lineRule="exact"/>
        <w:ind w:firstLine="514" w:firstLineChars="200"/>
        <w:textAlignment w:val="auto"/>
        <w:rPr>
          <w:rFonts w:hint="eastAsia" w:ascii="宋体" w:hAnsi="宋体" w:eastAsia="宋体" w:cs="宋体"/>
          <w:b/>
          <w:bCs/>
          <w:color w:val="auto"/>
          <w:spacing w:val="8"/>
          <w:kern w:val="0"/>
          <w:sz w:val="24"/>
          <w:szCs w:val="24"/>
          <w:highlight w:val="none"/>
        </w:rPr>
      </w:pPr>
      <w:bookmarkStart w:id="934" w:name="_Toc25150"/>
      <w:bookmarkStart w:id="935" w:name="_Toc25217"/>
      <w:r>
        <w:rPr>
          <w:rFonts w:hint="eastAsia" w:ascii="宋体" w:hAnsi="宋体" w:eastAsia="宋体" w:cs="宋体"/>
          <w:b/>
          <w:bCs/>
          <w:color w:val="auto"/>
          <w:spacing w:val="8"/>
          <w:kern w:val="0"/>
          <w:sz w:val="24"/>
          <w:szCs w:val="24"/>
          <w:highlight w:val="none"/>
        </w:rPr>
        <w:t>3.企业划分指标以现行统计制度为准。</w:t>
      </w:r>
    </w:p>
    <w:p w14:paraId="32BADBB1">
      <w:pPr>
        <w:keepNext w:val="0"/>
        <w:keepLines w:val="0"/>
        <w:pageBreakBefore w:val="0"/>
        <w:kinsoku/>
        <w:wordWrap/>
        <w:overflowPunct/>
        <w:topLinePunct w:val="0"/>
        <w:autoSpaceDE/>
        <w:autoSpaceDN/>
        <w:bidi w:val="0"/>
        <w:adjustRightInd/>
        <w:snapToGrid/>
        <w:spacing w:line="540" w:lineRule="exact"/>
        <w:ind w:firstLine="514" w:firstLineChars="200"/>
        <w:textAlignment w:val="auto"/>
        <w:rPr>
          <w:rFonts w:hint="eastAsia" w:ascii="宋体" w:hAnsi="宋体" w:eastAsia="宋体" w:cs="宋体"/>
          <w:b/>
          <w:bCs/>
          <w:color w:val="auto"/>
          <w:spacing w:val="8"/>
          <w:kern w:val="0"/>
          <w:sz w:val="24"/>
          <w:szCs w:val="24"/>
          <w:highlight w:val="none"/>
        </w:rPr>
      </w:pPr>
      <w:r>
        <w:rPr>
          <w:rFonts w:hint="eastAsia" w:ascii="宋体" w:hAnsi="宋体" w:eastAsia="宋体" w:cs="宋体"/>
          <w:b/>
          <w:bCs/>
          <w:color w:val="auto"/>
          <w:spacing w:val="8"/>
          <w:kern w:val="0"/>
          <w:sz w:val="24"/>
          <w:szCs w:val="24"/>
          <w:highlight w:val="none"/>
        </w:rPr>
        <w:t>（1）从业人员，是指期末从业人员数，没有期末从业人员数的，采用全年平均人员数代替。</w:t>
      </w:r>
    </w:p>
    <w:p w14:paraId="6BA80803">
      <w:pPr>
        <w:keepNext w:val="0"/>
        <w:keepLines w:val="0"/>
        <w:pageBreakBefore w:val="0"/>
        <w:kinsoku/>
        <w:wordWrap/>
        <w:overflowPunct/>
        <w:topLinePunct w:val="0"/>
        <w:autoSpaceDE/>
        <w:autoSpaceDN/>
        <w:bidi w:val="0"/>
        <w:adjustRightInd/>
        <w:snapToGrid/>
        <w:spacing w:line="540" w:lineRule="exact"/>
        <w:ind w:firstLine="514" w:firstLineChars="200"/>
        <w:textAlignment w:val="auto"/>
        <w:rPr>
          <w:rFonts w:hint="eastAsia" w:ascii="宋体" w:hAnsi="宋体" w:eastAsia="宋体" w:cs="宋体"/>
          <w:b/>
          <w:bCs/>
          <w:color w:val="auto"/>
          <w:spacing w:val="8"/>
          <w:kern w:val="0"/>
          <w:sz w:val="24"/>
          <w:szCs w:val="24"/>
          <w:highlight w:val="none"/>
        </w:rPr>
      </w:pPr>
      <w:r>
        <w:rPr>
          <w:rFonts w:hint="eastAsia" w:ascii="宋体" w:hAnsi="宋体" w:eastAsia="宋体" w:cs="宋体"/>
          <w:b/>
          <w:bCs/>
          <w:color w:val="auto"/>
          <w:spacing w:val="8"/>
          <w:kern w:val="0"/>
          <w:sz w:val="24"/>
          <w:szCs w:val="24"/>
          <w:highlight w:val="none"/>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742ED02B">
      <w:pPr>
        <w:keepNext w:val="0"/>
        <w:keepLines w:val="0"/>
        <w:pageBreakBefore w:val="0"/>
        <w:kinsoku/>
        <w:wordWrap/>
        <w:overflowPunct/>
        <w:topLinePunct w:val="0"/>
        <w:autoSpaceDE/>
        <w:autoSpaceDN/>
        <w:bidi w:val="0"/>
        <w:adjustRightInd/>
        <w:snapToGrid/>
        <w:spacing w:line="540" w:lineRule="exact"/>
        <w:ind w:firstLine="514" w:firstLineChars="200"/>
        <w:textAlignment w:val="auto"/>
        <w:rPr>
          <w:rFonts w:hint="eastAsia" w:ascii="宋体" w:hAnsi="宋体" w:eastAsia="宋体" w:cs="宋体"/>
          <w:b/>
          <w:bCs/>
          <w:color w:val="auto"/>
          <w:spacing w:val="8"/>
          <w:kern w:val="0"/>
          <w:sz w:val="24"/>
          <w:szCs w:val="24"/>
          <w:highlight w:val="none"/>
        </w:rPr>
      </w:pPr>
      <w:r>
        <w:rPr>
          <w:rFonts w:hint="eastAsia" w:ascii="宋体" w:hAnsi="宋体" w:eastAsia="宋体" w:cs="宋体"/>
          <w:b/>
          <w:bCs/>
          <w:color w:val="auto"/>
          <w:spacing w:val="8"/>
          <w:kern w:val="0"/>
          <w:sz w:val="24"/>
          <w:szCs w:val="24"/>
          <w:highlight w:val="none"/>
        </w:rPr>
        <w:t>（3）资产总额，采用资产总计代替。</w:t>
      </w:r>
      <w:bookmarkEnd w:id="934"/>
      <w:bookmarkEnd w:id="935"/>
    </w:p>
    <w:p w14:paraId="0C606466">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57705329">
      <w:pPr>
        <w:pageBreakBefore w:val="0"/>
        <w:wordWrap w:val="0"/>
        <w:overflowPunct/>
        <w:spacing w:line="588" w:lineRule="exact"/>
        <w:jc w:val="both"/>
        <w:outlineLvl w:val="9"/>
        <w:rPr>
          <w:rFonts w:hint="eastAsia" w:ascii="宋体" w:hAnsi="宋体" w:eastAsia="宋体" w:cs="宋体"/>
          <w:b/>
          <w:bCs/>
          <w:color w:val="auto"/>
          <w:sz w:val="28"/>
          <w:szCs w:val="28"/>
          <w:highlight w:val="none"/>
          <w:lang w:val="en-US" w:eastAsia="zh-CN"/>
        </w:rPr>
      </w:pPr>
    </w:p>
    <w:p w14:paraId="2BFBAE37">
      <w:pPr>
        <w:pageBreakBefore w:val="0"/>
        <w:wordWrap w:val="0"/>
        <w:overflowPunct/>
        <w:spacing w:line="588" w:lineRule="exact"/>
        <w:jc w:val="both"/>
        <w:outlineLvl w:val="9"/>
        <w:rPr>
          <w:rFonts w:hint="eastAsia" w:ascii="宋体" w:hAnsi="宋体" w:eastAsia="宋体" w:cs="宋体"/>
          <w:b/>
          <w:bCs/>
          <w:color w:val="auto"/>
          <w:sz w:val="28"/>
          <w:szCs w:val="28"/>
          <w:highlight w:val="none"/>
          <w:lang w:val="en-US" w:eastAsia="zh-CN"/>
        </w:rPr>
      </w:pPr>
    </w:p>
    <w:p w14:paraId="052B200A">
      <w:pPr>
        <w:pStyle w:val="2"/>
        <w:rPr>
          <w:rFonts w:hint="eastAsia"/>
          <w:color w:val="auto"/>
          <w:highlight w:val="none"/>
          <w:lang w:val="en-US" w:eastAsia="zh-CN"/>
        </w:rPr>
      </w:pPr>
    </w:p>
    <w:p w14:paraId="4EAB0E0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pacing w:val="6"/>
          <w:sz w:val="30"/>
          <w:szCs w:val="30"/>
          <w:highlight w:val="none"/>
        </w:rPr>
      </w:pPr>
      <w:bookmarkStart w:id="936" w:name="_Toc2434"/>
      <w:r>
        <w:rPr>
          <w:rFonts w:hint="eastAsia" w:ascii="宋体" w:hAnsi="宋体" w:eastAsia="宋体" w:cs="宋体"/>
          <w:b/>
          <w:bCs/>
          <w:color w:val="auto"/>
          <w:sz w:val="28"/>
          <w:szCs w:val="28"/>
          <w:highlight w:val="none"/>
          <w:lang w:val="en-US" w:eastAsia="zh-CN"/>
        </w:rPr>
        <w:t>（二）</w:t>
      </w:r>
      <w:bookmarkStart w:id="937" w:name="_Toc20889"/>
      <w:bookmarkStart w:id="938" w:name="_Toc31012"/>
      <w:bookmarkStart w:id="939" w:name="_Toc26466"/>
      <w:bookmarkStart w:id="940" w:name="_Toc18871"/>
      <w:bookmarkStart w:id="941" w:name="_Toc193"/>
      <w:bookmarkStart w:id="942" w:name="_Toc27932"/>
      <w:bookmarkStart w:id="943" w:name="_Toc28130"/>
      <w:bookmarkStart w:id="944" w:name="_Toc11608"/>
      <w:bookmarkStart w:id="945" w:name="_Toc25923"/>
      <w:bookmarkStart w:id="946" w:name="_Toc25767"/>
      <w:bookmarkStart w:id="947" w:name="_Toc3262_WPSOffice_Level2"/>
      <w:bookmarkStart w:id="948" w:name="_Toc32156"/>
      <w:bookmarkStart w:id="949" w:name="_Toc16477"/>
      <w:bookmarkStart w:id="950" w:name="_Toc5422"/>
      <w:bookmarkStart w:id="951" w:name="_Toc17267"/>
      <w:bookmarkStart w:id="952" w:name="_Toc31965"/>
      <w:bookmarkStart w:id="953" w:name="_Toc30056"/>
      <w:bookmarkStart w:id="954" w:name="_Toc24442_WPSOffice_Level2"/>
      <w:bookmarkStart w:id="955" w:name="_Toc1146"/>
      <w:bookmarkStart w:id="956" w:name="_Toc4215"/>
      <w:bookmarkStart w:id="957" w:name="_Toc12560"/>
      <w:bookmarkStart w:id="958" w:name="_Toc16806"/>
      <w:bookmarkStart w:id="959" w:name="_Toc9753"/>
      <w:bookmarkStart w:id="960" w:name="_Toc1156"/>
      <w:r>
        <w:rPr>
          <w:rFonts w:hint="eastAsia" w:ascii="宋体" w:hAnsi="宋体" w:eastAsia="宋体" w:cs="宋体"/>
          <w:b/>
          <w:color w:val="auto"/>
          <w:sz w:val="30"/>
          <w:szCs w:val="30"/>
          <w:highlight w:val="none"/>
        </w:rPr>
        <w:t>残疾人福利性单位声明函</w:t>
      </w:r>
      <w:bookmarkEnd w:id="937"/>
      <w:bookmarkEnd w:id="938"/>
      <w:bookmarkEnd w:id="939"/>
      <w:bookmarkEnd w:id="940"/>
      <w:bookmarkEnd w:id="941"/>
      <w:bookmarkEnd w:id="942"/>
      <w:bookmarkEnd w:id="943"/>
      <w:bookmarkEnd w:id="944"/>
      <w:bookmarkEnd w:id="945"/>
      <w:r>
        <w:rPr>
          <w:rFonts w:hint="eastAsia" w:ascii="宋体" w:hAnsi="宋体" w:eastAsia="宋体" w:cs="宋体"/>
          <w:b/>
          <w:color w:val="auto"/>
          <w:sz w:val="30"/>
          <w:szCs w:val="30"/>
          <w:highlight w:val="none"/>
          <w:lang w:eastAsia="zh-CN"/>
        </w:rPr>
        <w:t>（</w:t>
      </w:r>
      <w:r>
        <w:rPr>
          <w:rFonts w:hint="eastAsia" w:ascii="宋体" w:hAnsi="宋体" w:eastAsia="宋体" w:cs="宋体"/>
          <w:b/>
          <w:color w:val="auto"/>
          <w:sz w:val="30"/>
          <w:szCs w:val="30"/>
          <w:highlight w:val="none"/>
          <w:lang w:val="en-US" w:eastAsia="zh-CN"/>
        </w:rPr>
        <w:t>按需提供</w:t>
      </w:r>
      <w:r>
        <w:rPr>
          <w:rFonts w:hint="eastAsia" w:ascii="宋体" w:hAnsi="宋体" w:eastAsia="宋体" w:cs="宋体"/>
          <w:b/>
          <w:color w:val="auto"/>
          <w:sz w:val="30"/>
          <w:szCs w:val="30"/>
          <w:highlight w:val="none"/>
          <w:lang w:eastAsia="zh-CN"/>
        </w:rPr>
        <w:t>）</w:t>
      </w:r>
      <w:bookmarkEnd w:id="936"/>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7485110A">
      <w:pPr>
        <w:spacing w:line="360" w:lineRule="auto"/>
        <w:rPr>
          <w:rFonts w:hint="eastAsia" w:ascii="宋体" w:hAnsi="宋体" w:eastAsia="宋体" w:cs="宋体"/>
          <w:b/>
          <w:color w:val="auto"/>
          <w:spacing w:val="6"/>
          <w:sz w:val="24"/>
          <w:szCs w:val="24"/>
          <w:highlight w:val="none"/>
        </w:rPr>
      </w:pPr>
    </w:p>
    <w:p w14:paraId="1B7E817B">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w:t>
      </w:r>
      <w:r>
        <w:rPr>
          <w:rFonts w:hint="eastAsia" w:ascii="宋体" w:hAnsi="宋体" w:eastAsia="宋体" w:cs="宋体"/>
          <w:color w:val="auto"/>
          <w:spacing w:val="6"/>
          <w:sz w:val="24"/>
          <w:szCs w:val="24"/>
          <w:highlight w:val="none"/>
          <w:u w:val="single"/>
        </w:rPr>
        <w:t xml:space="preserve">   （采购人名称）   </w:t>
      </w:r>
      <w:r>
        <w:rPr>
          <w:rFonts w:hint="eastAsia" w:ascii="宋体" w:hAnsi="宋体" w:eastAsia="宋体" w:cs="宋体"/>
          <w:color w:val="auto"/>
          <w:spacing w:val="6"/>
          <w:sz w:val="24"/>
          <w:szCs w:val="24"/>
          <w:highlight w:val="none"/>
        </w:rPr>
        <w:t>单位的</w:t>
      </w:r>
      <w:r>
        <w:rPr>
          <w:rFonts w:hint="eastAsia" w:ascii="宋体" w:hAnsi="宋体" w:eastAsia="宋体" w:cs="宋体"/>
          <w:color w:val="auto"/>
          <w:spacing w:val="6"/>
          <w:sz w:val="24"/>
          <w:szCs w:val="24"/>
          <w:highlight w:val="none"/>
          <w:u w:val="single"/>
        </w:rPr>
        <w:t xml:space="preserve">   （项目名称）   </w:t>
      </w:r>
      <w:r>
        <w:rPr>
          <w:rFonts w:hint="eastAsia" w:ascii="宋体" w:hAnsi="宋体" w:eastAsia="宋体" w:cs="宋体"/>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2A20418">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26DC3F96">
      <w:pPr>
        <w:spacing w:line="360" w:lineRule="auto"/>
        <w:ind w:firstLine="504" w:firstLineChars="200"/>
        <w:rPr>
          <w:rFonts w:hint="eastAsia" w:ascii="宋体" w:hAnsi="宋体" w:eastAsia="宋体" w:cs="宋体"/>
          <w:color w:val="auto"/>
          <w:spacing w:val="6"/>
          <w:sz w:val="24"/>
          <w:szCs w:val="24"/>
          <w:highlight w:val="none"/>
        </w:rPr>
      </w:pPr>
    </w:p>
    <w:p w14:paraId="42EA474C">
      <w:pPr>
        <w:spacing w:line="360" w:lineRule="auto"/>
        <w:ind w:right="480"/>
        <w:rPr>
          <w:rFonts w:hint="eastAsia" w:ascii="宋体" w:hAnsi="宋体" w:eastAsia="宋体" w:cs="宋体"/>
          <w:color w:val="auto"/>
          <w:sz w:val="24"/>
          <w:szCs w:val="24"/>
          <w:highlight w:val="none"/>
        </w:rPr>
      </w:pPr>
      <w:r>
        <w:rPr>
          <w:rFonts w:hint="eastAsia" w:ascii="宋体" w:hAnsi="宋体" w:cs="宋体"/>
          <w:color w:val="auto"/>
          <w:kern w:val="1"/>
          <w:sz w:val="24"/>
          <w:highlight w:val="none"/>
          <w:lang w:val="en-US" w:eastAsia="zh-CN" w:bidi="ar"/>
        </w:rPr>
        <w:t>供应商</w:t>
      </w:r>
      <w:r>
        <w:rPr>
          <w:rFonts w:hint="eastAsia" w:ascii="宋体" w:hAnsi="宋体" w:eastAsia="宋体" w:cs="宋体"/>
          <w:color w:val="auto"/>
          <w:sz w:val="24"/>
          <w:szCs w:val="24"/>
          <w:highlight w:val="none"/>
        </w:rPr>
        <w:t>：（公章）</w:t>
      </w:r>
    </w:p>
    <w:p w14:paraId="5717A082">
      <w:pPr>
        <w:spacing w:line="360" w:lineRule="auto"/>
        <w:ind w:righ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w:t>
      </w:r>
    </w:p>
    <w:p w14:paraId="42519D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800A2E8">
      <w:pPr>
        <w:spacing w:line="360" w:lineRule="auto"/>
        <w:ind w:firstLine="504" w:firstLineChars="200"/>
        <w:rPr>
          <w:rFonts w:hint="eastAsia" w:ascii="宋体" w:hAnsi="宋体" w:eastAsia="宋体" w:cs="宋体"/>
          <w:color w:val="auto"/>
          <w:spacing w:val="6"/>
          <w:sz w:val="24"/>
          <w:szCs w:val="24"/>
          <w:highlight w:val="none"/>
        </w:rPr>
      </w:pPr>
    </w:p>
    <w:p w14:paraId="26E7C08F">
      <w:pPr>
        <w:spacing w:line="360" w:lineRule="auto"/>
        <w:ind w:left="283" w:leftChars="135" w:firstLine="378" w:firstLineChars="150"/>
        <w:jc w:val="left"/>
        <w:rPr>
          <w:rFonts w:hint="eastAsia" w:ascii="宋体" w:hAnsi="宋体" w:eastAsia="宋体" w:cs="宋体"/>
          <w:color w:val="auto"/>
          <w:spacing w:val="6"/>
          <w:sz w:val="24"/>
          <w:szCs w:val="24"/>
          <w:highlight w:val="none"/>
        </w:rPr>
      </w:pPr>
    </w:p>
    <w:p w14:paraId="3D4A67F2">
      <w:pPr>
        <w:spacing w:line="360" w:lineRule="auto"/>
        <w:ind w:left="283" w:leftChars="135" w:firstLine="378" w:firstLineChars="150"/>
        <w:jc w:val="left"/>
        <w:rPr>
          <w:rFonts w:hint="eastAsia" w:ascii="宋体" w:hAnsi="宋体" w:eastAsia="宋体" w:cs="宋体"/>
          <w:color w:val="auto"/>
          <w:spacing w:val="6"/>
          <w:sz w:val="24"/>
          <w:szCs w:val="24"/>
          <w:highlight w:val="none"/>
        </w:rPr>
      </w:pPr>
    </w:p>
    <w:p w14:paraId="2542AF52">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注：属于残疾人福利性单位的，按要求提交此函，非残疾人福利性单位的，无需提交。</w:t>
      </w:r>
    </w:p>
    <w:p w14:paraId="751A2E4C">
      <w:pPr>
        <w:widowControl/>
        <w:spacing w:line="360" w:lineRule="auto"/>
        <w:jc w:val="left"/>
        <w:rPr>
          <w:rFonts w:hint="eastAsia" w:ascii="宋体" w:hAnsi="宋体" w:eastAsia="宋体" w:cs="宋体"/>
          <w:color w:val="auto"/>
          <w:sz w:val="24"/>
          <w:szCs w:val="24"/>
          <w:highlight w:val="none"/>
        </w:rPr>
      </w:pPr>
    </w:p>
    <w:p w14:paraId="76D4375F">
      <w:pPr>
        <w:pageBreakBefore w:val="0"/>
        <w:wordWrap w:val="0"/>
        <w:overflowPunct/>
        <w:spacing w:before="60" w:after="60" w:line="360" w:lineRule="auto"/>
        <w:ind w:firstLine="2800" w:firstLineChars="1000"/>
        <w:jc w:val="both"/>
        <w:outlineLvl w:val="9"/>
        <w:rPr>
          <w:rFonts w:hint="eastAsia" w:ascii="仿宋" w:hAnsi="仿宋" w:eastAsia="仿宋" w:cs="仿宋"/>
          <w:color w:val="auto"/>
          <w:sz w:val="28"/>
          <w:highlight w:val="none"/>
          <w:lang w:val="en-US" w:eastAsia="zh-CN"/>
        </w:rPr>
      </w:pPr>
    </w:p>
    <w:p w14:paraId="7239F6AE">
      <w:pPr>
        <w:pageBreakBefore w:val="0"/>
        <w:wordWrap w:val="0"/>
        <w:overflowPunct/>
        <w:spacing w:before="60" w:after="60" w:line="360" w:lineRule="auto"/>
        <w:ind w:firstLine="2800" w:firstLineChars="1000"/>
        <w:jc w:val="both"/>
        <w:outlineLvl w:val="9"/>
        <w:rPr>
          <w:rFonts w:hint="eastAsia" w:ascii="仿宋" w:hAnsi="仿宋" w:eastAsia="仿宋" w:cs="仿宋"/>
          <w:color w:val="auto"/>
          <w:sz w:val="28"/>
          <w:highlight w:val="none"/>
          <w:lang w:val="en-US" w:eastAsia="zh-CN"/>
        </w:rPr>
      </w:pPr>
    </w:p>
    <w:p w14:paraId="7C672CD8">
      <w:pPr>
        <w:widowControl/>
        <w:spacing w:line="360" w:lineRule="auto"/>
        <w:jc w:val="center"/>
        <w:rPr>
          <w:rFonts w:hint="eastAsia" w:ascii="宋体" w:hAnsi="宋体" w:eastAsia="宋体" w:cs="宋体"/>
          <w:color w:val="auto"/>
          <w:spacing w:val="6"/>
          <w:sz w:val="30"/>
          <w:szCs w:val="30"/>
          <w:highlight w:val="none"/>
        </w:rPr>
      </w:pPr>
      <w:r>
        <w:rPr>
          <w:rFonts w:hint="eastAsia" w:ascii="仿宋" w:hAnsi="仿宋" w:eastAsia="仿宋" w:cs="仿宋"/>
          <w:color w:val="auto"/>
          <w:sz w:val="24"/>
          <w:szCs w:val="32"/>
          <w:highlight w:val="none"/>
          <w:lang w:eastAsia="zh-CN"/>
        </w:rPr>
        <w:br w:type="page"/>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eastAsia="zh-CN"/>
        </w:rPr>
        <w:t>）</w:t>
      </w:r>
      <w:bookmarkStart w:id="961" w:name="_Toc26049_WPSOffice_Level2"/>
      <w:bookmarkStart w:id="962" w:name="_Toc20294_WPSOffice_Level2"/>
      <w:r>
        <w:rPr>
          <w:rFonts w:hint="eastAsia" w:ascii="宋体" w:hAnsi="宋体" w:eastAsia="宋体" w:cs="宋体"/>
          <w:b/>
          <w:color w:val="auto"/>
          <w:sz w:val="30"/>
          <w:szCs w:val="30"/>
          <w:highlight w:val="none"/>
        </w:rPr>
        <w:t>监狱企业证明文件</w:t>
      </w:r>
      <w:r>
        <w:rPr>
          <w:rFonts w:hint="eastAsia" w:ascii="宋体" w:hAnsi="宋体" w:eastAsia="宋体" w:cs="宋体"/>
          <w:b/>
          <w:color w:val="auto"/>
          <w:sz w:val="30"/>
          <w:szCs w:val="30"/>
          <w:highlight w:val="none"/>
          <w:lang w:eastAsia="zh-CN"/>
        </w:rPr>
        <w:t>（</w:t>
      </w:r>
      <w:r>
        <w:rPr>
          <w:rFonts w:hint="eastAsia" w:ascii="宋体" w:hAnsi="宋体" w:eastAsia="宋体" w:cs="宋体"/>
          <w:b/>
          <w:color w:val="auto"/>
          <w:sz w:val="30"/>
          <w:szCs w:val="30"/>
          <w:highlight w:val="none"/>
          <w:lang w:val="en-US" w:eastAsia="zh-CN"/>
        </w:rPr>
        <w:t>按需提供</w:t>
      </w:r>
      <w:r>
        <w:rPr>
          <w:rFonts w:hint="eastAsia" w:ascii="宋体" w:hAnsi="宋体" w:eastAsia="宋体" w:cs="宋体"/>
          <w:b/>
          <w:color w:val="auto"/>
          <w:sz w:val="30"/>
          <w:szCs w:val="30"/>
          <w:highlight w:val="none"/>
          <w:lang w:eastAsia="zh-CN"/>
        </w:rPr>
        <w:t>）</w:t>
      </w:r>
      <w:bookmarkEnd w:id="961"/>
      <w:bookmarkEnd w:id="962"/>
    </w:p>
    <w:p w14:paraId="6DFF6D2C">
      <w:pPr>
        <w:spacing w:line="360" w:lineRule="auto"/>
        <w:ind w:firstLine="480" w:firstLineChars="200"/>
        <w:jc w:val="left"/>
        <w:rPr>
          <w:rFonts w:hint="eastAsia" w:ascii="宋体" w:hAnsi="宋体" w:eastAsia="宋体" w:cs="宋体"/>
          <w:color w:val="auto"/>
          <w:sz w:val="24"/>
          <w:szCs w:val="24"/>
          <w:highlight w:val="none"/>
        </w:rPr>
      </w:pPr>
    </w:p>
    <w:p w14:paraId="310B924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30F0FD">
      <w:pPr>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50719CAC">
      <w:pPr>
        <w:spacing w:line="360" w:lineRule="auto"/>
        <w:ind w:firstLine="360" w:firstLineChars="150"/>
        <w:jc w:val="left"/>
        <w:rPr>
          <w:rFonts w:hint="eastAsia" w:ascii="宋体" w:hAnsi="宋体" w:eastAsia="宋体" w:cs="宋体"/>
          <w:color w:val="auto"/>
          <w:sz w:val="24"/>
          <w:szCs w:val="24"/>
          <w:highlight w:val="none"/>
        </w:rPr>
      </w:pPr>
    </w:p>
    <w:p w14:paraId="22BA09E4">
      <w:pPr>
        <w:spacing w:line="360" w:lineRule="auto"/>
        <w:ind w:right="480"/>
        <w:rPr>
          <w:rFonts w:hint="eastAsia" w:ascii="宋体" w:hAnsi="宋体" w:eastAsia="宋体" w:cs="宋体"/>
          <w:color w:val="auto"/>
          <w:sz w:val="24"/>
          <w:szCs w:val="24"/>
          <w:highlight w:val="none"/>
        </w:rPr>
      </w:pPr>
    </w:p>
    <w:p w14:paraId="2E778F44">
      <w:pPr>
        <w:spacing w:line="360" w:lineRule="auto"/>
        <w:ind w:right="480"/>
        <w:rPr>
          <w:rFonts w:hint="eastAsia" w:ascii="宋体" w:hAnsi="宋体" w:eastAsia="宋体" w:cs="宋体"/>
          <w:color w:val="auto"/>
          <w:sz w:val="24"/>
          <w:szCs w:val="24"/>
          <w:highlight w:val="none"/>
        </w:rPr>
      </w:pPr>
      <w:r>
        <w:rPr>
          <w:rFonts w:hint="eastAsia" w:ascii="宋体" w:hAnsi="宋体" w:cs="宋体"/>
          <w:color w:val="auto"/>
          <w:kern w:val="1"/>
          <w:sz w:val="24"/>
          <w:highlight w:val="none"/>
          <w:lang w:val="en-US" w:eastAsia="zh-CN" w:bidi="ar"/>
        </w:rPr>
        <w:t>供应商</w:t>
      </w:r>
      <w:r>
        <w:rPr>
          <w:rFonts w:hint="eastAsia" w:ascii="宋体" w:hAnsi="宋体" w:eastAsia="宋体" w:cs="宋体"/>
          <w:color w:val="auto"/>
          <w:sz w:val="24"/>
          <w:szCs w:val="24"/>
          <w:highlight w:val="none"/>
        </w:rPr>
        <w:t>：（公章）</w:t>
      </w:r>
    </w:p>
    <w:p w14:paraId="6016EF29">
      <w:pPr>
        <w:spacing w:line="360" w:lineRule="auto"/>
        <w:ind w:righ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w:t>
      </w:r>
    </w:p>
    <w:p w14:paraId="241B39B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AEAA074">
      <w:pPr>
        <w:spacing w:line="360" w:lineRule="auto"/>
        <w:ind w:firstLine="510"/>
        <w:contextualSpacing/>
        <w:rPr>
          <w:rFonts w:hint="eastAsia" w:ascii="宋体" w:hAnsi="宋体" w:eastAsia="宋体" w:cs="宋体"/>
          <w:color w:val="auto"/>
          <w:sz w:val="24"/>
          <w:szCs w:val="24"/>
          <w:highlight w:val="none"/>
        </w:rPr>
      </w:pPr>
    </w:p>
    <w:p w14:paraId="79440E0A">
      <w:pPr>
        <w:spacing w:line="360" w:lineRule="auto"/>
        <w:ind w:firstLine="510"/>
        <w:contextualSpacing/>
        <w:rPr>
          <w:rFonts w:hint="eastAsia" w:ascii="宋体" w:hAnsi="宋体" w:eastAsia="宋体" w:cs="宋体"/>
          <w:color w:val="auto"/>
          <w:sz w:val="24"/>
          <w:szCs w:val="24"/>
          <w:highlight w:val="none"/>
        </w:rPr>
      </w:pPr>
    </w:p>
    <w:p w14:paraId="4E40ADCF">
      <w:pPr>
        <w:spacing w:line="360" w:lineRule="auto"/>
        <w:ind w:righ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注：非监狱企业的，无需提交。</w:t>
      </w:r>
    </w:p>
    <w:p w14:paraId="7C1E2095">
      <w:pPr>
        <w:widowControl/>
        <w:spacing w:line="360" w:lineRule="auto"/>
        <w:jc w:val="left"/>
        <w:rPr>
          <w:rFonts w:hint="eastAsia" w:ascii="宋体" w:hAnsi="宋体" w:eastAsia="宋体" w:cs="宋体"/>
          <w:color w:val="auto"/>
          <w:sz w:val="24"/>
          <w:szCs w:val="24"/>
          <w:highlight w:val="none"/>
        </w:rPr>
      </w:pPr>
    </w:p>
    <w:p w14:paraId="7E66FA67">
      <w:pPr>
        <w:pStyle w:val="2"/>
        <w:ind w:firstLine="720" w:firstLineChars="300"/>
        <w:rPr>
          <w:rFonts w:hint="eastAsia" w:ascii="宋体" w:hAnsi="宋体" w:eastAsia="宋体" w:cs="宋体"/>
          <w:color w:val="auto"/>
          <w:sz w:val="24"/>
          <w:szCs w:val="24"/>
          <w:highlight w:val="none"/>
          <w:lang w:eastAsia="zh-CN"/>
        </w:rPr>
      </w:pPr>
    </w:p>
    <w:p w14:paraId="38FB6C2C">
      <w:pPr>
        <w:spacing w:line="400" w:lineRule="atLeast"/>
        <w:ind w:right="1189" w:rightChars="566" w:firstLine="360"/>
        <w:rPr>
          <w:rFonts w:hint="eastAsia" w:ascii="宋体" w:hAnsi="宋体" w:eastAsia="宋体" w:cs="宋体"/>
          <w:color w:val="auto"/>
          <w:kern w:val="1"/>
          <w:sz w:val="24"/>
          <w:highlight w:val="none"/>
          <w:lang w:bidi="ar"/>
        </w:rPr>
      </w:pPr>
    </w:p>
    <w:p w14:paraId="610E6516">
      <w:pPr>
        <w:spacing w:line="460" w:lineRule="exact"/>
        <w:rPr>
          <w:rFonts w:hint="eastAsia" w:ascii="宋体" w:hAnsi="宋体" w:eastAsia="宋体" w:cs="宋体"/>
          <w:b/>
          <w:bCs/>
          <w:color w:val="auto"/>
          <w:sz w:val="24"/>
          <w:highlight w:val="none"/>
        </w:rPr>
      </w:pPr>
    </w:p>
    <w:p w14:paraId="3E3C7C6A">
      <w:pPr>
        <w:spacing w:line="560" w:lineRule="exact"/>
        <w:ind w:firstLine="482" w:firstLineChars="200"/>
        <w:rPr>
          <w:rFonts w:hint="eastAsia" w:ascii="宋体" w:hAnsi="宋体" w:eastAsia="宋体" w:cs="宋体"/>
          <w:b/>
          <w:bCs/>
          <w:color w:val="auto"/>
          <w:sz w:val="24"/>
          <w:highlight w:val="none"/>
        </w:rPr>
      </w:pPr>
    </w:p>
    <w:p w14:paraId="1FEB9470">
      <w:pPr>
        <w:spacing w:line="560" w:lineRule="exact"/>
        <w:ind w:firstLine="482" w:firstLineChars="200"/>
        <w:rPr>
          <w:rFonts w:hint="eastAsia" w:ascii="宋体" w:hAnsi="宋体" w:eastAsia="宋体" w:cs="宋体"/>
          <w:b/>
          <w:bCs/>
          <w:color w:val="auto"/>
          <w:sz w:val="24"/>
          <w:highlight w:val="none"/>
        </w:rPr>
      </w:pPr>
    </w:p>
    <w:p w14:paraId="10F40AD8">
      <w:pPr>
        <w:spacing w:line="560" w:lineRule="exact"/>
        <w:ind w:firstLine="482" w:firstLineChars="200"/>
        <w:rPr>
          <w:rFonts w:hint="eastAsia" w:ascii="宋体" w:hAnsi="宋体" w:eastAsia="宋体" w:cs="宋体"/>
          <w:b/>
          <w:bCs/>
          <w:color w:val="auto"/>
          <w:sz w:val="24"/>
          <w:highlight w:val="none"/>
        </w:rPr>
      </w:pPr>
    </w:p>
    <w:p w14:paraId="1B19A4A7">
      <w:pPr>
        <w:spacing w:line="560" w:lineRule="exact"/>
        <w:ind w:firstLine="482" w:firstLineChars="200"/>
        <w:rPr>
          <w:rFonts w:hint="eastAsia" w:ascii="宋体" w:hAnsi="宋体" w:eastAsia="宋体" w:cs="宋体"/>
          <w:b/>
          <w:bCs/>
          <w:color w:val="auto"/>
          <w:sz w:val="24"/>
          <w:highlight w:val="none"/>
        </w:rPr>
      </w:pPr>
    </w:p>
    <w:p w14:paraId="62B94A32">
      <w:pPr>
        <w:spacing w:line="560" w:lineRule="exact"/>
        <w:ind w:firstLine="482" w:firstLineChars="200"/>
        <w:rPr>
          <w:rFonts w:hint="eastAsia" w:ascii="宋体" w:hAnsi="宋体" w:eastAsia="宋体" w:cs="宋体"/>
          <w:b/>
          <w:bCs/>
          <w:color w:val="auto"/>
          <w:sz w:val="24"/>
          <w:highlight w:val="none"/>
        </w:rPr>
      </w:pPr>
    </w:p>
    <w:p w14:paraId="22714AC9">
      <w:pPr>
        <w:spacing w:line="360" w:lineRule="auto"/>
        <w:ind w:right="107" w:rightChars="51"/>
        <w:jc w:val="center"/>
        <w:outlineLvl w:val="9"/>
        <w:rPr>
          <w:rFonts w:hint="eastAsia" w:ascii="宋体" w:hAnsi="宋体" w:eastAsia="宋体" w:cs="宋体"/>
          <w:b/>
          <w:bCs/>
          <w:color w:val="auto"/>
          <w:sz w:val="30"/>
          <w:szCs w:val="30"/>
          <w:highlight w:val="none"/>
          <w:lang w:val="zh-CN"/>
        </w:rPr>
      </w:pPr>
    </w:p>
    <w:p w14:paraId="337BDAB9">
      <w:pPr>
        <w:spacing w:line="360" w:lineRule="auto"/>
        <w:ind w:right="107" w:rightChars="51"/>
        <w:jc w:val="center"/>
        <w:outlineLvl w:val="9"/>
        <w:rPr>
          <w:rFonts w:hint="eastAsia" w:ascii="宋体" w:hAnsi="宋体" w:eastAsia="宋体" w:cs="宋体"/>
          <w:b/>
          <w:bCs/>
          <w:color w:val="auto"/>
          <w:sz w:val="30"/>
          <w:szCs w:val="30"/>
          <w:highlight w:val="none"/>
          <w:lang w:val="zh-CN"/>
        </w:rPr>
      </w:pPr>
    </w:p>
    <w:p w14:paraId="21C32B9F">
      <w:pPr>
        <w:spacing w:line="360" w:lineRule="auto"/>
        <w:ind w:right="107" w:rightChars="51"/>
        <w:jc w:val="center"/>
        <w:outlineLvl w:val="1"/>
        <w:rPr>
          <w:rFonts w:hint="eastAsia" w:ascii="宋体" w:hAnsi="宋体" w:eastAsia="宋体" w:cs="宋体"/>
          <w:b/>
          <w:bCs/>
          <w:color w:val="auto"/>
          <w:sz w:val="30"/>
          <w:szCs w:val="30"/>
          <w:highlight w:val="none"/>
          <w:lang w:val="zh-CN"/>
        </w:rPr>
      </w:pPr>
      <w:bookmarkStart w:id="963" w:name="_Toc25210"/>
      <w:bookmarkStart w:id="964" w:name="_Toc29196"/>
      <w:bookmarkStart w:id="965" w:name="_Toc16458"/>
      <w:bookmarkStart w:id="966" w:name="_Toc32600"/>
      <w:bookmarkStart w:id="967" w:name="_Toc18491"/>
      <w:r>
        <w:rPr>
          <w:rFonts w:hint="eastAsia" w:ascii="宋体" w:hAnsi="宋体" w:cs="宋体"/>
          <w:b/>
          <w:bCs/>
          <w:color w:val="auto"/>
          <w:sz w:val="30"/>
          <w:szCs w:val="30"/>
          <w:highlight w:val="none"/>
          <w:lang w:val="en-US" w:eastAsia="zh-CN"/>
        </w:rPr>
        <w:t>四</w:t>
      </w:r>
      <w:r>
        <w:rPr>
          <w:rFonts w:hint="eastAsia" w:ascii="宋体" w:hAnsi="宋体" w:eastAsia="宋体" w:cs="宋体"/>
          <w:b/>
          <w:bCs/>
          <w:color w:val="auto"/>
          <w:sz w:val="30"/>
          <w:szCs w:val="30"/>
          <w:highlight w:val="none"/>
          <w:lang w:val="zh-CN"/>
        </w:rPr>
        <w:t>、供应商基本情况表</w:t>
      </w:r>
      <w:bookmarkEnd w:id="963"/>
      <w:bookmarkEnd w:id="964"/>
      <w:bookmarkEnd w:id="965"/>
      <w:bookmarkEnd w:id="966"/>
      <w:bookmarkEnd w:id="967"/>
    </w:p>
    <w:tbl>
      <w:tblPr>
        <w:tblStyle w:val="29"/>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1056"/>
        <w:gridCol w:w="1230"/>
        <w:gridCol w:w="899"/>
        <w:gridCol w:w="427"/>
        <w:gridCol w:w="1178"/>
        <w:gridCol w:w="240"/>
        <w:gridCol w:w="476"/>
        <w:gridCol w:w="1648"/>
      </w:tblGrid>
      <w:tr w14:paraId="4DABE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48" w:type="pct"/>
            <w:tcBorders>
              <w:top w:val="single" w:color="auto" w:sz="8" w:space="0"/>
              <w:left w:val="single" w:color="auto" w:sz="8" w:space="0"/>
              <w:bottom w:val="single" w:color="auto" w:sz="4" w:space="0"/>
              <w:right w:val="single" w:color="auto" w:sz="4" w:space="0"/>
            </w:tcBorders>
            <w:vAlign w:val="center"/>
          </w:tcPr>
          <w:p w14:paraId="420FF2A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p>
        </w:tc>
        <w:tc>
          <w:tcPr>
            <w:tcW w:w="3851" w:type="pct"/>
            <w:gridSpan w:val="8"/>
            <w:tcBorders>
              <w:top w:val="single" w:color="auto" w:sz="8" w:space="0"/>
              <w:left w:val="single" w:color="auto" w:sz="4" w:space="0"/>
              <w:bottom w:val="single" w:color="auto" w:sz="4" w:space="0"/>
              <w:right w:val="single" w:color="auto" w:sz="8" w:space="0"/>
            </w:tcBorders>
            <w:vAlign w:val="center"/>
          </w:tcPr>
          <w:p w14:paraId="0164D0C5">
            <w:pPr>
              <w:spacing w:line="360" w:lineRule="auto"/>
              <w:jc w:val="center"/>
              <w:rPr>
                <w:rFonts w:hint="eastAsia" w:ascii="宋体" w:hAnsi="宋体" w:eastAsia="宋体" w:cs="宋体"/>
                <w:color w:val="auto"/>
                <w:sz w:val="24"/>
                <w:highlight w:val="none"/>
              </w:rPr>
            </w:pPr>
          </w:p>
        </w:tc>
      </w:tr>
      <w:tr w14:paraId="34A7FE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7725A16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5C9CA755">
            <w:pPr>
              <w:spacing w:line="360" w:lineRule="auto"/>
              <w:jc w:val="center"/>
              <w:rPr>
                <w:rFonts w:hint="eastAsia" w:ascii="宋体" w:hAnsi="宋体" w:eastAsia="宋体" w:cs="宋体"/>
                <w:color w:val="auto"/>
                <w:sz w:val="24"/>
                <w:highlight w:val="none"/>
              </w:rPr>
            </w:pPr>
          </w:p>
        </w:tc>
      </w:tr>
      <w:tr w14:paraId="1D5D12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148" w:type="pct"/>
            <w:vMerge w:val="restart"/>
            <w:tcBorders>
              <w:top w:val="single" w:color="auto" w:sz="4" w:space="0"/>
              <w:left w:val="single" w:color="auto" w:sz="8" w:space="0"/>
              <w:bottom w:val="single" w:color="auto" w:sz="4" w:space="0"/>
              <w:right w:val="single" w:color="auto" w:sz="4" w:space="0"/>
            </w:tcBorders>
            <w:vAlign w:val="center"/>
          </w:tcPr>
          <w:p w14:paraId="04C31E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569" w:type="pct"/>
            <w:tcBorders>
              <w:top w:val="single" w:color="auto" w:sz="4" w:space="0"/>
              <w:left w:val="single" w:color="auto" w:sz="4" w:space="0"/>
              <w:bottom w:val="single" w:color="auto" w:sz="4" w:space="0"/>
              <w:right w:val="single" w:color="auto" w:sz="4" w:space="0"/>
            </w:tcBorders>
            <w:vAlign w:val="center"/>
          </w:tcPr>
          <w:p w14:paraId="0C6D1D3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1376" w:type="pct"/>
            <w:gridSpan w:val="3"/>
            <w:tcBorders>
              <w:top w:val="single" w:color="auto" w:sz="4" w:space="0"/>
              <w:left w:val="single" w:color="auto" w:sz="4" w:space="0"/>
              <w:bottom w:val="single" w:color="auto" w:sz="4" w:space="0"/>
              <w:right w:val="single" w:color="auto" w:sz="4" w:space="0"/>
            </w:tcBorders>
            <w:vAlign w:val="center"/>
          </w:tcPr>
          <w:p w14:paraId="1EF6279E">
            <w:pPr>
              <w:spacing w:line="360" w:lineRule="auto"/>
              <w:jc w:val="center"/>
              <w:rPr>
                <w:rFonts w:hint="eastAsia" w:ascii="宋体" w:hAnsi="宋体" w:eastAsia="宋体" w:cs="宋体"/>
                <w:color w:val="auto"/>
                <w:sz w:val="24"/>
                <w:highlight w:val="none"/>
              </w:rPr>
            </w:pPr>
          </w:p>
        </w:tc>
        <w:tc>
          <w:tcPr>
            <w:tcW w:w="634" w:type="pct"/>
            <w:tcBorders>
              <w:top w:val="single" w:color="auto" w:sz="4" w:space="0"/>
              <w:left w:val="single" w:color="auto" w:sz="4" w:space="0"/>
              <w:bottom w:val="single" w:color="auto" w:sz="4" w:space="0"/>
              <w:right w:val="single" w:color="auto" w:sz="4" w:space="0"/>
            </w:tcBorders>
            <w:vAlign w:val="center"/>
          </w:tcPr>
          <w:p w14:paraId="49EF4A2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1271" w:type="pct"/>
            <w:gridSpan w:val="3"/>
            <w:tcBorders>
              <w:top w:val="single" w:color="auto" w:sz="4" w:space="0"/>
              <w:left w:val="single" w:color="auto" w:sz="4" w:space="0"/>
              <w:bottom w:val="single" w:color="auto" w:sz="4" w:space="0"/>
              <w:right w:val="single" w:color="auto" w:sz="8" w:space="0"/>
            </w:tcBorders>
            <w:vAlign w:val="center"/>
          </w:tcPr>
          <w:p w14:paraId="582E7C89">
            <w:pPr>
              <w:spacing w:line="360" w:lineRule="auto"/>
              <w:jc w:val="center"/>
              <w:rPr>
                <w:rFonts w:hint="eastAsia" w:ascii="宋体" w:hAnsi="宋体" w:eastAsia="宋体" w:cs="宋体"/>
                <w:color w:val="auto"/>
                <w:sz w:val="24"/>
                <w:highlight w:val="none"/>
              </w:rPr>
            </w:pPr>
          </w:p>
        </w:tc>
      </w:tr>
      <w:tr w14:paraId="1CA259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48" w:type="pct"/>
            <w:vMerge w:val="continue"/>
            <w:tcBorders>
              <w:top w:val="single" w:color="auto" w:sz="4" w:space="0"/>
              <w:left w:val="single" w:color="auto" w:sz="8" w:space="0"/>
              <w:bottom w:val="single" w:color="auto" w:sz="4" w:space="0"/>
              <w:right w:val="single" w:color="auto" w:sz="4" w:space="0"/>
            </w:tcBorders>
            <w:vAlign w:val="center"/>
          </w:tcPr>
          <w:p w14:paraId="162093DC">
            <w:pPr>
              <w:widowControl/>
              <w:spacing w:line="360" w:lineRule="auto"/>
              <w:jc w:val="left"/>
              <w:rPr>
                <w:rFonts w:hint="eastAsia" w:ascii="宋体" w:hAnsi="宋体" w:eastAsia="宋体" w:cs="宋体"/>
                <w:color w:val="auto"/>
                <w:sz w:val="24"/>
                <w:highlight w:val="none"/>
              </w:rPr>
            </w:pPr>
          </w:p>
        </w:tc>
        <w:tc>
          <w:tcPr>
            <w:tcW w:w="569" w:type="pct"/>
            <w:tcBorders>
              <w:top w:val="single" w:color="auto" w:sz="4" w:space="0"/>
              <w:left w:val="single" w:color="auto" w:sz="4" w:space="0"/>
              <w:bottom w:val="single" w:color="auto" w:sz="4" w:space="0"/>
              <w:right w:val="single" w:color="auto" w:sz="4" w:space="0"/>
            </w:tcBorders>
            <w:vAlign w:val="center"/>
          </w:tcPr>
          <w:p w14:paraId="3C23964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tc>
        <w:tc>
          <w:tcPr>
            <w:tcW w:w="1376" w:type="pct"/>
            <w:gridSpan w:val="3"/>
            <w:tcBorders>
              <w:top w:val="single" w:color="auto" w:sz="4" w:space="0"/>
              <w:left w:val="single" w:color="auto" w:sz="4" w:space="0"/>
              <w:bottom w:val="single" w:color="auto" w:sz="4" w:space="0"/>
              <w:right w:val="single" w:color="auto" w:sz="4" w:space="0"/>
            </w:tcBorders>
            <w:vAlign w:val="center"/>
          </w:tcPr>
          <w:p w14:paraId="5BBAD9C9">
            <w:pPr>
              <w:spacing w:line="360" w:lineRule="auto"/>
              <w:jc w:val="center"/>
              <w:rPr>
                <w:rFonts w:hint="eastAsia" w:ascii="宋体" w:hAnsi="宋体" w:eastAsia="宋体" w:cs="宋体"/>
                <w:color w:val="auto"/>
                <w:sz w:val="24"/>
                <w:highlight w:val="none"/>
              </w:rPr>
            </w:pPr>
          </w:p>
        </w:tc>
        <w:tc>
          <w:tcPr>
            <w:tcW w:w="634" w:type="pct"/>
            <w:tcBorders>
              <w:top w:val="single" w:color="auto" w:sz="4" w:space="0"/>
              <w:left w:val="single" w:color="auto" w:sz="4" w:space="0"/>
              <w:bottom w:val="single" w:color="auto" w:sz="4" w:space="0"/>
              <w:right w:val="single" w:color="auto" w:sz="4" w:space="0"/>
            </w:tcBorders>
            <w:vAlign w:val="center"/>
          </w:tcPr>
          <w:p w14:paraId="60A024C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1271" w:type="pct"/>
            <w:gridSpan w:val="3"/>
            <w:tcBorders>
              <w:top w:val="single" w:color="auto" w:sz="4" w:space="0"/>
              <w:left w:val="single" w:color="auto" w:sz="4" w:space="0"/>
              <w:bottom w:val="single" w:color="auto" w:sz="4" w:space="0"/>
              <w:right w:val="single" w:color="auto" w:sz="8" w:space="0"/>
            </w:tcBorders>
            <w:vAlign w:val="center"/>
          </w:tcPr>
          <w:p w14:paraId="59247F86">
            <w:pPr>
              <w:spacing w:line="360" w:lineRule="auto"/>
              <w:jc w:val="center"/>
              <w:rPr>
                <w:rFonts w:hint="eastAsia" w:ascii="宋体" w:hAnsi="宋体" w:eastAsia="宋体" w:cs="宋体"/>
                <w:color w:val="auto"/>
                <w:sz w:val="24"/>
                <w:highlight w:val="none"/>
              </w:rPr>
            </w:pPr>
          </w:p>
        </w:tc>
      </w:tr>
      <w:tr w14:paraId="2C2710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3763E99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公司类型</w:t>
            </w:r>
          </w:p>
        </w:tc>
        <w:tc>
          <w:tcPr>
            <w:tcW w:w="1715" w:type="pct"/>
            <w:gridSpan w:val="3"/>
            <w:tcBorders>
              <w:top w:val="single" w:color="auto" w:sz="4" w:space="0"/>
              <w:left w:val="single" w:color="auto" w:sz="4" w:space="0"/>
              <w:bottom w:val="single" w:color="auto" w:sz="4" w:space="0"/>
              <w:right w:val="single" w:color="auto" w:sz="8" w:space="0"/>
            </w:tcBorders>
            <w:vAlign w:val="center"/>
          </w:tcPr>
          <w:p w14:paraId="61614C97">
            <w:pPr>
              <w:spacing w:line="360" w:lineRule="auto"/>
              <w:jc w:val="center"/>
              <w:rPr>
                <w:rFonts w:hint="eastAsia" w:ascii="宋体" w:hAnsi="宋体" w:eastAsia="宋体" w:cs="宋体"/>
                <w:color w:val="auto"/>
                <w:sz w:val="24"/>
                <w:highlight w:val="none"/>
              </w:rPr>
            </w:pPr>
          </w:p>
        </w:tc>
        <w:tc>
          <w:tcPr>
            <w:tcW w:w="864" w:type="pct"/>
            <w:gridSpan w:val="2"/>
            <w:tcBorders>
              <w:top w:val="single" w:color="auto" w:sz="4" w:space="0"/>
              <w:left w:val="single" w:color="auto" w:sz="4" w:space="0"/>
              <w:bottom w:val="single" w:color="auto" w:sz="4" w:space="0"/>
              <w:right w:val="single" w:color="auto" w:sz="8" w:space="0"/>
            </w:tcBorders>
            <w:vAlign w:val="center"/>
          </w:tcPr>
          <w:p w14:paraId="5240F10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网    址</w:t>
            </w:r>
          </w:p>
        </w:tc>
        <w:tc>
          <w:tcPr>
            <w:tcW w:w="1271" w:type="pct"/>
            <w:gridSpan w:val="3"/>
            <w:tcBorders>
              <w:top w:val="single" w:color="auto" w:sz="4" w:space="0"/>
              <w:left w:val="single" w:color="auto" w:sz="4" w:space="0"/>
              <w:bottom w:val="single" w:color="auto" w:sz="4" w:space="0"/>
              <w:right w:val="single" w:color="auto" w:sz="8" w:space="0"/>
            </w:tcBorders>
            <w:vAlign w:val="center"/>
          </w:tcPr>
          <w:p w14:paraId="07653A23">
            <w:pPr>
              <w:spacing w:line="360" w:lineRule="auto"/>
              <w:jc w:val="center"/>
              <w:rPr>
                <w:rFonts w:hint="eastAsia" w:ascii="宋体" w:hAnsi="宋体" w:eastAsia="宋体" w:cs="宋体"/>
                <w:color w:val="auto"/>
                <w:sz w:val="24"/>
                <w:highlight w:val="none"/>
              </w:rPr>
            </w:pPr>
          </w:p>
        </w:tc>
      </w:tr>
      <w:tr w14:paraId="64C697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3D29902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1231" w:type="pct"/>
            <w:gridSpan w:val="2"/>
            <w:tcBorders>
              <w:top w:val="single" w:color="auto" w:sz="4" w:space="0"/>
              <w:left w:val="single" w:color="auto" w:sz="4" w:space="0"/>
              <w:bottom w:val="single" w:color="auto" w:sz="4" w:space="0"/>
              <w:right w:val="single" w:color="auto" w:sz="4" w:space="0"/>
            </w:tcBorders>
            <w:vAlign w:val="center"/>
          </w:tcPr>
          <w:p w14:paraId="0CD0B3EC">
            <w:pPr>
              <w:spacing w:line="360" w:lineRule="auto"/>
              <w:rPr>
                <w:rFonts w:hint="eastAsia" w:ascii="宋体" w:hAnsi="宋体" w:eastAsia="宋体" w:cs="宋体"/>
                <w:color w:val="auto"/>
                <w:sz w:val="24"/>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5B818C5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864" w:type="pct"/>
            <w:gridSpan w:val="2"/>
            <w:tcBorders>
              <w:top w:val="single" w:color="auto" w:sz="4" w:space="0"/>
              <w:left w:val="single" w:color="auto" w:sz="4" w:space="0"/>
              <w:bottom w:val="single" w:color="auto" w:sz="4" w:space="0"/>
              <w:right w:val="single" w:color="auto" w:sz="4" w:space="0"/>
            </w:tcBorders>
            <w:vAlign w:val="center"/>
          </w:tcPr>
          <w:p w14:paraId="06DC7C92">
            <w:pPr>
              <w:spacing w:line="360" w:lineRule="auto"/>
              <w:jc w:val="center"/>
              <w:rPr>
                <w:rFonts w:hint="eastAsia" w:ascii="宋体" w:hAnsi="宋体" w:eastAsia="宋体" w:cs="宋体"/>
                <w:color w:val="auto"/>
                <w:sz w:val="24"/>
                <w:highlight w:val="none"/>
              </w:rPr>
            </w:pPr>
          </w:p>
        </w:tc>
        <w:tc>
          <w:tcPr>
            <w:tcW w:w="385" w:type="pct"/>
            <w:gridSpan w:val="2"/>
            <w:tcBorders>
              <w:top w:val="single" w:color="auto" w:sz="4" w:space="0"/>
              <w:left w:val="single" w:color="auto" w:sz="4" w:space="0"/>
              <w:bottom w:val="single" w:color="auto" w:sz="4" w:space="0"/>
              <w:right w:val="single" w:color="auto" w:sz="4" w:space="0"/>
            </w:tcBorders>
            <w:vAlign w:val="center"/>
          </w:tcPr>
          <w:p w14:paraId="297CE8F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885" w:type="pct"/>
            <w:tcBorders>
              <w:top w:val="single" w:color="auto" w:sz="4" w:space="0"/>
              <w:left w:val="single" w:color="auto" w:sz="4" w:space="0"/>
              <w:bottom w:val="single" w:color="auto" w:sz="4" w:space="0"/>
              <w:right w:val="single" w:color="auto" w:sz="8" w:space="0"/>
            </w:tcBorders>
            <w:vAlign w:val="center"/>
          </w:tcPr>
          <w:p w14:paraId="69CA9EAB">
            <w:pPr>
              <w:spacing w:line="360" w:lineRule="auto"/>
              <w:jc w:val="center"/>
              <w:rPr>
                <w:rFonts w:hint="eastAsia" w:ascii="宋体" w:hAnsi="宋体" w:eastAsia="宋体" w:cs="宋体"/>
                <w:color w:val="auto"/>
                <w:sz w:val="24"/>
                <w:highlight w:val="none"/>
              </w:rPr>
            </w:pPr>
          </w:p>
        </w:tc>
      </w:tr>
      <w:tr w14:paraId="1A97B3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2E2E1FA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1715" w:type="pct"/>
            <w:gridSpan w:val="3"/>
            <w:tcBorders>
              <w:top w:val="single" w:color="auto" w:sz="4" w:space="0"/>
              <w:left w:val="single" w:color="auto" w:sz="4" w:space="0"/>
              <w:bottom w:val="single" w:color="auto" w:sz="4" w:space="0"/>
              <w:right w:val="single" w:color="auto" w:sz="8" w:space="0"/>
            </w:tcBorders>
            <w:vAlign w:val="center"/>
          </w:tcPr>
          <w:p w14:paraId="38350BFF">
            <w:pPr>
              <w:spacing w:line="360" w:lineRule="auto"/>
              <w:jc w:val="center"/>
              <w:rPr>
                <w:rFonts w:hint="eastAsia" w:ascii="宋体" w:hAnsi="宋体" w:eastAsia="宋体" w:cs="宋体"/>
                <w:color w:val="auto"/>
                <w:sz w:val="24"/>
                <w:highlight w:val="none"/>
              </w:rPr>
            </w:pPr>
          </w:p>
        </w:tc>
        <w:tc>
          <w:tcPr>
            <w:tcW w:w="864" w:type="pct"/>
            <w:gridSpan w:val="2"/>
            <w:tcBorders>
              <w:top w:val="single" w:color="auto" w:sz="4" w:space="0"/>
              <w:left w:val="single" w:color="auto" w:sz="4" w:space="0"/>
              <w:bottom w:val="single" w:color="auto" w:sz="4" w:space="0"/>
              <w:right w:val="single" w:color="auto" w:sz="8" w:space="0"/>
            </w:tcBorders>
            <w:vAlign w:val="center"/>
          </w:tcPr>
          <w:p w14:paraId="484DF73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员工总人数</w:t>
            </w:r>
          </w:p>
        </w:tc>
        <w:tc>
          <w:tcPr>
            <w:tcW w:w="1271" w:type="pct"/>
            <w:gridSpan w:val="3"/>
            <w:tcBorders>
              <w:top w:val="single" w:color="auto" w:sz="4" w:space="0"/>
              <w:left w:val="single" w:color="auto" w:sz="4" w:space="0"/>
              <w:bottom w:val="single" w:color="auto" w:sz="4" w:space="0"/>
              <w:right w:val="single" w:color="auto" w:sz="8" w:space="0"/>
            </w:tcBorders>
            <w:vAlign w:val="center"/>
          </w:tcPr>
          <w:p w14:paraId="78E2F0A4">
            <w:pPr>
              <w:spacing w:line="360" w:lineRule="auto"/>
              <w:jc w:val="center"/>
              <w:rPr>
                <w:rFonts w:hint="eastAsia" w:ascii="宋体" w:hAnsi="宋体" w:eastAsia="宋体" w:cs="宋体"/>
                <w:color w:val="auto"/>
                <w:sz w:val="24"/>
                <w:highlight w:val="none"/>
              </w:rPr>
            </w:pPr>
          </w:p>
        </w:tc>
      </w:tr>
      <w:tr w14:paraId="125239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10A2961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营业期限</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5F9DD149">
            <w:pPr>
              <w:spacing w:line="360" w:lineRule="auto"/>
              <w:jc w:val="center"/>
              <w:rPr>
                <w:rFonts w:hint="eastAsia" w:ascii="宋体" w:hAnsi="宋体" w:eastAsia="宋体" w:cs="宋体"/>
                <w:color w:val="auto"/>
                <w:sz w:val="24"/>
                <w:highlight w:val="none"/>
              </w:rPr>
            </w:pPr>
          </w:p>
        </w:tc>
      </w:tr>
      <w:tr w14:paraId="4C16BD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49637A7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w:t>
            </w:r>
          </w:p>
        </w:tc>
        <w:tc>
          <w:tcPr>
            <w:tcW w:w="1715" w:type="pct"/>
            <w:gridSpan w:val="3"/>
            <w:tcBorders>
              <w:top w:val="single" w:color="auto" w:sz="4" w:space="0"/>
              <w:left w:val="single" w:color="auto" w:sz="4" w:space="0"/>
              <w:bottom w:val="single" w:color="auto" w:sz="4" w:space="0"/>
              <w:right w:val="single" w:color="auto" w:sz="4" w:space="0"/>
            </w:tcBorders>
            <w:vAlign w:val="center"/>
          </w:tcPr>
          <w:p w14:paraId="35A594F6">
            <w:pPr>
              <w:spacing w:line="360" w:lineRule="auto"/>
              <w:jc w:val="center"/>
              <w:rPr>
                <w:rFonts w:hint="eastAsia" w:ascii="宋体" w:hAnsi="宋体" w:eastAsia="宋体" w:cs="宋体"/>
                <w:color w:val="auto"/>
                <w:sz w:val="24"/>
                <w:highlight w:val="none"/>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14:paraId="0C358DD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1141" w:type="pct"/>
            <w:gridSpan w:val="2"/>
            <w:tcBorders>
              <w:top w:val="single" w:color="auto" w:sz="4" w:space="0"/>
              <w:left w:val="single" w:color="auto" w:sz="4" w:space="0"/>
              <w:bottom w:val="single" w:color="auto" w:sz="4" w:space="0"/>
              <w:right w:val="single" w:color="auto" w:sz="8" w:space="0"/>
            </w:tcBorders>
            <w:vAlign w:val="center"/>
          </w:tcPr>
          <w:p w14:paraId="517A9601">
            <w:pPr>
              <w:spacing w:line="360" w:lineRule="auto"/>
              <w:jc w:val="center"/>
              <w:rPr>
                <w:rFonts w:hint="eastAsia" w:ascii="宋体" w:hAnsi="宋体" w:eastAsia="宋体" w:cs="宋体"/>
                <w:color w:val="auto"/>
                <w:sz w:val="24"/>
                <w:highlight w:val="none"/>
              </w:rPr>
            </w:pPr>
          </w:p>
        </w:tc>
      </w:tr>
      <w:tr w14:paraId="443FBB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4628D19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1715" w:type="pct"/>
            <w:gridSpan w:val="3"/>
            <w:tcBorders>
              <w:top w:val="single" w:color="auto" w:sz="4" w:space="0"/>
              <w:left w:val="single" w:color="auto" w:sz="4" w:space="0"/>
              <w:bottom w:val="single" w:color="auto" w:sz="4" w:space="0"/>
              <w:right w:val="single" w:color="auto" w:sz="4" w:space="0"/>
            </w:tcBorders>
            <w:vAlign w:val="center"/>
          </w:tcPr>
          <w:p w14:paraId="1F7332BE">
            <w:pPr>
              <w:spacing w:line="360" w:lineRule="auto"/>
              <w:jc w:val="center"/>
              <w:rPr>
                <w:rFonts w:hint="eastAsia" w:ascii="宋体" w:hAnsi="宋体" w:eastAsia="宋体" w:cs="宋体"/>
                <w:color w:val="auto"/>
                <w:sz w:val="24"/>
                <w:highlight w:val="none"/>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14:paraId="451C0FF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1141" w:type="pct"/>
            <w:gridSpan w:val="2"/>
            <w:tcBorders>
              <w:top w:val="single" w:color="auto" w:sz="4" w:space="0"/>
              <w:left w:val="single" w:color="auto" w:sz="4" w:space="0"/>
              <w:bottom w:val="single" w:color="auto" w:sz="4" w:space="0"/>
              <w:right w:val="single" w:color="auto" w:sz="8" w:space="0"/>
            </w:tcBorders>
            <w:vAlign w:val="center"/>
          </w:tcPr>
          <w:p w14:paraId="4D499849">
            <w:pPr>
              <w:spacing w:line="360" w:lineRule="auto"/>
              <w:jc w:val="center"/>
              <w:rPr>
                <w:rFonts w:hint="eastAsia" w:ascii="宋体" w:hAnsi="宋体" w:eastAsia="宋体" w:cs="宋体"/>
                <w:color w:val="auto"/>
                <w:sz w:val="24"/>
                <w:highlight w:val="none"/>
              </w:rPr>
            </w:pPr>
          </w:p>
        </w:tc>
      </w:tr>
      <w:tr w14:paraId="5057A0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9"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5F4DC22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21CF4A9C">
            <w:pPr>
              <w:spacing w:line="360" w:lineRule="auto"/>
              <w:rPr>
                <w:rFonts w:hint="eastAsia" w:ascii="宋体" w:hAnsi="宋体" w:eastAsia="宋体" w:cs="宋体"/>
                <w:color w:val="auto"/>
                <w:sz w:val="24"/>
                <w:highlight w:val="none"/>
              </w:rPr>
            </w:pPr>
          </w:p>
        </w:tc>
      </w:tr>
      <w:tr w14:paraId="021FF9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148" w:type="pct"/>
            <w:tcBorders>
              <w:top w:val="single" w:color="auto" w:sz="4" w:space="0"/>
              <w:left w:val="single" w:color="auto" w:sz="8" w:space="0"/>
              <w:bottom w:val="single" w:color="auto" w:sz="8" w:space="0"/>
              <w:right w:val="single" w:color="auto" w:sz="4" w:space="0"/>
            </w:tcBorders>
            <w:vAlign w:val="center"/>
          </w:tcPr>
          <w:p w14:paraId="0840E21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    注</w:t>
            </w:r>
          </w:p>
        </w:tc>
        <w:tc>
          <w:tcPr>
            <w:tcW w:w="3851" w:type="pct"/>
            <w:gridSpan w:val="8"/>
            <w:tcBorders>
              <w:top w:val="single" w:color="auto" w:sz="4" w:space="0"/>
              <w:left w:val="single" w:color="auto" w:sz="4" w:space="0"/>
              <w:bottom w:val="single" w:color="auto" w:sz="8" w:space="0"/>
              <w:right w:val="single" w:color="auto" w:sz="8" w:space="0"/>
            </w:tcBorders>
            <w:vAlign w:val="center"/>
          </w:tcPr>
          <w:p w14:paraId="0825066F">
            <w:pPr>
              <w:spacing w:line="360" w:lineRule="auto"/>
              <w:jc w:val="center"/>
              <w:rPr>
                <w:rFonts w:hint="eastAsia" w:ascii="宋体" w:hAnsi="宋体" w:eastAsia="宋体" w:cs="宋体"/>
                <w:color w:val="auto"/>
                <w:sz w:val="24"/>
                <w:highlight w:val="none"/>
              </w:rPr>
            </w:pPr>
          </w:p>
        </w:tc>
      </w:tr>
    </w:tbl>
    <w:p w14:paraId="5D7FC046">
      <w:pPr>
        <w:spacing w:line="360" w:lineRule="auto"/>
        <w:ind w:right="107" w:rightChars="51"/>
        <w:rPr>
          <w:rFonts w:hint="eastAsia" w:ascii="宋体" w:hAnsi="宋体" w:eastAsia="宋体" w:cs="宋体"/>
          <w:b/>
          <w:bCs/>
          <w:color w:val="auto"/>
          <w:sz w:val="30"/>
          <w:szCs w:val="30"/>
          <w:highlight w:val="none"/>
          <w:lang w:val="zh-CN"/>
        </w:rPr>
      </w:pPr>
    </w:p>
    <w:bookmarkEnd w:id="932"/>
    <w:bookmarkEnd w:id="933"/>
    <w:p w14:paraId="1A3495A4">
      <w:pPr>
        <w:spacing w:line="360" w:lineRule="exact"/>
        <w:ind w:right="-250" w:rightChars="-119"/>
        <w:rPr>
          <w:rFonts w:hint="eastAsia" w:ascii="宋体" w:hAnsi="宋体" w:eastAsia="宋体" w:cs="宋体"/>
          <w:color w:val="auto"/>
          <w:kern w:val="1"/>
          <w:sz w:val="24"/>
          <w:highlight w:val="none"/>
          <w:lang w:bidi="ar"/>
        </w:rPr>
      </w:pPr>
      <w:bookmarkStart w:id="968" w:name="_Toc3282"/>
      <w:bookmarkStart w:id="969" w:name="_Toc302991708"/>
      <w:bookmarkStart w:id="970" w:name="_Toc21297"/>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170BE474">
      <w:pPr>
        <w:spacing w:line="360" w:lineRule="exact"/>
        <w:ind w:right="-250" w:rightChars="-119"/>
        <w:rPr>
          <w:rFonts w:hint="eastAsia" w:ascii="宋体" w:hAnsi="宋体" w:eastAsia="宋体" w:cs="宋体"/>
          <w:color w:val="auto"/>
          <w:kern w:val="1"/>
          <w:sz w:val="24"/>
          <w:highlight w:val="none"/>
          <w:lang w:bidi="ar"/>
        </w:rPr>
      </w:pPr>
    </w:p>
    <w:p w14:paraId="78BD70E2">
      <w:pPr>
        <w:spacing w:line="360" w:lineRule="exact"/>
        <w:ind w:right="-250" w:rightChars="-119"/>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54DE6CBF">
      <w:pPr>
        <w:spacing w:line="360" w:lineRule="exact"/>
        <w:ind w:right="-250" w:rightChars="-119"/>
        <w:rPr>
          <w:rFonts w:hint="eastAsia" w:ascii="宋体" w:hAnsi="宋体" w:eastAsia="宋体" w:cs="宋体"/>
          <w:color w:val="auto"/>
          <w:kern w:val="1"/>
          <w:sz w:val="24"/>
          <w:highlight w:val="none"/>
        </w:rPr>
      </w:pPr>
    </w:p>
    <w:p w14:paraId="1F53445F">
      <w:pPr>
        <w:spacing w:line="360" w:lineRule="exact"/>
        <w:ind w:right="-250" w:rightChars="-119"/>
        <w:rPr>
          <w:rFonts w:hint="eastAsia" w:ascii="宋体" w:hAnsi="宋体" w:eastAsia="宋体" w:cs="宋体"/>
          <w:color w:val="auto"/>
          <w:sz w:val="28"/>
          <w:szCs w:val="28"/>
          <w:highlight w:val="none"/>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日</w:t>
      </w:r>
    </w:p>
    <w:p w14:paraId="5806B816">
      <w:pPr>
        <w:rPr>
          <w:rFonts w:hint="eastAsia" w:ascii="宋体" w:hAnsi="宋体" w:eastAsia="宋体" w:cs="宋体"/>
          <w:color w:val="auto"/>
          <w:highlight w:val="none"/>
        </w:rPr>
      </w:pPr>
    </w:p>
    <w:p w14:paraId="111E445D">
      <w:pPr>
        <w:pStyle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4"/>
          <w:highlight w:val="none"/>
        </w:rPr>
        <w:t>注：此表后附营业执照</w:t>
      </w:r>
      <w:r>
        <w:rPr>
          <w:rFonts w:hint="eastAsia" w:ascii="宋体" w:hAnsi="宋体" w:eastAsia="宋体" w:cs="宋体"/>
          <w:color w:val="auto"/>
          <w:sz w:val="24"/>
          <w:highlight w:val="none"/>
          <w:lang w:eastAsia="zh-CN"/>
        </w:rPr>
        <w:t>。</w:t>
      </w:r>
    </w:p>
    <w:p w14:paraId="70C8599E">
      <w:pPr>
        <w:pStyle w:val="4"/>
        <w:tabs>
          <w:tab w:val="left" w:pos="2922"/>
          <w:tab w:val="center" w:pos="5440"/>
        </w:tabs>
        <w:spacing w:before="0" w:after="0" w:line="360" w:lineRule="auto"/>
        <w:jc w:val="center"/>
        <w:rPr>
          <w:rFonts w:hint="eastAsia" w:ascii="宋体" w:hAnsi="宋体" w:eastAsia="宋体" w:cs="宋体"/>
          <w:bCs w:val="0"/>
          <w:color w:val="auto"/>
          <w:sz w:val="30"/>
          <w:szCs w:val="30"/>
          <w:highlight w:val="none"/>
        </w:rPr>
      </w:pPr>
      <w:bookmarkStart w:id="971" w:name="_Toc19255"/>
      <w:bookmarkStart w:id="972" w:name="_Toc31556"/>
      <w:bookmarkStart w:id="973" w:name="_Toc24261"/>
      <w:bookmarkStart w:id="974" w:name="_Toc31808"/>
      <w:bookmarkStart w:id="975" w:name="_Toc2698"/>
      <w:r>
        <w:rPr>
          <w:rFonts w:hint="eastAsia" w:ascii="宋体" w:hAnsi="宋体" w:eastAsia="宋体" w:cs="宋体"/>
          <w:bCs w:val="0"/>
          <w:color w:val="auto"/>
          <w:sz w:val="30"/>
          <w:szCs w:val="30"/>
          <w:highlight w:val="none"/>
          <w:lang w:val="en-US" w:eastAsia="zh-CN"/>
        </w:rPr>
        <w:t>五</w:t>
      </w:r>
      <w:r>
        <w:rPr>
          <w:rFonts w:hint="eastAsia" w:ascii="宋体" w:hAnsi="宋体" w:eastAsia="宋体" w:cs="宋体"/>
          <w:bCs w:val="0"/>
          <w:color w:val="auto"/>
          <w:sz w:val="30"/>
          <w:szCs w:val="30"/>
          <w:highlight w:val="none"/>
        </w:rPr>
        <w:t>、资格证明材料</w:t>
      </w:r>
      <w:bookmarkEnd w:id="968"/>
      <w:bookmarkEnd w:id="969"/>
      <w:bookmarkEnd w:id="970"/>
      <w:bookmarkEnd w:id="971"/>
      <w:bookmarkEnd w:id="972"/>
      <w:bookmarkEnd w:id="973"/>
      <w:bookmarkEnd w:id="974"/>
      <w:bookmarkEnd w:id="975"/>
    </w:p>
    <w:p w14:paraId="55AB5DFB">
      <w:pPr>
        <w:keepNext/>
        <w:keepLines/>
        <w:pageBreakBefore w:val="0"/>
        <w:widowControl w:val="0"/>
        <w:tabs>
          <w:tab w:val="left" w:pos="2922"/>
          <w:tab w:val="center" w:pos="5440"/>
        </w:tabs>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color w:val="auto"/>
          <w:sz w:val="28"/>
          <w:szCs w:val="28"/>
          <w:highlight w:val="none"/>
        </w:rPr>
      </w:pPr>
      <w:bookmarkStart w:id="976" w:name="_Toc23998"/>
      <w:bookmarkStart w:id="977" w:name="_Toc17662"/>
      <w:bookmarkStart w:id="978" w:name="_Toc27180"/>
      <w:bookmarkStart w:id="979" w:name="_Toc1306"/>
      <w:bookmarkStart w:id="980" w:name="_Toc17676"/>
      <w:bookmarkStart w:id="981" w:name="_Toc12571"/>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eastAsia="zh-CN"/>
        </w:rPr>
        <w:t>供应商</w:t>
      </w:r>
      <w:r>
        <w:rPr>
          <w:rFonts w:hint="eastAsia" w:ascii="宋体" w:hAnsi="宋体" w:eastAsia="宋体" w:cs="宋体"/>
          <w:b w:val="0"/>
          <w:bCs w:val="0"/>
          <w:color w:val="auto"/>
          <w:sz w:val="24"/>
          <w:highlight w:val="none"/>
        </w:rPr>
        <w:t>根据</w:t>
      </w:r>
      <w:r>
        <w:rPr>
          <w:rFonts w:hint="eastAsia" w:ascii="宋体" w:hAnsi="宋体" w:eastAsia="宋体" w:cs="宋体"/>
          <w:b w:val="0"/>
          <w:bCs w:val="0"/>
          <w:color w:val="auto"/>
          <w:sz w:val="24"/>
          <w:highlight w:val="none"/>
          <w:lang w:eastAsia="zh-CN"/>
        </w:rPr>
        <w:t>竞争性磋商文件</w:t>
      </w:r>
      <w:r>
        <w:rPr>
          <w:rFonts w:hint="eastAsia" w:ascii="宋体" w:hAnsi="宋体" w:eastAsia="宋体" w:cs="宋体"/>
          <w:b w:val="0"/>
          <w:bCs w:val="0"/>
          <w:color w:val="auto"/>
          <w:sz w:val="24"/>
          <w:highlight w:val="none"/>
        </w:rPr>
        <w:t>的要求提供资格审查所需材料）</w:t>
      </w:r>
      <w:bookmarkEnd w:id="976"/>
      <w:bookmarkEnd w:id="977"/>
      <w:bookmarkEnd w:id="978"/>
      <w:bookmarkEnd w:id="979"/>
      <w:bookmarkEnd w:id="980"/>
      <w:bookmarkEnd w:id="981"/>
    </w:p>
    <w:p w14:paraId="0B17DCF7">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（一）法定代表人身份证明书</w:t>
      </w:r>
    </w:p>
    <w:p w14:paraId="5E55196E">
      <w:pPr>
        <w:spacing w:line="520" w:lineRule="exact"/>
        <w:rPr>
          <w:rFonts w:hint="eastAsia" w:ascii="宋体" w:hAnsi="宋体" w:eastAsia="宋体" w:cs="宋体"/>
          <w:color w:val="auto"/>
          <w:sz w:val="28"/>
          <w:szCs w:val="28"/>
          <w:highlight w:val="none"/>
        </w:rPr>
      </w:pPr>
    </w:p>
    <w:p w14:paraId="31115DC8">
      <w:pPr>
        <w:spacing w:line="560" w:lineRule="exact"/>
        <w:ind w:firstLine="480" w:firstLineChars="200"/>
        <w:rPr>
          <w:rFonts w:hint="eastAsia" w:ascii="宋体" w:hAnsi="宋体" w:eastAsia="宋体" w:cs="宋体"/>
          <w:color w:val="auto"/>
          <w:sz w:val="24"/>
          <w:highlight w:val="none"/>
          <w:u w:val="single"/>
        </w:rPr>
      </w:pPr>
      <w:bookmarkStart w:id="982" w:name="_Toc78603131"/>
      <w:bookmarkEnd w:id="982"/>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50D2B1A6">
      <w:pPr>
        <w:spacing w:line="5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 位 性 质：</w:t>
      </w:r>
      <w:r>
        <w:rPr>
          <w:rFonts w:hint="eastAsia" w:ascii="宋体" w:hAnsi="宋体" w:eastAsia="宋体" w:cs="宋体"/>
          <w:color w:val="auto"/>
          <w:sz w:val="24"/>
          <w:highlight w:val="none"/>
          <w:u w:val="single"/>
        </w:rPr>
        <w:t xml:space="preserve">                                       </w:t>
      </w:r>
    </w:p>
    <w:p w14:paraId="6E38BDA6">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2F5D7685">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 立 时 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7A57413">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经 营 期 限：</w:t>
      </w:r>
      <w:r>
        <w:rPr>
          <w:rFonts w:hint="eastAsia" w:ascii="宋体" w:hAnsi="宋体" w:eastAsia="宋体" w:cs="宋体"/>
          <w:color w:val="auto"/>
          <w:sz w:val="24"/>
          <w:highlight w:val="none"/>
          <w:u w:val="single"/>
        </w:rPr>
        <w:t xml:space="preserve">                                         </w:t>
      </w:r>
    </w:p>
    <w:p w14:paraId="6A3AE9D9">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 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1C318060">
      <w:pPr>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名称)的法定代表人，</w:t>
      </w:r>
      <w:r>
        <w:rPr>
          <w:rFonts w:hint="eastAsia" w:ascii="宋体" w:hAnsi="宋体" w:eastAsia="宋体" w:cs="宋体"/>
          <w:color w:val="auto"/>
          <w:kern w:val="1"/>
          <w:sz w:val="24"/>
          <w:highlight w:val="none"/>
          <w:lang w:bidi="ar"/>
        </w:rPr>
        <w:t>联系电话：</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w:t>
      </w:r>
    </w:p>
    <w:p w14:paraId="68365150">
      <w:pPr>
        <w:spacing w:line="56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70BB4BF">
      <w:pPr>
        <w:spacing w:line="56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附：法定代表人有效身份证复印件（复印或扫描在下方，不允许粘贴）</w:t>
      </w:r>
    </w:p>
    <w:p w14:paraId="7A3ECA6A">
      <w:pPr>
        <w:spacing w:line="560" w:lineRule="exact"/>
        <w:rPr>
          <w:rFonts w:hint="eastAsia" w:ascii="宋体" w:hAnsi="宋体" w:eastAsia="宋体" w:cs="宋体"/>
          <w:bCs/>
          <w:color w:val="auto"/>
          <w:sz w:val="24"/>
          <w:highlight w:val="none"/>
        </w:rPr>
      </w:pPr>
    </w:p>
    <w:p w14:paraId="11C2AF52">
      <w:pPr>
        <w:pStyle w:val="2"/>
        <w:rPr>
          <w:rFonts w:hint="eastAsia" w:ascii="宋体" w:hAnsi="宋体" w:eastAsia="宋体" w:cs="宋体"/>
          <w:bCs/>
          <w:color w:val="auto"/>
          <w:sz w:val="24"/>
          <w:highlight w:val="none"/>
        </w:rPr>
      </w:pPr>
    </w:p>
    <w:p w14:paraId="7C053571">
      <w:pPr>
        <w:rPr>
          <w:rFonts w:hint="eastAsia" w:ascii="宋体" w:hAnsi="宋体" w:eastAsia="宋体" w:cs="宋体"/>
          <w:bCs/>
          <w:color w:val="auto"/>
          <w:sz w:val="24"/>
          <w:highlight w:val="none"/>
        </w:rPr>
      </w:pPr>
    </w:p>
    <w:p w14:paraId="56CCCFFD">
      <w:pPr>
        <w:pStyle w:val="2"/>
        <w:rPr>
          <w:rFonts w:hint="eastAsia" w:ascii="宋体" w:hAnsi="宋体" w:eastAsia="宋体" w:cs="宋体"/>
          <w:bCs/>
          <w:color w:val="auto"/>
          <w:sz w:val="24"/>
          <w:highlight w:val="none"/>
        </w:rPr>
      </w:pPr>
    </w:p>
    <w:p w14:paraId="52AFABCE">
      <w:pPr>
        <w:rPr>
          <w:rFonts w:hint="eastAsia" w:ascii="宋体" w:hAnsi="宋体" w:eastAsia="宋体" w:cs="宋体"/>
          <w:bCs/>
          <w:color w:val="auto"/>
          <w:sz w:val="24"/>
          <w:highlight w:val="none"/>
        </w:rPr>
      </w:pPr>
    </w:p>
    <w:p w14:paraId="6AE96E51">
      <w:pPr>
        <w:pStyle w:val="2"/>
        <w:rPr>
          <w:rFonts w:hint="eastAsia" w:ascii="宋体" w:hAnsi="宋体" w:eastAsia="宋体" w:cs="宋体"/>
          <w:bCs/>
          <w:color w:val="auto"/>
          <w:sz w:val="24"/>
          <w:highlight w:val="none"/>
        </w:rPr>
      </w:pPr>
    </w:p>
    <w:p w14:paraId="427C4015">
      <w:pPr>
        <w:rPr>
          <w:rFonts w:hint="eastAsia" w:ascii="宋体" w:hAnsi="宋体" w:eastAsia="宋体" w:cs="宋体"/>
          <w:color w:val="auto"/>
          <w:highlight w:val="none"/>
        </w:rPr>
      </w:pPr>
    </w:p>
    <w:p w14:paraId="272A0D6B">
      <w:pPr>
        <w:spacing w:line="360" w:lineRule="exact"/>
        <w:ind w:right="-250" w:rightChars="-119"/>
        <w:rPr>
          <w:rFonts w:hint="eastAsia" w:ascii="宋体" w:hAnsi="宋体" w:eastAsia="宋体" w:cs="宋体"/>
          <w:color w:val="auto"/>
          <w:kern w:val="1"/>
          <w:sz w:val="24"/>
          <w:highlight w:val="none"/>
          <w:lang w:eastAsia="zh-CN" w:bidi="ar"/>
        </w:rPr>
      </w:pPr>
    </w:p>
    <w:p w14:paraId="7A9BEDA0">
      <w:pPr>
        <w:spacing w:line="360" w:lineRule="exact"/>
        <w:ind w:right="-250" w:rightChars="-119"/>
        <w:rPr>
          <w:rFonts w:hint="eastAsia" w:ascii="宋体" w:hAnsi="宋体" w:eastAsia="宋体" w:cs="宋体"/>
          <w:color w:val="auto"/>
          <w:kern w:val="1"/>
          <w:sz w:val="24"/>
          <w:highlight w:val="none"/>
          <w:lang w:eastAsia="zh-CN" w:bidi="ar"/>
        </w:rPr>
      </w:pPr>
    </w:p>
    <w:p w14:paraId="46805E59">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5650F4BC">
      <w:pPr>
        <w:spacing w:line="360" w:lineRule="exact"/>
        <w:ind w:right="-250" w:rightChars="-119"/>
        <w:rPr>
          <w:rFonts w:hint="eastAsia" w:ascii="宋体" w:hAnsi="宋体" w:eastAsia="宋体" w:cs="宋体"/>
          <w:color w:val="auto"/>
          <w:kern w:val="1"/>
          <w:sz w:val="24"/>
          <w:highlight w:val="none"/>
        </w:rPr>
      </w:pPr>
    </w:p>
    <w:p w14:paraId="1447DD54">
      <w:pPr>
        <w:spacing w:line="500" w:lineRule="exact"/>
        <w:ind w:right="355" w:rightChars="16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日 </w:t>
      </w:r>
    </w:p>
    <w:p w14:paraId="618CAD50">
      <w:pPr>
        <w:pStyle w:val="2"/>
        <w:rPr>
          <w:rFonts w:hint="eastAsia" w:ascii="宋体" w:hAnsi="宋体" w:eastAsia="宋体" w:cs="宋体"/>
          <w:color w:val="auto"/>
          <w:highlight w:val="none"/>
        </w:rPr>
      </w:pPr>
    </w:p>
    <w:p w14:paraId="2F1BAE08">
      <w:pPr>
        <w:rPr>
          <w:rFonts w:hint="eastAsia" w:ascii="宋体" w:hAnsi="宋体" w:eastAsia="宋体" w:cs="宋体"/>
          <w:color w:val="auto"/>
          <w:highlight w:val="none"/>
        </w:rPr>
      </w:pPr>
    </w:p>
    <w:p w14:paraId="575C918D">
      <w:pPr>
        <w:rPr>
          <w:rFonts w:hint="eastAsia" w:ascii="宋体" w:hAnsi="宋体" w:eastAsia="宋体" w:cs="宋体"/>
          <w:color w:val="auto"/>
          <w:highlight w:val="none"/>
        </w:rPr>
      </w:pPr>
    </w:p>
    <w:p w14:paraId="625611B3">
      <w:pPr>
        <w:rPr>
          <w:rFonts w:hint="eastAsia" w:ascii="宋体" w:hAnsi="宋体" w:eastAsia="宋体" w:cs="宋体"/>
          <w:color w:val="auto"/>
          <w:highlight w:val="none"/>
        </w:rPr>
      </w:pPr>
    </w:p>
    <w:p w14:paraId="73FD0034">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（二）法定代表人授权委托书</w:t>
      </w:r>
    </w:p>
    <w:p w14:paraId="07FC0A3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（如法定代表人参加开标不需授权）</w:t>
      </w:r>
    </w:p>
    <w:p w14:paraId="6086D299">
      <w:pPr>
        <w:rPr>
          <w:rFonts w:hint="eastAsia" w:ascii="宋体" w:hAnsi="宋体" w:eastAsia="宋体" w:cs="宋体"/>
          <w:bCs/>
          <w:color w:val="auto"/>
          <w:sz w:val="32"/>
          <w:szCs w:val="32"/>
          <w:highlight w:val="none"/>
        </w:rPr>
      </w:pPr>
    </w:p>
    <w:p w14:paraId="2945E92D">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的法定代表人，现委托</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为我方代理人。代理人根据授权，以我方名义签署、澄清、递交、撤回、修改</w:t>
      </w:r>
      <w:r>
        <w:rPr>
          <w:rFonts w:hint="eastAsia" w:ascii="宋体" w:hAnsi="宋体" w:eastAsia="宋体" w:cs="宋体"/>
          <w:color w:val="auto"/>
          <w:sz w:val="24"/>
          <w:highlight w:val="none"/>
          <w:u w:val="single"/>
        </w:rPr>
        <w:t xml:space="preserve">        （项目名称及编号）      </w:t>
      </w:r>
      <w:r>
        <w:rPr>
          <w:rFonts w:hint="eastAsia" w:ascii="宋体" w:hAnsi="宋体" w:eastAsia="宋体" w:cs="宋体"/>
          <w:color w:val="auto"/>
          <w:sz w:val="24"/>
          <w:highlight w:val="none"/>
        </w:rPr>
        <w:t>响应文件、签订合同和处理有关事宜，其法律后果由我方承担</w:t>
      </w:r>
      <w:r>
        <w:rPr>
          <w:rFonts w:hint="eastAsia" w:ascii="宋体" w:hAnsi="宋体" w:eastAsia="宋体" w:cs="宋体"/>
          <w:bCs/>
          <w:color w:val="auto"/>
          <w:sz w:val="24"/>
          <w:highlight w:val="none"/>
        </w:rPr>
        <w:t>。</w:t>
      </w:r>
    </w:p>
    <w:p w14:paraId="7E01EF36">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年  月   日至   年  月  日</w:t>
      </w:r>
      <w:r>
        <w:rPr>
          <w:rFonts w:hint="eastAsia" w:ascii="宋体" w:hAnsi="宋体" w:eastAsia="宋体" w:cs="宋体"/>
          <w:color w:val="auto"/>
          <w:sz w:val="24"/>
          <w:highlight w:val="none"/>
        </w:rPr>
        <w:t>（不得少于90日历天）</w:t>
      </w:r>
    </w:p>
    <w:p w14:paraId="4DAB4460">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代理人无转让委托权。</w:t>
      </w:r>
    </w:p>
    <w:p w14:paraId="69A86C17">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附：委托代理人身份证复印件（复印在下方，不允许粘贴）</w:t>
      </w:r>
    </w:p>
    <w:p w14:paraId="2DDEABCE">
      <w:pPr>
        <w:spacing w:line="560" w:lineRule="exact"/>
        <w:rPr>
          <w:rFonts w:hint="eastAsia" w:ascii="宋体" w:hAnsi="宋体" w:eastAsia="宋体" w:cs="宋体"/>
          <w:bCs/>
          <w:color w:val="auto"/>
          <w:sz w:val="24"/>
          <w:highlight w:val="none"/>
        </w:rPr>
      </w:pPr>
    </w:p>
    <w:p w14:paraId="0B8580F7">
      <w:pPr>
        <w:pStyle w:val="41"/>
        <w:rPr>
          <w:rFonts w:hint="eastAsia" w:ascii="宋体" w:hAnsi="宋体" w:eastAsia="宋体" w:cs="宋体"/>
          <w:bCs/>
          <w:color w:val="auto"/>
          <w:sz w:val="24"/>
          <w:highlight w:val="none"/>
        </w:rPr>
      </w:pPr>
    </w:p>
    <w:p w14:paraId="282B5663">
      <w:pPr>
        <w:pStyle w:val="41"/>
        <w:rPr>
          <w:rFonts w:hint="eastAsia" w:ascii="宋体" w:hAnsi="宋体" w:eastAsia="宋体" w:cs="宋体"/>
          <w:bCs/>
          <w:color w:val="auto"/>
          <w:sz w:val="24"/>
          <w:highlight w:val="none"/>
        </w:rPr>
      </w:pPr>
    </w:p>
    <w:p w14:paraId="1D23701E">
      <w:pPr>
        <w:pStyle w:val="41"/>
        <w:rPr>
          <w:rFonts w:hint="eastAsia" w:ascii="宋体" w:hAnsi="宋体" w:eastAsia="宋体" w:cs="宋体"/>
          <w:bCs/>
          <w:color w:val="auto"/>
          <w:sz w:val="24"/>
          <w:highlight w:val="none"/>
        </w:rPr>
      </w:pPr>
    </w:p>
    <w:p w14:paraId="6DB53A3F">
      <w:pPr>
        <w:pStyle w:val="41"/>
        <w:rPr>
          <w:rFonts w:hint="eastAsia" w:ascii="宋体" w:hAnsi="宋体" w:eastAsia="宋体" w:cs="宋体"/>
          <w:bCs/>
          <w:color w:val="auto"/>
          <w:sz w:val="24"/>
          <w:highlight w:val="none"/>
        </w:rPr>
      </w:pPr>
    </w:p>
    <w:p w14:paraId="27BC2975">
      <w:pPr>
        <w:pStyle w:val="41"/>
        <w:rPr>
          <w:rFonts w:hint="eastAsia" w:ascii="宋体" w:hAnsi="宋体" w:eastAsia="宋体" w:cs="宋体"/>
          <w:bCs/>
          <w:color w:val="auto"/>
          <w:sz w:val="24"/>
          <w:highlight w:val="none"/>
        </w:rPr>
      </w:pPr>
    </w:p>
    <w:p w14:paraId="1EB52415">
      <w:pPr>
        <w:pStyle w:val="41"/>
        <w:rPr>
          <w:rFonts w:hint="eastAsia" w:ascii="宋体" w:hAnsi="宋体" w:eastAsia="宋体" w:cs="宋体"/>
          <w:bCs/>
          <w:color w:val="auto"/>
          <w:sz w:val="24"/>
          <w:highlight w:val="none"/>
        </w:rPr>
      </w:pPr>
    </w:p>
    <w:p w14:paraId="5CCB081D">
      <w:pPr>
        <w:pStyle w:val="41"/>
        <w:rPr>
          <w:rFonts w:hint="eastAsia" w:ascii="宋体" w:hAnsi="宋体" w:eastAsia="宋体" w:cs="宋体"/>
          <w:bCs/>
          <w:color w:val="auto"/>
          <w:sz w:val="24"/>
          <w:highlight w:val="none"/>
        </w:rPr>
      </w:pPr>
    </w:p>
    <w:p w14:paraId="1BE89764">
      <w:pPr>
        <w:pStyle w:val="41"/>
        <w:rPr>
          <w:rFonts w:hint="eastAsia" w:ascii="宋体" w:hAnsi="宋体" w:eastAsia="宋体" w:cs="宋体"/>
          <w:bCs/>
          <w:color w:val="auto"/>
          <w:sz w:val="24"/>
          <w:highlight w:val="none"/>
        </w:rPr>
      </w:pPr>
    </w:p>
    <w:p w14:paraId="67180CE2">
      <w:pPr>
        <w:pStyle w:val="41"/>
        <w:rPr>
          <w:rFonts w:hint="eastAsia" w:ascii="宋体" w:hAnsi="宋体" w:eastAsia="宋体" w:cs="宋体"/>
          <w:bCs/>
          <w:color w:val="auto"/>
          <w:sz w:val="24"/>
          <w:highlight w:val="none"/>
        </w:rPr>
      </w:pPr>
    </w:p>
    <w:p w14:paraId="7DD5EFBD">
      <w:pPr>
        <w:pStyle w:val="41"/>
        <w:rPr>
          <w:rFonts w:hint="eastAsia" w:ascii="宋体" w:hAnsi="宋体" w:eastAsia="宋体" w:cs="宋体"/>
          <w:bCs/>
          <w:color w:val="auto"/>
          <w:sz w:val="24"/>
          <w:highlight w:val="none"/>
        </w:rPr>
      </w:pPr>
    </w:p>
    <w:p w14:paraId="3E2DCB4D">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color w:val="auto"/>
          <w:sz w:val="24"/>
          <w:szCs w:val="24"/>
          <w:highlight w:val="none"/>
          <w:lang w:val="en-US" w:eastAsia="zh-CN"/>
        </w:rPr>
        <w:t>电子签章</w:t>
      </w:r>
      <w:r>
        <w:rPr>
          <w:rFonts w:hint="eastAsia" w:ascii="宋体" w:hAnsi="宋体" w:eastAsia="宋体" w:cs="宋体"/>
          <w:bCs/>
          <w:color w:val="auto"/>
          <w:sz w:val="24"/>
          <w:highlight w:val="none"/>
        </w:rPr>
        <w:t>)</w:t>
      </w:r>
    </w:p>
    <w:p w14:paraId="4CBF9DC3">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w:t>
      </w:r>
    </w:p>
    <w:p w14:paraId="509D8BCE">
      <w:pPr>
        <w:spacing w:line="560" w:lineRule="exact"/>
        <w:ind w:firstLine="960" w:firstLineChars="4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身份证号码：</w:t>
      </w:r>
      <w:r>
        <w:rPr>
          <w:rFonts w:hint="eastAsia" w:ascii="宋体" w:hAnsi="宋体" w:eastAsia="宋体" w:cs="宋体"/>
          <w:bCs/>
          <w:color w:val="auto"/>
          <w:sz w:val="24"/>
          <w:highlight w:val="none"/>
          <w:u w:val="single"/>
        </w:rPr>
        <w:t xml:space="preserve">                         </w:t>
      </w:r>
    </w:p>
    <w:p w14:paraId="68A6767D">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委托代理人：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（签字或盖章）</w:t>
      </w:r>
    </w:p>
    <w:p w14:paraId="6A776FFB">
      <w:pPr>
        <w:spacing w:line="560" w:lineRule="exact"/>
        <w:ind w:firstLine="960" w:firstLineChars="4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身份证号码：</w:t>
      </w:r>
      <w:r>
        <w:rPr>
          <w:rFonts w:hint="eastAsia" w:ascii="宋体" w:hAnsi="宋体" w:eastAsia="宋体" w:cs="宋体"/>
          <w:bCs/>
          <w:color w:val="auto"/>
          <w:sz w:val="24"/>
          <w:highlight w:val="none"/>
          <w:u w:val="single"/>
        </w:rPr>
        <w:t xml:space="preserve">                         </w:t>
      </w:r>
    </w:p>
    <w:p w14:paraId="4BC13A47">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3FE8F6B">
      <w:pPr>
        <w:spacing w:line="460" w:lineRule="exact"/>
        <w:ind w:left="420" w:leftChars="200"/>
        <w:rPr>
          <w:rFonts w:hint="eastAsia" w:ascii="宋体" w:hAnsi="宋体" w:eastAsia="宋体" w:cs="宋体"/>
          <w:b/>
          <w:bCs/>
          <w:color w:val="auto"/>
          <w:sz w:val="24"/>
          <w:highlight w:val="none"/>
        </w:rPr>
      </w:pPr>
    </w:p>
    <w:p w14:paraId="2D147D9D">
      <w:pPr>
        <w:pStyle w:val="2"/>
        <w:rPr>
          <w:rFonts w:hint="eastAsia" w:ascii="宋体" w:hAnsi="宋体" w:eastAsia="宋体" w:cs="宋体"/>
          <w:color w:val="auto"/>
          <w:highlight w:val="none"/>
        </w:rPr>
      </w:pPr>
    </w:p>
    <w:p w14:paraId="2BAF21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bCs/>
          <w:snapToGrid w:val="0"/>
          <w:color w:val="auto"/>
          <w:kern w:val="0"/>
          <w:sz w:val="28"/>
          <w:szCs w:val="28"/>
          <w:highlight w:val="none"/>
        </w:rPr>
      </w:pPr>
      <w:r>
        <w:rPr>
          <w:rFonts w:hint="eastAsia" w:ascii="宋体" w:hAnsi="宋体" w:eastAsia="宋体" w:cs="宋体"/>
          <w:b/>
          <w:bCs/>
          <w:color w:val="auto"/>
          <w:sz w:val="28"/>
          <w:szCs w:val="28"/>
          <w:highlight w:val="none"/>
        </w:rPr>
        <w:t>（三）</w:t>
      </w:r>
      <w:r>
        <w:rPr>
          <w:rFonts w:hint="eastAsia" w:ascii="宋体" w:hAnsi="宋体" w:eastAsia="宋体" w:cs="宋体"/>
          <w:b/>
          <w:bCs/>
          <w:snapToGrid w:val="0"/>
          <w:color w:val="auto"/>
          <w:kern w:val="0"/>
          <w:sz w:val="28"/>
          <w:szCs w:val="28"/>
          <w:highlight w:val="none"/>
        </w:rPr>
        <w:t>投标保证金缴纳凭证</w:t>
      </w:r>
    </w:p>
    <w:p w14:paraId="2CCEFF09">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0E5DA7A1">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w:t>
      </w:r>
      <w:r>
        <w:rPr>
          <w:rFonts w:hint="eastAsia" w:ascii="宋体" w:hAnsi="宋体" w:eastAsia="宋体" w:cs="宋体"/>
          <w:snapToGrid w:val="0"/>
          <w:color w:val="auto"/>
          <w:kern w:val="0"/>
          <w:sz w:val="24"/>
          <w:szCs w:val="24"/>
          <w:highlight w:val="none"/>
          <w:lang w:eastAsia="zh-CN"/>
        </w:rPr>
        <w:t>采购人</w:t>
      </w:r>
      <w:r>
        <w:rPr>
          <w:rFonts w:hint="eastAsia" w:ascii="宋体" w:hAnsi="宋体" w:eastAsia="宋体" w:cs="宋体"/>
          <w:snapToGrid w:val="0"/>
          <w:color w:val="auto"/>
          <w:kern w:val="0"/>
          <w:sz w:val="24"/>
          <w:szCs w:val="24"/>
          <w:highlight w:val="none"/>
        </w:rPr>
        <w:t>名称）：</w:t>
      </w:r>
    </w:p>
    <w:p w14:paraId="66C68FAC">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snapToGrid w:val="0"/>
          <w:color w:val="auto"/>
          <w:kern w:val="0"/>
          <w:sz w:val="24"/>
          <w:szCs w:val="24"/>
          <w:highlight w:val="none"/>
          <w:lang w:eastAsia="zh-CN"/>
        </w:rPr>
      </w:pPr>
      <w:r>
        <w:rPr>
          <w:rFonts w:hint="eastAsia" w:ascii="宋体" w:hAnsi="宋体" w:cs="宋体"/>
          <w:snapToGrid w:val="0"/>
          <w:color w:val="auto"/>
          <w:kern w:val="0"/>
          <w:sz w:val="24"/>
          <w:szCs w:val="24"/>
          <w:highlight w:val="none"/>
          <w:lang w:val="en-US" w:eastAsia="zh-CN"/>
        </w:rPr>
        <w:t>1.</w:t>
      </w:r>
      <w:r>
        <w:rPr>
          <w:rFonts w:hint="eastAsia" w:ascii="宋体" w:hAnsi="宋体" w:eastAsia="宋体" w:cs="宋体"/>
          <w:snapToGrid w:val="0"/>
          <w:color w:val="auto"/>
          <w:kern w:val="0"/>
          <w:sz w:val="24"/>
          <w:szCs w:val="24"/>
          <w:highlight w:val="none"/>
        </w:rPr>
        <w:t>本</w:t>
      </w:r>
      <w:r>
        <w:rPr>
          <w:rFonts w:hint="eastAsia" w:ascii="宋体" w:hAnsi="宋体" w:eastAsia="宋体" w:cs="宋体"/>
          <w:snapToGrid w:val="0"/>
          <w:color w:val="auto"/>
          <w:kern w:val="0"/>
          <w:sz w:val="24"/>
          <w:szCs w:val="24"/>
          <w:highlight w:val="none"/>
          <w:lang w:eastAsia="zh-CN"/>
        </w:rPr>
        <w:t>供应商</w:t>
      </w:r>
      <w:r>
        <w:rPr>
          <w:rFonts w:hint="eastAsia" w:ascii="宋体" w:hAnsi="宋体" w:eastAsia="宋体" w:cs="宋体"/>
          <w:snapToGrid w:val="0"/>
          <w:color w:val="auto"/>
          <w:kern w:val="0"/>
          <w:sz w:val="24"/>
          <w:szCs w:val="24"/>
          <w:highlight w:val="none"/>
        </w:rPr>
        <w:t>自愿参加</w:t>
      </w: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（项目名称）</w:t>
      </w: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lang w:eastAsia="zh-CN"/>
        </w:rPr>
        <w:t>（项目编号）</w:t>
      </w:r>
      <w:r>
        <w:rPr>
          <w:rFonts w:hint="eastAsia" w:ascii="宋体" w:hAnsi="宋体" w:eastAsia="宋体" w:cs="宋体"/>
          <w:snapToGrid w:val="0"/>
          <w:color w:val="auto"/>
          <w:kern w:val="0"/>
          <w:sz w:val="24"/>
          <w:szCs w:val="24"/>
          <w:highlight w:val="none"/>
        </w:rPr>
        <w:t>的投标，并按</w:t>
      </w:r>
      <w:r>
        <w:rPr>
          <w:rFonts w:hint="eastAsia" w:ascii="宋体" w:hAnsi="宋体" w:cs="宋体"/>
          <w:snapToGrid w:val="0"/>
          <w:color w:val="auto"/>
          <w:kern w:val="0"/>
          <w:sz w:val="24"/>
          <w:szCs w:val="24"/>
          <w:highlight w:val="none"/>
          <w:lang w:val="en-US" w:eastAsia="zh-CN"/>
        </w:rPr>
        <w:t>竞争性磋商文件</w:t>
      </w:r>
      <w:r>
        <w:rPr>
          <w:rFonts w:hint="eastAsia" w:ascii="宋体" w:hAnsi="宋体" w:eastAsia="宋体" w:cs="宋体"/>
          <w:snapToGrid w:val="0"/>
          <w:color w:val="auto"/>
          <w:kern w:val="0"/>
          <w:sz w:val="24"/>
          <w:szCs w:val="24"/>
          <w:highlight w:val="none"/>
        </w:rPr>
        <w:t>要求缴纳投标保证金，</w:t>
      </w:r>
      <w:r>
        <w:rPr>
          <w:rFonts w:hint="eastAsia" w:ascii="宋体" w:hAnsi="宋体" w:eastAsia="宋体" w:cs="宋体"/>
          <w:snapToGrid w:val="0"/>
          <w:color w:val="auto"/>
          <w:kern w:val="0"/>
          <w:sz w:val="24"/>
          <w:szCs w:val="24"/>
          <w:highlight w:val="none"/>
          <w:lang w:eastAsia="zh-CN"/>
        </w:rPr>
        <w:t>投标保证金</w:t>
      </w:r>
      <w:r>
        <w:rPr>
          <w:rFonts w:hint="eastAsia" w:ascii="宋体" w:hAnsi="宋体" w:eastAsia="宋体" w:cs="宋体"/>
          <w:b/>
          <w:bCs/>
          <w:snapToGrid w:val="0"/>
          <w:color w:val="auto"/>
          <w:kern w:val="0"/>
          <w:sz w:val="24"/>
          <w:szCs w:val="24"/>
          <w:highlight w:val="none"/>
          <w:lang w:eastAsia="zh-CN"/>
        </w:rPr>
        <w:t>金额为：</w:t>
      </w:r>
      <w:r>
        <w:rPr>
          <w:rFonts w:hint="eastAsia" w:ascii="宋体" w:hAnsi="宋体" w:eastAsia="宋体" w:cs="宋体"/>
          <w:b/>
          <w:bCs/>
          <w:snapToGrid w:val="0"/>
          <w:color w:val="auto"/>
          <w:kern w:val="0"/>
          <w:sz w:val="24"/>
          <w:szCs w:val="24"/>
          <w:highlight w:val="none"/>
          <w:u w:val="single"/>
          <w:lang w:eastAsia="zh-CN"/>
        </w:rPr>
        <w:t xml:space="preserve">     </w:t>
      </w:r>
      <w:r>
        <w:rPr>
          <w:rFonts w:hint="eastAsia" w:ascii="宋体" w:hAnsi="宋体" w:eastAsia="宋体" w:cs="宋体"/>
          <w:b/>
          <w:bCs/>
          <w:snapToGrid w:val="0"/>
          <w:color w:val="auto"/>
          <w:kern w:val="0"/>
          <w:sz w:val="24"/>
          <w:szCs w:val="24"/>
          <w:highlight w:val="none"/>
          <w:lang w:eastAsia="zh-CN"/>
        </w:rPr>
        <w:t>，保证金缴纳形式为</w:t>
      </w: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lang w:eastAsia="zh-CN"/>
        </w:rPr>
        <w:t>。</w:t>
      </w:r>
    </w:p>
    <w:p w14:paraId="0A140D95">
      <w:pPr>
        <w:pStyle w:val="41"/>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cs="宋体"/>
          <w:snapToGrid w:val="0"/>
          <w:color w:val="auto"/>
          <w:kern w:val="0"/>
          <w:sz w:val="24"/>
          <w:szCs w:val="24"/>
          <w:highlight w:val="none"/>
          <w:lang w:val="en-US" w:eastAsia="zh-CN"/>
        </w:rPr>
      </w:pPr>
      <w:r>
        <w:rPr>
          <w:rFonts w:hint="eastAsia" w:hAnsi="宋体" w:cs="宋体"/>
          <w:snapToGrid w:val="0"/>
          <w:color w:val="auto"/>
          <w:kern w:val="0"/>
          <w:sz w:val="24"/>
          <w:szCs w:val="24"/>
          <w:highlight w:val="none"/>
          <w:lang w:val="en-US" w:eastAsia="zh-CN"/>
        </w:rPr>
        <w:t>2.</w:t>
      </w:r>
      <w:r>
        <w:rPr>
          <w:rFonts w:hint="eastAsia" w:ascii="宋体" w:hAnsi="宋体" w:cs="宋体"/>
          <w:snapToGrid w:val="0"/>
          <w:color w:val="auto"/>
          <w:kern w:val="0"/>
          <w:sz w:val="24"/>
          <w:szCs w:val="24"/>
          <w:highlight w:val="none"/>
          <w:lang w:val="en-US" w:eastAsia="zh-CN"/>
        </w:rPr>
        <w:t>本供应商账户信息：</w:t>
      </w:r>
    </w:p>
    <w:p w14:paraId="7D379940">
      <w:pPr>
        <w:pStyle w:val="41"/>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户    名：</w:t>
      </w:r>
      <w:r>
        <w:rPr>
          <w:rFonts w:hint="eastAsia" w:ascii="宋体" w:hAnsi="宋体" w:eastAsia="宋体" w:cs="宋体"/>
          <w:snapToGrid w:val="0"/>
          <w:color w:val="auto"/>
          <w:kern w:val="0"/>
          <w:sz w:val="24"/>
          <w:szCs w:val="24"/>
          <w:highlight w:val="none"/>
          <w:u w:val="single"/>
          <w:lang w:val="en-US" w:eastAsia="zh-CN"/>
        </w:rPr>
        <w:t xml:space="preserve">                </w:t>
      </w:r>
    </w:p>
    <w:p w14:paraId="3D38308E">
      <w:pPr>
        <w:pStyle w:val="41"/>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开户银行：</w:t>
      </w:r>
      <w:r>
        <w:rPr>
          <w:rFonts w:hint="eastAsia" w:ascii="宋体" w:hAnsi="宋体" w:eastAsia="宋体" w:cs="宋体"/>
          <w:snapToGrid w:val="0"/>
          <w:color w:val="auto"/>
          <w:kern w:val="0"/>
          <w:sz w:val="24"/>
          <w:szCs w:val="24"/>
          <w:highlight w:val="none"/>
          <w:u w:val="single"/>
          <w:lang w:val="en-US" w:eastAsia="zh-CN"/>
        </w:rPr>
        <w:t xml:space="preserve">                </w:t>
      </w:r>
    </w:p>
    <w:p w14:paraId="4E488C0F">
      <w:pPr>
        <w:pStyle w:val="41"/>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账    号：</w:t>
      </w:r>
      <w:r>
        <w:rPr>
          <w:rFonts w:hint="eastAsia" w:ascii="宋体" w:hAnsi="宋体" w:eastAsia="宋体" w:cs="宋体"/>
          <w:snapToGrid w:val="0"/>
          <w:color w:val="auto"/>
          <w:kern w:val="0"/>
          <w:sz w:val="24"/>
          <w:szCs w:val="24"/>
          <w:highlight w:val="none"/>
          <w:u w:val="single"/>
          <w:lang w:val="en-US" w:eastAsia="zh-CN"/>
        </w:rPr>
        <w:t xml:space="preserve">                </w:t>
      </w:r>
    </w:p>
    <w:p w14:paraId="352CA719">
      <w:pPr>
        <w:pStyle w:val="41"/>
        <w:keepNext w:val="0"/>
        <w:keepLines w:val="0"/>
        <w:pageBreakBefore w:val="0"/>
        <w:kinsoku/>
        <w:wordWrap/>
        <w:overflowPunct/>
        <w:topLinePunct w:val="0"/>
        <w:autoSpaceDE/>
        <w:autoSpaceDN/>
        <w:bidi w:val="0"/>
        <w:adjustRightInd/>
        <w:snapToGrid/>
        <w:spacing w:line="500" w:lineRule="exact"/>
        <w:ind w:firstLine="480" w:firstLineChars="200"/>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bCs/>
          <w:color w:val="auto"/>
          <w:kern w:val="2"/>
          <w:highlight w:val="none"/>
          <w:shd w:val="clear" w:color="auto" w:fill="FFFFFF"/>
          <w:lang w:val="en-US" w:eastAsia="zh-CN"/>
        </w:rPr>
        <w:t>财务联系人及电话：</w:t>
      </w:r>
      <w:r>
        <w:rPr>
          <w:rFonts w:hint="eastAsia" w:ascii="宋体" w:hAnsi="宋体" w:eastAsia="宋体" w:cs="宋体"/>
          <w:snapToGrid w:val="0"/>
          <w:color w:val="auto"/>
          <w:kern w:val="0"/>
          <w:sz w:val="24"/>
          <w:szCs w:val="24"/>
          <w:highlight w:val="none"/>
          <w:u w:val="single"/>
          <w:lang w:val="en-US" w:eastAsia="zh-CN"/>
        </w:rPr>
        <w:t xml:space="preserve">                </w:t>
      </w:r>
    </w:p>
    <w:p w14:paraId="2919DFC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snapToGrid w:val="0"/>
          <w:color w:val="auto"/>
          <w:kern w:val="0"/>
          <w:sz w:val="24"/>
          <w:szCs w:val="24"/>
          <w:highlight w:val="none"/>
        </w:rPr>
      </w:pP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本</w:t>
      </w:r>
      <w:r>
        <w:rPr>
          <w:rFonts w:hint="eastAsia" w:ascii="宋体" w:hAnsi="宋体" w:cs="宋体"/>
          <w:snapToGrid w:val="0"/>
          <w:color w:val="auto"/>
          <w:kern w:val="0"/>
          <w:sz w:val="24"/>
          <w:szCs w:val="24"/>
          <w:highlight w:val="none"/>
          <w:lang w:eastAsia="zh-CN"/>
        </w:rPr>
        <w:t>供应商</w:t>
      </w:r>
      <w:r>
        <w:rPr>
          <w:rFonts w:hint="eastAsia" w:ascii="宋体" w:hAnsi="宋体" w:eastAsia="宋体" w:cs="宋体"/>
          <w:snapToGrid w:val="0"/>
          <w:color w:val="auto"/>
          <w:kern w:val="0"/>
          <w:sz w:val="24"/>
          <w:szCs w:val="24"/>
          <w:highlight w:val="none"/>
        </w:rPr>
        <w:t>承诺所缴纳投标保证金是从本公司基本账户缴纳的，若有虚假，由此引起的一切责任均由我公司承担。</w:t>
      </w:r>
    </w:p>
    <w:p w14:paraId="686BCE80">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5A969B03">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497B6228">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0066CE04">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10704621">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rPr>
      </w:pPr>
    </w:p>
    <w:p w14:paraId="03CBB4B8">
      <w:pPr>
        <w:adjustRightInd w:val="0"/>
        <w:snapToGrid w:val="0"/>
        <w:spacing w:line="360" w:lineRule="auto"/>
        <w:jc w:val="left"/>
        <w:rPr>
          <w:rFonts w:hint="eastAsia" w:ascii="宋体" w:hAnsi="宋体" w:eastAsia="宋体" w:cs="宋体"/>
          <w:snapToGrid w:val="0"/>
          <w:color w:val="auto"/>
          <w:kern w:val="0"/>
          <w:szCs w:val="21"/>
          <w:highlight w:val="none"/>
        </w:rPr>
      </w:pPr>
    </w:p>
    <w:p w14:paraId="0171E680">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lang w:eastAsia="zh-CN"/>
        </w:rPr>
      </w:pPr>
    </w:p>
    <w:p w14:paraId="4A61BB58">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lang w:eastAsia="zh-CN"/>
        </w:rPr>
      </w:pPr>
    </w:p>
    <w:p w14:paraId="6240FBDE">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lang w:eastAsia="zh-CN"/>
        </w:rPr>
      </w:pPr>
    </w:p>
    <w:p w14:paraId="6D4103E7">
      <w:pPr>
        <w:adjustRightInd w:val="0"/>
        <w:snapToGrid w:val="0"/>
        <w:spacing w:line="360" w:lineRule="auto"/>
        <w:jc w:val="left"/>
        <w:rPr>
          <w:rFonts w:hint="eastAsia" w:ascii="宋体" w:hAnsi="宋体" w:eastAsia="宋体" w:cs="宋体"/>
          <w:snapToGrid w:val="0"/>
          <w:color w:val="auto"/>
          <w:kern w:val="0"/>
          <w:szCs w:val="21"/>
          <w:highlight w:val="none"/>
          <w:lang w:eastAsia="zh-CN"/>
        </w:rPr>
      </w:pPr>
    </w:p>
    <w:p w14:paraId="1D182DD0">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lang w:eastAsia="zh-CN"/>
        </w:rPr>
      </w:pPr>
    </w:p>
    <w:p w14:paraId="1203DA18">
      <w:pPr>
        <w:adjustRightInd w:val="0"/>
        <w:snapToGrid w:val="0"/>
        <w:spacing w:line="360" w:lineRule="auto"/>
        <w:ind w:firstLine="420" w:firstLineChars="200"/>
        <w:jc w:val="left"/>
        <w:rPr>
          <w:rFonts w:hint="eastAsia" w:ascii="宋体" w:hAnsi="宋体" w:eastAsia="宋体" w:cs="宋体"/>
          <w:snapToGrid w:val="0"/>
          <w:color w:val="auto"/>
          <w:kern w:val="0"/>
          <w:szCs w:val="21"/>
          <w:highlight w:val="none"/>
          <w:lang w:eastAsia="zh-CN"/>
        </w:rPr>
      </w:pPr>
      <w:r>
        <w:rPr>
          <w:rFonts w:hint="eastAsia" w:ascii="宋体" w:hAnsi="宋体" w:eastAsia="宋体" w:cs="宋体"/>
          <w:snapToGrid w:val="0"/>
          <w:color w:val="auto"/>
          <w:kern w:val="0"/>
          <w:szCs w:val="21"/>
          <w:highlight w:val="none"/>
          <w:lang w:eastAsia="zh-CN"/>
        </w:rPr>
        <w:t>注：后附</w:t>
      </w:r>
      <w:r>
        <w:rPr>
          <w:rFonts w:hint="eastAsia" w:ascii="宋体" w:hAnsi="宋体" w:eastAsia="宋体" w:cs="宋体"/>
          <w:snapToGrid w:val="0"/>
          <w:color w:val="auto"/>
          <w:kern w:val="0"/>
          <w:szCs w:val="21"/>
          <w:highlight w:val="none"/>
        </w:rPr>
        <w:t>投标保证金缴纳凭证</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lang w:val="en-US" w:eastAsia="zh-CN"/>
        </w:rPr>
        <w:t>供应商</w:t>
      </w:r>
      <w:r>
        <w:rPr>
          <w:rFonts w:hint="eastAsia" w:ascii="宋体" w:hAnsi="宋体" w:eastAsia="宋体" w:cs="宋体"/>
          <w:snapToGrid w:val="0"/>
          <w:color w:val="auto"/>
          <w:kern w:val="0"/>
          <w:szCs w:val="21"/>
          <w:highlight w:val="none"/>
        </w:rPr>
        <w:t>开户许可证原件扫描件</w:t>
      </w:r>
      <w:r>
        <w:rPr>
          <w:rFonts w:hint="eastAsia" w:ascii="宋体" w:hAnsi="宋体" w:eastAsia="宋体" w:cs="宋体"/>
          <w:snapToGrid w:val="0"/>
          <w:color w:val="auto"/>
          <w:kern w:val="0"/>
          <w:szCs w:val="21"/>
          <w:highlight w:val="none"/>
          <w:lang w:eastAsia="zh-CN"/>
        </w:rPr>
        <w:t>。</w:t>
      </w:r>
    </w:p>
    <w:p w14:paraId="5E05BB7F">
      <w:pPr>
        <w:pStyle w:val="28"/>
        <w:rPr>
          <w:rFonts w:hint="eastAsia" w:ascii="宋体" w:hAnsi="宋体" w:eastAsia="宋体" w:cs="宋体"/>
          <w:b/>
          <w:bCs/>
          <w:color w:val="auto"/>
          <w:sz w:val="24"/>
          <w:highlight w:val="none"/>
        </w:rPr>
      </w:pPr>
    </w:p>
    <w:p w14:paraId="250D857E">
      <w:pPr>
        <w:pStyle w:val="28"/>
        <w:rPr>
          <w:rFonts w:hint="eastAsia" w:ascii="宋体" w:hAnsi="宋体" w:eastAsia="宋体" w:cs="宋体"/>
          <w:b/>
          <w:bCs/>
          <w:color w:val="auto"/>
          <w:sz w:val="24"/>
          <w:highlight w:val="none"/>
        </w:rPr>
      </w:pPr>
    </w:p>
    <w:p w14:paraId="4BCDE719">
      <w:pPr>
        <w:pStyle w:val="28"/>
        <w:rPr>
          <w:rFonts w:hint="eastAsia" w:ascii="宋体" w:hAnsi="宋体" w:eastAsia="宋体" w:cs="宋体"/>
          <w:b/>
          <w:bCs/>
          <w:color w:val="auto"/>
          <w:sz w:val="24"/>
          <w:highlight w:val="none"/>
        </w:rPr>
      </w:pPr>
    </w:p>
    <w:p w14:paraId="472ECB88">
      <w:pPr>
        <w:pStyle w:val="28"/>
        <w:rPr>
          <w:rFonts w:hint="eastAsia" w:ascii="宋体" w:hAnsi="宋体" w:eastAsia="宋体" w:cs="宋体"/>
          <w:b/>
          <w:bCs/>
          <w:color w:val="auto"/>
          <w:sz w:val="24"/>
          <w:highlight w:val="none"/>
        </w:rPr>
      </w:pPr>
    </w:p>
    <w:p w14:paraId="052DBB0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bCs/>
          <w:snapToGrid w:val="0"/>
          <w:color w:val="auto"/>
          <w:kern w:val="0"/>
          <w:sz w:val="28"/>
          <w:szCs w:val="28"/>
          <w:highlight w:val="none"/>
        </w:rPr>
      </w:pPr>
      <w:bookmarkStart w:id="983" w:name="_Toc13012"/>
      <w:bookmarkStart w:id="984" w:name="_Toc23302"/>
      <w:bookmarkStart w:id="985" w:name="_Toc2499"/>
      <w:bookmarkStart w:id="986" w:name="_Toc2272"/>
      <w:bookmarkStart w:id="987" w:name="_Toc23700"/>
      <w:bookmarkStart w:id="988" w:name="_Toc11814"/>
    </w:p>
    <w:p w14:paraId="58ABD6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bCs/>
          <w:snapToGrid w:val="0"/>
          <w:color w:val="auto"/>
          <w:kern w:val="0"/>
          <w:sz w:val="28"/>
          <w:szCs w:val="28"/>
          <w:highlight w:val="none"/>
        </w:rPr>
      </w:pPr>
      <w:r>
        <w:rPr>
          <w:rFonts w:hint="eastAsia" w:ascii="宋体" w:hAnsi="宋体" w:eastAsia="宋体" w:cs="宋体"/>
          <w:b/>
          <w:bCs/>
          <w:snapToGrid w:val="0"/>
          <w:color w:val="auto"/>
          <w:kern w:val="0"/>
          <w:sz w:val="28"/>
          <w:szCs w:val="28"/>
          <w:highlight w:val="none"/>
        </w:rPr>
        <w:t>（</w:t>
      </w:r>
      <w:r>
        <w:rPr>
          <w:rFonts w:hint="eastAsia" w:ascii="宋体" w:hAnsi="宋体" w:eastAsia="宋体" w:cs="宋体"/>
          <w:b/>
          <w:bCs/>
          <w:snapToGrid w:val="0"/>
          <w:color w:val="auto"/>
          <w:kern w:val="0"/>
          <w:sz w:val="28"/>
          <w:szCs w:val="28"/>
          <w:highlight w:val="none"/>
          <w:lang w:eastAsia="zh-CN"/>
        </w:rPr>
        <w:t>四</w:t>
      </w:r>
      <w:r>
        <w:rPr>
          <w:rFonts w:hint="eastAsia" w:ascii="宋体" w:hAnsi="宋体" w:eastAsia="宋体" w:cs="宋体"/>
          <w:b/>
          <w:bCs/>
          <w:snapToGrid w:val="0"/>
          <w:color w:val="auto"/>
          <w:kern w:val="0"/>
          <w:sz w:val="28"/>
          <w:szCs w:val="28"/>
          <w:highlight w:val="none"/>
        </w:rPr>
        <w:t>）</w:t>
      </w:r>
      <w:r>
        <w:rPr>
          <w:rFonts w:hint="eastAsia" w:ascii="宋体" w:hAnsi="宋体" w:eastAsia="宋体" w:cs="宋体"/>
          <w:b/>
          <w:bCs/>
          <w:snapToGrid w:val="0"/>
          <w:color w:val="auto"/>
          <w:kern w:val="0"/>
          <w:sz w:val="28"/>
          <w:szCs w:val="28"/>
          <w:highlight w:val="none"/>
          <w:lang w:eastAsia="zh-CN"/>
        </w:rPr>
        <w:t>供应商</w:t>
      </w:r>
      <w:r>
        <w:rPr>
          <w:rFonts w:hint="eastAsia" w:ascii="宋体" w:hAnsi="宋体" w:eastAsia="宋体" w:cs="宋体"/>
          <w:b/>
          <w:bCs/>
          <w:snapToGrid w:val="0"/>
          <w:color w:val="auto"/>
          <w:kern w:val="0"/>
          <w:sz w:val="28"/>
          <w:szCs w:val="28"/>
          <w:highlight w:val="none"/>
        </w:rPr>
        <w:t>认为资格审查还需提供的其他材料</w:t>
      </w:r>
      <w:bookmarkEnd w:id="983"/>
      <w:bookmarkEnd w:id="984"/>
      <w:bookmarkEnd w:id="985"/>
      <w:bookmarkEnd w:id="986"/>
      <w:bookmarkEnd w:id="987"/>
      <w:bookmarkEnd w:id="988"/>
    </w:p>
    <w:p w14:paraId="693C62EB">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C7C176A">
      <w:pPr>
        <w:rPr>
          <w:rFonts w:hint="eastAsia" w:ascii="宋体" w:hAnsi="宋体" w:eastAsia="宋体" w:cs="宋体"/>
          <w:bCs w:val="0"/>
          <w:color w:val="auto"/>
          <w:sz w:val="28"/>
          <w:szCs w:val="28"/>
          <w:highlight w:val="none"/>
        </w:rPr>
      </w:pPr>
    </w:p>
    <w:p w14:paraId="2261E5D1">
      <w:pPr>
        <w:pStyle w:val="2"/>
        <w:rPr>
          <w:rFonts w:hint="eastAsia" w:ascii="宋体" w:hAnsi="宋体" w:eastAsia="宋体" w:cs="宋体"/>
          <w:bCs w:val="0"/>
          <w:color w:val="auto"/>
          <w:sz w:val="28"/>
          <w:szCs w:val="28"/>
          <w:highlight w:val="none"/>
        </w:rPr>
      </w:pPr>
    </w:p>
    <w:p w14:paraId="64130409">
      <w:pPr>
        <w:pStyle w:val="2"/>
        <w:rPr>
          <w:rFonts w:hint="eastAsia" w:ascii="宋体" w:hAnsi="宋体" w:eastAsia="宋体" w:cs="宋体"/>
          <w:bCs w:val="0"/>
          <w:color w:val="auto"/>
          <w:sz w:val="28"/>
          <w:szCs w:val="28"/>
          <w:highlight w:val="none"/>
        </w:rPr>
      </w:pPr>
    </w:p>
    <w:p w14:paraId="3C2BE59B">
      <w:pPr>
        <w:pStyle w:val="2"/>
        <w:rPr>
          <w:rFonts w:hint="eastAsia" w:ascii="宋体" w:hAnsi="宋体" w:eastAsia="宋体" w:cs="宋体"/>
          <w:bCs w:val="0"/>
          <w:color w:val="auto"/>
          <w:sz w:val="28"/>
          <w:szCs w:val="28"/>
          <w:highlight w:val="none"/>
        </w:rPr>
      </w:pPr>
    </w:p>
    <w:p w14:paraId="4074321A">
      <w:pPr>
        <w:pStyle w:val="2"/>
        <w:rPr>
          <w:rFonts w:hint="eastAsia" w:ascii="宋体" w:hAnsi="宋体" w:eastAsia="宋体" w:cs="宋体"/>
          <w:bCs w:val="0"/>
          <w:color w:val="auto"/>
          <w:sz w:val="28"/>
          <w:szCs w:val="28"/>
          <w:highlight w:val="none"/>
        </w:rPr>
      </w:pPr>
    </w:p>
    <w:p w14:paraId="57B69A74">
      <w:pPr>
        <w:pStyle w:val="2"/>
        <w:rPr>
          <w:rFonts w:hint="eastAsia" w:ascii="宋体" w:hAnsi="宋体" w:eastAsia="宋体" w:cs="宋体"/>
          <w:bCs w:val="0"/>
          <w:color w:val="auto"/>
          <w:sz w:val="28"/>
          <w:szCs w:val="28"/>
          <w:highlight w:val="none"/>
        </w:rPr>
      </w:pPr>
    </w:p>
    <w:p w14:paraId="631419E3">
      <w:pPr>
        <w:pStyle w:val="2"/>
        <w:rPr>
          <w:rFonts w:hint="eastAsia" w:ascii="宋体" w:hAnsi="宋体" w:eastAsia="宋体" w:cs="宋体"/>
          <w:bCs w:val="0"/>
          <w:color w:val="auto"/>
          <w:sz w:val="28"/>
          <w:szCs w:val="28"/>
          <w:highlight w:val="none"/>
        </w:rPr>
      </w:pPr>
    </w:p>
    <w:p w14:paraId="2D84C61E">
      <w:pPr>
        <w:pStyle w:val="2"/>
        <w:rPr>
          <w:rFonts w:hint="eastAsia" w:ascii="宋体" w:hAnsi="宋体" w:eastAsia="宋体" w:cs="宋体"/>
          <w:bCs w:val="0"/>
          <w:color w:val="auto"/>
          <w:sz w:val="28"/>
          <w:szCs w:val="28"/>
          <w:highlight w:val="none"/>
        </w:rPr>
      </w:pPr>
    </w:p>
    <w:p w14:paraId="085F3B77">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05305C72">
      <w:pPr>
        <w:rPr>
          <w:rFonts w:hint="eastAsia" w:ascii="宋体" w:hAnsi="宋体" w:eastAsia="宋体" w:cs="宋体"/>
          <w:bCs w:val="0"/>
          <w:color w:val="auto"/>
          <w:sz w:val="28"/>
          <w:szCs w:val="28"/>
          <w:highlight w:val="none"/>
        </w:rPr>
      </w:pPr>
    </w:p>
    <w:p w14:paraId="7F72C621">
      <w:pPr>
        <w:pStyle w:val="2"/>
        <w:rPr>
          <w:rFonts w:hint="eastAsia" w:ascii="宋体" w:hAnsi="宋体" w:eastAsia="宋体" w:cs="宋体"/>
          <w:bCs w:val="0"/>
          <w:color w:val="auto"/>
          <w:sz w:val="28"/>
          <w:szCs w:val="28"/>
          <w:highlight w:val="none"/>
        </w:rPr>
      </w:pPr>
    </w:p>
    <w:p w14:paraId="7D2F49D2">
      <w:pPr>
        <w:pStyle w:val="2"/>
        <w:rPr>
          <w:rFonts w:hint="eastAsia" w:ascii="宋体" w:hAnsi="宋体" w:eastAsia="宋体" w:cs="宋体"/>
          <w:bCs w:val="0"/>
          <w:color w:val="auto"/>
          <w:sz w:val="28"/>
          <w:szCs w:val="28"/>
          <w:highlight w:val="none"/>
        </w:rPr>
      </w:pPr>
    </w:p>
    <w:p w14:paraId="131B4D3B">
      <w:pPr>
        <w:pStyle w:val="2"/>
        <w:rPr>
          <w:rFonts w:hint="eastAsia" w:ascii="宋体" w:hAnsi="宋体" w:eastAsia="宋体" w:cs="宋体"/>
          <w:bCs w:val="0"/>
          <w:color w:val="auto"/>
          <w:sz w:val="28"/>
          <w:szCs w:val="28"/>
          <w:highlight w:val="none"/>
        </w:rPr>
      </w:pPr>
    </w:p>
    <w:p w14:paraId="630F2671">
      <w:pPr>
        <w:pStyle w:val="2"/>
        <w:rPr>
          <w:rFonts w:hint="eastAsia" w:ascii="宋体" w:hAnsi="宋体" w:eastAsia="宋体" w:cs="宋体"/>
          <w:bCs w:val="0"/>
          <w:color w:val="auto"/>
          <w:sz w:val="28"/>
          <w:szCs w:val="28"/>
          <w:highlight w:val="none"/>
        </w:rPr>
      </w:pPr>
    </w:p>
    <w:p w14:paraId="68F1DE86">
      <w:pPr>
        <w:pStyle w:val="2"/>
        <w:rPr>
          <w:rFonts w:hint="eastAsia" w:ascii="宋体" w:hAnsi="宋体" w:eastAsia="宋体" w:cs="宋体"/>
          <w:bCs w:val="0"/>
          <w:color w:val="auto"/>
          <w:sz w:val="28"/>
          <w:szCs w:val="28"/>
          <w:highlight w:val="none"/>
        </w:rPr>
      </w:pPr>
    </w:p>
    <w:p w14:paraId="34A37CA8">
      <w:pPr>
        <w:pStyle w:val="2"/>
        <w:rPr>
          <w:rFonts w:hint="eastAsia" w:ascii="宋体" w:hAnsi="宋体" w:eastAsia="宋体" w:cs="宋体"/>
          <w:bCs w:val="0"/>
          <w:color w:val="auto"/>
          <w:sz w:val="28"/>
          <w:szCs w:val="28"/>
          <w:highlight w:val="none"/>
        </w:rPr>
      </w:pPr>
    </w:p>
    <w:p w14:paraId="49CFD0D5">
      <w:pPr>
        <w:pStyle w:val="4"/>
        <w:tabs>
          <w:tab w:val="left" w:pos="2922"/>
          <w:tab w:val="center" w:pos="5440"/>
        </w:tabs>
        <w:spacing w:before="0" w:after="0" w:line="360" w:lineRule="auto"/>
        <w:jc w:val="both"/>
        <w:outlineLvl w:val="9"/>
        <w:rPr>
          <w:rFonts w:hint="eastAsia" w:ascii="宋体" w:hAnsi="宋体" w:eastAsia="宋体" w:cs="宋体"/>
          <w:bCs w:val="0"/>
          <w:color w:val="auto"/>
          <w:sz w:val="28"/>
          <w:szCs w:val="28"/>
          <w:highlight w:val="none"/>
        </w:rPr>
      </w:pPr>
    </w:p>
    <w:p w14:paraId="7E139895">
      <w:pPr>
        <w:rPr>
          <w:rFonts w:hint="eastAsia"/>
          <w:color w:val="auto"/>
          <w:highlight w:val="none"/>
        </w:rPr>
      </w:pPr>
    </w:p>
    <w:p w14:paraId="3177F223">
      <w:pPr>
        <w:spacing w:line="360" w:lineRule="exact"/>
        <w:ind w:right="-250" w:rightChars="-119"/>
        <w:jc w:val="center"/>
        <w:outlineLvl w:val="1"/>
        <w:rPr>
          <w:rFonts w:hint="eastAsia" w:ascii="宋体" w:hAnsi="宋体" w:eastAsia="宋体" w:cs="宋体"/>
          <w:b/>
          <w:bCs/>
          <w:color w:val="auto"/>
          <w:sz w:val="30"/>
          <w:szCs w:val="30"/>
          <w:highlight w:val="none"/>
        </w:rPr>
      </w:pPr>
      <w:bookmarkStart w:id="989" w:name="_Toc31859"/>
      <w:bookmarkStart w:id="990" w:name="_Toc30698"/>
      <w:bookmarkStart w:id="991" w:name="_Toc21662"/>
      <w:bookmarkStart w:id="992" w:name="_Toc17541"/>
      <w:bookmarkStart w:id="993" w:name="_Toc32071"/>
      <w:bookmarkStart w:id="994" w:name="_Toc944"/>
      <w:r>
        <w:rPr>
          <w:rFonts w:hint="eastAsia" w:ascii="宋体" w:hAnsi="宋体" w:cs="宋体"/>
          <w:b/>
          <w:bCs/>
          <w:color w:val="auto"/>
          <w:sz w:val="30"/>
          <w:szCs w:val="30"/>
          <w:highlight w:val="none"/>
          <w:lang w:val="en-US" w:eastAsia="zh-CN" w:bidi="ar"/>
        </w:rPr>
        <w:t>六</w:t>
      </w:r>
      <w:r>
        <w:rPr>
          <w:rFonts w:hint="eastAsia" w:ascii="宋体" w:hAnsi="宋体" w:eastAsia="宋体" w:cs="宋体"/>
          <w:b/>
          <w:bCs/>
          <w:color w:val="auto"/>
          <w:sz w:val="30"/>
          <w:szCs w:val="30"/>
          <w:highlight w:val="none"/>
          <w:lang w:val="zh-CN" w:bidi="ar"/>
        </w:rPr>
        <w:t>、</w:t>
      </w:r>
      <w:r>
        <w:rPr>
          <w:rFonts w:hint="eastAsia" w:ascii="宋体" w:hAnsi="宋体" w:eastAsia="宋体" w:cs="宋体"/>
          <w:b/>
          <w:bCs/>
          <w:color w:val="auto"/>
          <w:sz w:val="30"/>
          <w:szCs w:val="30"/>
          <w:highlight w:val="none"/>
          <w:lang w:val="zh-CN"/>
        </w:rPr>
        <w:t>承诺书</w:t>
      </w:r>
      <w:bookmarkEnd w:id="989"/>
      <w:bookmarkEnd w:id="990"/>
      <w:bookmarkEnd w:id="991"/>
      <w:bookmarkEnd w:id="992"/>
      <w:bookmarkEnd w:id="993"/>
      <w:bookmarkEnd w:id="994"/>
    </w:p>
    <w:p w14:paraId="61A99F39">
      <w:pPr>
        <w:pStyle w:val="9"/>
        <w:widowControl/>
        <w:spacing w:line="440" w:lineRule="exact"/>
        <w:ind w:right="107" w:rightChars="51"/>
        <w:rPr>
          <w:rFonts w:hint="eastAsia" w:ascii="宋体" w:hAnsi="宋体" w:eastAsia="宋体" w:cs="宋体"/>
          <w:color w:val="auto"/>
          <w:highlight w:val="none"/>
        </w:rPr>
      </w:pPr>
    </w:p>
    <w:p w14:paraId="426C6A8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我公司参与</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u w:val="single"/>
        </w:rPr>
        <w:t xml:space="preserve"> （项目名称及编号）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项目的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，现作如下承诺：</w:t>
      </w:r>
    </w:p>
    <w:p w14:paraId="575F087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1、我公司参与此次</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活动所提交的所有资料都是合法、真实、有效的。</w:t>
      </w:r>
    </w:p>
    <w:p w14:paraId="4D5F4D1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2、不与其他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串通投标、围标，依法、依规公平竞争，不损害采购人或其他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的合法权益。</w:t>
      </w:r>
    </w:p>
    <w:p w14:paraId="531A8F6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3、不转让、出租、出借资质证书、人员岗位证书，不以法律、法规禁止的方式投标。</w:t>
      </w:r>
    </w:p>
    <w:p w14:paraId="51A7A77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4、不与采购人或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串通投标，不损害国家利益、社会公共利益或其他当事人的合法权益。</w:t>
      </w:r>
    </w:p>
    <w:p w14:paraId="1ED0AED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5、不向采购人、</w:t>
      </w:r>
      <w:r>
        <w:rPr>
          <w:rFonts w:hint="eastAsia" w:ascii="宋体" w:hAnsi="宋体" w:cs="宋体"/>
          <w:color w:val="auto"/>
          <w:sz w:val="24"/>
          <w:highlight w:val="none"/>
          <w:lang w:val="en-US" w:eastAsia="zh-CN"/>
        </w:rPr>
        <w:t>竞争性磋商小组</w:t>
      </w:r>
      <w:r>
        <w:rPr>
          <w:rFonts w:hint="eastAsia" w:ascii="宋体" w:hAnsi="宋体" w:eastAsia="宋体" w:cs="宋体"/>
          <w:color w:val="auto"/>
          <w:sz w:val="24"/>
          <w:highlight w:val="none"/>
        </w:rPr>
        <w:t>、监督人员行贿。</w:t>
      </w:r>
    </w:p>
    <w:p w14:paraId="290B53E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6、不扰乱</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活动正常秩序。</w:t>
      </w:r>
    </w:p>
    <w:p w14:paraId="048C837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7、不进行虚假恶意投诉。</w:t>
      </w:r>
    </w:p>
    <w:p w14:paraId="1B820EE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8、因违反法律、法规或相关规定被查处的，不干预案件查处。</w:t>
      </w:r>
    </w:p>
    <w:p w14:paraId="27F12FB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如违反以上承诺，甘愿接受监督管理部门、纪检监察机关或司法机关调查处理。违法、违规或不良行为事实成立的，本</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不再要求退还</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时所提交的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保证金，并承担相关责任。给采购人造成损失的，依法承担赔偿责任。</w:t>
      </w:r>
    </w:p>
    <w:p w14:paraId="5C95497A">
      <w:pPr>
        <w:spacing w:line="440" w:lineRule="exact"/>
        <w:ind w:right="107" w:rightChars="51"/>
        <w:rPr>
          <w:rFonts w:hint="eastAsia" w:ascii="宋体" w:hAnsi="宋体" w:eastAsia="宋体" w:cs="宋体"/>
          <w:color w:val="auto"/>
          <w:kern w:val="1"/>
          <w:sz w:val="36"/>
          <w:szCs w:val="22"/>
          <w:highlight w:val="none"/>
        </w:rPr>
      </w:pPr>
    </w:p>
    <w:p w14:paraId="34DB1D6F">
      <w:pPr>
        <w:spacing w:line="440" w:lineRule="exact"/>
        <w:ind w:right="107" w:rightChars="51" w:firstLine="360"/>
        <w:rPr>
          <w:rFonts w:hint="eastAsia" w:ascii="宋体" w:hAnsi="宋体" w:eastAsia="宋体" w:cs="宋体"/>
          <w:color w:val="auto"/>
          <w:kern w:val="1"/>
          <w:sz w:val="24"/>
          <w:szCs w:val="22"/>
          <w:highlight w:val="none"/>
          <w:lang w:bidi="ar"/>
        </w:rPr>
      </w:pPr>
    </w:p>
    <w:p w14:paraId="3CD51D80">
      <w:pPr>
        <w:pStyle w:val="47"/>
        <w:rPr>
          <w:rFonts w:hint="eastAsia" w:ascii="宋体" w:hAnsi="宋体" w:eastAsia="宋体" w:cs="宋体"/>
          <w:color w:val="auto"/>
          <w:highlight w:val="none"/>
        </w:rPr>
      </w:pPr>
    </w:p>
    <w:p w14:paraId="1C838C28">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0A2281E0">
      <w:pPr>
        <w:spacing w:line="360" w:lineRule="exact"/>
        <w:ind w:right="-250" w:rightChars="-119"/>
        <w:rPr>
          <w:rFonts w:hint="eastAsia" w:ascii="宋体" w:hAnsi="宋体" w:eastAsia="宋体" w:cs="宋体"/>
          <w:color w:val="auto"/>
          <w:kern w:val="1"/>
          <w:sz w:val="24"/>
          <w:highlight w:val="none"/>
          <w:lang w:bidi="ar"/>
        </w:rPr>
      </w:pPr>
    </w:p>
    <w:p w14:paraId="72DB5D96">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5C8B185B">
      <w:pPr>
        <w:spacing w:line="360" w:lineRule="exact"/>
        <w:ind w:right="-250" w:rightChars="-119"/>
        <w:rPr>
          <w:rFonts w:hint="eastAsia" w:ascii="宋体" w:hAnsi="宋体" w:eastAsia="宋体" w:cs="宋体"/>
          <w:color w:val="auto"/>
          <w:kern w:val="1"/>
          <w:sz w:val="24"/>
          <w:highlight w:val="none"/>
          <w:lang w:bidi="ar"/>
        </w:rPr>
      </w:pPr>
    </w:p>
    <w:p w14:paraId="7C92076F">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日</w:t>
      </w:r>
    </w:p>
    <w:p w14:paraId="3298ADB3">
      <w:pPr>
        <w:spacing w:line="360" w:lineRule="exact"/>
        <w:ind w:right="-250" w:rightChars="-119"/>
        <w:rPr>
          <w:rFonts w:hint="eastAsia" w:ascii="宋体" w:hAnsi="宋体" w:eastAsia="宋体" w:cs="宋体"/>
          <w:color w:val="auto"/>
          <w:kern w:val="1"/>
          <w:sz w:val="24"/>
          <w:highlight w:val="none"/>
          <w:lang w:bidi="ar"/>
        </w:rPr>
      </w:pPr>
    </w:p>
    <w:p w14:paraId="01449A4A">
      <w:pPr>
        <w:spacing w:line="360" w:lineRule="exact"/>
        <w:ind w:right="-250" w:rightChars="-119"/>
        <w:rPr>
          <w:rFonts w:hint="eastAsia" w:ascii="宋体" w:hAnsi="宋体" w:eastAsia="宋体" w:cs="宋体"/>
          <w:color w:val="auto"/>
          <w:kern w:val="1"/>
          <w:sz w:val="24"/>
          <w:highlight w:val="none"/>
          <w:lang w:bidi="ar"/>
        </w:rPr>
      </w:pPr>
    </w:p>
    <w:p w14:paraId="11B22B82">
      <w:pPr>
        <w:spacing w:line="360" w:lineRule="exact"/>
        <w:ind w:right="-250" w:rightChars="-119"/>
        <w:rPr>
          <w:rFonts w:hint="eastAsia" w:ascii="宋体" w:hAnsi="宋体" w:eastAsia="宋体" w:cs="宋体"/>
          <w:color w:val="auto"/>
          <w:kern w:val="1"/>
          <w:sz w:val="24"/>
          <w:highlight w:val="none"/>
          <w:lang w:bidi="ar"/>
        </w:rPr>
      </w:pPr>
    </w:p>
    <w:p w14:paraId="7965ED6B">
      <w:pPr>
        <w:spacing w:line="360" w:lineRule="exact"/>
        <w:ind w:right="-250" w:rightChars="-119"/>
        <w:rPr>
          <w:rFonts w:hint="eastAsia" w:ascii="宋体" w:hAnsi="宋体" w:eastAsia="宋体" w:cs="宋体"/>
          <w:color w:val="auto"/>
          <w:kern w:val="1"/>
          <w:sz w:val="24"/>
          <w:highlight w:val="none"/>
          <w:lang w:bidi="ar"/>
        </w:rPr>
      </w:pPr>
    </w:p>
    <w:p w14:paraId="419728A1">
      <w:pPr>
        <w:spacing w:line="360" w:lineRule="exact"/>
        <w:ind w:right="-250" w:rightChars="-119"/>
        <w:rPr>
          <w:rFonts w:hint="eastAsia" w:ascii="宋体" w:hAnsi="宋体" w:eastAsia="宋体" w:cs="宋体"/>
          <w:color w:val="auto"/>
          <w:kern w:val="1"/>
          <w:sz w:val="24"/>
          <w:highlight w:val="none"/>
          <w:lang w:bidi="ar"/>
        </w:rPr>
      </w:pPr>
    </w:p>
    <w:p w14:paraId="6D2A83BA">
      <w:pPr>
        <w:spacing w:line="360" w:lineRule="exact"/>
        <w:ind w:right="-250" w:rightChars="-119"/>
        <w:rPr>
          <w:rFonts w:hint="eastAsia" w:ascii="宋体" w:hAnsi="宋体" w:eastAsia="宋体" w:cs="宋体"/>
          <w:color w:val="auto"/>
          <w:kern w:val="1"/>
          <w:sz w:val="24"/>
          <w:highlight w:val="none"/>
          <w:lang w:bidi="ar"/>
        </w:rPr>
      </w:pPr>
    </w:p>
    <w:p w14:paraId="62FEC5BA">
      <w:pPr>
        <w:pStyle w:val="51"/>
        <w:framePr w:wrap="auto" w:vAnchor="margin" w:hAnchor="text" w:yAlign="inline"/>
        <w:spacing w:line="600" w:lineRule="exact"/>
        <w:jc w:val="center"/>
        <w:outlineLvl w:val="1"/>
        <w:rPr>
          <w:rFonts w:hint="default" w:ascii="宋体" w:hAnsi="宋体" w:eastAsia="宋体" w:cs="宋体"/>
          <w:b/>
          <w:color w:val="auto"/>
          <w:kern w:val="1"/>
          <w:sz w:val="30"/>
          <w:szCs w:val="30"/>
          <w:highlight w:val="none"/>
          <w:lang w:val="en-US" w:eastAsia="zh-CN" w:bidi="ar"/>
        </w:rPr>
      </w:pPr>
      <w:bookmarkStart w:id="995" w:name="_Toc8532"/>
      <w:bookmarkStart w:id="996" w:name="_Toc5458"/>
      <w:bookmarkStart w:id="997" w:name="_Toc11113"/>
      <w:bookmarkStart w:id="998" w:name="_Toc27371"/>
      <w:bookmarkStart w:id="999" w:name="_Toc8664"/>
      <w:r>
        <w:rPr>
          <w:rFonts w:hint="eastAsia" w:ascii="宋体" w:hAnsi="宋体" w:eastAsia="宋体" w:cs="宋体"/>
          <w:b/>
          <w:color w:val="auto"/>
          <w:kern w:val="1"/>
          <w:sz w:val="30"/>
          <w:szCs w:val="30"/>
          <w:highlight w:val="none"/>
          <w:lang w:val="en-US" w:eastAsia="zh-CN" w:bidi="ar"/>
        </w:rPr>
        <w:t>七</w:t>
      </w:r>
      <w:r>
        <w:rPr>
          <w:rFonts w:hint="eastAsia" w:ascii="宋体" w:hAnsi="宋体" w:eastAsia="宋体" w:cs="宋体"/>
          <w:b/>
          <w:color w:val="auto"/>
          <w:kern w:val="1"/>
          <w:sz w:val="30"/>
          <w:szCs w:val="30"/>
          <w:highlight w:val="none"/>
          <w:lang w:val="zh-TW" w:eastAsia="zh-CN" w:bidi="ar"/>
        </w:rPr>
        <w:t>、</w:t>
      </w:r>
      <w:bookmarkEnd w:id="995"/>
      <w:bookmarkEnd w:id="996"/>
      <w:bookmarkEnd w:id="997"/>
      <w:r>
        <w:rPr>
          <w:rFonts w:hint="eastAsia" w:ascii="宋体" w:hAnsi="宋体" w:eastAsia="宋体" w:cs="宋体"/>
          <w:b/>
          <w:color w:val="auto"/>
          <w:kern w:val="1"/>
          <w:sz w:val="30"/>
          <w:szCs w:val="30"/>
          <w:highlight w:val="none"/>
          <w:lang w:val="en-US" w:eastAsia="zh-CN" w:bidi="ar"/>
        </w:rPr>
        <w:t>技术方案</w:t>
      </w:r>
      <w:bookmarkEnd w:id="998"/>
      <w:bookmarkEnd w:id="999"/>
    </w:p>
    <w:p w14:paraId="50D7E47D">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请各供应商认真查看竞争性磋商文件第</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章“评审办法”详细评审标准，结合自身情况编制</w:t>
      </w:r>
      <w:r>
        <w:rPr>
          <w:rFonts w:hint="eastAsia" w:ascii="宋体" w:hAnsi="宋体" w:eastAsia="宋体" w:cs="宋体"/>
          <w:color w:val="auto"/>
          <w:sz w:val="24"/>
          <w:highlight w:val="none"/>
          <w:lang w:val="en-US" w:eastAsia="zh-CN"/>
        </w:rPr>
        <w:t>技术方案</w:t>
      </w:r>
      <w:r>
        <w:rPr>
          <w:rFonts w:hint="eastAsia" w:ascii="宋体" w:hAnsi="宋体" w:eastAsia="宋体" w:cs="宋体"/>
          <w:color w:val="auto"/>
          <w:sz w:val="24"/>
          <w:highlight w:val="none"/>
        </w:rPr>
        <w:t>及目录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包括但不限于以下内容：</w:t>
      </w:r>
    </w:p>
    <w:p w14:paraId="103B0E22">
      <w:pPr>
        <w:keepNext w:val="0"/>
        <w:keepLines w:val="0"/>
        <w:pageBreakBefore w:val="0"/>
        <w:widowControl w:val="0"/>
        <w:numPr>
          <w:ilvl w:val="0"/>
          <w:numId w:val="1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对项目的理解、重难点分析及合理化建议</w:t>
      </w:r>
    </w:p>
    <w:p w14:paraId="2063ED86">
      <w:pPr>
        <w:keepNext w:val="0"/>
        <w:keepLines w:val="0"/>
        <w:pageBreakBefore w:val="0"/>
        <w:widowControl w:val="0"/>
        <w:numPr>
          <w:ilvl w:val="0"/>
          <w:numId w:val="1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施工技术方案</w:t>
      </w:r>
    </w:p>
    <w:p w14:paraId="714F003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rPr>
        <w:t>质量保证措施及承诺</w:t>
      </w:r>
    </w:p>
    <w:p w14:paraId="46F8B878">
      <w:pPr>
        <w:keepNext w:val="0"/>
        <w:keepLines w:val="0"/>
        <w:pageBreakBefore w:val="0"/>
        <w:widowControl w:val="0"/>
        <w:numPr>
          <w:ilvl w:val="0"/>
          <w:numId w:val="0"/>
        </w:numPr>
        <w:tabs>
          <w:tab w:val="center" w:pos="4153"/>
          <w:tab w:val="right" w:pos="8306"/>
        </w:tabs>
        <w:kinsoku/>
        <w:wordWrap/>
        <w:overflowPunct/>
        <w:topLinePunct w:val="0"/>
        <w:autoSpaceDE/>
        <w:autoSpaceDN/>
        <w:bidi w:val="0"/>
        <w:adjustRightInd/>
        <w:snapToGrid/>
        <w:spacing w:line="500" w:lineRule="exact"/>
        <w:ind w:left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环境保护安全管理体系与措施</w:t>
      </w:r>
    </w:p>
    <w:p w14:paraId="5F075181">
      <w:pPr>
        <w:keepNext w:val="0"/>
        <w:keepLines w:val="0"/>
        <w:pageBreakBefore w:val="0"/>
        <w:widowControl w:val="0"/>
        <w:numPr>
          <w:ilvl w:val="0"/>
          <w:numId w:val="0"/>
        </w:numPr>
        <w:tabs>
          <w:tab w:val="center" w:pos="4153"/>
          <w:tab w:val="right" w:pos="8306"/>
        </w:tabs>
        <w:kinsoku/>
        <w:wordWrap/>
        <w:overflowPunct/>
        <w:topLinePunct w:val="0"/>
        <w:autoSpaceDE/>
        <w:autoSpaceDN/>
        <w:bidi w:val="0"/>
        <w:adjustRightInd/>
        <w:snapToGrid/>
        <w:spacing w:line="500" w:lineRule="exact"/>
        <w:ind w:left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工程进度计划</w:t>
      </w:r>
    </w:p>
    <w:p w14:paraId="1EBEC7BA">
      <w:pPr>
        <w:keepNext w:val="0"/>
        <w:keepLines w:val="0"/>
        <w:pageBreakBefore w:val="0"/>
        <w:widowControl w:val="0"/>
        <w:tabs>
          <w:tab w:val="center" w:pos="4153"/>
          <w:tab w:val="right" w:pos="8306"/>
        </w:tabs>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资源配备计划</w:t>
      </w:r>
    </w:p>
    <w:p w14:paraId="66A5100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项目管理机构配置</w:t>
      </w:r>
    </w:p>
    <w:p w14:paraId="043B383B">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bookmarkStart w:id="1000" w:name="_Toc25442"/>
      <w:bookmarkStart w:id="1001" w:name="_Toc31973"/>
      <w:bookmarkStart w:id="1002" w:name="_Toc4074"/>
      <w:bookmarkStart w:id="1003" w:name="_Toc8925"/>
    </w:p>
    <w:p w14:paraId="198C4BEC">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26C447FC">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4549B34D">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1F0EE314">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01436E91">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44F12AD2">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0F6F29F9">
      <w:pPr>
        <w:keepNext w:val="0"/>
        <w:keepLines w:val="0"/>
        <w:pageBreakBefore w:val="0"/>
        <w:widowControl w:val="0"/>
        <w:kinsoku/>
        <w:wordWrap w:val="0"/>
        <w:overflowPunct/>
        <w:topLinePunct w:val="0"/>
        <w:autoSpaceDE/>
        <w:autoSpaceDN/>
        <w:bidi w:val="0"/>
        <w:adjustRightInd/>
        <w:snapToGrid/>
        <w:spacing w:after="240" w:afterLines="100"/>
        <w:jc w:val="center"/>
        <w:textAlignment w:val="auto"/>
        <w:outlineLvl w:val="9"/>
        <w:rPr>
          <w:rFonts w:hint="eastAsia" w:ascii="宋体" w:hAnsi="宋体" w:cs="宋体"/>
          <w:b/>
          <w:color w:val="auto"/>
          <w:kern w:val="1"/>
          <w:sz w:val="30"/>
          <w:szCs w:val="30"/>
          <w:highlight w:val="none"/>
          <w:lang w:val="en-US" w:eastAsia="zh-CN" w:bidi="ar"/>
        </w:rPr>
      </w:pPr>
    </w:p>
    <w:p w14:paraId="4D9AAFE6">
      <w:pPr>
        <w:keepNext w:val="0"/>
        <w:keepLines w:val="0"/>
        <w:pageBreakBefore w:val="0"/>
        <w:widowControl w:val="0"/>
        <w:kinsoku/>
        <w:wordWrap w:val="0"/>
        <w:overflowPunct/>
        <w:topLinePunct w:val="0"/>
        <w:autoSpaceDE/>
        <w:autoSpaceDN/>
        <w:bidi w:val="0"/>
        <w:adjustRightInd/>
        <w:snapToGrid/>
        <w:spacing w:after="240" w:afterLines="100"/>
        <w:jc w:val="both"/>
        <w:textAlignment w:val="auto"/>
        <w:outlineLvl w:val="9"/>
        <w:rPr>
          <w:rFonts w:hint="eastAsia" w:ascii="宋体" w:hAnsi="宋体" w:cs="宋体"/>
          <w:b/>
          <w:color w:val="auto"/>
          <w:kern w:val="1"/>
          <w:sz w:val="30"/>
          <w:szCs w:val="30"/>
          <w:highlight w:val="none"/>
          <w:lang w:val="en-US" w:eastAsia="zh-CN" w:bidi="ar"/>
        </w:rPr>
      </w:pPr>
    </w:p>
    <w:p w14:paraId="6511895E">
      <w:pPr>
        <w:pageBreakBefore w:val="0"/>
        <w:wordWrap w:val="0"/>
        <w:overflowPunct/>
        <w:spacing w:after="240" w:afterLines="100"/>
        <w:jc w:val="center"/>
        <w:outlineLvl w:val="1"/>
        <w:rPr>
          <w:rFonts w:hint="eastAsia" w:ascii="宋体" w:hAnsi="宋体" w:eastAsia="宋体" w:cs="宋体"/>
          <w:color w:val="auto"/>
          <w:sz w:val="30"/>
          <w:szCs w:val="30"/>
          <w:highlight w:val="none"/>
          <w:u w:val="single"/>
        </w:rPr>
      </w:pPr>
      <w:bookmarkStart w:id="1004" w:name="_Toc11385"/>
      <w:bookmarkStart w:id="1005" w:name="_Toc31340"/>
      <w:r>
        <w:rPr>
          <w:rFonts w:hint="eastAsia" w:ascii="宋体" w:hAnsi="宋体" w:cs="宋体"/>
          <w:b/>
          <w:color w:val="auto"/>
          <w:kern w:val="1"/>
          <w:sz w:val="30"/>
          <w:szCs w:val="30"/>
          <w:highlight w:val="none"/>
          <w:lang w:val="en-US" w:eastAsia="zh-CN" w:bidi="ar"/>
        </w:rPr>
        <w:t>八</w:t>
      </w:r>
      <w:r>
        <w:rPr>
          <w:rFonts w:hint="eastAsia" w:ascii="宋体" w:hAnsi="宋体" w:eastAsia="宋体" w:cs="宋体"/>
          <w:b/>
          <w:color w:val="auto"/>
          <w:kern w:val="1"/>
          <w:sz w:val="30"/>
          <w:szCs w:val="30"/>
          <w:highlight w:val="none"/>
          <w:lang w:bidi="ar"/>
        </w:rPr>
        <w:t>、</w:t>
      </w:r>
      <w:bookmarkEnd w:id="1000"/>
      <w:r>
        <w:rPr>
          <w:rFonts w:hint="eastAsia" w:ascii="宋体" w:hAnsi="宋体" w:eastAsia="宋体" w:cs="宋体"/>
          <w:b/>
          <w:color w:val="auto"/>
          <w:sz w:val="30"/>
          <w:szCs w:val="30"/>
          <w:highlight w:val="none"/>
          <w:lang w:eastAsia="zh-CN"/>
        </w:rPr>
        <w:t>近三年已完成的类似项目情况表</w:t>
      </w:r>
      <w:bookmarkEnd w:id="1001"/>
      <w:bookmarkEnd w:id="1002"/>
      <w:bookmarkEnd w:id="1003"/>
      <w:bookmarkEnd w:id="1004"/>
      <w:bookmarkEnd w:id="1005"/>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1173"/>
        <w:gridCol w:w="1599"/>
        <w:gridCol w:w="1601"/>
        <w:gridCol w:w="1599"/>
        <w:gridCol w:w="1600"/>
        <w:gridCol w:w="1602"/>
      </w:tblGrid>
      <w:tr w14:paraId="0C6EAC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46" w:hRule="atLeast"/>
          <w:jc w:val="center"/>
        </w:trPr>
        <w:tc>
          <w:tcPr>
            <w:tcW w:w="639" w:type="pct"/>
            <w:tcBorders>
              <w:top w:val="single" w:color="auto" w:sz="4" w:space="0"/>
            </w:tcBorders>
            <w:vAlign w:val="center"/>
          </w:tcPr>
          <w:p w14:paraId="7A0FB744">
            <w:pPr>
              <w:pageBreakBefore w:val="0"/>
              <w:wordWrap w:val="0"/>
              <w:overflowPunct/>
              <w:spacing w:line="400" w:lineRule="exact"/>
              <w:ind w:firstLine="120" w:firstLineChars="5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871" w:type="pct"/>
            <w:vAlign w:val="center"/>
          </w:tcPr>
          <w:p w14:paraId="082FD0FC">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872" w:type="pct"/>
            <w:vAlign w:val="center"/>
          </w:tcPr>
          <w:p w14:paraId="650A0EA5">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名称</w:t>
            </w:r>
          </w:p>
        </w:tc>
        <w:tc>
          <w:tcPr>
            <w:tcW w:w="871" w:type="pct"/>
            <w:vAlign w:val="center"/>
          </w:tcPr>
          <w:p w14:paraId="3431AAB4">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完成时间</w:t>
            </w:r>
          </w:p>
        </w:tc>
        <w:tc>
          <w:tcPr>
            <w:tcW w:w="871" w:type="pct"/>
            <w:vAlign w:val="center"/>
          </w:tcPr>
          <w:p w14:paraId="258726C8">
            <w:pPr>
              <w:pageBreakBefore w:val="0"/>
              <w:wordWrap w:val="0"/>
              <w:overflowPunct/>
              <w:spacing w:line="400" w:lineRule="exact"/>
              <w:ind w:firstLine="120" w:firstLineChars="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合同金额</w:t>
            </w:r>
          </w:p>
        </w:tc>
        <w:tc>
          <w:tcPr>
            <w:tcW w:w="872" w:type="pct"/>
            <w:tcBorders>
              <w:left w:val="single" w:color="auto" w:sz="4" w:space="0"/>
            </w:tcBorders>
            <w:vAlign w:val="center"/>
          </w:tcPr>
          <w:p w14:paraId="2E98BE62">
            <w:pPr>
              <w:pageBreakBefore w:val="0"/>
              <w:wordWrap w:val="0"/>
              <w:overflowPunc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备注</w:t>
            </w:r>
          </w:p>
        </w:tc>
      </w:tr>
      <w:tr w14:paraId="625B54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15DC826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2231ED6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129046A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1957BE3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59024F0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39FB4E7A">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749CA8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53A37AD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271B201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685C80D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30F949D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35D5AC5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114E383A">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210EF6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5915002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0F123A47">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09B29B5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0A935C2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1957A13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0FE8ED08">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0626AF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0A7541A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right w:val="single" w:color="auto" w:sz="4" w:space="0"/>
            </w:tcBorders>
            <w:vAlign w:val="center"/>
          </w:tcPr>
          <w:p w14:paraId="54F2BE8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402B1AD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3DAAEB0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3BA4832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2FD11659">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223030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tcBorders>
              <w:right w:val="single" w:color="auto" w:sz="4" w:space="0"/>
            </w:tcBorders>
            <w:vAlign w:val="center"/>
          </w:tcPr>
          <w:p w14:paraId="28AAF7D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left w:val="single" w:color="auto" w:sz="4" w:space="0"/>
              <w:right w:val="single" w:color="auto" w:sz="4" w:space="0"/>
            </w:tcBorders>
            <w:vAlign w:val="center"/>
          </w:tcPr>
          <w:p w14:paraId="300151C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right w:val="single" w:color="auto" w:sz="4" w:space="0"/>
            </w:tcBorders>
            <w:vAlign w:val="center"/>
          </w:tcPr>
          <w:p w14:paraId="377A38B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left w:val="single" w:color="auto" w:sz="4" w:space="0"/>
              <w:right w:val="single" w:color="auto" w:sz="4" w:space="0"/>
            </w:tcBorders>
            <w:vAlign w:val="center"/>
          </w:tcPr>
          <w:p w14:paraId="0CEFC78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left w:val="single" w:color="auto" w:sz="4" w:space="0"/>
              <w:right w:val="single" w:color="auto" w:sz="4" w:space="0"/>
            </w:tcBorders>
            <w:vAlign w:val="center"/>
          </w:tcPr>
          <w:p w14:paraId="4261BD6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38A0A17F">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4915A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38F73D9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09B8FA9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1A0B1FC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071657C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right w:val="single" w:color="auto" w:sz="4" w:space="0"/>
            </w:tcBorders>
            <w:vAlign w:val="center"/>
          </w:tcPr>
          <w:p w14:paraId="0546D9C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663CEC8F">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DA0CE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7CBAD73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25B7A27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05775FA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54844E3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right w:val="single" w:color="auto" w:sz="4" w:space="0"/>
            </w:tcBorders>
            <w:vAlign w:val="center"/>
          </w:tcPr>
          <w:p w14:paraId="1143DEB7">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1789D3E3">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506F8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639" w:type="pct"/>
            <w:vAlign w:val="center"/>
          </w:tcPr>
          <w:p w14:paraId="1224E097">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3DAEA197">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vAlign w:val="center"/>
          </w:tcPr>
          <w:p w14:paraId="42FF7FB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vAlign w:val="center"/>
          </w:tcPr>
          <w:p w14:paraId="4BBC304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right w:val="single" w:color="auto" w:sz="4" w:space="0"/>
            </w:tcBorders>
            <w:vAlign w:val="center"/>
          </w:tcPr>
          <w:p w14:paraId="00FB810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tcBorders>
            <w:vAlign w:val="center"/>
          </w:tcPr>
          <w:p w14:paraId="16E2BBCE">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D02FD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76" w:hRule="atLeast"/>
          <w:jc w:val="center"/>
        </w:trPr>
        <w:tc>
          <w:tcPr>
            <w:tcW w:w="639" w:type="pct"/>
            <w:tcBorders>
              <w:bottom w:val="single" w:color="auto" w:sz="4" w:space="0"/>
            </w:tcBorders>
            <w:vAlign w:val="center"/>
          </w:tcPr>
          <w:p w14:paraId="090D8CB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bottom w:val="single" w:color="auto" w:sz="4" w:space="0"/>
            </w:tcBorders>
            <w:vAlign w:val="center"/>
          </w:tcPr>
          <w:p w14:paraId="0C4F9AF7">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bottom w:val="single" w:color="auto" w:sz="4" w:space="0"/>
            </w:tcBorders>
            <w:vAlign w:val="center"/>
          </w:tcPr>
          <w:p w14:paraId="39D28CF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bottom w:val="single" w:color="auto" w:sz="4" w:space="0"/>
            </w:tcBorders>
            <w:vAlign w:val="center"/>
          </w:tcPr>
          <w:p w14:paraId="20F6410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bottom w:val="single" w:color="auto" w:sz="4" w:space="0"/>
              <w:right w:val="single" w:color="auto" w:sz="4" w:space="0"/>
            </w:tcBorders>
            <w:vAlign w:val="center"/>
          </w:tcPr>
          <w:p w14:paraId="50AB17F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left w:val="single" w:color="auto" w:sz="4" w:space="0"/>
              <w:bottom w:val="single" w:color="auto" w:sz="4" w:space="0"/>
            </w:tcBorders>
            <w:vAlign w:val="center"/>
          </w:tcPr>
          <w:p w14:paraId="185FAB6B">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2F9041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639" w:type="pct"/>
            <w:tcBorders>
              <w:top w:val="single" w:color="auto" w:sz="4" w:space="0"/>
              <w:bottom w:val="single" w:color="auto" w:sz="4" w:space="0"/>
            </w:tcBorders>
            <w:vAlign w:val="center"/>
          </w:tcPr>
          <w:p w14:paraId="3A80FE0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4D28113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bottom w:val="single" w:color="auto" w:sz="4" w:space="0"/>
            </w:tcBorders>
            <w:vAlign w:val="center"/>
          </w:tcPr>
          <w:p w14:paraId="1FDA144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33DA490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right w:val="single" w:color="auto" w:sz="4" w:space="0"/>
            </w:tcBorders>
            <w:vAlign w:val="center"/>
          </w:tcPr>
          <w:p w14:paraId="3A39F7E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left w:val="single" w:color="auto" w:sz="4" w:space="0"/>
              <w:bottom w:val="single" w:color="auto" w:sz="4" w:space="0"/>
            </w:tcBorders>
            <w:vAlign w:val="center"/>
          </w:tcPr>
          <w:p w14:paraId="35A63CB4">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5FEE57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639" w:type="pct"/>
            <w:tcBorders>
              <w:top w:val="single" w:color="auto" w:sz="4" w:space="0"/>
              <w:bottom w:val="single" w:color="auto" w:sz="4" w:space="0"/>
            </w:tcBorders>
            <w:vAlign w:val="center"/>
          </w:tcPr>
          <w:p w14:paraId="1752869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0D5A112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bottom w:val="single" w:color="auto" w:sz="4" w:space="0"/>
            </w:tcBorders>
            <w:vAlign w:val="center"/>
          </w:tcPr>
          <w:p w14:paraId="47B7233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1A49529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right w:val="single" w:color="auto" w:sz="4" w:space="0"/>
            </w:tcBorders>
            <w:vAlign w:val="center"/>
          </w:tcPr>
          <w:p w14:paraId="75F18D7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left w:val="single" w:color="auto" w:sz="4" w:space="0"/>
              <w:bottom w:val="single" w:color="auto" w:sz="4" w:space="0"/>
            </w:tcBorders>
            <w:vAlign w:val="center"/>
          </w:tcPr>
          <w:p w14:paraId="7F442C83">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CEE83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4" w:hRule="atLeast"/>
          <w:jc w:val="center"/>
        </w:trPr>
        <w:tc>
          <w:tcPr>
            <w:tcW w:w="639" w:type="pct"/>
            <w:tcBorders>
              <w:top w:val="single" w:color="auto" w:sz="4" w:space="0"/>
              <w:bottom w:val="single" w:color="auto" w:sz="4" w:space="0"/>
            </w:tcBorders>
            <w:vAlign w:val="center"/>
          </w:tcPr>
          <w:p w14:paraId="4AA32FA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23A920E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bottom w:val="single" w:color="auto" w:sz="4" w:space="0"/>
            </w:tcBorders>
            <w:vAlign w:val="center"/>
          </w:tcPr>
          <w:p w14:paraId="312E57F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tcBorders>
            <w:vAlign w:val="center"/>
          </w:tcPr>
          <w:p w14:paraId="1686383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bottom w:val="single" w:color="auto" w:sz="4" w:space="0"/>
              <w:right w:val="single" w:color="auto" w:sz="4" w:space="0"/>
            </w:tcBorders>
            <w:vAlign w:val="center"/>
          </w:tcPr>
          <w:p w14:paraId="0841F18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left w:val="single" w:color="auto" w:sz="4" w:space="0"/>
              <w:bottom w:val="single" w:color="auto" w:sz="4" w:space="0"/>
            </w:tcBorders>
            <w:vAlign w:val="center"/>
          </w:tcPr>
          <w:p w14:paraId="7BDEC1AF">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5601EC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9" w:hRule="atLeast"/>
          <w:jc w:val="center"/>
        </w:trPr>
        <w:tc>
          <w:tcPr>
            <w:tcW w:w="639" w:type="pct"/>
            <w:tcBorders>
              <w:top w:val="single" w:color="auto" w:sz="4" w:space="0"/>
            </w:tcBorders>
            <w:vAlign w:val="center"/>
          </w:tcPr>
          <w:p w14:paraId="4EC4B73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tcBorders>
            <w:vAlign w:val="center"/>
          </w:tcPr>
          <w:p w14:paraId="6F32B1D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tcBorders>
            <w:vAlign w:val="center"/>
          </w:tcPr>
          <w:p w14:paraId="362F986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tcBorders>
            <w:vAlign w:val="center"/>
          </w:tcPr>
          <w:p w14:paraId="14A04B4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1" w:type="pct"/>
            <w:tcBorders>
              <w:top w:val="single" w:color="auto" w:sz="4" w:space="0"/>
              <w:right w:val="single" w:color="auto" w:sz="4" w:space="0"/>
            </w:tcBorders>
            <w:vAlign w:val="center"/>
          </w:tcPr>
          <w:p w14:paraId="1C3D365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872" w:type="pct"/>
            <w:tcBorders>
              <w:top w:val="single" w:color="auto" w:sz="4" w:space="0"/>
              <w:left w:val="single" w:color="auto" w:sz="4" w:space="0"/>
            </w:tcBorders>
            <w:vAlign w:val="center"/>
          </w:tcPr>
          <w:p w14:paraId="1CF1F01E">
            <w:pPr>
              <w:pageBreakBefore w:val="0"/>
              <w:wordWrap w:val="0"/>
              <w:overflowPunct/>
              <w:spacing w:line="400" w:lineRule="exact"/>
              <w:jc w:val="center"/>
              <w:rPr>
                <w:rFonts w:hint="eastAsia" w:ascii="宋体" w:hAnsi="宋体" w:eastAsia="宋体" w:cs="宋体"/>
                <w:bCs/>
                <w:color w:val="auto"/>
                <w:sz w:val="24"/>
                <w:szCs w:val="24"/>
                <w:highlight w:val="none"/>
              </w:rPr>
            </w:pPr>
          </w:p>
        </w:tc>
      </w:tr>
    </w:tbl>
    <w:p w14:paraId="3E4E4DA3">
      <w:pPr>
        <w:keepNext w:val="0"/>
        <w:keepLines w:val="0"/>
        <w:pageBreakBefore w:val="0"/>
        <w:widowControl w:val="0"/>
        <w:kinsoku/>
        <w:wordWrap w:val="0"/>
        <w:overflowPunct/>
        <w:topLinePunct w:val="0"/>
        <w:autoSpaceDE/>
        <w:autoSpaceDN/>
        <w:bidi w:val="0"/>
        <w:adjustRightInd/>
        <w:snapToGrid/>
        <w:spacing w:before="120" w:beforeLines="50"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近</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年是指</w:t>
      </w:r>
      <w:r>
        <w:rPr>
          <w:rFonts w:hint="eastAsia" w:ascii="宋体" w:hAnsi="宋体" w:cs="宋体"/>
          <w:color w:val="auto"/>
          <w:sz w:val="24"/>
          <w:szCs w:val="24"/>
          <w:highlight w:val="none"/>
          <w:lang w:val="en-US" w:eastAsia="zh-CN"/>
        </w:rPr>
        <w:t>2023</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lang w:eastAsia="zh-CN"/>
        </w:rPr>
        <w:t>月至今</w:t>
      </w:r>
      <w:r>
        <w:rPr>
          <w:rFonts w:hint="eastAsia" w:ascii="宋体" w:hAnsi="宋体" w:eastAsia="宋体" w:cs="宋体"/>
          <w:color w:val="auto"/>
          <w:sz w:val="24"/>
          <w:szCs w:val="24"/>
          <w:highlight w:val="none"/>
          <w:lang w:val="en-US" w:eastAsia="zh-CN"/>
        </w:rPr>
        <w:t>。</w:t>
      </w:r>
    </w:p>
    <w:p w14:paraId="430B2E52">
      <w:pPr>
        <w:pageBreakBefore w:val="0"/>
        <w:wordWrap w:val="0"/>
        <w:overflowPunct/>
        <w:spacing w:line="480" w:lineRule="exact"/>
        <w:ind w:firstLine="960" w:firstLineChars="40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本表后附</w:t>
      </w:r>
      <w:r>
        <w:rPr>
          <w:rFonts w:hint="eastAsia" w:ascii="宋体" w:hAnsi="宋体" w:eastAsia="宋体" w:cs="宋体"/>
          <w:color w:val="auto"/>
          <w:sz w:val="24"/>
          <w:szCs w:val="24"/>
          <w:highlight w:val="none"/>
          <w:lang w:val="zh-CN"/>
        </w:rPr>
        <w:t>中标（成交）通知书或合同协议书</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扫描件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具体以评审标准要求为准</w:t>
      </w:r>
      <w:r>
        <w:rPr>
          <w:rFonts w:hint="eastAsia" w:ascii="宋体" w:hAnsi="宋体" w:eastAsia="宋体" w:cs="宋体"/>
          <w:color w:val="auto"/>
          <w:sz w:val="24"/>
          <w:szCs w:val="24"/>
          <w:highlight w:val="none"/>
        </w:rPr>
        <w:t>。</w:t>
      </w:r>
    </w:p>
    <w:p w14:paraId="2AB8195E">
      <w:pPr>
        <w:widowControl/>
        <w:spacing w:line="600" w:lineRule="exact"/>
        <w:jc w:val="center"/>
        <w:rPr>
          <w:rFonts w:hint="eastAsia" w:ascii="宋体" w:hAnsi="宋体" w:eastAsia="宋体" w:cs="宋体"/>
          <w:color w:val="auto"/>
          <w:sz w:val="24"/>
          <w:highlight w:val="none"/>
        </w:rPr>
      </w:pPr>
    </w:p>
    <w:p w14:paraId="0377CD2F">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7DDD57BC">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325EC22B">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39DD3531">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11E920AF">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053A567A">
      <w:pPr>
        <w:spacing w:line="600" w:lineRule="exact"/>
        <w:ind w:right="15" w:rightChars="7"/>
        <w:jc w:val="center"/>
        <w:outlineLvl w:val="1"/>
        <w:rPr>
          <w:rFonts w:hint="eastAsia" w:ascii="宋体" w:hAnsi="宋体" w:eastAsia="宋体" w:cs="宋体"/>
          <w:color w:val="auto"/>
          <w:sz w:val="24"/>
          <w:highlight w:val="none"/>
        </w:rPr>
      </w:pPr>
      <w:bookmarkStart w:id="1006" w:name="_Toc9701"/>
      <w:bookmarkStart w:id="1007" w:name="_Toc6040"/>
      <w:bookmarkStart w:id="1008" w:name="_Toc22459"/>
      <w:bookmarkStart w:id="1009" w:name="_Toc24131"/>
      <w:bookmarkStart w:id="1010" w:name="_Toc15656"/>
      <w:bookmarkStart w:id="1011" w:name="_Toc21846"/>
      <w:bookmarkStart w:id="1012" w:name="_Toc13924"/>
      <w:bookmarkStart w:id="1013" w:name="_Toc23903"/>
      <w:r>
        <w:rPr>
          <w:rFonts w:hint="eastAsia" w:ascii="宋体" w:hAnsi="宋体" w:cs="宋体"/>
          <w:b/>
          <w:color w:val="auto"/>
          <w:kern w:val="1"/>
          <w:sz w:val="30"/>
          <w:szCs w:val="30"/>
          <w:highlight w:val="none"/>
          <w:lang w:val="en-US" w:eastAsia="zh-CN" w:bidi="ar"/>
        </w:rPr>
        <w:t>九</w:t>
      </w:r>
      <w:r>
        <w:rPr>
          <w:rFonts w:hint="eastAsia" w:ascii="宋体" w:hAnsi="宋体" w:eastAsia="宋体" w:cs="宋体"/>
          <w:b/>
          <w:color w:val="auto"/>
          <w:kern w:val="1"/>
          <w:sz w:val="30"/>
          <w:szCs w:val="30"/>
          <w:highlight w:val="none"/>
          <w:lang w:bidi="ar"/>
        </w:rPr>
        <w:t>、</w:t>
      </w:r>
      <w:r>
        <w:rPr>
          <w:rFonts w:hint="eastAsia" w:ascii="宋体" w:hAnsi="宋体" w:eastAsia="宋体" w:cs="宋体"/>
          <w:b/>
          <w:color w:val="auto"/>
          <w:kern w:val="1"/>
          <w:sz w:val="30"/>
          <w:szCs w:val="30"/>
          <w:highlight w:val="none"/>
          <w:lang w:eastAsia="zh-CN" w:bidi="ar"/>
        </w:rPr>
        <w:t>供应商</w:t>
      </w:r>
      <w:r>
        <w:rPr>
          <w:rFonts w:hint="eastAsia" w:ascii="宋体" w:hAnsi="宋体" w:eastAsia="宋体" w:cs="宋体"/>
          <w:b/>
          <w:color w:val="auto"/>
          <w:kern w:val="1"/>
          <w:sz w:val="30"/>
          <w:szCs w:val="30"/>
          <w:highlight w:val="none"/>
          <w:lang w:bidi="ar"/>
        </w:rPr>
        <w:t>认为需要</w:t>
      </w:r>
      <w:r>
        <w:rPr>
          <w:rFonts w:hint="eastAsia" w:ascii="宋体" w:hAnsi="宋体" w:eastAsia="宋体" w:cs="宋体"/>
          <w:b/>
          <w:color w:val="auto"/>
          <w:sz w:val="30"/>
          <w:szCs w:val="30"/>
          <w:highlight w:val="none"/>
        </w:rPr>
        <w:t>提供的其他相关资料</w:t>
      </w:r>
      <w:bookmarkEnd w:id="1006"/>
      <w:bookmarkEnd w:id="1007"/>
      <w:bookmarkEnd w:id="1008"/>
    </w:p>
    <w:p w14:paraId="527F36C7">
      <w:pPr>
        <w:keepNext/>
        <w:keepLines/>
        <w:pageBreakBefore w:val="0"/>
        <w:widowControl/>
        <w:tabs>
          <w:tab w:val="left" w:pos="576"/>
        </w:tabs>
        <w:kinsoku/>
        <w:wordWrap/>
        <w:overflowPunct/>
        <w:topLinePunct w:val="0"/>
        <w:autoSpaceDE/>
        <w:autoSpaceDN/>
        <w:bidi w:val="0"/>
        <w:adjustRightInd/>
        <w:snapToGrid/>
        <w:spacing w:before="240" w:line="416" w:lineRule="auto"/>
        <w:ind w:left="578" w:right="107" w:rightChars="51"/>
        <w:jc w:val="center"/>
        <w:textAlignment w:val="auto"/>
        <w:outlineLvl w:val="9"/>
        <w:rPr>
          <w:rFonts w:hint="eastAsia" w:ascii="宋体" w:hAnsi="宋体" w:eastAsia="宋体" w:cs="宋体"/>
          <w:color w:val="auto"/>
          <w:sz w:val="24"/>
          <w:highlight w:val="none"/>
        </w:rPr>
      </w:pPr>
      <w:bookmarkStart w:id="1014" w:name="_Toc8324"/>
      <w:bookmarkStart w:id="1015" w:name="_Toc29692"/>
      <w:bookmarkStart w:id="1016" w:name="_Toc23622"/>
      <w:bookmarkStart w:id="1017" w:name="_Toc14437"/>
      <w:bookmarkStart w:id="1018" w:name="_Toc20425"/>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根据</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要求及自身情况提供所需材料）</w:t>
      </w:r>
      <w:bookmarkEnd w:id="1014"/>
      <w:bookmarkEnd w:id="1015"/>
      <w:bookmarkEnd w:id="1016"/>
      <w:bookmarkEnd w:id="1017"/>
      <w:bookmarkEnd w:id="1018"/>
    </w:p>
    <w:p w14:paraId="688EB5F4">
      <w:pPr>
        <w:keepNext/>
        <w:keepLines/>
        <w:pageBreakBefore w:val="0"/>
        <w:widowControl/>
        <w:tabs>
          <w:tab w:val="left" w:pos="576"/>
        </w:tabs>
        <w:kinsoku/>
        <w:wordWrap/>
        <w:overflowPunct/>
        <w:topLinePunct w:val="0"/>
        <w:autoSpaceDE/>
        <w:autoSpaceDN/>
        <w:bidi w:val="0"/>
        <w:adjustRightInd/>
        <w:snapToGrid/>
        <w:spacing w:before="240" w:line="416" w:lineRule="auto"/>
        <w:ind w:left="578" w:right="107" w:rightChars="51"/>
        <w:jc w:val="center"/>
        <w:textAlignment w:val="auto"/>
        <w:outlineLvl w:val="9"/>
        <w:rPr>
          <w:rFonts w:hint="eastAsia" w:ascii="宋体" w:hAnsi="宋体" w:eastAsia="宋体" w:cs="宋体"/>
          <w:color w:val="auto"/>
          <w:sz w:val="24"/>
          <w:highlight w:val="none"/>
        </w:rPr>
      </w:pPr>
    </w:p>
    <w:p w14:paraId="1D5AF836">
      <w:pPr>
        <w:rPr>
          <w:rFonts w:hint="eastAsia" w:ascii="宋体" w:hAnsi="宋体" w:eastAsia="宋体" w:cs="宋体"/>
          <w:color w:val="auto"/>
          <w:sz w:val="24"/>
          <w:highlight w:val="none"/>
        </w:rPr>
      </w:pPr>
    </w:p>
    <w:p w14:paraId="051C28AE">
      <w:pPr>
        <w:rPr>
          <w:rFonts w:hint="eastAsia" w:ascii="宋体" w:hAnsi="宋体" w:eastAsia="宋体" w:cs="宋体"/>
          <w:color w:val="auto"/>
          <w:sz w:val="24"/>
          <w:highlight w:val="none"/>
        </w:rPr>
      </w:pPr>
    </w:p>
    <w:p w14:paraId="0BCCF7FF">
      <w:pPr>
        <w:rPr>
          <w:rFonts w:hint="eastAsia" w:ascii="宋体" w:hAnsi="宋体" w:eastAsia="宋体" w:cs="宋体"/>
          <w:color w:val="auto"/>
          <w:sz w:val="24"/>
          <w:highlight w:val="none"/>
        </w:rPr>
      </w:pPr>
    </w:p>
    <w:p w14:paraId="3DAB71BA">
      <w:pPr>
        <w:rPr>
          <w:rFonts w:hint="eastAsia" w:ascii="宋体" w:hAnsi="宋体" w:eastAsia="宋体" w:cs="宋体"/>
          <w:color w:val="auto"/>
          <w:sz w:val="24"/>
          <w:highlight w:val="none"/>
        </w:rPr>
      </w:pPr>
    </w:p>
    <w:p w14:paraId="04112E16">
      <w:pPr>
        <w:rPr>
          <w:rFonts w:hint="eastAsia" w:ascii="宋体" w:hAnsi="宋体" w:eastAsia="宋体" w:cs="宋体"/>
          <w:color w:val="auto"/>
          <w:sz w:val="24"/>
          <w:highlight w:val="none"/>
        </w:rPr>
      </w:pPr>
    </w:p>
    <w:p w14:paraId="4E23450A">
      <w:pPr>
        <w:rPr>
          <w:rFonts w:hint="eastAsia" w:ascii="宋体" w:hAnsi="宋体" w:eastAsia="宋体" w:cs="宋体"/>
          <w:color w:val="auto"/>
          <w:sz w:val="24"/>
          <w:highlight w:val="none"/>
        </w:rPr>
      </w:pPr>
    </w:p>
    <w:p w14:paraId="238B5CBA">
      <w:pPr>
        <w:rPr>
          <w:rFonts w:hint="eastAsia" w:ascii="宋体" w:hAnsi="宋体" w:eastAsia="宋体" w:cs="宋体"/>
          <w:color w:val="auto"/>
          <w:sz w:val="24"/>
          <w:highlight w:val="none"/>
        </w:rPr>
      </w:pPr>
    </w:p>
    <w:p w14:paraId="4EC96E74">
      <w:pPr>
        <w:rPr>
          <w:rFonts w:hint="eastAsia" w:ascii="宋体" w:hAnsi="宋体" w:eastAsia="宋体" w:cs="宋体"/>
          <w:color w:val="auto"/>
          <w:sz w:val="24"/>
          <w:highlight w:val="none"/>
        </w:rPr>
      </w:pPr>
    </w:p>
    <w:p w14:paraId="45DC734C">
      <w:pPr>
        <w:rPr>
          <w:rFonts w:hint="eastAsia" w:ascii="宋体" w:hAnsi="宋体" w:eastAsia="宋体" w:cs="宋体"/>
          <w:color w:val="auto"/>
          <w:sz w:val="24"/>
          <w:highlight w:val="none"/>
        </w:rPr>
      </w:pPr>
    </w:p>
    <w:p w14:paraId="2E944469">
      <w:pPr>
        <w:rPr>
          <w:rFonts w:hint="eastAsia" w:ascii="宋体" w:hAnsi="宋体" w:eastAsia="宋体" w:cs="宋体"/>
          <w:color w:val="auto"/>
          <w:sz w:val="24"/>
          <w:highlight w:val="none"/>
        </w:rPr>
      </w:pPr>
    </w:p>
    <w:p w14:paraId="37FAD6EE">
      <w:pPr>
        <w:rPr>
          <w:rFonts w:hint="eastAsia" w:ascii="宋体" w:hAnsi="宋体" w:eastAsia="宋体" w:cs="宋体"/>
          <w:color w:val="auto"/>
          <w:sz w:val="24"/>
          <w:highlight w:val="none"/>
        </w:rPr>
      </w:pPr>
    </w:p>
    <w:p w14:paraId="21AD794E">
      <w:pPr>
        <w:rPr>
          <w:rFonts w:hint="eastAsia" w:ascii="宋体" w:hAnsi="宋体" w:eastAsia="宋体" w:cs="宋体"/>
          <w:color w:val="auto"/>
          <w:sz w:val="24"/>
          <w:highlight w:val="none"/>
        </w:rPr>
      </w:pPr>
    </w:p>
    <w:p w14:paraId="6E39AED9">
      <w:pPr>
        <w:rPr>
          <w:rFonts w:hint="eastAsia" w:ascii="宋体" w:hAnsi="宋体" w:eastAsia="宋体" w:cs="宋体"/>
          <w:color w:val="auto"/>
          <w:sz w:val="24"/>
          <w:highlight w:val="none"/>
        </w:rPr>
      </w:pPr>
    </w:p>
    <w:p w14:paraId="2DA83B33">
      <w:pPr>
        <w:rPr>
          <w:rFonts w:hint="eastAsia" w:ascii="宋体" w:hAnsi="宋体" w:eastAsia="宋体" w:cs="宋体"/>
          <w:color w:val="auto"/>
          <w:sz w:val="24"/>
          <w:highlight w:val="none"/>
        </w:rPr>
      </w:pPr>
    </w:p>
    <w:p w14:paraId="7627ED24">
      <w:pPr>
        <w:rPr>
          <w:rFonts w:hint="eastAsia" w:ascii="宋体" w:hAnsi="宋体" w:eastAsia="宋体" w:cs="宋体"/>
          <w:color w:val="auto"/>
          <w:sz w:val="24"/>
          <w:highlight w:val="none"/>
        </w:rPr>
      </w:pPr>
    </w:p>
    <w:p w14:paraId="707F6840">
      <w:pPr>
        <w:rPr>
          <w:rFonts w:hint="eastAsia" w:ascii="宋体" w:hAnsi="宋体" w:eastAsia="宋体" w:cs="宋体"/>
          <w:color w:val="auto"/>
          <w:sz w:val="24"/>
          <w:highlight w:val="none"/>
        </w:rPr>
      </w:pPr>
    </w:p>
    <w:p w14:paraId="09AED302">
      <w:pPr>
        <w:rPr>
          <w:rFonts w:hint="eastAsia" w:ascii="宋体" w:hAnsi="宋体" w:eastAsia="宋体" w:cs="宋体"/>
          <w:color w:val="auto"/>
          <w:sz w:val="24"/>
          <w:highlight w:val="none"/>
        </w:rPr>
      </w:pPr>
    </w:p>
    <w:p w14:paraId="30068B8E">
      <w:pPr>
        <w:rPr>
          <w:rFonts w:hint="eastAsia" w:ascii="宋体" w:hAnsi="宋体" w:eastAsia="宋体" w:cs="宋体"/>
          <w:color w:val="auto"/>
          <w:sz w:val="24"/>
          <w:highlight w:val="none"/>
        </w:rPr>
      </w:pPr>
    </w:p>
    <w:p w14:paraId="04E6F963">
      <w:pPr>
        <w:rPr>
          <w:rFonts w:hint="eastAsia" w:ascii="宋体" w:hAnsi="宋体" w:eastAsia="宋体" w:cs="宋体"/>
          <w:color w:val="auto"/>
          <w:sz w:val="24"/>
          <w:highlight w:val="none"/>
        </w:rPr>
      </w:pPr>
    </w:p>
    <w:p w14:paraId="694E1093">
      <w:pPr>
        <w:rPr>
          <w:rFonts w:hint="eastAsia" w:ascii="宋体" w:hAnsi="宋体" w:eastAsia="宋体" w:cs="宋体"/>
          <w:color w:val="auto"/>
          <w:sz w:val="24"/>
          <w:highlight w:val="none"/>
        </w:rPr>
      </w:pPr>
    </w:p>
    <w:p w14:paraId="798F33C5">
      <w:pPr>
        <w:rPr>
          <w:rFonts w:hint="eastAsia" w:ascii="宋体" w:hAnsi="宋体" w:eastAsia="宋体" w:cs="宋体"/>
          <w:color w:val="auto"/>
          <w:sz w:val="24"/>
          <w:highlight w:val="none"/>
        </w:rPr>
      </w:pPr>
    </w:p>
    <w:p w14:paraId="76A2C933">
      <w:pPr>
        <w:rPr>
          <w:rFonts w:hint="eastAsia" w:ascii="宋体" w:hAnsi="宋体" w:eastAsia="宋体" w:cs="宋体"/>
          <w:color w:val="auto"/>
          <w:sz w:val="24"/>
          <w:highlight w:val="none"/>
        </w:rPr>
      </w:pPr>
    </w:p>
    <w:p w14:paraId="1B1DC76D">
      <w:pPr>
        <w:rPr>
          <w:rFonts w:hint="eastAsia" w:ascii="宋体" w:hAnsi="宋体" w:eastAsia="宋体" w:cs="宋体"/>
          <w:color w:val="auto"/>
          <w:sz w:val="24"/>
          <w:highlight w:val="none"/>
        </w:rPr>
      </w:pPr>
    </w:p>
    <w:p w14:paraId="37C6776F">
      <w:pPr>
        <w:rPr>
          <w:rFonts w:hint="eastAsia" w:ascii="宋体" w:hAnsi="宋体" w:eastAsia="宋体" w:cs="宋体"/>
          <w:color w:val="auto"/>
          <w:sz w:val="24"/>
          <w:highlight w:val="none"/>
        </w:rPr>
      </w:pPr>
    </w:p>
    <w:p w14:paraId="3A42BCAD">
      <w:pPr>
        <w:rPr>
          <w:rFonts w:hint="eastAsia" w:ascii="宋体" w:hAnsi="宋体" w:eastAsia="宋体" w:cs="宋体"/>
          <w:color w:val="auto"/>
          <w:sz w:val="24"/>
          <w:highlight w:val="none"/>
        </w:rPr>
      </w:pPr>
    </w:p>
    <w:p w14:paraId="5051ACEB">
      <w:pPr>
        <w:rPr>
          <w:rFonts w:hint="eastAsia" w:ascii="宋体" w:hAnsi="宋体" w:eastAsia="宋体" w:cs="宋体"/>
          <w:color w:val="auto"/>
          <w:sz w:val="24"/>
          <w:highlight w:val="none"/>
        </w:rPr>
      </w:pPr>
    </w:p>
    <w:p w14:paraId="2784464F">
      <w:pPr>
        <w:rPr>
          <w:rFonts w:hint="eastAsia" w:ascii="宋体" w:hAnsi="宋体" w:eastAsia="宋体" w:cs="宋体"/>
          <w:color w:val="auto"/>
          <w:sz w:val="24"/>
          <w:highlight w:val="none"/>
        </w:rPr>
      </w:pPr>
    </w:p>
    <w:p w14:paraId="037F480A">
      <w:pPr>
        <w:rPr>
          <w:rFonts w:hint="eastAsia" w:ascii="宋体" w:hAnsi="宋体" w:eastAsia="宋体" w:cs="宋体"/>
          <w:color w:val="auto"/>
          <w:sz w:val="24"/>
          <w:highlight w:val="none"/>
        </w:rPr>
      </w:pPr>
    </w:p>
    <w:p w14:paraId="5EA5CF7C">
      <w:pPr>
        <w:rPr>
          <w:rFonts w:hint="eastAsia" w:ascii="宋体" w:hAnsi="宋体" w:eastAsia="宋体" w:cs="宋体"/>
          <w:color w:val="auto"/>
          <w:sz w:val="24"/>
          <w:highlight w:val="none"/>
        </w:rPr>
      </w:pPr>
    </w:p>
    <w:p w14:paraId="0FEDE5E8">
      <w:pPr>
        <w:rPr>
          <w:rFonts w:hint="eastAsia" w:ascii="宋体" w:hAnsi="宋体" w:eastAsia="宋体" w:cs="宋体"/>
          <w:color w:val="auto"/>
          <w:sz w:val="24"/>
          <w:highlight w:val="none"/>
        </w:rPr>
      </w:pPr>
    </w:p>
    <w:p w14:paraId="37A998EF">
      <w:pPr>
        <w:rPr>
          <w:rFonts w:hint="eastAsia" w:ascii="宋体" w:hAnsi="宋体" w:eastAsia="宋体" w:cs="宋体"/>
          <w:color w:val="auto"/>
          <w:sz w:val="24"/>
          <w:highlight w:val="none"/>
        </w:rPr>
      </w:pPr>
    </w:p>
    <w:p w14:paraId="4F9682B1">
      <w:pPr>
        <w:rPr>
          <w:rFonts w:hint="eastAsia" w:ascii="宋体" w:hAnsi="宋体" w:eastAsia="宋体" w:cs="宋体"/>
          <w:color w:val="auto"/>
          <w:sz w:val="24"/>
          <w:highlight w:val="none"/>
        </w:rPr>
      </w:pPr>
    </w:p>
    <w:p w14:paraId="784E2D4C">
      <w:pPr>
        <w:rPr>
          <w:rFonts w:hint="eastAsia" w:ascii="宋体" w:hAnsi="宋体" w:eastAsia="宋体" w:cs="宋体"/>
          <w:color w:val="auto"/>
          <w:sz w:val="24"/>
          <w:highlight w:val="none"/>
        </w:rPr>
      </w:pPr>
    </w:p>
    <w:p w14:paraId="3DA805B0">
      <w:pPr>
        <w:pStyle w:val="4"/>
        <w:widowControl/>
        <w:tabs>
          <w:tab w:val="left" w:pos="576"/>
        </w:tabs>
        <w:spacing w:before="240"/>
        <w:ind w:left="576" w:right="107" w:rightChars="51"/>
        <w:jc w:val="center"/>
        <w:rPr>
          <w:rFonts w:hint="eastAsia" w:ascii="宋体" w:hAnsi="宋体" w:eastAsia="宋体" w:cs="宋体"/>
          <w:color w:val="auto"/>
          <w:sz w:val="30"/>
          <w:szCs w:val="30"/>
          <w:highlight w:val="none"/>
          <w:lang w:val="zh-CN"/>
        </w:rPr>
      </w:pPr>
      <w:bookmarkStart w:id="1019" w:name="_Toc20327"/>
      <w:bookmarkStart w:id="1020" w:name="_Toc22392"/>
      <w:r>
        <w:rPr>
          <w:rFonts w:hint="eastAsia" w:ascii="宋体" w:hAnsi="宋体" w:eastAsia="宋体" w:cs="宋体"/>
          <w:color w:val="auto"/>
          <w:kern w:val="0"/>
          <w:sz w:val="28"/>
          <w:szCs w:val="28"/>
          <w:highlight w:val="none"/>
          <w:lang w:val="en-US" w:eastAsia="zh-CN"/>
        </w:rPr>
        <w:t>十</w:t>
      </w:r>
      <w:r>
        <w:rPr>
          <w:rFonts w:hint="eastAsia" w:ascii="宋体" w:hAnsi="宋体" w:eastAsia="宋体" w:cs="宋体"/>
          <w:color w:val="auto"/>
          <w:kern w:val="0"/>
          <w:sz w:val="28"/>
          <w:szCs w:val="28"/>
          <w:highlight w:val="none"/>
        </w:rPr>
        <w:t>、</w:t>
      </w:r>
      <w:r>
        <w:rPr>
          <w:rFonts w:hint="eastAsia" w:ascii="宋体" w:hAnsi="宋体" w:eastAsia="宋体" w:cs="宋体"/>
          <w:color w:val="auto"/>
          <w:sz w:val="30"/>
          <w:szCs w:val="30"/>
          <w:highlight w:val="none"/>
          <w:lang w:val="zh-CN"/>
        </w:rPr>
        <w:t>已标价工程量清单</w:t>
      </w:r>
      <w:bookmarkEnd w:id="1009"/>
      <w:bookmarkEnd w:id="1010"/>
      <w:bookmarkEnd w:id="1011"/>
      <w:bookmarkEnd w:id="1019"/>
      <w:bookmarkEnd w:id="1020"/>
    </w:p>
    <w:p w14:paraId="15073630">
      <w:pPr>
        <w:spacing w:line="500" w:lineRule="exact"/>
        <w:ind w:left="0" w:leftChars="0" w:right="0" w:rightChars="0" w:firstLine="0" w:firstLineChars="0"/>
        <w:jc w:val="center"/>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（本项无固定格式，具体格式以供应商所用软件打印输出为准。）</w:t>
      </w:r>
    </w:p>
    <w:p w14:paraId="275B3E80">
      <w:pPr>
        <w:spacing w:line="500" w:lineRule="exact"/>
        <w:ind w:right="1189" w:rightChars="566"/>
        <w:rPr>
          <w:rFonts w:hint="eastAsia" w:ascii="宋体" w:hAnsi="宋体" w:eastAsia="宋体" w:cs="宋体"/>
          <w:color w:val="auto"/>
          <w:kern w:val="1"/>
          <w:sz w:val="24"/>
          <w:szCs w:val="22"/>
          <w:highlight w:val="none"/>
          <w:lang w:bidi="ar"/>
        </w:rPr>
      </w:pPr>
    </w:p>
    <w:p w14:paraId="1AD68AC1">
      <w:pPr>
        <w:spacing w:line="500" w:lineRule="exact"/>
        <w:ind w:right="1189" w:rightChars="566"/>
        <w:rPr>
          <w:rFonts w:hint="eastAsia" w:ascii="宋体" w:hAnsi="宋体" w:eastAsia="宋体" w:cs="宋体"/>
          <w:color w:val="auto"/>
          <w:kern w:val="1"/>
          <w:sz w:val="24"/>
          <w:szCs w:val="22"/>
          <w:highlight w:val="none"/>
          <w:lang w:bidi="ar"/>
        </w:rPr>
      </w:pPr>
    </w:p>
    <w:p w14:paraId="0003907D">
      <w:pPr>
        <w:spacing w:line="500" w:lineRule="exact"/>
        <w:ind w:right="1189" w:rightChars="566"/>
        <w:rPr>
          <w:rFonts w:hint="eastAsia" w:ascii="宋体" w:hAnsi="宋体" w:eastAsia="宋体" w:cs="宋体"/>
          <w:color w:val="auto"/>
          <w:kern w:val="1"/>
          <w:sz w:val="24"/>
          <w:szCs w:val="22"/>
          <w:highlight w:val="none"/>
          <w:lang w:bidi="ar"/>
        </w:rPr>
      </w:pPr>
    </w:p>
    <w:p w14:paraId="556EE64A">
      <w:pPr>
        <w:spacing w:line="500" w:lineRule="exact"/>
        <w:ind w:right="1189" w:rightChars="566"/>
        <w:rPr>
          <w:rFonts w:hint="eastAsia" w:ascii="宋体" w:hAnsi="宋体" w:eastAsia="宋体" w:cs="宋体"/>
          <w:color w:val="auto"/>
          <w:kern w:val="1"/>
          <w:sz w:val="24"/>
          <w:szCs w:val="22"/>
          <w:highlight w:val="none"/>
          <w:lang w:bidi="ar"/>
        </w:rPr>
      </w:pPr>
    </w:p>
    <w:p w14:paraId="53FEC7EC">
      <w:pPr>
        <w:spacing w:line="500" w:lineRule="exact"/>
        <w:ind w:right="1189" w:rightChars="566"/>
        <w:rPr>
          <w:rFonts w:hint="eastAsia" w:ascii="宋体" w:hAnsi="宋体" w:eastAsia="宋体" w:cs="宋体"/>
          <w:color w:val="auto"/>
          <w:kern w:val="1"/>
          <w:sz w:val="24"/>
          <w:szCs w:val="22"/>
          <w:highlight w:val="none"/>
          <w:lang w:bidi="ar"/>
        </w:rPr>
      </w:pPr>
    </w:p>
    <w:p w14:paraId="7489EB17">
      <w:pPr>
        <w:spacing w:line="500" w:lineRule="exact"/>
        <w:ind w:right="1189" w:rightChars="566"/>
        <w:rPr>
          <w:rFonts w:hint="eastAsia" w:ascii="宋体" w:hAnsi="宋体" w:eastAsia="宋体" w:cs="宋体"/>
          <w:color w:val="auto"/>
          <w:kern w:val="1"/>
          <w:sz w:val="24"/>
          <w:szCs w:val="22"/>
          <w:highlight w:val="none"/>
          <w:lang w:bidi="ar"/>
        </w:rPr>
      </w:pPr>
    </w:p>
    <w:p w14:paraId="211C8C8B">
      <w:pPr>
        <w:spacing w:line="500" w:lineRule="exact"/>
        <w:ind w:right="1189" w:rightChars="566"/>
        <w:rPr>
          <w:rFonts w:hint="eastAsia" w:ascii="宋体" w:hAnsi="宋体" w:eastAsia="宋体" w:cs="宋体"/>
          <w:color w:val="auto"/>
          <w:kern w:val="1"/>
          <w:sz w:val="24"/>
          <w:szCs w:val="22"/>
          <w:highlight w:val="none"/>
          <w:lang w:bidi="ar"/>
        </w:rPr>
      </w:pPr>
    </w:p>
    <w:p w14:paraId="7C6D2A0B">
      <w:pPr>
        <w:spacing w:line="500" w:lineRule="exact"/>
        <w:ind w:right="1189" w:rightChars="566"/>
        <w:rPr>
          <w:rFonts w:hint="eastAsia" w:ascii="宋体" w:hAnsi="宋体" w:eastAsia="宋体" w:cs="宋体"/>
          <w:color w:val="auto"/>
          <w:kern w:val="1"/>
          <w:sz w:val="24"/>
          <w:szCs w:val="22"/>
          <w:highlight w:val="none"/>
          <w:lang w:bidi="ar"/>
        </w:rPr>
      </w:pPr>
    </w:p>
    <w:p w14:paraId="119F05E9">
      <w:pPr>
        <w:spacing w:line="500" w:lineRule="exact"/>
        <w:ind w:right="1189" w:rightChars="566"/>
        <w:rPr>
          <w:rFonts w:hint="eastAsia" w:ascii="宋体" w:hAnsi="宋体" w:eastAsia="宋体" w:cs="宋体"/>
          <w:color w:val="auto"/>
          <w:kern w:val="1"/>
          <w:sz w:val="24"/>
          <w:szCs w:val="22"/>
          <w:highlight w:val="none"/>
          <w:lang w:bidi="ar"/>
        </w:rPr>
      </w:pPr>
    </w:p>
    <w:p w14:paraId="5893690F">
      <w:pPr>
        <w:spacing w:line="500" w:lineRule="exact"/>
        <w:ind w:right="1189" w:rightChars="566"/>
        <w:rPr>
          <w:rFonts w:hint="eastAsia" w:ascii="宋体" w:hAnsi="宋体" w:eastAsia="宋体" w:cs="宋体"/>
          <w:color w:val="auto"/>
          <w:kern w:val="1"/>
          <w:sz w:val="24"/>
          <w:szCs w:val="22"/>
          <w:highlight w:val="none"/>
          <w:lang w:bidi="ar"/>
        </w:rPr>
      </w:pPr>
    </w:p>
    <w:p w14:paraId="0E2E1699">
      <w:pPr>
        <w:spacing w:line="500" w:lineRule="exact"/>
        <w:ind w:right="1189" w:rightChars="566"/>
        <w:rPr>
          <w:rFonts w:hint="eastAsia" w:ascii="宋体" w:hAnsi="宋体" w:eastAsia="宋体" w:cs="宋体"/>
          <w:color w:val="auto"/>
          <w:kern w:val="1"/>
          <w:sz w:val="24"/>
          <w:szCs w:val="22"/>
          <w:highlight w:val="none"/>
          <w:lang w:bidi="ar"/>
        </w:rPr>
      </w:pPr>
    </w:p>
    <w:p w14:paraId="7B7693F5">
      <w:pPr>
        <w:spacing w:line="500" w:lineRule="exact"/>
        <w:ind w:right="1189" w:rightChars="566"/>
        <w:rPr>
          <w:rFonts w:hint="eastAsia" w:ascii="宋体" w:hAnsi="宋体" w:eastAsia="宋体" w:cs="宋体"/>
          <w:color w:val="auto"/>
          <w:kern w:val="1"/>
          <w:sz w:val="24"/>
          <w:szCs w:val="22"/>
          <w:highlight w:val="none"/>
          <w:lang w:bidi="ar"/>
        </w:rPr>
      </w:pPr>
    </w:p>
    <w:p w14:paraId="6B489B2A">
      <w:pPr>
        <w:spacing w:line="500" w:lineRule="exact"/>
        <w:ind w:right="1189" w:rightChars="566"/>
        <w:rPr>
          <w:rFonts w:hint="eastAsia" w:ascii="宋体" w:hAnsi="宋体" w:eastAsia="宋体" w:cs="宋体"/>
          <w:color w:val="auto"/>
          <w:kern w:val="1"/>
          <w:sz w:val="24"/>
          <w:szCs w:val="22"/>
          <w:highlight w:val="none"/>
          <w:lang w:bidi="ar"/>
        </w:rPr>
      </w:pPr>
    </w:p>
    <w:p w14:paraId="68C3C16C">
      <w:pPr>
        <w:spacing w:line="500" w:lineRule="exact"/>
        <w:ind w:right="1189" w:rightChars="566"/>
        <w:rPr>
          <w:rFonts w:hint="eastAsia" w:ascii="宋体" w:hAnsi="宋体" w:eastAsia="宋体" w:cs="宋体"/>
          <w:color w:val="auto"/>
          <w:kern w:val="1"/>
          <w:sz w:val="24"/>
          <w:szCs w:val="22"/>
          <w:highlight w:val="none"/>
          <w:lang w:bidi="ar"/>
        </w:rPr>
      </w:pPr>
    </w:p>
    <w:p w14:paraId="3D5712DF">
      <w:pPr>
        <w:spacing w:line="500" w:lineRule="exact"/>
        <w:ind w:right="1189" w:rightChars="566"/>
        <w:rPr>
          <w:rFonts w:hint="eastAsia" w:ascii="宋体" w:hAnsi="宋体" w:eastAsia="宋体" w:cs="宋体"/>
          <w:color w:val="auto"/>
          <w:kern w:val="1"/>
          <w:sz w:val="24"/>
          <w:szCs w:val="22"/>
          <w:highlight w:val="none"/>
          <w:lang w:bidi="ar"/>
        </w:rPr>
      </w:pPr>
    </w:p>
    <w:p w14:paraId="1F55A8BF">
      <w:pPr>
        <w:spacing w:line="500" w:lineRule="exact"/>
        <w:ind w:right="1189" w:rightChars="566"/>
        <w:rPr>
          <w:rFonts w:hint="eastAsia" w:ascii="宋体" w:hAnsi="宋体" w:eastAsia="宋体" w:cs="宋体"/>
          <w:color w:val="auto"/>
          <w:kern w:val="1"/>
          <w:sz w:val="24"/>
          <w:szCs w:val="22"/>
          <w:highlight w:val="none"/>
          <w:lang w:bidi="ar"/>
        </w:rPr>
      </w:pPr>
    </w:p>
    <w:p w14:paraId="72836604">
      <w:pPr>
        <w:spacing w:line="500" w:lineRule="exact"/>
        <w:ind w:right="1189" w:rightChars="566"/>
        <w:rPr>
          <w:rFonts w:hint="eastAsia" w:ascii="宋体" w:hAnsi="宋体" w:eastAsia="宋体" w:cs="宋体"/>
          <w:color w:val="auto"/>
          <w:kern w:val="1"/>
          <w:sz w:val="24"/>
          <w:szCs w:val="22"/>
          <w:highlight w:val="none"/>
          <w:lang w:bidi="ar"/>
        </w:rPr>
      </w:pPr>
    </w:p>
    <w:p w14:paraId="544929A5">
      <w:pPr>
        <w:spacing w:line="500" w:lineRule="exact"/>
        <w:ind w:right="1189" w:rightChars="566"/>
        <w:rPr>
          <w:rFonts w:hint="eastAsia" w:ascii="宋体" w:hAnsi="宋体" w:eastAsia="宋体" w:cs="宋体"/>
          <w:color w:val="auto"/>
          <w:kern w:val="1"/>
          <w:sz w:val="24"/>
          <w:szCs w:val="22"/>
          <w:highlight w:val="none"/>
          <w:lang w:bidi="ar"/>
        </w:rPr>
      </w:pPr>
    </w:p>
    <w:p w14:paraId="46F00EAD">
      <w:pPr>
        <w:spacing w:line="500" w:lineRule="exact"/>
        <w:ind w:right="1189" w:rightChars="566"/>
        <w:rPr>
          <w:rFonts w:hint="eastAsia" w:ascii="宋体" w:hAnsi="宋体" w:eastAsia="宋体" w:cs="宋体"/>
          <w:color w:val="auto"/>
          <w:kern w:val="1"/>
          <w:sz w:val="24"/>
          <w:szCs w:val="22"/>
          <w:highlight w:val="none"/>
          <w:lang w:bidi="ar"/>
        </w:rPr>
      </w:pPr>
    </w:p>
    <w:p w14:paraId="0781FCBE">
      <w:pPr>
        <w:spacing w:line="500" w:lineRule="exact"/>
        <w:ind w:right="1189" w:rightChars="566"/>
        <w:rPr>
          <w:rFonts w:hint="eastAsia" w:ascii="宋体" w:hAnsi="宋体" w:eastAsia="宋体" w:cs="宋体"/>
          <w:color w:val="auto"/>
          <w:kern w:val="1"/>
          <w:sz w:val="24"/>
          <w:szCs w:val="22"/>
          <w:highlight w:val="none"/>
          <w:lang w:bidi="ar"/>
        </w:rPr>
      </w:pPr>
    </w:p>
    <w:p w14:paraId="6876A942">
      <w:pPr>
        <w:spacing w:line="500" w:lineRule="exact"/>
        <w:ind w:right="1189" w:rightChars="566"/>
        <w:rPr>
          <w:rFonts w:hint="eastAsia" w:ascii="宋体" w:hAnsi="宋体" w:eastAsia="宋体" w:cs="宋体"/>
          <w:color w:val="auto"/>
          <w:kern w:val="1"/>
          <w:sz w:val="24"/>
          <w:szCs w:val="22"/>
          <w:highlight w:val="none"/>
          <w:lang w:bidi="ar"/>
        </w:rPr>
      </w:pPr>
    </w:p>
    <w:p w14:paraId="4E871380">
      <w:pPr>
        <w:spacing w:line="500" w:lineRule="exact"/>
        <w:ind w:right="1189" w:rightChars="566"/>
        <w:rPr>
          <w:rFonts w:hint="eastAsia" w:ascii="宋体" w:hAnsi="宋体" w:eastAsia="宋体" w:cs="宋体"/>
          <w:color w:val="auto"/>
          <w:kern w:val="1"/>
          <w:sz w:val="24"/>
          <w:szCs w:val="22"/>
          <w:highlight w:val="none"/>
          <w:lang w:bidi="ar"/>
        </w:rPr>
      </w:pPr>
    </w:p>
    <w:p w14:paraId="01BAB65C">
      <w:pPr>
        <w:spacing w:line="500" w:lineRule="exact"/>
        <w:ind w:right="1189" w:rightChars="566"/>
        <w:rPr>
          <w:rFonts w:hint="eastAsia" w:ascii="宋体" w:hAnsi="宋体" w:eastAsia="宋体" w:cs="宋体"/>
          <w:color w:val="auto"/>
          <w:kern w:val="1"/>
          <w:sz w:val="24"/>
          <w:szCs w:val="22"/>
          <w:highlight w:val="none"/>
          <w:lang w:bidi="ar"/>
        </w:rPr>
      </w:pPr>
    </w:p>
    <w:bookmarkEnd w:id="1012"/>
    <w:bookmarkEnd w:id="1013"/>
    <w:p w14:paraId="33DA44F2">
      <w:pPr>
        <w:pStyle w:val="9"/>
        <w:keepNext w:val="0"/>
        <w:keepLines w:val="0"/>
        <w:pageBreakBefore w:val="0"/>
        <w:widowControl w:val="0"/>
        <w:kinsoku/>
        <w:wordWrap w:val="0"/>
        <w:overflowPunct/>
        <w:topLinePunct w:val="0"/>
        <w:autoSpaceDE/>
        <w:autoSpaceDN/>
        <w:bidi w:val="0"/>
        <w:adjustRightInd/>
        <w:snapToGrid/>
        <w:ind w:left="0" w:leftChars="0" w:firstLine="0" w:firstLineChars="0"/>
        <w:jc w:val="both"/>
        <w:textAlignment w:val="auto"/>
        <w:outlineLvl w:val="9"/>
        <w:rPr>
          <w:rFonts w:hint="eastAsia" w:ascii="宋体" w:hAnsi="宋体" w:eastAsia="宋体" w:cs="宋体"/>
          <w:b/>
          <w:bCs/>
          <w:color w:val="auto"/>
          <w:sz w:val="30"/>
          <w:szCs w:val="30"/>
          <w:highlight w:val="none"/>
        </w:rPr>
      </w:pPr>
      <w:bookmarkStart w:id="1021" w:name="_Toc11868"/>
      <w:bookmarkStart w:id="1022" w:name="_Toc24877"/>
      <w:bookmarkStart w:id="1023" w:name="_Toc8758"/>
    </w:p>
    <w:p w14:paraId="0781AF3D">
      <w:pPr>
        <w:pStyle w:val="9"/>
        <w:pageBreakBefore w:val="0"/>
        <w:wordWrap w:val="0"/>
        <w:overflowPunct/>
        <w:jc w:val="center"/>
        <w:outlineLvl w:val="0"/>
        <w:rPr>
          <w:rFonts w:hint="eastAsia" w:ascii="宋体" w:hAnsi="宋体" w:eastAsia="宋体" w:cs="宋体"/>
          <w:b/>
          <w:bCs/>
          <w:color w:val="auto"/>
          <w:sz w:val="30"/>
          <w:szCs w:val="30"/>
          <w:highlight w:val="none"/>
          <w:lang w:val="en-US" w:eastAsia="zh-CN"/>
        </w:rPr>
      </w:pPr>
      <w:bookmarkStart w:id="1024" w:name="_Toc11747"/>
      <w:bookmarkStart w:id="1025" w:name="_Toc9316"/>
      <w:r>
        <w:rPr>
          <w:rFonts w:hint="eastAsia" w:ascii="宋体" w:hAnsi="宋体" w:eastAsia="宋体" w:cs="宋体"/>
          <w:b/>
          <w:bCs/>
          <w:color w:val="auto"/>
          <w:sz w:val="30"/>
          <w:szCs w:val="30"/>
          <w:highlight w:val="none"/>
        </w:rPr>
        <w:t>第六章</w:t>
      </w:r>
      <w:r>
        <w:rPr>
          <w:rFonts w:hint="eastAsia" w:ascii="宋体" w:hAnsi="宋体" w:eastAsia="宋体" w:cs="宋体"/>
          <w:b/>
          <w:bCs/>
          <w:color w:val="auto"/>
          <w:sz w:val="30"/>
          <w:szCs w:val="30"/>
          <w:highlight w:val="none"/>
          <w:lang w:val="en-US" w:eastAsia="zh-CN"/>
        </w:rPr>
        <w:t xml:space="preserve">  </w:t>
      </w:r>
      <w:bookmarkStart w:id="1026" w:name="_Toc4575"/>
      <w:bookmarkStart w:id="1027" w:name="_Toc11477"/>
      <w:bookmarkStart w:id="1028" w:name="_Toc15333"/>
      <w:r>
        <w:rPr>
          <w:rFonts w:hint="eastAsia" w:ascii="宋体" w:hAnsi="宋体" w:eastAsia="宋体" w:cs="宋体"/>
          <w:b/>
          <w:bCs/>
          <w:color w:val="auto"/>
          <w:sz w:val="30"/>
          <w:szCs w:val="30"/>
          <w:highlight w:val="none"/>
          <w:lang w:val="en-US" w:eastAsia="zh-CN"/>
        </w:rPr>
        <w:t>工程量清单</w:t>
      </w:r>
      <w:bookmarkEnd w:id="1021"/>
      <w:bookmarkEnd w:id="1022"/>
      <w:bookmarkEnd w:id="1023"/>
      <w:bookmarkEnd w:id="1024"/>
      <w:bookmarkEnd w:id="1025"/>
      <w:bookmarkEnd w:id="1026"/>
      <w:bookmarkEnd w:id="1027"/>
      <w:bookmarkEnd w:id="1028"/>
    </w:p>
    <w:p w14:paraId="43B8FD22">
      <w:pPr>
        <w:pStyle w:val="9"/>
        <w:pageBreakBefore w:val="0"/>
        <w:wordWrap w:val="0"/>
        <w:overflowPunct/>
        <w:ind w:left="0" w:leftChars="0" w:firstLine="0" w:firstLineChars="0"/>
        <w:rPr>
          <w:rFonts w:hint="eastAsia" w:ascii="宋体" w:hAnsi="宋体" w:eastAsia="宋体" w:cs="宋体"/>
          <w:b/>
          <w:bCs/>
          <w:color w:val="auto"/>
          <w:sz w:val="28"/>
          <w:szCs w:val="28"/>
          <w:highlight w:val="none"/>
          <w:lang w:val="en-US" w:eastAsia="zh-CN"/>
        </w:rPr>
      </w:pPr>
    </w:p>
    <w:p w14:paraId="2B1D2CFE">
      <w:pPr>
        <w:snapToGrid w:val="0"/>
        <w:spacing w:line="360" w:lineRule="exact"/>
        <w:rPr>
          <w:rFonts w:hint="default" w:ascii="宋体" w:hAnsi="宋体" w:eastAsia="宋体" w:cs="宋体"/>
          <w:color w:val="auto"/>
          <w:highlight w:val="none"/>
          <w:lang w:val="en-US"/>
        </w:rPr>
      </w:pPr>
      <w:r>
        <w:rPr>
          <w:rFonts w:hint="eastAsia" w:ascii="宋体" w:hAnsi="宋体" w:eastAsia="宋体" w:cs="宋体"/>
          <w:b w:val="0"/>
          <w:bCs w:val="0"/>
          <w:color w:val="auto"/>
          <w:sz w:val="24"/>
          <w:szCs w:val="24"/>
          <w:highlight w:val="none"/>
          <w:lang w:val="en-US" w:eastAsia="zh-CN"/>
        </w:rPr>
        <w:t>请各供应商在在政采云平台（https://www.zcygov.cn）自行下载电子版工程量清单。</w:t>
      </w:r>
    </w:p>
    <w:p w14:paraId="24FD0DAA">
      <w:pPr>
        <w:snapToGrid w:val="0"/>
        <w:spacing w:line="360" w:lineRule="exact"/>
        <w:rPr>
          <w:rFonts w:hint="default" w:ascii="宋体" w:hAnsi="宋体" w:eastAsia="宋体" w:cs="宋体"/>
          <w:color w:val="auto"/>
          <w:highlight w:val="none"/>
          <w:lang w:val="en-US"/>
        </w:rPr>
      </w:pPr>
    </w:p>
    <w:sectPr>
      <w:footerReference r:id="rId7" w:type="first"/>
      <w:footerReference r:id="rId6" w:type="default"/>
      <w:pgSz w:w="11906" w:h="16838"/>
      <w:pgMar w:top="1440" w:right="1417" w:bottom="1440" w:left="1417" w:header="964" w:footer="964" w:gutter="0"/>
      <w:pgBorders>
        <w:top w:val="none" w:sz="0" w:space="0"/>
        <w:left w:val="none" w:sz="0" w:space="0"/>
        <w:bottom w:val="none" w:sz="0" w:space="0"/>
        <w:right w:val="none" w:sz="0" w:space="0"/>
      </w:pgBorders>
      <w:pgNumType w:fmt="decimal" w:start="1"/>
      <w:cols w:space="708"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长宋简">
    <w:altName w:val="宋体"/>
    <w:panose1 w:val="00000000000000000000"/>
    <w:charset w:val="86"/>
    <w:family w:val="auto"/>
    <w:pitch w:val="default"/>
    <w:sig w:usb0="00000000"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582C">
    <w:pPr>
      <w:pStyle w:val="19"/>
      <w:rPr>
        <w:rFonts w:ascii="仿宋_GB2312" w:hAnsi="仿宋_GB2312" w:eastAsia="汉仪长宋简" w:cs="仿宋_GB2312"/>
        <w:b/>
        <w:bCs/>
        <w:kern w:val="0"/>
        <w:szCs w:val="21"/>
      </w:rPr>
    </w:pPr>
    <w:r>
      <w:rPr>
        <w:rFonts w:hint="eastAsia"/>
        <w:b/>
        <w:bCs/>
        <w:sz w:val="18"/>
        <w:lang w:eastAsia="zh-CN"/>
      </w:rPr>
      <w:t>云南星骋项目管理有限公司</w:t>
    </w:r>
    <w:r>
      <w:rPr>
        <w:rFonts w:hint="eastAsia"/>
        <w:b/>
        <w:bCs/>
        <w:sz w:val="18"/>
        <w:lang w:val="en-US" w:eastAsia="zh-CN"/>
      </w:rPr>
      <w:t xml:space="preserve">                                                                竭诚为您服务</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E7F87">
    <w:pPr>
      <w:pStyle w:val="19"/>
      <w:rPr>
        <w:rFonts w:ascii="仿宋_GB2312" w:hAnsi="仿宋_GB2312" w:eastAsia="汉仪长宋简" w:cs="仿宋_GB2312"/>
        <w:b/>
        <w:bCs/>
        <w:kern w:val="0"/>
        <w:szCs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D26C2">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DD26C2">
                    <w:pPr>
                      <w:pStyle w:val="19"/>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b/>
        <w:bCs/>
        <w:sz w:val="18"/>
        <w:lang w:eastAsia="zh-CN"/>
      </w:rPr>
      <w:t>云南星骋项目管理有限公司</w:t>
    </w:r>
    <w:r>
      <w:rPr>
        <w:rFonts w:hint="eastAsia"/>
        <w:b/>
        <w:bCs/>
        <w:sz w:val="18"/>
        <w:lang w:val="en-US" w:eastAsia="zh-CN"/>
      </w:rPr>
      <w:t xml:space="preserve">                                                                竭诚为您服务</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6360B">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54480">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F54480">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B58D">
    <w:pPr>
      <w:pBdr>
        <w:bottom w:val="thickThinSmallGap" w:color="auto" w:sz="12" w:space="0"/>
      </w:pBdr>
      <w:spacing w:line="240" w:lineRule="auto"/>
      <w:jc w:val="both"/>
      <w:rPr>
        <w:rFonts w:hint="eastAsia" w:ascii="仿宋" w:hAnsi="仿宋" w:eastAsia="仿宋" w:cs="仿宋"/>
        <w:b/>
        <w:bCs/>
        <w:sz w:val="21"/>
        <w:szCs w:val="21"/>
        <w:lang w:eastAsia="zh-CN"/>
      </w:rPr>
    </w:pPr>
    <w:r>
      <w:rPr>
        <w:rFonts w:hint="eastAsia" w:ascii="仿宋" w:hAnsi="仿宋" w:eastAsia="仿宋" w:cs="仿宋"/>
        <w:b/>
        <w:bCs/>
        <w:kern w:val="2"/>
        <w:sz w:val="21"/>
        <w:szCs w:val="21"/>
        <w:lang w:val="en-US" w:eastAsia="zh-CN" w:bidi="ar-SA"/>
      </w:rPr>
      <w:t xml:space="preserve">西定乡曼迈村委会产业发展项目                                        </w:t>
    </w:r>
    <w:r>
      <w:rPr>
        <w:rFonts w:hint="eastAsia" w:ascii="仿宋" w:hAnsi="仿宋" w:eastAsia="仿宋" w:cs="仿宋"/>
        <w:b/>
        <w:bCs/>
        <w:sz w:val="21"/>
        <w:szCs w:val="21"/>
        <w:lang w:eastAsia="zh-CN"/>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D7BAD">
    <w:pPr>
      <w:pBdr>
        <w:bottom w:val="thickThinSmallGap" w:color="auto" w:sz="12" w:space="0"/>
      </w:pBdr>
      <w:spacing w:line="240" w:lineRule="auto"/>
      <w:jc w:val="both"/>
      <w:rPr>
        <w:rFonts w:hint="eastAsia" w:ascii="仿宋" w:hAnsi="仿宋" w:eastAsia="仿宋" w:cs="仿宋"/>
        <w:b/>
        <w:bCs/>
        <w:kern w:val="2"/>
        <w:sz w:val="21"/>
        <w:szCs w:val="21"/>
        <w:lang w:val="en-US" w:eastAsia="zh-CN" w:bidi="ar-SA"/>
      </w:rPr>
    </w:pPr>
  </w:p>
  <w:p w14:paraId="6667DDB7">
    <w:pPr>
      <w:pBdr>
        <w:bottom w:val="thickThinSmallGap" w:color="auto" w:sz="12" w:space="0"/>
      </w:pBdr>
      <w:spacing w:line="240" w:lineRule="auto"/>
      <w:jc w:val="both"/>
    </w:pPr>
    <w:r>
      <w:rPr>
        <w:rFonts w:hint="eastAsia" w:ascii="仿宋" w:hAnsi="仿宋" w:eastAsia="仿宋" w:cs="仿宋"/>
        <w:b/>
        <w:bCs/>
        <w:kern w:val="2"/>
        <w:sz w:val="21"/>
        <w:szCs w:val="21"/>
        <w:lang w:val="en-US" w:eastAsia="zh-CN" w:bidi="ar-SA"/>
      </w:rPr>
      <w:t xml:space="preserve">西定乡曼迈村委会产业发展项目                                            </w:t>
    </w:r>
    <w:r>
      <w:rPr>
        <w:rFonts w:hint="eastAsia" w:ascii="仿宋" w:hAnsi="仿宋" w:eastAsia="仿宋" w:cs="仿宋"/>
        <w:b/>
        <w:bCs/>
        <w:sz w:val="21"/>
        <w:szCs w:val="21"/>
        <w:lang w:eastAsia="zh-CN"/>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BD4F58"/>
    <w:multiLevelType w:val="singleLevel"/>
    <w:tmpl w:val="A5BD4F58"/>
    <w:lvl w:ilvl="0" w:tentative="0">
      <w:start w:val="1"/>
      <w:numFmt w:val="decimal"/>
      <w:suff w:val="space"/>
      <w:lvlText w:val="（%1）"/>
      <w:lvlJc w:val="left"/>
    </w:lvl>
  </w:abstractNum>
  <w:abstractNum w:abstractNumId="1">
    <w:nsid w:val="D46A7F3E"/>
    <w:multiLevelType w:val="singleLevel"/>
    <w:tmpl w:val="D46A7F3E"/>
    <w:lvl w:ilvl="0" w:tentative="0">
      <w:start w:val="2"/>
      <w:numFmt w:val="decimal"/>
      <w:suff w:val="space"/>
      <w:lvlText w:val="%1."/>
      <w:lvlJc w:val="left"/>
    </w:lvl>
  </w:abstractNum>
  <w:abstractNum w:abstractNumId="2">
    <w:nsid w:val="DA07D359"/>
    <w:multiLevelType w:val="singleLevel"/>
    <w:tmpl w:val="DA07D359"/>
    <w:lvl w:ilvl="0" w:tentative="0">
      <w:start w:val="10"/>
      <w:numFmt w:val="decimal"/>
      <w:suff w:val="space"/>
      <w:lvlText w:val="%1."/>
      <w:lvlJc w:val="left"/>
    </w:lvl>
  </w:abstractNum>
  <w:abstractNum w:abstractNumId="3">
    <w:nsid w:val="F61AC44D"/>
    <w:multiLevelType w:val="singleLevel"/>
    <w:tmpl w:val="F61AC44D"/>
    <w:lvl w:ilvl="0" w:tentative="0">
      <w:start w:val="1"/>
      <w:numFmt w:val="chineseCounting"/>
      <w:suff w:val="nothing"/>
      <w:lvlText w:val="（%1）"/>
      <w:lvlJc w:val="left"/>
      <w:rPr>
        <w:rFonts w:hint="eastAsia"/>
      </w:rPr>
    </w:lvl>
  </w:abstractNum>
  <w:abstractNum w:abstractNumId="4">
    <w:nsid w:val="16F99785"/>
    <w:multiLevelType w:val="singleLevel"/>
    <w:tmpl w:val="16F99785"/>
    <w:lvl w:ilvl="0" w:tentative="0">
      <w:start w:val="1"/>
      <w:numFmt w:val="decimal"/>
      <w:lvlText w:val="%1."/>
      <w:lvlJc w:val="left"/>
      <w:pPr>
        <w:tabs>
          <w:tab w:val="left" w:pos="312"/>
        </w:tabs>
      </w:pPr>
    </w:lvl>
  </w:abstractNum>
  <w:abstractNum w:abstractNumId="5">
    <w:nsid w:val="1EB2BB19"/>
    <w:multiLevelType w:val="singleLevel"/>
    <w:tmpl w:val="1EB2BB19"/>
    <w:lvl w:ilvl="0" w:tentative="0">
      <w:start w:val="8"/>
      <w:numFmt w:val="chineseCounting"/>
      <w:suff w:val="nothing"/>
      <w:lvlText w:val="%1、"/>
      <w:lvlJc w:val="left"/>
      <w:rPr>
        <w:rFonts w:hint="eastAsia"/>
      </w:rPr>
    </w:lvl>
  </w:abstractNum>
  <w:abstractNum w:abstractNumId="6">
    <w:nsid w:val="2960EF6F"/>
    <w:multiLevelType w:val="singleLevel"/>
    <w:tmpl w:val="2960EF6F"/>
    <w:lvl w:ilvl="0" w:tentative="0">
      <w:start w:val="1"/>
      <w:numFmt w:val="decimal"/>
      <w:lvlText w:val="%1."/>
      <w:lvlJc w:val="left"/>
      <w:pPr>
        <w:tabs>
          <w:tab w:val="left" w:pos="312"/>
        </w:tabs>
      </w:pPr>
    </w:lvl>
  </w:abstractNum>
  <w:abstractNum w:abstractNumId="7">
    <w:nsid w:val="2AD57040"/>
    <w:multiLevelType w:val="multilevel"/>
    <w:tmpl w:val="2AD57040"/>
    <w:lvl w:ilvl="0" w:tentative="0">
      <w:start w:val="1"/>
      <w:numFmt w:val="decimal"/>
      <w:pStyle w:val="46"/>
      <w:suff w:val="nothing"/>
      <w:lvlText w:val="%1."/>
      <w:lvlJc w:val="left"/>
      <w:pPr>
        <w:ind w:left="704" w:hanging="420"/>
      </w:pPr>
      <w:rPr>
        <w:rFonts w:hint="eastAsia" w:ascii="宋体" w:hAnsi="Times New Roman" w:eastAsia="宋体"/>
        <w:sz w:val="24"/>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8">
    <w:nsid w:val="2CE3D3F9"/>
    <w:multiLevelType w:val="multilevel"/>
    <w:tmpl w:val="2CE3D3F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9">
    <w:nsid w:val="6A97B5A1"/>
    <w:multiLevelType w:val="singleLevel"/>
    <w:tmpl w:val="6A97B5A1"/>
    <w:lvl w:ilvl="0" w:tentative="0">
      <w:start w:val="1"/>
      <w:numFmt w:val="decimal"/>
      <w:suff w:val="nothing"/>
      <w:lvlText w:val="（%1）"/>
      <w:lvlJc w:val="left"/>
    </w:lvl>
  </w:abstractNum>
  <w:num w:numId="1">
    <w:abstractNumId w:val="7"/>
  </w:num>
  <w:num w:numId="2">
    <w:abstractNumId w:val="9"/>
  </w:num>
  <w:num w:numId="3">
    <w:abstractNumId w:val="3"/>
  </w:num>
  <w:num w:numId="4">
    <w:abstractNumId w:val="5"/>
  </w:num>
  <w:num w:numId="5">
    <w:abstractNumId w:val="4"/>
  </w:num>
  <w:num w:numId="6">
    <w:abstractNumId w:val="8"/>
  </w:num>
  <w:num w:numId="7">
    <w:abstractNumId w:val="1"/>
  </w:num>
  <w:num w:numId="8">
    <w:abstractNumId w:val="0"/>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djNmY2ZGJhMTViODZhY2EyNTljMmJmNTc4YzllOTUifQ=="/>
  </w:docVars>
  <w:rsids>
    <w:rsidRoot w:val="00FE193E"/>
    <w:rsid w:val="00056427"/>
    <w:rsid w:val="00083A60"/>
    <w:rsid w:val="0008597B"/>
    <w:rsid w:val="000E7B1F"/>
    <w:rsid w:val="00124EEE"/>
    <w:rsid w:val="00203660"/>
    <w:rsid w:val="00237705"/>
    <w:rsid w:val="00255B97"/>
    <w:rsid w:val="00264E69"/>
    <w:rsid w:val="00283BF7"/>
    <w:rsid w:val="002F14AD"/>
    <w:rsid w:val="00317DF0"/>
    <w:rsid w:val="0039123E"/>
    <w:rsid w:val="003F1520"/>
    <w:rsid w:val="00452C47"/>
    <w:rsid w:val="004D1A5B"/>
    <w:rsid w:val="004E62C9"/>
    <w:rsid w:val="004F4A8A"/>
    <w:rsid w:val="0054292C"/>
    <w:rsid w:val="005441E9"/>
    <w:rsid w:val="0054602E"/>
    <w:rsid w:val="00607DD0"/>
    <w:rsid w:val="00616CE9"/>
    <w:rsid w:val="00656AEF"/>
    <w:rsid w:val="00680220"/>
    <w:rsid w:val="006E5AF6"/>
    <w:rsid w:val="007E2A2F"/>
    <w:rsid w:val="008907C5"/>
    <w:rsid w:val="008B4074"/>
    <w:rsid w:val="008C0DC4"/>
    <w:rsid w:val="008F134D"/>
    <w:rsid w:val="009030CF"/>
    <w:rsid w:val="00A26869"/>
    <w:rsid w:val="00B85312"/>
    <w:rsid w:val="00BE4DB3"/>
    <w:rsid w:val="00F238E3"/>
    <w:rsid w:val="00FA1D28"/>
    <w:rsid w:val="00FE193E"/>
    <w:rsid w:val="01121891"/>
    <w:rsid w:val="011C79D7"/>
    <w:rsid w:val="012F5F9F"/>
    <w:rsid w:val="016765DE"/>
    <w:rsid w:val="01884F40"/>
    <w:rsid w:val="01BA4D42"/>
    <w:rsid w:val="01C50A95"/>
    <w:rsid w:val="01D1563A"/>
    <w:rsid w:val="01D7257B"/>
    <w:rsid w:val="01DA50BC"/>
    <w:rsid w:val="02215A8D"/>
    <w:rsid w:val="02396161"/>
    <w:rsid w:val="026876C0"/>
    <w:rsid w:val="02813E5C"/>
    <w:rsid w:val="02823586"/>
    <w:rsid w:val="02872047"/>
    <w:rsid w:val="028B36A9"/>
    <w:rsid w:val="02D92666"/>
    <w:rsid w:val="0310139E"/>
    <w:rsid w:val="03232E5C"/>
    <w:rsid w:val="032633D2"/>
    <w:rsid w:val="03373831"/>
    <w:rsid w:val="034E1E2E"/>
    <w:rsid w:val="03802AE2"/>
    <w:rsid w:val="03AE3AF3"/>
    <w:rsid w:val="03C9092D"/>
    <w:rsid w:val="040C25C7"/>
    <w:rsid w:val="043E0B51"/>
    <w:rsid w:val="04754611"/>
    <w:rsid w:val="049E5B69"/>
    <w:rsid w:val="04AC7907"/>
    <w:rsid w:val="04B939FB"/>
    <w:rsid w:val="052E47BF"/>
    <w:rsid w:val="05341DD6"/>
    <w:rsid w:val="053E2C54"/>
    <w:rsid w:val="054F6153"/>
    <w:rsid w:val="0553599A"/>
    <w:rsid w:val="057F3DE6"/>
    <w:rsid w:val="05CC12E2"/>
    <w:rsid w:val="05F15F19"/>
    <w:rsid w:val="05F4674E"/>
    <w:rsid w:val="063026EF"/>
    <w:rsid w:val="063B7194"/>
    <w:rsid w:val="06420C30"/>
    <w:rsid w:val="06453D55"/>
    <w:rsid w:val="06631CD3"/>
    <w:rsid w:val="067B6C86"/>
    <w:rsid w:val="06927713"/>
    <w:rsid w:val="06A106E9"/>
    <w:rsid w:val="06E11AE9"/>
    <w:rsid w:val="06E43E73"/>
    <w:rsid w:val="07097470"/>
    <w:rsid w:val="071F685B"/>
    <w:rsid w:val="07203F31"/>
    <w:rsid w:val="073E518E"/>
    <w:rsid w:val="076150E3"/>
    <w:rsid w:val="076247EA"/>
    <w:rsid w:val="0788465B"/>
    <w:rsid w:val="07BC60B3"/>
    <w:rsid w:val="086040F7"/>
    <w:rsid w:val="08607386"/>
    <w:rsid w:val="08B80F70"/>
    <w:rsid w:val="08CF138E"/>
    <w:rsid w:val="08D80AB6"/>
    <w:rsid w:val="08DB7D97"/>
    <w:rsid w:val="0918731A"/>
    <w:rsid w:val="0946657C"/>
    <w:rsid w:val="095A7BED"/>
    <w:rsid w:val="098638B5"/>
    <w:rsid w:val="09866978"/>
    <w:rsid w:val="099472E7"/>
    <w:rsid w:val="099C3324"/>
    <w:rsid w:val="09C474A0"/>
    <w:rsid w:val="0A0F261E"/>
    <w:rsid w:val="0A112D3E"/>
    <w:rsid w:val="0A2C39C3"/>
    <w:rsid w:val="0A5C1069"/>
    <w:rsid w:val="0ACE05D7"/>
    <w:rsid w:val="0AE26B01"/>
    <w:rsid w:val="0B2E376B"/>
    <w:rsid w:val="0B5C2086"/>
    <w:rsid w:val="0B8A16C1"/>
    <w:rsid w:val="0B9335CE"/>
    <w:rsid w:val="0B9E269F"/>
    <w:rsid w:val="0BA863AE"/>
    <w:rsid w:val="0BB05F2E"/>
    <w:rsid w:val="0BB60BE8"/>
    <w:rsid w:val="0C1F4E62"/>
    <w:rsid w:val="0C3710CA"/>
    <w:rsid w:val="0C963376"/>
    <w:rsid w:val="0CA83369"/>
    <w:rsid w:val="0CD12600"/>
    <w:rsid w:val="0CDF6CD9"/>
    <w:rsid w:val="0CE642FD"/>
    <w:rsid w:val="0CEF4661"/>
    <w:rsid w:val="0D5F7C0C"/>
    <w:rsid w:val="0D870F11"/>
    <w:rsid w:val="0D8853B5"/>
    <w:rsid w:val="0DA43871"/>
    <w:rsid w:val="0DA87805"/>
    <w:rsid w:val="0DAB0670"/>
    <w:rsid w:val="0DB735A4"/>
    <w:rsid w:val="0DC9777B"/>
    <w:rsid w:val="0DDA3BE9"/>
    <w:rsid w:val="0E567261"/>
    <w:rsid w:val="0E686F94"/>
    <w:rsid w:val="0E6C20E1"/>
    <w:rsid w:val="0E7C659C"/>
    <w:rsid w:val="0E8F62CF"/>
    <w:rsid w:val="0EC35F79"/>
    <w:rsid w:val="0EF97BEC"/>
    <w:rsid w:val="0F120FEB"/>
    <w:rsid w:val="0F161A6C"/>
    <w:rsid w:val="0F2177F9"/>
    <w:rsid w:val="0F323C22"/>
    <w:rsid w:val="0F5C0557"/>
    <w:rsid w:val="0F5F0397"/>
    <w:rsid w:val="0F6459AD"/>
    <w:rsid w:val="0F691CE3"/>
    <w:rsid w:val="0FB32F25"/>
    <w:rsid w:val="0FB51D65"/>
    <w:rsid w:val="0FBD6883"/>
    <w:rsid w:val="0FF54858"/>
    <w:rsid w:val="0FFE370C"/>
    <w:rsid w:val="10044A9B"/>
    <w:rsid w:val="10203F5F"/>
    <w:rsid w:val="104F3F68"/>
    <w:rsid w:val="105477D0"/>
    <w:rsid w:val="10557C66"/>
    <w:rsid w:val="10BE733F"/>
    <w:rsid w:val="10FB5E9E"/>
    <w:rsid w:val="112278CE"/>
    <w:rsid w:val="112453F4"/>
    <w:rsid w:val="11497EE0"/>
    <w:rsid w:val="11592409"/>
    <w:rsid w:val="117655AE"/>
    <w:rsid w:val="118A2DD8"/>
    <w:rsid w:val="119D51A7"/>
    <w:rsid w:val="11E17F8F"/>
    <w:rsid w:val="11FC4F86"/>
    <w:rsid w:val="12076530"/>
    <w:rsid w:val="12080872"/>
    <w:rsid w:val="12140B5F"/>
    <w:rsid w:val="124A70DD"/>
    <w:rsid w:val="1288550F"/>
    <w:rsid w:val="129245E0"/>
    <w:rsid w:val="12A10CC7"/>
    <w:rsid w:val="12BE6E34"/>
    <w:rsid w:val="12CF75E2"/>
    <w:rsid w:val="130F3E82"/>
    <w:rsid w:val="13266FD3"/>
    <w:rsid w:val="133E6515"/>
    <w:rsid w:val="1340228E"/>
    <w:rsid w:val="134D0507"/>
    <w:rsid w:val="1350677B"/>
    <w:rsid w:val="13586FA8"/>
    <w:rsid w:val="135F7A86"/>
    <w:rsid w:val="13737E84"/>
    <w:rsid w:val="14033C6C"/>
    <w:rsid w:val="1404150D"/>
    <w:rsid w:val="14343A95"/>
    <w:rsid w:val="143771ED"/>
    <w:rsid w:val="146F7B6A"/>
    <w:rsid w:val="1497412F"/>
    <w:rsid w:val="14C30A80"/>
    <w:rsid w:val="152073C1"/>
    <w:rsid w:val="15347683"/>
    <w:rsid w:val="1542409B"/>
    <w:rsid w:val="15542020"/>
    <w:rsid w:val="15692825"/>
    <w:rsid w:val="15AE7982"/>
    <w:rsid w:val="15BB2DC0"/>
    <w:rsid w:val="15C15DDB"/>
    <w:rsid w:val="15C727F2"/>
    <w:rsid w:val="15E72745"/>
    <w:rsid w:val="16135A37"/>
    <w:rsid w:val="161959E3"/>
    <w:rsid w:val="161A5018"/>
    <w:rsid w:val="16454192"/>
    <w:rsid w:val="1663076D"/>
    <w:rsid w:val="16790ADD"/>
    <w:rsid w:val="168406E3"/>
    <w:rsid w:val="168564E4"/>
    <w:rsid w:val="16910295"/>
    <w:rsid w:val="16964465"/>
    <w:rsid w:val="16BF796D"/>
    <w:rsid w:val="16E36202"/>
    <w:rsid w:val="170B2BB3"/>
    <w:rsid w:val="170C1D07"/>
    <w:rsid w:val="170C294B"/>
    <w:rsid w:val="172A708E"/>
    <w:rsid w:val="173A1E04"/>
    <w:rsid w:val="177C0692"/>
    <w:rsid w:val="178E5821"/>
    <w:rsid w:val="17CF1CB3"/>
    <w:rsid w:val="17D17958"/>
    <w:rsid w:val="17D748AC"/>
    <w:rsid w:val="185C1918"/>
    <w:rsid w:val="18636D79"/>
    <w:rsid w:val="188E56EE"/>
    <w:rsid w:val="18F966A8"/>
    <w:rsid w:val="190235CE"/>
    <w:rsid w:val="19241D0A"/>
    <w:rsid w:val="19324427"/>
    <w:rsid w:val="19337ED3"/>
    <w:rsid w:val="194B7296"/>
    <w:rsid w:val="194F7E45"/>
    <w:rsid w:val="19A15110"/>
    <w:rsid w:val="19D674A8"/>
    <w:rsid w:val="19D94449"/>
    <w:rsid w:val="1A0459A2"/>
    <w:rsid w:val="1A057D8D"/>
    <w:rsid w:val="1A3C612E"/>
    <w:rsid w:val="1A7F5CC7"/>
    <w:rsid w:val="1AB05E55"/>
    <w:rsid w:val="1ADA75A4"/>
    <w:rsid w:val="1AE856E5"/>
    <w:rsid w:val="1B096ECA"/>
    <w:rsid w:val="1B377AC9"/>
    <w:rsid w:val="1BAB44EB"/>
    <w:rsid w:val="1BBE69F1"/>
    <w:rsid w:val="1BD71E98"/>
    <w:rsid w:val="1BE85270"/>
    <w:rsid w:val="1BF97DC1"/>
    <w:rsid w:val="1C197B20"/>
    <w:rsid w:val="1C27223D"/>
    <w:rsid w:val="1C374272"/>
    <w:rsid w:val="1C7F1742"/>
    <w:rsid w:val="1CAC2742"/>
    <w:rsid w:val="1CE75528"/>
    <w:rsid w:val="1D3544E5"/>
    <w:rsid w:val="1D4B5AB7"/>
    <w:rsid w:val="1D4F5AA7"/>
    <w:rsid w:val="1D5C1A72"/>
    <w:rsid w:val="1D921938"/>
    <w:rsid w:val="1DA578BD"/>
    <w:rsid w:val="1DAF6046"/>
    <w:rsid w:val="1DB57B00"/>
    <w:rsid w:val="1DC37D43"/>
    <w:rsid w:val="1DD35584"/>
    <w:rsid w:val="1DDA5477"/>
    <w:rsid w:val="1E093760"/>
    <w:rsid w:val="1E4569AA"/>
    <w:rsid w:val="1E5E1300"/>
    <w:rsid w:val="1E650DFA"/>
    <w:rsid w:val="1E7829C0"/>
    <w:rsid w:val="1EEE0DF0"/>
    <w:rsid w:val="1EF53F2C"/>
    <w:rsid w:val="1EFB0FDF"/>
    <w:rsid w:val="1F1037AD"/>
    <w:rsid w:val="1F3A2690"/>
    <w:rsid w:val="1F8E6A21"/>
    <w:rsid w:val="1FA94D17"/>
    <w:rsid w:val="1FDB5818"/>
    <w:rsid w:val="1FE42EAD"/>
    <w:rsid w:val="1FF02B97"/>
    <w:rsid w:val="20230F6D"/>
    <w:rsid w:val="20523600"/>
    <w:rsid w:val="20781D60"/>
    <w:rsid w:val="208E4638"/>
    <w:rsid w:val="211E3A90"/>
    <w:rsid w:val="21260D15"/>
    <w:rsid w:val="21322FA9"/>
    <w:rsid w:val="213351E0"/>
    <w:rsid w:val="21780E44"/>
    <w:rsid w:val="21B005DE"/>
    <w:rsid w:val="21B171D2"/>
    <w:rsid w:val="21C66054"/>
    <w:rsid w:val="21CD73E2"/>
    <w:rsid w:val="21FF6ED4"/>
    <w:rsid w:val="2208666C"/>
    <w:rsid w:val="223C2984"/>
    <w:rsid w:val="22437DF0"/>
    <w:rsid w:val="2245341D"/>
    <w:rsid w:val="227274B9"/>
    <w:rsid w:val="228F4698"/>
    <w:rsid w:val="2298750D"/>
    <w:rsid w:val="22C23F42"/>
    <w:rsid w:val="22D402FC"/>
    <w:rsid w:val="22D664A2"/>
    <w:rsid w:val="23043B39"/>
    <w:rsid w:val="234A6966"/>
    <w:rsid w:val="234B6811"/>
    <w:rsid w:val="2378337E"/>
    <w:rsid w:val="239B2AEF"/>
    <w:rsid w:val="23A423C5"/>
    <w:rsid w:val="23BC6A95"/>
    <w:rsid w:val="23D762F6"/>
    <w:rsid w:val="23EA427B"/>
    <w:rsid w:val="23F94634"/>
    <w:rsid w:val="23FC0B87"/>
    <w:rsid w:val="24092B5C"/>
    <w:rsid w:val="242D24D1"/>
    <w:rsid w:val="2443446B"/>
    <w:rsid w:val="2455546D"/>
    <w:rsid w:val="24681644"/>
    <w:rsid w:val="24975A86"/>
    <w:rsid w:val="24A361D8"/>
    <w:rsid w:val="24CD58EA"/>
    <w:rsid w:val="24ED1D23"/>
    <w:rsid w:val="24F67167"/>
    <w:rsid w:val="25034EC9"/>
    <w:rsid w:val="25070E5D"/>
    <w:rsid w:val="25121D2C"/>
    <w:rsid w:val="252D002D"/>
    <w:rsid w:val="2564005E"/>
    <w:rsid w:val="25AC730F"/>
    <w:rsid w:val="25AE12D9"/>
    <w:rsid w:val="25C26B32"/>
    <w:rsid w:val="25D93D6F"/>
    <w:rsid w:val="25DF3744"/>
    <w:rsid w:val="265C0D35"/>
    <w:rsid w:val="26722306"/>
    <w:rsid w:val="26832DB0"/>
    <w:rsid w:val="268564DD"/>
    <w:rsid w:val="26867B60"/>
    <w:rsid w:val="26C2328E"/>
    <w:rsid w:val="274A6DDF"/>
    <w:rsid w:val="27736336"/>
    <w:rsid w:val="27B506FD"/>
    <w:rsid w:val="27C24AC7"/>
    <w:rsid w:val="27D019DA"/>
    <w:rsid w:val="27D52028"/>
    <w:rsid w:val="27D94504"/>
    <w:rsid w:val="27FE6547"/>
    <w:rsid w:val="2815563F"/>
    <w:rsid w:val="28177609"/>
    <w:rsid w:val="28186EDD"/>
    <w:rsid w:val="282B1C55"/>
    <w:rsid w:val="28321D4D"/>
    <w:rsid w:val="28773C04"/>
    <w:rsid w:val="289A78F2"/>
    <w:rsid w:val="28B9421C"/>
    <w:rsid w:val="28BC0C5B"/>
    <w:rsid w:val="29143B49"/>
    <w:rsid w:val="294837F2"/>
    <w:rsid w:val="294D7AEA"/>
    <w:rsid w:val="295C7BF9"/>
    <w:rsid w:val="29643DAA"/>
    <w:rsid w:val="296A19BB"/>
    <w:rsid w:val="2985004F"/>
    <w:rsid w:val="29A27118"/>
    <w:rsid w:val="29BB1FC0"/>
    <w:rsid w:val="29E11C7D"/>
    <w:rsid w:val="29E76B67"/>
    <w:rsid w:val="29F15B4F"/>
    <w:rsid w:val="2A0B4F4C"/>
    <w:rsid w:val="2A2F3F5A"/>
    <w:rsid w:val="2A41271B"/>
    <w:rsid w:val="2A554419"/>
    <w:rsid w:val="2A77438F"/>
    <w:rsid w:val="2A91307F"/>
    <w:rsid w:val="2A97058D"/>
    <w:rsid w:val="2A9767DF"/>
    <w:rsid w:val="2AA42CAA"/>
    <w:rsid w:val="2ACC30AC"/>
    <w:rsid w:val="2AE412F9"/>
    <w:rsid w:val="2AF50F0A"/>
    <w:rsid w:val="2B035C23"/>
    <w:rsid w:val="2B0D0850"/>
    <w:rsid w:val="2B73131E"/>
    <w:rsid w:val="2B996587"/>
    <w:rsid w:val="2B9E3D10"/>
    <w:rsid w:val="2C1C3440"/>
    <w:rsid w:val="2C2A3B17"/>
    <w:rsid w:val="2C952ED3"/>
    <w:rsid w:val="2D136F3F"/>
    <w:rsid w:val="2D1934DC"/>
    <w:rsid w:val="2D510EC7"/>
    <w:rsid w:val="2D614E83"/>
    <w:rsid w:val="2D6A1F89"/>
    <w:rsid w:val="2D7C26A2"/>
    <w:rsid w:val="2D8A1297"/>
    <w:rsid w:val="2D9139BA"/>
    <w:rsid w:val="2DA36489"/>
    <w:rsid w:val="2DCA0C7A"/>
    <w:rsid w:val="2DEE02ED"/>
    <w:rsid w:val="2E342663"/>
    <w:rsid w:val="2E982B26"/>
    <w:rsid w:val="2EBE1054"/>
    <w:rsid w:val="2EC523EE"/>
    <w:rsid w:val="2EFE6B61"/>
    <w:rsid w:val="2F3334B5"/>
    <w:rsid w:val="2F723377"/>
    <w:rsid w:val="2F8D3C4F"/>
    <w:rsid w:val="2F9037FD"/>
    <w:rsid w:val="2FF10740"/>
    <w:rsid w:val="2FFA6A08"/>
    <w:rsid w:val="306C6018"/>
    <w:rsid w:val="308D4E47"/>
    <w:rsid w:val="30967009"/>
    <w:rsid w:val="30A667C9"/>
    <w:rsid w:val="30F136DB"/>
    <w:rsid w:val="310E1E17"/>
    <w:rsid w:val="313E79B5"/>
    <w:rsid w:val="31466FBE"/>
    <w:rsid w:val="314F3970"/>
    <w:rsid w:val="31772EC7"/>
    <w:rsid w:val="31BC6B2B"/>
    <w:rsid w:val="31CA749A"/>
    <w:rsid w:val="31E33313"/>
    <w:rsid w:val="31E367AE"/>
    <w:rsid w:val="32225637"/>
    <w:rsid w:val="323D1A1A"/>
    <w:rsid w:val="323E39E4"/>
    <w:rsid w:val="324174CD"/>
    <w:rsid w:val="3244657C"/>
    <w:rsid w:val="32483858"/>
    <w:rsid w:val="324F5BF1"/>
    <w:rsid w:val="327411B4"/>
    <w:rsid w:val="32805DAB"/>
    <w:rsid w:val="32825F8E"/>
    <w:rsid w:val="32CE4D68"/>
    <w:rsid w:val="32D54349"/>
    <w:rsid w:val="32DA1D98"/>
    <w:rsid w:val="33182487"/>
    <w:rsid w:val="335334BF"/>
    <w:rsid w:val="335A4C74"/>
    <w:rsid w:val="33745092"/>
    <w:rsid w:val="33AC61CE"/>
    <w:rsid w:val="33B63CD4"/>
    <w:rsid w:val="340622E0"/>
    <w:rsid w:val="34086A6A"/>
    <w:rsid w:val="341B3FDD"/>
    <w:rsid w:val="341E7629"/>
    <w:rsid w:val="34763909"/>
    <w:rsid w:val="34A22009"/>
    <w:rsid w:val="34B44389"/>
    <w:rsid w:val="34C925B0"/>
    <w:rsid w:val="34CA1856"/>
    <w:rsid w:val="34FA343A"/>
    <w:rsid w:val="350157B8"/>
    <w:rsid w:val="35215636"/>
    <w:rsid w:val="35223149"/>
    <w:rsid w:val="35246EC1"/>
    <w:rsid w:val="352769B2"/>
    <w:rsid w:val="3562649F"/>
    <w:rsid w:val="356E4461"/>
    <w:rsid w:val="35B77D36"/>
    <w:rsid w:val="35CD57AB"/>
    <w:rsid w:val="35D04788"/>
    <w:rsid w:val="35F76384"/>
    <w:rsid w:val="360B1E2F"/>
    <w:rsid w:val="363718F7"/>
    <w:rsid w:val="365C268B"/>
    <w:rsid w:val="365D6B2F"/>
    <w:rsid w:val="368215B3"/>
    <w:rsid w:val="36847487"/>
    <w:rsid w:val="368C2F70"/>
    <w:rsid w:val="36A22989"/>
    <w:rsid w:val="36AF4EB1"/>
    <w:rsid w:val="37117919"/>
    <w:rsid w:val="373D24BC"/>
    <w:rsid w:val="37421881"/>
    <w:rsid w:val="378D2149"/>
    <w:rsid w:val="379E7F96"/>
    <w:rsid w:val="37AD13F0"/>
    <w:rsid w:val="37B82B30"/>
    <w:rsid w:val="38003C16"/>
    <w:rsid w:val="38213B8C"/>
    <w:rsid w:val="384671A5"/>
    <w:rsid w:val="3848736B"/>
    <w:rsid w:val="38726196"/>
    <w:rsid w:val="38832151"/>
    <w:rsid w:val="38B715B0"/>
    <w:rsid w:val="38CF183A"/>
    <w:rsid w:val="38E76B84"/>
    <w:rsid w:val="38FE6EC1"/>
    <w:rsid w:val="390E05D3"/>
    <w:rsid w:val="39335925"/>
    <w:rsid w:val="394A456F"/>
    <w:rsid w:val="39513299"/>
    <w:rsid w:val="39515623"/>
    <w:rsid w:val="395F671A"/>
    <w:rsid w:val="397D4DF2"/>
    <w:rsid w:val="397E7298"/>
    <w:rsid w:val="39965A01"/>
    <w:rsid w:val="39A16D33"/>
    <w:rsid w:val="39DF3CFF"/>
    <w:rsid w:val="39E36D7F"/>
    <w:rsid w:val="39E657F8"/>
    <w:rsid w:val="39F670C0"/>
    <w:rsid w:val="3A017D91"/>
    <w:rsid w:val="3A0A75ED"/>
    <w:rsid w:val="3A1305D9"/>
    <w:rsid w:val="3A287454"/>
    <w:rsid w:val="3A333BB2"/>
    <w:rsid w:val="3A520E19"/>
    <w:rsid w:val="3A6C233C"/>
    <w:rsid w:val="3A807ABB"/>
    <w:rsid w:val="3A852B7B"/>
    <w:rsid w:val="3A8563AC"/>
    <w:rsid w:val="3A87448F"/>
    <w:rsid w:val="3A94276A"/>
    <w:rsid w:val="3A995DEA"/>
    <w:rsid w:val="3ABE6104"/>
    <w:rsid w:val="3AD969A0"/>
    <w:rsid w:val="3AE27603"/>
    <w:rsid w:val="3AE70EA8"/>
    <w:rsid w:val="3AFC3DDE"/>
    <w:rsid w:val="3B057795"/>
    <w:rsid w:val="3B0650EA"/>
    <w:rsid w:val="3B630C16"/>
    <w:rsid w:val="3B7751BC"/>
    <w:rsid w:val="3B7C28A5"/>
    <w:rsid w:val="3B7D557D"/>
    <w:rsid w:val="3B8D2504"/>
    <w:rsid w:val="3B8E32E7"/>
    <w:rsid w:val="3BC56A99"/>
    <w:rsid w:val="3BE41159"/>
    <w:rsid w:val="3BF33A92"/>
    <w:rsid w:val="3C1A0E28"/>
    <w:rsid w:val="3C642299"/>
    <w:rsid w:val="3CA03B81"/>
    <w:rsid w:val="3CE46E22"/>
    <w:rsid w:val="3D1A3C94"/>
    <w:rsid w:val="3D363C36"/>
    <w:rsid w:val="3D505F6A"/>
    <w:rsid w:val="3D780273"/>
    <w:rsid w:val="3D8A3F82"/>
    <w:rsid w:val="3DB8289D"/>
    <w:rsid w:val="3DEA6BE5"/>
    <w:rsid w:val="3E4B2C82"/>
    <w:rsid w:val="3EA82911"/>
    <w:rsid w:val="3EF5058E"/>
    <w:rsid w:val="3EFF3896"/>
    <w:rsid w:val="3F0264C5"/>
    <w:rsid w:val="3F163D1F"/>
    <w:rsid w:val="3F3146B5"/>
    <w:rsid w:val="3FC65745"/>
    <w:rsid w:val="3FD35566"/>
    <w:rsid w:val="3FF24B82"/>
    <w:rsid w:val="40183AC7"/>
    <w:rsid w:val="40525783"/>
    <w:rsid w:val="40542CB7"/>
    <w:rsid w:val="40860A30"/>
    <w:rsid w:val="40B530C4"/>
    <w:rsid w:val="40CA73E6"/>
    <w:rsid w:val="41354204"/>
    <w:rsid w:val="41362456"/>
    <w:rsid w:val="41483F38"/>
    <w:rsid w:val="415648A7"/>
    <w:rsid w:val="417116E0"/>
    <w:rsid w:val="41C132ED"/>
    <w:rsid w:val="41CF6407"/>
    <w:rsid w:val="42010CB6"/>
    <w:rsid w:val="42094666"/>
    <w:rsid w:val="420D3F86"/>
    <w:rsid w:val="42274495"/>
    <w:rsid w:val="423A5F76"/>
    <w:rsid w:val="425A3F23"/>
    <w:rsid w:val="426D7503"/>
    <w:rsid w:val="427751F6"/>
    <w:rsid w:val="42834E60"/>
    <w:rsid w:val="42A6360C"/>
    <w:rsid w:val="42B40980"/>
    <w:rsid w:val="42F56341"/>
    <w:rsid w:val="430202DD"/>
    <w:rsid w:val="43360F98"/>
    <w:rsid w:val="43757551"/>
    <w:rsid w:val="43806103"/>
    <w:rsid w:val="43B21B3C"/>
    <w:rsid w:val="43C60883"/>
    <w:rsid w:val="43D51220"/>
    <w:rsid w:val="441A605F"/>
    <w:rsid w:val="442347E8"/>
    <w:rsid w:val="445A2900"/>
    <w:rsid w:val="447C2876"/>
    <w:rsid w:val="44CC6C2E"/>
    <w:rsid w:val="451E7DCD"/>
    <w:rsid w:val="452151CC"/>
    <w:rsid w:val="452847AC"/>
    <w:rsid w:val="453018B3"/>
    <w:rsid w:val="45350C77"/>
    <w:rsid w:val="45372C41"/>
    <w:rsid w:val="456B50F6"/>
    <w:rsid w:val="456F417F"/>
    <w:rsid w:val="45E87A97"/>
    <w:rsid w:val="45EF645F"/>
    <w:rsid w:val="46033B60"/>
    <w:rsid w:val="46075F11"/>
    <w:rsid w:val="461A7601"/>
    <w:rsid w:val="46326F64"/>
    <w:rsid w:val="46401681"/>
    <w:rsid w:val="46CB3641"/>
    <w:rsid w:val="46CF2BD9"/>
    <w:rsid w:val="46EF332A"/>
    <w:rsid w:val="47431429"/>
    <w:rsid w:val="47612887"/>
    <w:rsid w:val="476F5BF9"/>
    <w:rsid w:val="47737835"/>
    <w:rsid w:val="479C322F"/>
    <w:rsid w:val="47AD0F98"/>
    <w:rsid w:val="47B3693C"/>
    <w:rsid w:val="47B63A3E"/>
    <w:rsid w:val="47E81FD1"/>
    <w:rsid w:val="47EC7D13"/>
    <w:rsid w:val="482E33C1"/>
    <w:rsid w:val="483119FA"/>
    <w:rsid w:val="48B545A9"/>
    <w:rsid w:val="48C509ED"/>
    <w:rsid w:val="49180694"/>
    <w:rsid w:val="494A3025"/>
    <w:rsid w:val="49847F00"/>
    <w:rsid w:val="49B47094"/>
    <w:rsid w:val="49BF064E"/>
    <w:rsid w:val="49EB0EB2"/>
    <w:rsid w:val="4A2B43F6"/>
    <w:rsid w:val="4A2C337A"/>
    <w:rsid w:val="4A62250E"/>
    <w:rsid w:val="4A8A596E"/>
    <w:rsid w:val="4A9B5A20"/>
    <w:rsid w:val="4AF60EA8"/>
    <w:rsid w:val="4B0D3EFE"/>
    <w:rsid w:val="4B795890"/>
    <w:rsid w:val="4B7D0C82"/>
    <w:rsid w:val="4B8552FA"/>
    <w:rsid w:val="4BA44460"/>
    <w:rsid w:val="4BAD1567"/>
    <w:rsid w:val="4BB52342"/>
    <w:rsid w:val="4BBA3C84"/>
    <w:rsid w:val="4BDB2578"/>
    <w:rsid w:val="4BDF36EB"/>
    <w:rsid w:val="4BEA4569"/>
    <w:rsid w:val="4BF35C2E"/>
    <w:rsid w:val="4C1C3D54"/>
    <w:rsid w:val="4C1E4213"/>
    <w:rsid w:val="4C20600F"/>
    <w:rsid w:val="4C213D03"/>
    <w:rsid w:val="4C3C0B3D"/>
    <w:rsid w:val="4C4023DB"/>
    <w:rsid w:val="4C5145E8"/>
    <w:rsid w:val="4C74437E"/>
    <w:rsid w:val="4C8841A8"/>
    <w:rsid w:val="4C975D73"/>
    <w:rsid w:val="4CA961D2"/>
    <w:rsid w:val="4CBF59F6"/>
    <w:rsid w:val="4CC34047"/>
    <w:rsid w:val="4CC35EBD"/>
    <w:rsid w:val="4CFA4BB2"/>
    <w:rsid w:val="4CFC400C"/>
    <w:rsid w:val="4D295B8D"/>
    <w:rsid w:val="4D2B4E39"/>
    <w:rsid w:val="4D3D6CE2"/>
    <w:rsid w:val="4D4414B6"/>
    <w:rsid w:val="4D5A28F1"/>
    <w:rsid w:val="4D5C1497"/>
    <w:rsid w:val="4D622825"/>
    <w:rsid w:val="4DAE15C6"/>
    <w:rsid w:val="4DCD7C9F"/>
    <w:rsid w:val="4DE1199C"/>
    <w:rsid w:val="4DEA4CF4"/>
    <w:rsid w:val="4DEB6377"/>
    <w:rsid w:val="4DFE42FC"/>
    <w:rsid w:val="4E013D1E"/>
    <w:rsid w:val="4E320449"/>
    <w:rsid w:val="4E355844"/>
    <w:rsid w:val="4E434405"/>
    <w:rsid w:val="4E535EF2"/>
    <w:rsid w:val="4EC907F2"/>
    <w:rsid w:val="4ED049F3"/>
    <w:rsid w:val="4EDD4E2D"/>
    <w:rsid w:val="4EF56359"/>
    <w:rsid w:val="4EF63225"/>
    <w:rsid w:val="4F0022F6"/>
    <w:rsid w:val="4F0303EB"/>
    <w:rsid w:val="4F436207"/>
    <w:rsid w:val="4F714FA1"/>
    <w:rsid w:val="4F860A4D"/>
    <w:rsid w:val="4F9232F1"/>
    <w:rsid w:val="4F9B5B7A"/>
    <w:rsid w:val="4FAB04B3"/>
    <w:rsid w:val="4FB05ACA"/>
    <w:rsid w:val="4FB730F2"/>
    <w:rsid w:val="4FC1230E"/>
    <w:rsid w:val="4FC43637"/>
    <w:rsid w:val="4FDF4144"/>
    <w:rsid w:val="50395ABF"/>
    <w:rsid w:val="506747B8"/>
    <w:rsid w:val="50914970"/>
    <w:rsid w:val="50B67110"/>
    <w:rsid w:val="50C93054"/>
    <w:rsid w:val="50CF1A25"/>
    <w:rsid w:val="50F25C6E"/>
    <w:rsid w:val="50F419E6"/>
    <w:rsid w:val="5119769F"/>
    <w:rsid w:val="51677EC1"/>
    <w:rsid w:val="51AE4F50"/>
    <w:rsid w:val="51F7178E"/>
    <w:rsid w:val="5245652E"/>
    <w:rsid w:val="5248023B"/>
    <w:rsid w:val="52D7336D"/>
    <w:rsid w:val="52E15F9A"/>
    <w:rsid w:val="52FE68F1"/>
    <w:rsid w:val="53083527"/>
    <w:rsid w:val="5350420F"/>
    <w:rsid w:val="535D3873"/>
    <w:rsid w:val="53B042EA"/>
    <w:rsid w:val="53D93F4E"/>
    <w:rsid w:val="53EA3D64"/>
    <w:rsid w:val="53F63C92"/>
    <w:rsid w:val="54387E3C"/>
    <w:rsid w:val="543F566E"/>
    <w:rsid w:val="54717620"/>
    <w:rsid w:val="54C65448"/>
    <w:rsid w:val="54CB596F"/>
    <w:rsid w:val="55082061"/>
    <w:rsid w:val="551504BE"/>
    <w:rsid w:val="551A527C"/>
    <w:rsid w:val="5563538C"/>
    <w:rsid w:val="556A1FAD"/>
    <w:rsid w:val="559612BE"/>
    <w:rsid w:val="55B9765F"/>
    <w:rsid w:val="55CA5EB8"/>
    <w:rsid w:val="56101070"/>
    <w:rsid w:val="565D1CC0"/>
    <w:rsid w:val="566029E9"/>
    <w:rsid w:val="56666BDD"/>
    <w:rsid w:val="56892BD1"/>
    <w:rsid w:val="569C2735"/>
    <w:rsid w:val="56A63C9B"/>
    <w:rsid w:val="56C360E3"/>
    <w:rsid w:val="56F91D2C"/>
    <w:rsid w:val="570100FC"/>
    <w:rsid w:val="571E5A0F"/>
    <w:rsid w:val="57206F00"/>
    <w:rsid w:val="57776D3C"/>
    <w:rsid w:val="57984FF9"/>
    <w:rsid w:val="57A85EC6"/>
    <w:rsid w:val="57BC4D8D"/>
    <w:rsid w:val="57C33EC0"/>
    <w:rsid w:val="57F10A2D"/>
    <w:rsid w:val="580C5136"/>
    <w:rsid w:val="582E57DE"/>
    <w:rsid w:val="587F24C3"/>
    <w:rsid w:val="58951D01"/>
    <w:rsid w:val="589F211A"/>
    <w:rsid w:val="58BE3B0A"/>
    <w:rsid w:val="58CB799D"/>
    <w:rsid w:val="58EB1921"/>
    <w:rsid w:val="58FB5DCF"/>
    <w:rsid w:val="59BD150F"/>
    <w:rsid w:val="59BE0DE3"/>
    <w:rsid w:val="59C31D1B"/>
    <w:rsid w:val="59E7572A"/>
    <w:rsid w:val="59FF38D6"/>
    <w:rsid w:val="5A495EAB"/>
    <w:rsid w:val="5A656006"/>
    <w:rsid w:val="5A80530A"/>
    <w:rsid w:val="5AB20948"/>
    <w:rsid w:val="5AE825BC"/>
    <w:rsid w:val="5AEB5C08"/>
    <w:rsid w:val="5AF67FDC"/>
    <w:rsid w:val="5AF72C6F"/>
    <w:rsid w:val="5B304F9D"/>
    <w:rsid w:val="5B834203"/>
    <w:rsid w:val="5BBB1B68"/>
    <w:rsid w:val="5BC5047D"/>
    <w:rsid w:val="5BF40AEC"/>
    <w:rsid w:val="5C003015"/>
    <w:rsid w:val="5C25514A"/>
    <w:rsid w:val="5C2B7C22"/>
    <w:rsid w:val="5C3929A3"/>
    <w:rsid w:val="5C670229"/>
    <w:rsid w:val="5C7C076A"/>
    <w:rsid w:val="5C7D31D8"/>
    <w:rsid w:val="5C806824"/>
    <w:rsid w:val="5C853E3A"/>
    <w:rsid w:val="5C9947B3"/>
    <w:rsid w:val="5CB466AA"/>
    <w:rsid w:val="5CBD35D4"/>
    <w:rsid w:val="5CD01559"/>
    <w:rsid w:val="5CED3960"/>
    <w:rsid w:val="5D092D37"/>
    <w:rsid w:val="5D231247"/>
    <w:rsid w:val="5D812854"/>
    <w:rsid w:val="5D8D2FA6"/>
    <w:rsid w:val="5D9500AD"/>
    <w:rsid w:val="5DAB5B22"/>
    <w:rsid w:val="5DEF1EB3"/>
    <w:rsid w:val="5E3E24F3"/>
    <w:rsid w:val="5E477480"/>
    <w:rsid w:val="5E7A5C21"/>
    <w:rsid w:val="5E9F7435"/>
    <w:rsid w:val="5EF17565"/>
    <w:rsid w:val="5EFD0600"/>
    <w:rsid w:val="5EFD5F0A"/>
    <w:rsid w:val="5F2D58F7"/>
    <w:rsid w:val="5F3B6A32"/>
    <w:rsid w:val="5FAB3BB8"/>
    <w:rsid w:val="60120CE5"/>
    <w:rsid w:val="60121E89"/>
    <w:rsid w:val="60413542"/>
    <w:rsid w:val="60464327"/>
    <w:rsid w:val="605E6E7C"/>
    <w:rsid w:val="60636240"/>
    <w:rsid w:val="60732927"/>
    <w:rsid w:val="609E7D33"/>
    <w:rsid w:val="60AA20C1"/>
    <w:rsid w:val="60D033D7"/>
    <w:rsid w:val="60E43825"/>
    <w:rsid w:val="60E530F9"/>
    <w:rsid w:val="60EA32AD"/>
    <w:rsid w:val="60FB291D"/>
    <w:rsid w:val="61202383"/>
    <w:rsid w:val="61E16A05"/>
    <w:rsid w:val="61F77588"/>
    <w:rsid w:val="620121B5"/>
    <w:rsid w:val="627B3D15"/>
    <w:rsid w:val="62B17737"/>
    <w:rsid w:val="62B77BFB"/>
    <w:rsid w:val="62BD1134"/>
    <w:rsid w:val="62C531E2"/>
    <w:rsid w:val="62CF3FAE"/>
    <w:rsid w:val="62DD758E"/>
    <w:rsid w:val="62EE5022"/>
    <w:rsid w:val="6343672A"/>
    <w:rsid w:val="63A77332"/>
    <w:rsid w:val="63AA7F56"/>
    <w:rsid w:val="63BF5E84"/>
    <w:rsid w:val="63CD5413"/>
    <w:rsid w:val="63CF0C57"/>
    <w:rsid w:val="63F773CC"/>
    <w:rsid w:val="63FC652A"/>
    <w:rsid w:val="640623AA"/>
    <w:rsid w:val="6410048D"/>
    <w:rsid w:val="643A14B5"/>
    <w:rsid w:val="645F0F13"/>
    <w:rsid w:val="6461518D"/>
    <w:rsid w:val="648D1ADE"/>
    <w:rsid w:val="64A5151D"/>
    <w:rsid w:val="64B25196"/>
    <w:rsid w:val="650D7CBF"/>
    <w:rsid w:val="65552E79"/>
    <w:rsid w:val="655A40B6"/>
    <w:rsid w:val="65757872"/>
    <w:rsid w:val="657A650D"/>
    <w:rsid w:val="657F3B1C"/>
    <w:rsid w:val="65CC4888"/>
    <w:rsid w:val="65CD0D2C"/>
    <w:rsid w:val="65EE03D8"/>
    <w:rsid w:val="65F91B21"/>
    <w:rsid w:val="65F96434"/>
    <w:rsid w:val="65FC3537"/>
    <w:rsid w:val="66432D9C"/>
    <w:rsid w:val="66502626"/>
    <w:rsid w:val="66E0683D"/>
    <w:rsid w:val="6731560E"/>
    <w:rsid w:val="67357CEC"/>
    <w:rsid w:val="67582877"/>
    <w:rsid w:val="676E5BF7"/>
    <w:rsid w:val="676F196F"/>
    <w:rsid w:val="67735FCD"/>
    <w:rsid w:val="678402BD"/>
    <w:rsid w:val="679C651F"/>
    <w:rsid w:val="67A45ABC"/>
    <w:rsid w:val="67D00B9C"/>
    <w:rsid w:val="67EB657A"/>
    <w:rsid w:val="681C5653"/>
    <w:rsid w:val="68761C02"/>
    <w:rsid w:val="6897117D"/>
    <w:rsid w:val="689B43EB"/>
    <w:rsid w:val="68A107E6"/>
    <w:rsid w:val="68D03FBA"/>
    <w:rsid w:val="68FB5BB0"/>
    <w:rsid w:val="69126A56"/>
    <w:rsid w:val="69156AA5"/>
    <w:rsid w:val="693B5FAC"/>
    <w:rsid w:val="694806C9"/>
    <w:rsid w:val="6957187C"/>
    <w:rsid w:val="698A4A90"/>
    <w:rsid w:val="6A1276D9"/>
    <w:rsid w:val="6A5A4B58"/>
    <w:rsid w:val="6A5C4A36"/>
    <w:rsid w:val="6A6257BB"/>
    <w:rsid w:val="6A667059"/>
    <w:rsid w:val="6A7554EE"/>
    <w:rsid w:val="6A982813"/>
    <w:rsid w:val="6AD93CCF"/>
    <w:rsid w:val="6B376A4D"/>
    <w:rsid w:val="6B4C44A1"/>
    <w:rsid w:val="6B4D20C1"/>
    <w:rsid w:val="6B5A0720"/>
    <w:rsid w:val="6B712159"/>
    <w:rsid w:val="6B841E74"/>
    <w:rsid w:val="6BA31420"/>
    <w:rsid w:val="6BB1195E"/>
    <w:rsid w:val="6BDE3191"/>
    <w:rsid w:val="6BF20002"/>
    <w:rsid w:val="6C5A0E3F"/>
    <w:rsid w:val="6C6770B8"/>
    <w:rsid w:val="6C6877DD"/>
    <w:rsid w:val="6C86667E"/>
    <w:rsid w:val="6C875DB1"/>
    <w:rsid w:val="6C8B154D"/>
    <w:rsid w:val="6CA813D1"/>
    <w:rsid w:val="6CB95B66"/>
    <w:rsid w:val="6CD209D6"/>
    <w:rsid w:val="6D4318D3"/>
    <w:rsid w:val="6D7221B9"/>
    <w:rsid w:val="6D8261BE"/>
    <w:rsid w:val="6D83202E"/>
    <w:rsid w:val="6DBB76BC"/>
    <w:rsid w:val="6DCA78FF"/>
    <w:rsid w:val="6E533D98"/>
    <w:rsid w:val="6E58315D"/>
    <w:rsid w:val="6E602011"/>
    <w:rsid w:val="6E6715F2"/>
    <w:rsid w:val="6E9879FD"/>
    <w:rsid w:val="6EB365E5"/>
    <w:rsid w:val="6ECD3B4B"/>
    <w:rsid w:val="6ECD5B46"/>
    <w:rsid w:val="6EF2535F"/>
    <w:rsid w:val="6F56269B"/>
    <w:rsid w:val="6F6F4C02"/>
    <w:rsid w:val="6F76035C"/>
    <w:rsid w:val="6FD607DD"/>
    <w:rsid w:val="6FD6290B"/>
    <w:rsid w:val="6FDE1688"/>
    <w:rsid w:val="701337DF"/>
    <w:rsid w:val="70934524"/>
    <w:rsid w:val="70983CE4"/>
    <w:rsid w:val="70D2369A"/>
    <w:rsid w:val="70ED2282"/>
    <w:rsid w:val="712A703B"/>
    <w:rsid w:val="7136242C"/>
    <w:rsid w:val="71615151"/>
    <w:rsid w:val="718B5865"/>
    <w:rsid w:val="71951758"/>
    <w:rsid w:val="71951AC1"/>
    <w:rsid w:val="71997D14"/>
    <w:rsid w:val="71BC1C54"/>
    <w:rsid w:val="71D35B78"/>
    <w:rsid w:val="71D62D16"/>
    <w:rsid w:val="721440B0"/>
    <w:rsid w:val="722C2936"/>
    <w:rsid w:val="72302924"/>
    <w:rsid w:val="723C7A8D"/>
    <w:rsid w:val="725A3947"/>
    <w:rsid w:val="725F5475"/>
    <w:rsid w:val="72655E48"/>
    <w:rsid w:val="726A16B0"/>
    <w:rsid w:val="729F135A"/>
    <w:rsid w:val="729F725C"/>
    <w:rsid w:val="72A2709C"/>
    <w:rsid w:val="72A84697"/>
    <w:rsid w:val="72C25048"/>
    <w:rsid w:val="72FD2525"/>
    <w:rsid w:val="731A4E85"/>
    <w:rsid w:val="731D14C0"/>
    <w:rsid w:val="73337CF4"/>
    <w:rsid w:val="733F48EB"/>
    <w:rsid w:val="73700F48"/>
    <w:rsid w:val="73CD639B"/>
    <w:rsid w:val="740F250F"/>
    <w:rsid w:val="74205C15"/>
    <w:rsid w:val="74592769"/>
    <w:rsid w:val="746501EC"/>
    <w:rsid w:val="74A93321"/>
    <w:rsid w:val="74D80B53"/>
    <w:rsid w:val="74EB65B0"/>
    <w:rsid w:val="74FF4231"/>
    <w:rsid w:val="75C5557C"/>
    <w:rsid w:val="75C874AA"/>
    <w:rsid w:val="75D15FE8"/>
    <w:rsid w:val="75D620D8"/>
    <w:rsid w:val="75E71B76"/>
    <w:rsid w:val="75F45E61"/>
    <w:rsid w:val="75FB0F9D"/>
    <w:rsid w:val="760B7DEB"/>
    <w:rsid w:val="761B163F"/>
    <w:rsid w:val="763224E5"/>
    <w:rsid w:val="76366479"/>
    <w:rsid w:val="764432F9"/>
    <w:rsid w:val="764F3097"/>
    <w:rsid w:val="76534E3F"/>
    <w:rsid w:val="76581DF8"/>
    <w:rsid w:val="765C241B"/>
    <w:rsid w:val="76742BC6"/>
    <w:rsid w:val="76A809F9"/>
    <w:rsid w:val="76B24F13"/>
    <w:rsid w:val="76FA1255"/>
    <w:rsid w:val="774231E6"/>
    <w:rsid w:val="777841EB"/>
    <w:rsid w:val="77B70EF4"/>
    <w:rsid w:val="77F77A99"/>
    <w:rsid w:val="77F93869"/>
    <w:rsid w:val="781E5417"/>
    <w:rsid w:val="78433043"/>
    <w:rsid w:val="784C7EB0"/>
    <w:rsid w:val="78515115"/>
    <w:rsid w:val="78541501"/>
    <w:rsid w:val="786C777E"/>
    <w:rsid w:val="78767001"/>
    <w:rsid w:val="787839E2"/>
    <w:rsid w:val="78B14A1F"/>
    <w:rsid w:val="79075EAB"/>
    <w:rsid w:val="791D3260"/>
    <w:rsid w:val="79273E57"/>
    <w:rsid w:val="79532E9E"/>
    <w:rsid w:val="79876FEC"/>
    <w:rsid w:val="799426BA"/>
    <w:rsid w:val="79A6323D"/>
    <w:rsid w:val="79B35B97"/>
    <w:rsid w:val="79C15997"/>
    <w:rsid w:val="79D56593"/>
    <w:rsid w:val="79E12B0A"/>
    <w:rsid w:val="7A2D7B93"/>
    <w:rsid w:val="7A4B21AB"/>
    <w:rsid w:val="7A5015BA"/>
    <w:rsid w:val="7A590988"/>
    <w:rsid w:val="7A7861A3"/>
    <w:rsid w:val="7A89270A"/>
    <w:rsid w:val="7A8C614A"/>
    <w:rsid w:val="7A9814B1"/>
    <w:rsid w:val="7AF615CC"/>
    <w:rsid w:val="7AFE32DE"/>
    <w:rsid w:val="7B44223F"/>
    <w:rsid w:val="7B8E4662"/>
    <w:rsid w:val="7BA859A3"/>
    <w:rsid w:val="7C1A11A4"/>
    <w:rsid w:val="7C48112B"/>
    <w:rsid w:val="7C6F3692"/>
    <w:rsid w:val="7C756F0E"/>
    <w:rsid w:val="7C857813"/>
    <w:rsid w:val="7CA44461"/>
    <w:rsid w:val="7CC3658D"/>
    <w:rsid w:val="7CCA791B"/>
    <w:rsid w:val="7CCD4D16"/>
    <w:rsid w:val="7CCF0A8E"/>
    <w:rsid w:val="7CEC1640"/>
    <w:rsid w:val="7CF229CE"/>
    <w:rsid w:val="7D083FA0"/>
    <w:rsid w:val="7D2F1A27"/>
    <w:rsid w:val="7D4F7E21"/>
    <w:rsid w:val="7D60202E"/>
    <w:rsid w:val="7D7109BA"/>
    <w:rsid w:val="7D7653AD"/>
    <w:rsid w:val="7D8602B6"/>
    <w:rsid w:val="7DAE0FEB"/>
    <w:rsid w:val="7DC06949"/>
    <w:rsid w:val="7E067377"/>
    <w:rsid w:val="7E14098D"/>
    <w:rsid w:val="7E4371E9"/>
    <w:rsid w:val="7E5356EF"/>
    <w:rsid w:val="7E5357A6"/>
    <w:rsid w:val="7E610AD9"/>
    <w:rsid w:val="7E7D262E"/>
    <w:rsid w:val="7E9C52E7"/>
    <w:rsid w:val="7EB77A2B"/>
    <w:rsid w:val="7ED5541C"/>
    <w:rsid w:val="7EE30820"/>
    <w:rsid w:val="7F026D70"/>
    <w:rsid w:val="7F0B4AC4"/>
    <w:rsid w:val="7F0E0BCE"/>
    <w:rsid w:val="7F2551E6"/>
    <w:rsid w:val="7F27632D"/>
    <w:rsid w:val="7F5E6DFC"/>
    <w:rsid w:val="7FA67CBB"/>
    <w:rsid w:val="7FD12D6F"/>
    <w:rsid w:val="7FE31F0C"/>
    <w:rsid w:val="7FFD2C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3"/>
    <w:qFormat/>
    <w:uiPriority w:val="0"/>
    <w:pPr>
      <w:keepNext/>
      <w:keepLines/>
      <w:spacing w:before="340" w:after="330" w:line="576"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rPr>
      <w:sz w:val="30"/>
    </w:rPr>
  </w:style>
  <w:style w:type="paragraph" w:styleId="8">
    <w:name w:val="table of authorities"/>
    <w:basedOn w:val="1"/>
    <w:next w:val="1"/>
    <w:qFormat/>
    <w:uiPriority w:val="0"/>
    <w:pPr>
      <w:ind w:left="420" w:leftChars="200"/>
    </w:pPr>
  </w:style>
  <w:style w:type="paragraph" w:styleId="9">
    <w:name w:val="Normal Indent"/>
    <w:basedOn w:val="1"/>
    <w:qFormat/>
    <w:uiPriority w:val="0"/>
    <w:pPr>
      <w:ind w:firstLine="420" w:firstLineChars="200"/>
    </w:pPr>
  </w:style>
  <w:style w:type="paragraph" w:styleId="10">
    <w:name w:val="Document Map"/>
    <w:basedOn w:val="1"/>
    <w:next w:val="11"/>
    <w:qFormat/>
    <w:uiPriority w:val="0"/>
    <w:pPr>
      <w:shd w:val="clear" w:color="auto" w:fill="000080"/>
    </w:pPr>
    <w:rPr>
      <w:kern w:val="0"/>
      <w:sz w:val="20"/>
    </w:rPr>
  </w:style>
  <w:style w:type="paragraph" w:styleId="11">
    <w:name w:val="Title"/>
    <w:basedOn w:val="1"/>
    <w:next w:val="1"/>
    <w:qFormat/>
    <w:uiPriority w:val="0"/>
    <w:pPr>
      <w:widowControl/>
      <w:pBdr>
        <w:bottom w:val="single" w:color="auto" w:sz="4" w:space="1"/>
      </w:pBdr>
      <w:spacing w:after="200" w:afterLines="0"/>
      <w:contextualSpacing/>
      <w:jc w:val="left"/>
    </w:pPr>
    <w:rPr>
      <w:rFonts w:ascii="Cambria" w:hAnsi="Cambria"/>
      <w:spacing w:val="5"/>
      <w:kern w:val="0"/>
      <w:sz w:val="52"/>
      <w:szCs w:val="52"/>
    </w:rPr>
  </w:style>
  <w:style w:type="paragraph" w:styleId="12">
    <w:name w:val="annotation text"/>
    <w:basedOn w:val="1"/>
    <w:qFormat/>
    <w:uiPriority w:val="0"/>
    <w:pPr>
      <w:widowControl/>
      <w:jc w:val="left"/>
    </w:pPr>
    <w:rPr>
      <w:kern w:val="0"/>
      <w:szCs w:val="20"/>
    </w:rPr>
  </w:style>
  <w:style w:type="paragraph" w:styleId="13">
    <w:name w:val="Body Text 3"/>
    <w:basedOn w:val="1"/>
    <w:qFormat/>
    <w:uiPriority w:val="0"/>
    <w:rPr>
      <w:rFonts w:ascii="宋体" w:hAnsi="Times New Roman" w:eastAsia="宋体" w:cs="Times New Roman"/>
      <w:sz w:val="24"/>
      <w:szCs w:val="20"/>
    </w:rPr>
  </w:style>
  <w:style w:type="paragraph" w:styleId="14">
    <w:name w:val="Body Text Indent"/>
    <w:basedOn w:val="1"/>
    <w:next w:val="15"/>
    <w:qFormat/>
    <w:uiPriority w:val="0"/>
    <w:pPr>
      <w:spacing w:line="460" w:lineRule="exact"/>
      <w:ind w:firstLine="510"/>
    </w:pPr>
  </w:style>
  <w:style w:type="paragraph" w:styleId="15">
    <w:name w:val="envelope return"/>
    <w:basedOn w:val="1"/>
    <w:qFormat/>
    <w:uiPriority w:val="0"/>
    <w:pPr>
      <w:snapToGrid w:val="0"/>
    </w:pPr>
    <w:rPr>
      <w:rFonts w:ascii="Arial" w:hAnsi="Arial" w:eastAsia="宋体" w:cs="Times New Roman"/>
      <w:szCs w:val="20"/>
    </w:rPr>
  </w:style>
  <w:style w:type="paragraph" w:styleId="16">
    <w:name w:val="Block Text"/>
    <w:basedOn w:val="1"/>
    <w:unhideWhenUsed/>
    <w:qFormat/>
    <w:uiPriority w:val="99"/>
    <w:pPr>
      <w:spacing w:after="120"/>
      <w:ind w:left="1440" w:leftChars="700" w:right="700" w:rightChars="700"/>
    </w:pPr>
  </w:style>
  <w:style w:type="paragraph" w:styleId="17">
    <w:name w:val="Plain Text"/>
    <w:basedOn w:val="1"/>
    <w:next w:val="1"/>
    <w:qFormat/>
    <w:uiPriority w:val="0"/>
    <w:rPr>
      <w:rFonts w:ascii="宋体" w:hAnsi="Courier New" w:cs="Courier New"/>
      <w:szCs w:val="21"/>
    </w:r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Body Text Indent 3"/>
    <w:basedOn w:val="1"/>
    <w:qFormat/>
    <w:uiPriority w:val="0"/>
    <w:pPr>
      <w:spacing w:line="360" w:lineRule="auto"/>
      <w:ind w:firstLine="480" w:firstLineChars="200"/>
    </w:pPr>
    <w:rPr>
      <w:kern w:val="0"/>
      <w:sz w:val="24"/>
      <w:szCs w:val="24"/>
    </w:rPr>
  </w:style>
  <w:style w:type="paragraph" w:styleId="24">
    <w:name w:val="toc 2"/>
    <w:basedOn w:val="1"/>
    <w:next w:val="1"/>
    <w:qFormat/>
    <w:uiPriority w:val="0"/>
    <w:pPr>
      <w:ind w:left="210"/>
      <w:jc w:val="left"/>
    </w:pPr>
    <w:rPr>
      <w:smallCaps/>
      <w:sz w:val="20"/>
    </w:rPr>
  </w:style>
  <w:style w:type="paragraph" w:styleId="25">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6">
    <w:name w:val="Normal (Web)"/>
    <w:basedOn w:val="1"/>
    <w:qFormat/>
    <w:uiPriority w:val="0"/>
    <w:pPr>
      <w:spacing w:after="150"/>
      <w:jc w:val="left"/>
    </w:pPr>
    <w:rPr>
      <w:rFonts w:ascii="微软雅黑" w:hAnsi="微软雅黑" w:eastAsia="微软雅黑"/>
      <w:color w:val="454545"/>
      <w:kern w:val="0"/>
      <w:sz w:val="24"/>
    </w:rPr>
  </w:style>
  <w:style w:type="paragraph" w:styleId="27">
    <w:name w:val="Body Text First Indent"/>
    <w:basedOn w:val="2"/>
    <w:qFormat/>
    <w:uiPriority w:val="99"/>
    <w:pPr>
      <w:ind w:firstLine="420" w:firstLineChars="100"/>
    </w:pPr>
  </w:style>
  <w:style w:type="paragraph" w:styleId="28">
    <w:name w:val="Body Text First Indent 2"/>
    <w:basedOn w:val="14"/>
    <w:qFormat/>
    <w:uiPriority w:val="0"/>
    <w:pPr>
      <w:ind w:firstLine="200"/>
    </w:pPr>
    <w:rPr>
      <w:rFonts w:ascii="宋体" w:hAnsi="宋体"/>
      <w:sz w:val="28"/>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rPr>
  </w:style>
  <w:style w:type="character" w:styleId="33">
    <w:name w:val="page number"/>
    <w:basedOn w:val="31"/>
    <w:qFormat/>
    <w:uiPriority w:val="0"/>
  </w:style>
  <w:style w:type="character" w:styleId="34">
    <w:name w:val="FollowedHyperlink"/>
    <w:qFormat/>
    <w:uiPriority w:val="0"/>
    <w:rPr>
      <w:rFonts w:hint="eastAsia" w:ascii="微软雅黑" w:hAnsi="微软雅黑" w:eastAsia="微软雅黑" w:cs="微软雅黑"/>
      <w:color w:val="428BCA"/>
      <w:u w:val="none"/>
    </w:rPr>
  </w:style>
  <w:style w:type="character" w:styleId="35">
    <w:name w:val="HTML Definition"/>
    <w:qFormat/>
    <w:uiPriority w:val="0"/>
    <w:rPr>
      <w:i/>
    </w:rPr>
  </w:style>
  <w:style w:type="character" w:styleId="36">
    <w:name w:val="Hyperlink"/>
    <w:qFormat/>
    <w:uiPriority w:val="0"/>
    <w:rPr>
      <w:rFonts w:hint="eastAsia" w:ascii="微软雅黑" w:hAnsi="微软雅黑" w:eastAsia="微软雅黑" w:cs="微软雅黑"/>
      <w:color w:val="428BCA"/>
      <w:u w:val="none"/>
    </w:rPr>
  </w:style>
  <w:style w:type="character" w:styleId="37">
    <w:name w:val="HTML Code"/>
    <w:qFormat/>
    <w:uiPriority w:val="0"/>
    <w:rPr>
      <w:rFonts w:ascii="Consolas" w:hAnsi="Consolas" w:eastAsia="Consolas" w:cs="Consolas"/>
      <w:color w:val="C7254E"/>
      <w:sz w:val="21"/>
      <w:szCs w:val="21"/>
      <w:shd w:val="clear" w:color="auto" w:fill="F9F2F4"/>
    </w:rPr>
  </w:style>
  <w:style w:type="character" w:styleId="38">
    <w:name w:val="HTML Keyboard"/>
    <w:qFormat/>
    <w:uiPriority w:val="0"/>
    <w:rPr>
      <w:rFonts w:hint="default" w:ascii="Consolas" w:hAnsi="Consolas" w:eastAsia="Consolas" w:cs="Consolas"/>
      <w:color w:val="FFFFFF"/>
      <w:sz w:val="21"/>
      <w:szCs w:val="21"/>
      <w:shd w:val="clear" w:color="auto" w:fill="333333"/>
    </w:rPr>
  </w:style>
  <w:style w:type="character" w:styleId="39">
    <w:name w:val="HTML Sample"/>
    <w:qFormat/>
    <w:uiPriority w:val="0"/>
    <w:rPr>
      <w:rFonts w:hint="default" w:ascii="Consolas" w:hAnsi="Consolas" w:eastAsia="Consolas" w:cs="Consolas"/>
      <w:sz w:val="21"/>
      <w:szCs w:val="21"/>
    </w:rPr>
  </w:style>
  <w:style w:type="paragraph" w:customStyle="1" w:styleId="40">
    <w:name w:val="样式1"/>
    <w:basedOn w:val="1"/>
    <w:qFormat/>
    <w:uiPriority w:val="0"/>
    <w:pPr>
      <w:widowControl/>
      <w:ind w:firstLine="400" w:firstLineChars="400"/>
      <w:jc w:val="left"/>
    </w:pPr>
    <w:rPr>
      <w:rFonts w:ascii="宋体" w:hAnsi="宋体" w:eastAsia="仿宋_GB2312" w:cs="宋体"/>
      <w:kern w:val="0"/>
      <w:sz w:val="32"/>
    </w:rPr>
  </w:style>
  <w:style w:type="paragraph" w:customStyle="1" w:styleId="4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2">
    <w:name w:val="font11"/>
    <w:qFormat/>
    <w:uiPriority w:val="0"/>
    <w:rPr>
      <w:rFonts w:hint="default" w:ascii="Calibri" w:hAnsi="Calibri" w:cs="Calibri"/>
      <w:color w:val="000000"/>
      <w:sz w:val="20"/>
      <w:szCs w:val="20"/>
      <w:u w:val="none"/>
    </w:rPr>
  </w:style>
  <w:style w:type="character" w:customStyle="1" w:styleId="43">
    <w:name w:val="texthight1"/>
    <w:qFormat/>
    <w:uiPriority w:val="0"/>
  </w:style>
  <w:style w:type="character" w:customStyle="1" w:styleId="44">
    <w:name w:val="font21"/>
    <w:qFormat/>
    <w:uiPriority w:val="0"/>
    <w:rPr>
      <w:rFonts w:hint="eastAsia" w:ascii="宋体" w:hAnsi="宋体" w:eastAsia="宋体" w:cs="宋体"/>
      <w:color w:val="000000"/>
      <w:sz w:val="20"/>
      <w:szCs w:val="20"/>
      <w:u w:val="none"/>
    </w:rPr>
  </w:style>
  <w:style w:type="character" w:customStyle="1" w:styleId="45">
    <w:name w:val="无"/>
    <w:qFormat/>
    <w:uiPriority w:val="0"/>
  </w:style>
  <w:style w:type="paragraph" w:customStyle="1" w:styleId="46">
    <w:name w:val="样式3"/>
    <w:basedOn w:val="5"/>
    <w:qFormat/>
    <w:uiPriority w:val="0"/>
    <w:pPr>
      <w:numPr>
        <w:ilvl w:val="0"/>
        <w:numId w:val="1"/>
      </w:numPr>
      <w:ind w:firstLine="0" w:firstLineChars="0"/>
    </w:pPr>
    <w:rPr>
      <w:rFonts w:ascii="宋体" w:hAnsi="宋体"/>
    </w:rPr>
  </w:style>
  <w:style w:type="paragraph" w:customStyle="1" w:styleId="47">
    <w:name w:val="表格文字"/>
    <w:basedOn w:val="1"/>
    <w:next w:val="2"/>
    <w:qFormat/>
    <w:uiPriority w:val="0"/>
    <w:pPr>
      <w:adjustRightInd w:val="0"/>
      <w:spacing w:line="420" w:lineRule="atLeast"/>
      <w:jc w:val="left"/>
      <w:textAlignment w:val="baseline"/>
    </w:pPr>
    <w:rPr>
      <w:kern w:val="0"/>
    </w:rPr>
  </w:style>
  <w:style w:type="paragraph" w:customStyle="1" w:styleId="4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49">
    <w:name w:val="WPSOffice手动目录 1"/>
    <w:qFormat/>
    <w:uiPriority w:val="0"/>
    <w:rPr>
      <w:rFonts w:ascii="Times New Roman" w:hAnsi="Times New Roman" w:eastAsia="宋体" w:cs="Times New Roman"/>
      <w:lang w:val="en-US" w:eastAsia="zh-CN" w:bidi="ar-SA"/>
    </w:rPr>
  </w:style>
  <w:style w:type="paragraph" w:customStyle="1" w:styleId="50">
    <w:name w:val="Table Paragraph"/>
    <w:basedOn w:val="1"/>
    <w:qFormat/>
    <w:uiPriority w:val="1"/>
  </w:style>
  <w:style w:type="paragraph" w:customStyle="1" w:styleId="51">
    <w:name w:val="正文 A"/>
    <w:next w:val="52"/>
    <w:qFormat/>
    <w:uiPriority w:val="0"/>
    <w:pPr>
      <w:framePr w:wrap="around" w:vAnchor="margin" w:hAnchor="text" w:yAlign="top"/>
      <w:widowControl w:val="0"/>
      <w:jc w:val="both"/>
    </w:pPr>
    <w:rPr>
      <w:rFonts w:ascii="Calibri" w:hAnsi="Calibri" w:eastAsia="Calibri" w:cs="Calibri"/>
      <w:color w:val="000000"/>
      <w:kern w:val="2"/>
      <w:sz w:val="21"/>
      <w:szCs w:val="21"/>
      <w:u w:color="000000"/>
      <w:lang w:val="en-US" w:eastAsia="zh-CN" w:bidi="ar-SA"/>
    </w:rPr>
  </w:style>
  <w:style w:type="paragraph" w:customStyle="1" w:styleId="52">
    <w:name w:val="正文首行缩进 21"/>
    <w:qFormat/>
    <w:uiPriority w:val="0"/>
    <w:pPr>
      <w:framePr w:wrap="around" w:vAnchor="margin" w:hAnchor="text" w:yAlign="top"/>
      <w:widowControl w:val="0"/>
      <w:spacing w:line="460" w:lineRule="exact"/>
      <w:ind w:firstLine="200"/>
      <w:jc w:val="both"/>
    </w:pPr>
    <w:rPr>
      <w:rFonts w:ascii="宋体" w:hAnsi="宋体" w:eastAsia="宋体" w:cs="宋体"/>
      <w:color w:val="000000"/>
      <w:kern w:val="2"/>
      <w:sz w:val="28"/>
      <w:szCs w:val="28"/>
      <w:u w:color="000000"/>
      <w:lang w:val="en-US" w:eastAsia="zh-CN" w:bidi="ar-SA"/>
    </w:rPr>
  </w:style>
  <w:style w:type="character" w:customStyle="1" w:styleId="53">
    <w:name w:val="标题 1 Char"/>
    <w:link w:val="3"/>
    <w:qFormat/>
    <w:uiPriority w:val="0"/>
    <w:rPr>
      <w:b/>
      <w:bCs/>
      <w:kern w:val="44"/>
      <w:sz w:val="44"/>
      <w:szCs w:val="44"/>
    </w:rPr>
  </w:style>
  <w:style w:type="paragraph" w:customStyle="1" w:styleId="54">
    <w:name w:val="WPSOffice手动目录 2"/>
    <w:qFormat/>
    <w:uiPriority w:val="0"/>
    <w:pPr>
      <w:ind w:leftChars="200"/>
    </w:pPr>
    <w:rPr>
      <w:rFonts w:ascii="Times New Roman" w:hAnsi="Times New Roman" w:eastAsia="宋体" w:cs="Times New Roman"/>
      <w:sz w:val="20"/>
      <w:szCs w:val="20"/>
    </w:rPr>
  </w:style>
  <w:style w:type="paragraph" w:customStyle="1" w:styleId="55">
    <w:name w:val="样式 标题 2 + 仿宋_GB2312 黑色"/>
    <w:basedOn w:val="4"/>
    <w:qFormat/>
    <w:uiPriority w:val="0"/>
    <w:pPr>
      <w:jc w:val="center"/>
    </w:pPr>
    <w:rPr>
      <w:rFonts w:ascii="仿宋_GB2312" w:hAnsi="仿宋_GB2312" w:eastAsia="仿宋_GB2312"/>
      <w:color w:val="000000"/>
    </w:rPr>
  </w:style>
  <w:style w:type="paragraph" w:customStyle="1" w:styleId="5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7">
    <w:name w:val="正文文本首行缩进 21"/>
    <w:basedOn w:val="58"/>
    <w:qFormat/>
    <w:uiPriority w:val="0"/>
    <w:pPr>
      <w:spacing w:after="120"/>
      <w:ind w:firstLine="420"/>
    </w:pPr>
  </w:style>
  <w:style w:type="paragraph" w:customStyle="1" w:styleId="58">
    <w:name w:val="Body Text Indent1"/>
    <w:basedOn w:val="1"/>
    <w:next w:val="57"/>
    <w:qFormat/>
    <w:uiPriority w:val="0"/>
    <w:pPr>
      <w:ind w:firstLine="200" w:firstLineChars="200"/>
      <w:jc w:val="left"/>
    </w:pPr>
    <w:rPr>
      <w:rFonts w:ascii="仿宋_GB2312" w:eastAsia="仿宋_GB2312"/>
      <w:sz w:val="28"/>
    </w:rPr>
  </w:style>
  <w:style w:type="table" w:customStyle="1" w:styleId="5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106</Pages>
  <Words>51412</Words>
  <Characters>55006</Characters>
  <Lines>253</Lines>
  <Paragraphs>71</Paragraphs>
  <TotalTime>30</TotalTime>
  <ScaleCrop>false</ScaleCrop>
  <LinksUpToDate>false</LinksUpToDate>
  <CharactersWithSpaces>60328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Андрей Жо</cp:lastModifiedBy>
  <cp:lastPrinted>2025-03-17T04:13:00Z</cp:lastPrinted>
  <dcterms:modified xsi:type="dcterms:W3CDTF">2026-07-26T15:33:05Z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eyJoZGlkIjoiZTg3ZTgyOGMwMGI5MjAzN2FjZWQ1NjgxY2JhOGEyZjMifQ==</vt:lpwstr>
  </property>
  <property fmtid="{D5CDD505-2E9C-101B-9397-08002B2CF9AE}" pid="3" name="ICV">
    <vt:lpwstr>8C4C8565E4EF4B08880845D628D6A737_13</vt:lpwstr>
  </property>
  <property fmtid="{D5CDD505-2E9C-101B-9397-08002B2CF9AE}" pid="4" name="KSOProductBuildVer">
    <vt:lpwstr>2052-12.1.0.28043</vt:lpwstr>
  </property>
  <property fmtid="{D5CDD505-2E9C-101B-9397-08002B2CF9AE}" pid="5" name="KSOTemplateDocerSaveRecord">
    <vt:lpwstr>eyJoZGlkIjoiNjVlY2I1MGYwNTYwZTUxYzhkNmU3ZDk1OTU1ZWQ2M2UiLCJ1c2VySWQiOiIxMDgzNjkzODg5In0=</vt:lpwstr>
  </property>
</Properties>
</file>