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C552F">
      <w:pPr>
        <w:rPr>
          <w:rFonts w:asciiTheme="minorEastAsia" w:hAnsiTheme="minorEastAsia" w:cstheme="minorEastAsia"/>
          <w:b/>
          <w:bCs/>
          <w:color w:val="000000" w:themeColor="text1"/>
          <w:sz w:val="28"/>
          <w:szCs w:val="28"/>
          <w:highlight w:val="none"/>
          <w14:textFill>
            <w14:solidFill>
              <w14:schemeClr w14:val="tx1"/>
            </w14:solidFill>
          </w14:textFill>
        </w:rPr>
      </w:pPr>
      <w:r>
        <w:rPr>
          <w:rFonts w:hint="eastAsia" w:asciiTheme="minorEastAsia" w:hAnsiTheme="minorEastAsia" w:cstheme="minorEastAsia"/>
          <w:b/>
          <w:bCs/>
          <w:color w:val="000000" w:themeColor="text1"/>
          <w:sz w:val="28"/>
          <w:szCs w:val="28"/>
          <w:highlight w:val="none"/>
          <w14:textFill>
            <w14:solidFill>
              <w14:schemeClr w14:val="tx1"/>
            </w14:solidFill>
          </w14:textFill>
        </w:rPr>
        <w:t>附件：</w:t>
      </w:r>
    </w:p>
    <w:p w14:paraId="6F2446BA">
      <w:pPr>
        <w:jc w:val="center"/>
        <w:rPr>
          <w:rFonts w:asciiTheme="minorEastAsia" w:hAnsiTheme="minorEastAsia" w:cstheme="minorEastAsia"/>
          <w:b/>
          <w:bCs/>
          <w:color w:val="000000" w:themeColor="text1"/>
          <w:sz w:val="32"/>
          <w:szCs w:val="32"/>
          <w:highlight w:val="none"/>
          <w14:textFill>
            <w14:solidFill>
              <w14:schemeClr w14:val="tx1"/>
            </w14:solidFill>
          </w14:textFill>
        </w:rPr>
      </w:pPr>
      <w:r>
        <w:rPr>
          <w:rFonts w:hint="eastAsia" w:asciiTheme="minorEastAsia" w:hAnsiTheme="minorEastAsia" w:cstheme="minorEastAsia"/>
          <w:b/>
          <w:bCs/>
          <w:color w:val="000000" w:themeColor="text1"/>
          <w:sz w:val="32"/>
          <w:szCs w:val="32"/>
          <w:highlight w:val="none"/>
          <w14:textFill>
            <w14:solidFill>
              <w14:schemeClr w14:val="tx1"/>
            </w14:solidFill>
          </w14:textFill>
        </w:rPr>
        <w:t>海南省种业实验室实验室平台仪器更新购置项目（二）</w:t>
      </w:r>
    </w:p>
    <w:p w14:paraId="0CCAB96A">
      <w:pPr>
        <w:jc w:val="center"/>
        <w:rPr>
          <w:rFonts w:asciiTheme="minorEastAsia" w:hAnsiTheme="minorEastAsia" w:cstheme="minorEastAsia"/>
          <w:b/>
          <w:bCs/>
          <w:color w:val="000000" w:themeColor="text1"/>
          <w:sz w:val="32"/>
          <w:szCs w:val="32"/>
          <w:highlight w:val="none"/>
          <w14:textFill>
            <w14:solidFill>
              <w14:schemeClr w14:val="tx1"/>
            </w14:solidFill>
          </w14:textFill>
        </w:rPr>
      </w:pPr>
      <w:r>
        <w:rPr>
          <w:rFonts w:hint="eastAsia" w:asciiTheme="minorEastAsia" w:hAnsiTheme="minorEastAsia" w:cstheme="minorEastAsia"/>
          <w:b/>
          <w:bCs/>
          <w:color w:val="000000" w:themeColor="text1"/>
          <w:sz w:val="32"/>
          <w:szCs w:val="32"/>
          <w:highlight w:val="none"/>
          <w14:textFill>
            <w14:solidFill>
              <w14:schemeClr w14:val="tx1"/>
            </w14:solidFill>
          </w14:textFill>
        </w:rPr>
        <w:t>用户需求书</w:t>
      </w:r>
    </w:p>
    <w:p w14:paraId="533D43A4">
      <w:pPr>
        <w:pStyle w:val="6"/>
        <w:spacing w:before="214"/>
        <w:ind w:left="0"/>
        <w:rPr>
          <w:rFonts w:asciiTheme="minorEastAsia" w:hAnsiTheme="minorEastAsia" w:eastAsiaTheme="minorEastAsia" w:cstheme="minorEastAsia"/>
          <w:color w:val="000000" w:themeColor="text1"/>
          <w:sz w:val="28"/>
          <w:szCs w:val="28"/>
          <w:highlight w:val="none"/>
          <w14:textFill>
            <w14:solidFill>
              <w14:schemeClr w14:val="tx1"/>
            </w14:solidFill>
          </w14:textFill>
        </w:rPr>
      </w:pPr>
      <w:r>
        <w:rPr>
          <w:rFonts w:hint="eastAsia" w:asciiTheme="minorEastAsia" w:hAnsiTheme="minorEastAsia" w:eastAsiaTheme="minorEastAsia" w:cstheme="minorEastAsia"/>
          <w:color w:val="000000" w:themeColor="text1"/>
          <w:spacing w:val="-4"/>
          <w:sz w:val="28"/>
          <w:szCs w:val="28"/>
          <w:highlight w:val="none"/>
          <w14:textFill>
            <w14:solidFill>
              <w14:schemeClr w14:val="tx1"/>
            </w14:solidFill>
          </w14:textFill>
        </w:rPr>
        <w:t>一、项目概况</w:t>
      </w:r>
    </w:p>
    <w:p w14:paraId="725E07CC">
      <w:pPr>
        <w:spacing w:before="30" w:line="364" w:lineRule="auto"/>
        <w:ind w:right="-94" w:firstLine="472" w:firstLineChars="200"/>
        <w:jc w:val="left"/>
        <w:rPr>
          <w:rFonts w:asciiTheme="minorEastAsia" w:hAnsiTheme="minorEastAsia" w:cstheme="minorEastAsia"/>
          <w:color w:val="000000" w:themeColor="text1"/>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海南省种业实验室为了解决自身科研条件不足，计划建设一个高性能的仪器平台，提升科研的竞争力和科研水平。本次采购需求目标实现样品处理、成分分析等功能，提升科研水平、保障教学、提高效率、促进共享、符合标准，需满足技术性能、质量安全等需求。</w:t>
      </w:r>
    </w:p>
    <w:p w14:paraId="5497357C">
      <w:pPr>
        <w:rPr>
          <w:rFonts w:asciiTheme="minorEastAsia" w:hAnsiTheme="minorEastAsia" w:cstheme="minorEastAsia"/>
          <w:color w:val="000000" w:themeColor="text1"/>
          <w:sz w:val="28"/>
          <w:szCs w:val="28"/>
          <w:highlight w:val="none"/>
          <w14:textFill>
            <w14:solidFill>
              <w14:schemeClr w14:val="tx1"/>
            </w14:solidFill>
          </w14:textFill>
        </w:rPr>
      </w:pPr>
      <w:r>
        <w:rPr>
          <w:rFonts w:hint="eastAsia" w:asciiTheme="minorEastAsia" w:hAnsiTheme="minorEastAsia" w:cstheme="minorEastAsia"/>
          <w:b/>
          <w:bCs/>
          <w:color w:val="000000" w:themeColor="text1"/>
          <w:sz w:val="28"/>
          <w:szCs w:val="28"/>
          <w:highlight w:val="none"/>
          <w14:textFill>
            <w14:solidFill>
              <w14:schemeClr w14:val="tx1"/>
            </w14:solidFill>
          </w14:textFill>
        </w:rPr>
        <w:t>二、采购清单（</w:t>
      </w:r>
      <w:r>
        <w:rPr>
          <w:rFonts w:hint="eastAsia" w:asciiTheme="minorEastAsia" w:hAnsiTheme="minorEastAsia" w:cstheme="minorEastAsia"/>
          <w:b/>
          <w:color w:val="000000" w:themeColor="text1"/>
          <w:sz w:val="28"/>
          <w:szCs w:val="28"/>
          <w:highlight w:val="none"/>
          <w14:textFill>
            <w14:solidFill>
              <w14:schemeClr w14:val="tx1"/>
            </w14:solidFill>
          </w14:textFill>
        </w:rPr>
        <w:t>注：投标人投标时总报价不得超过预算，各单价报价也不得超过相应的</w:t>
      </w:r>
      <w:r>
        <w:rPr>
          <w:rFonts w:hint="eastAsia" w:asciiTheme="minorEastAsia" w:hAnsiTheme="minorEastAsia" w:cstheme="minorEastAsia"/>
          <w:b/>
          <w:color w:val="000000" w:themeColor="text1"/>
          <w:spacing w:val="6"/>
          <w:sz w:val="28"/>
          <w:szCs w:val="28"/>
          <w:highlight w:val="none"/>
          <w14:textFill>
            <w14:solidFill>
              <w14:schemeClr w14:val="tx1"/>
            </w14:solidFill>
          </w14:textFill>
        </w:rPr>
        <w:t>预算单价</w:t>
      </w:r>
      <w:r>
        <w:rPr>
          <w:rFonts w:hint="eastAsia" w:asciiTheme="minorEastAsia" w:hAnsiTheme="minorEastAsia" w:cstheme="minorEastAsia"/>
          <w:b/>
          <w:color w:val="000000" w:themeColor="text1"/>
          <w:sz w:val="28"/>
          <w:szCs w:val="28"/>
          <w:highlight w:val="none"/>
          <w14:textFill>
            <w14:solidFill>
              <w14:schemeClr w14:val="tx1"/>
            </w14:solidFill>
          </w14:textFill>
        </w:rPr>
        <w:t>，否则投标文件按无效投标处理。）</w:t>
      </w:r>
    </w:p>
    <w:p w14:paraId="13F33375">
      <w:pPr>
        <w:spacing w:before="30" w:line="364" w:lineRule="auto"/>
        <w:ind w:right="-94" w:firstLine="474"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b/>
          <w:bCs/>
          <w:color w:val="000000" w:themeColor="text1"/>
          <w:spacing w:val="-2"/>
          <w:sz w:val="24"/>
          <w:highlight w:val="none"/>
          <w14:textFill>
            <w14:solidFill>
              <w14:schemeClr w14:val="tx1"/>
            </w14:solidFill>
          </w14:textFill>
        </w:rPr>
        <w:t>预算：350万元；</w:t>
      </w:r>
    </w:p>
    <w:p w14:paraId="50FEF111">
      <w:pPr>
        <w:spacing w:before="30" w:line="364" w:lineRule="auto"/>
        <w:ind w:right="-94" w:firstLine="474" w:firstLineChars="200"/>
        <w:jc w:val="left"/>
        <w:rPr>
          <w:rFonts w:asciiTheme="minorEastAsia" w:hAnsiTheme="minorEastAsia" w:cstheme="minorEastAsia"/>
          <w:b/>
          <w:bCs/>
          <w:color w:val="000000" w:themeColor="text1"/>
          <w:spacing w:val="-2"/>
          <w:sz w:val="24"/>
          <w:highlight w:val="none"/>
          <w14:textFill>
            <w14:solidFill>
              <w14:schemeClr w14:val="tx1"/>
            </w14:solidFill>
          </w14:textFill>
        </w:rPr>
      </w:pPr>
      <w:r>
        <w:rPr>
          <w:rFonts w:hint="eastAsia" w:asciiTheme="minorEastAsia" w:hAnsiTheme="minorEastAsia" w:cstheme="minorEastAsia"/>
          <w:b/>
          <w:bCs/>
          <w:color w:val="000000" w:themeColor="text1"/>
          <w:spacing w:val="-2"/>
          <w:sz w:val="24"/>
          <w:highlight w:val="none"/>
          <w14:textFill>
            <w14:solidFill>
              <w14:schemeClr w14:val="tx1"/>
            </w14:solidFill>
          </w14:textFill>
        </w:rPr>
        <w:t>合同履行期限：合同签订后国产设备30天，进口设备120天完成项目整体交货及验收。</w:t>
      </w:r>
    </w:p>
    <w:p w14:paraId="7A096F8F">
      <w:pPr>
        <w:spacing w:before="30" w:line="364" w:lineRule="auto"/>
        <w:ind w:right="-94" w:firstLine="474" w:firstLineChars="200"/>
        <w:jc w:val="left"/>
        <w:rPr>
          <w:rFonts w:asciiTheme="minorEastAsia" w:hAnsiTheme="minorEastAsia" w:cstheme="minorEastAsia"/>
          <w:b/>
          <w:bCs/>
          <w:color w:val="000000" w:themeColor="text1"/>
          <w:spacing w:val="-2"/>
          <w:sz w:val="24"/>
          <w:highlight w:val="none"/>
          <w14:textFill>
            <w14:solidFill>
              <w14:schemeClr w14:val="tx1"/>
            </w14:solidFill>
          </w14:textFill>
        </w:rPr>
      </w:pPr>
      <w:r>
        <w:rPr>
          <w:rFonts w:hint="eastAsia" w:asciiTheme="minorEastAsia" w:hAnsiTheme="minorEastAsia" w:cstheme="minorEastAsia"/>
          <w:b/>
          <w:bCs/>
          <w:color w:val="000000" w:themeColor="text1"/>
          <w:spacing w:val="-2"/>
          <w:sz w:val="24"/>
          <w:highlight w:val="none"/>
          <w14:textFill>
            <w14:solidFill>
              <w14:schemeClr w14:val="tx1"/>
            </w14:solidFill>
          </w14:textFill>
        </w:rPr>
        <w:t>质保期：设备全部到货验收合格后1年。</w:t>
      </w:r>
    </w:p>
    <w:tbl>
      <w:tblPr>
        <w:tblStyle w:val="7"/>
        <w:tblW w:w="8778" w:type="dxa"/>
        <w:jc w:val="center"/>
        <w:tblLayout w:type="fixed"/>
        <w:tblCellMar>
          <w:top w:w="0" w:type="dxa"/>
          <w:left w:w="108" w:type="dxa"/>
          <w:bottom w:w="0" w:type="dxa"/>
          <w:right w:w="108" w:type="dxa"/>
        </w:tblCellMar>
      </w:tblPr>
      <w:tblGrid>
        <w:gridCol w:w="727"/>
        <w:gridCol w:w="2071"/>
        <w:gridCol w:w="739"/>
        <w:gridCol w:w="716"/>
        <w:gridCol w:w="1248"/>
        <w:gridCol w:w="1225"/>
        <w:gridCol w:w="1048"/>
        <w:gridCol w:w="1004"/>
      </w:tblGrid>
      <w:tr w14:paraId="331BC396">
        <w:tblPrEx>
          <w:tblCellMar>
            <w:top w:w="0" w:type="dxa"/>
            <w:left w:w="108" w:type="dxa"/>
            <w:bottom w:w="0" w:type="dxa"/>
            <w:right w:w="108" w:type="dxa"/>
          </w:tblCellMar>
        </w:tblPrEx>
        <w:trPr>
          <w:trHeight w:val="567" w:hRule="atLeast"/>
          <w:jc w:val="center"/>
        </w:trPr>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CB97B">
            <w:pPr>
              <w:widowControl/>
              <w:jc w:val="center"/>
              <w:textAlignment w:val="center"/>
              <w:rPr>
                <w:rFonts w:asciiTheme="minorEastAsia" w:hAnsiTheme="minorEastAsia" w:cstheme="minorEastAsia"/>
                <w:color w:val="000000" w:themeColor="text1"/>
                <w:sz w:val="24"/>
                <w:highlight w:val="none"/>
                <w14:textFill>
                  <w14:solidFill>
                    <w14:schemeClr w14:val="tx1"/>
                  </w14:solidFill>
                </w14:textFill>
              </w:rPr>
            </w:pPr>
            <w:r>
              <w:rPr>
                <w:rFonts w:hint="eastAsia" w:asciiTheme="minorEastAsia" w:hAnsiTheme="minorEastAsia" w:cstheme="minorEastAsia"/>
                <w:color w:val="000000" w:themeColor="text1"/>
                <w:kern w:val="0"/>
                <w:sz w:val="24"/>
                <w:highlight w:val="none"/>
                <w14:textFill>
                  <w14:solidFill>
                    <w14:schemeClr w14:val="tx1"/>
                  </w14:solidFill>
                </w14:textFill>
              </w:rPr>
              <w:t>序号</w:t>
            </w:r>
          </w:p>
        </w:tc>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AAAAE">
            <w:pPr>
              <w:widowControl/>
              <w:jc w:val="center"/>
              <w:textAlignment w:val="center"/>
              <w:rPr>
                <w:rFonts w:asciiTheme="minorEastAsia" w:hAnsiTheme="minorEastAsia" w:cstheme="minorEastAsia"/>
                <w:color w:val="000000" w:themeColor="text1"/>
                <w:sz w:val="24"/>
                <w:highlight w:val="none"/>
                <w14:textFill>
                  <w14:solidFill>
                    <w14:schemeClr w14:val="tx1"/>
                  </w14:solidFill>
                </w14:textFill>
              </w:rPr>
            </w:pPr>
            <w:r>
              <w:rPr>
                <w:rFonts w:hint="eastAsia" w:asciiTheme="minorEastAsia" w:hAnsiTheme="minorEastAsia" w:cstheme="minorEastAsia"/>
                <w:color w:val="000000" w:themeColor="text1"/>
                <w:kern w:val="0"/>
                <w:sz w:val="24"/>
                <w:highlight w:val="none"/>
                <w14:textFill>
                  <w14:solidFill>
                    <w14:schemeClr w14:val="tx1"/>
                  </w14:solidFill>
                </w14:textFill>
              </w:rPr>
              <w:t>设备名称</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E3E0E">
            <w:pPr>
              <w:widowControl/>
              <w:jc w:val="center"/>
              <w:textAlignment w:val="center"/>
              <w:rPr>
                <w:rFonts w:asciiTheme="minorEastAsia" w:hAnsiTheme="minorEastAsia" w:cstheme="minorEastAsia"/>
                <w:color w:val="000000" w:themeColor="text1"/>
                <w:sz w:val="24"/>
                <w:highlight w:val="none"/>
                <w14:textFill>
                  <w14:solidFill>
                    <w14:schemeClr w14:val="tx1"/>
                  </w14:solidFill>
                </w14:textFill>
              </w:rPr>
            </w:pPr>
            <w:r>
              <w:rPr>
                <w:rFonts w:hint="eastAsia" w:asciiTheme="minorEastAsia" w:hAnsiTheme="minorEastAsia" w:cstheme="minorEastAsia"/>
                <w:color w:val="000000" w:themeColor="text1"/>
                <w:kern w:val="0"/>
                <w:sz w:val="24"/>
                <w:highlight w:val="none"/>
                <w14:textFill>
                  <w14:solidFill>
                    <w14:schemeClr w14:val="tx1"/>
                  </w14:solidFill>
                </w14:textFill>
              </w:rPr>
              <w:t>单位</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4E9A3">
            <w:pPr>
              <w:widowControl/>
              <w:jc w:val="center"/>
              <w:textAlignment w:val="center"/>
              <w:rPr>
                <w:rFonts w:asciiTheme="minorEastAsia" w:hAnsiTheme="minorEastAsia" w:cstheme="minorEastAsia"/>
                <w:color w:val="000000" w:themeColor="text1"/>
                <w:sz w:val="24"/>
                <w:highlight w:val="none"/>
                <w14:textFill>
                  <w14:solidFill>
                    <w14:schemeClr w14:val="tx1"/>
                  </w14:solidFill>
                </w14:textFill>
              </w:rPr>
            </w:pPr>
            <w:r>
              <w:rPr>
                <w:rFonts w:hint="eastAsia" w:asciiTheme="minorEastAsia" w:hAnsiTheme="minorEastAsia" w:cstheme="minorEastAsia"/>
                <w:color w:val="000000" w:themeColor="text1"/>
                <w:kern w:val="0"/>
                <w:sz w:val="24"/>
                <w:highlight w:val="none"/>
                <w14:textFill>
                  <w14:solidFill>
                    <w14:schemeClr w14:val="tx1"/>
                  </w14:solidFill>
                </w14:textFill>
              </w:rPr>
              <w:t>数量</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9C07B">
            <w:pPr>
              <w:widowControl/>
              <w:jc w:val="center"/>
              <w:textAlignment w:val="center"/>
              <w:rPr>
                <w:rFonts w:asciiTheme="minorEastAsia" w:hAnsiTheme="minorEastAsia" w:cstheme="minorEastAsia"/>
                <w:color w:val="000000" w:themeColor="text1"/>
                <w:sz w:val="24"/>
                <w:highlight w:val="none"/>
                <w14:textFill>
                  <w14:solidFill>
                    <w14:schemeClr w14:val="tx1"/>
                  </w14:solidFill>
                </w14:textFill>
              </w:rPr>
            </w:pPr>
            <w:r>
              <w:rPr>
                <w:rFonts w:hint="eastAsia" w:asciiTheme="minorEastAsia" w:hAnsiTheme="minorEastAsia" w:cstheme="minorEastAsia"/>
                <w:color w:val="000000" w:themeColor="text1"/>
                <w:kern w:val="0"/>
                <w:sz w:val="24"/>
                <w:highlight w:val="none"/>
                <w14:textFill>
                  <w14:solidFill>
                    <w14:schemeClr w14:val="tx1"/>
                  </w14:solidFill>
                </w14:textFill>
              </w:rPr>
              <w:t>预算单价（万元）</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42308">
            <w:pPr>
              <w:widowControl/>
              <w:jc w:val="center"/>
              <w:textAlignment w:val="center"/>
              <w:rPr>
                <w:rFonts w:asciiTheme="minorEastAsia" w:hAnsiTheme="minorEastAsia" w:cstheme="minorEastAsia"/>
                <w:color w:val="000000" w:themeColor="text1"/>
                <w:sz w:val="24"/>
                <w:highlight w:val="none"/>
                <w14:textFill>
                  <w14:solidFill>
                    <w14:schemeClr w14:val="tx1"/>
                  </w14:solidFill>
                </w14:textFill>
              </w:rPr>
            </w:pPr>
            <w:r>
              <w:rPr>
                <w:rFonts w:hint="eastAsia" w:asciiTheme="minorEastAsia" w:hAnsiTheme="minorEastAsia" w:cstheme="minorEastAsia"/>
                <w:color w:val="000000" w:themeColor="text1"/>
                <w:kern w:val="0"/>
                <w:sz w:val="24"/>
                <w:highlight w:val="none"/>
                <w14:textFill>
                  <w14:solidFill>
                    <w14:schemeClr w14:val="tx1"/>
                  </w14:solidFill>
                </w14:textFill>
              </w:rPr>
              <w:t>预算合计（万元）</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CD812">
            <w:pPr>
              <w:widowControl/>
              <w:jc w:val="center"/>
              <w:textAlignment w:val="center"/>
              <w:rPr>
                <w:rFonts w:asciiTheme="minorEastAsia" w:hAnsiTheme="minorEastAsia" w:cstheme="minorEastAsia"/>
                <w:color w:val="000000" w:themeColor="text1"/>
                <w:sz w:val="24"/>
                <w:highlight w:val="none"/>
                <w14:textFill>
                  <w14:solidFill>
                    <w14:schemeClr w14:val="tx1"/>
                  </w14:solidFill>
                </w14:textFill>
              </w:rPr>
            </w:pPr>
            <w:r>
              <w:rPr>
                <w:rFonts w:hint="eastAsia" w:asciiTheme="minorEastAsia" w:hAnsiTheme="minorEastAsia" w:cstheme="minorEastAsia"/>
                <w:color w:val="000000" w:themeColor="text1"/>
                <w:kern w:val="0"/>
                <w:sz w:val="24"/>
                <w:highlight w:val="none"/>
                <w14:textFill>
                  <w14:solidFill>
                    <w14:schemeClr w14:val="tx1"/>
                  </w14:solidFill>
                </w14:textFill>
              </w:rPr>
              <w:t>是否允许进口</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3DA86">
            <w:pPr>
              <w:widowControl/>
              <w:jc w:val="center"/>
              <w:textAlignment w:val="center"/>
              <w:rPr>
                <w:rFonts w:asciiTheme="minorEastAsia" w:hAnsi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cstheme="minorEastAsia"/>
                <w:color w:val="000000" w:themeColor="text1"/>
                <w:kern w:val="0"/>
                <w:sz w:val="24"/>
                <w:highlight w:val="none"/>
                <w14:textFill>
                  <w14:solidFill>
                    <w14:schemeClr w14:val="tx1"/>
                  </w14:solidFill>
                </w14:textFill>
              </w:rPr>
              <w:t>是否核心产品</w:t>
            </w:r>
          </w:p>
        </w:tc>
      </w:tr>
      <w:tr w14:paraId="7CD9454B">
        <w:tblPrEx>
          <w:tblCellMar>
            <w:top w:w="0" w:type="dxa"/>
            <w:left w:w="108" w:type="dxa"/>
            <w:bottom w:w="0" w:type="dxa"/>
            <w:right w:w="108" w:type="dxa"/>
          </w:tblCellMar>
        </w:tblPrEx>
        <w:trPr>
          <w:trHeight w:val="567" w:hRule="atLeast"/>
          <w:jc w:val="center"/>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CDF2B">
            <w:pPr>
              <w:pStyle w:val="9"/>
              <w:jc w:val="cente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1</w:t>
            </w:r>
          </w:p>
        </w:tc>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96269">
            <w:pPr>
              <w:pStyle w:val="9"/>
              <w:jc w:val="center"/>
              <w:rPr>
                <w:rFonts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小型高速冷冻离心机</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3FC6D">
            <w:pPr>
              <w:pStyle w:val="9"/>
              <w:jc w:val="center"/>
              <w:rPr>
                <w:rFonts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台</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26D87">
            <w:pPr>
              <w:pStyle w:val="9"/>
              <w:jc w:val="center"/>
              <w:rPr>
                <w:rFonts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1</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9027B">
            <w:pPr>
              <w:pStyle w:val="9"/>
              <w:jc w:val="center"/>
              <w:rPr>
                <w:rFonts w:asciiTheme="minorEastAsia" w:hAnsiTheme="minorEastAsia" w:cstheme="minorEastAsia"/>
                <w:color w:val="000000" w:themeColor="text1"/>
                <w:kern w:val="2"/>
                <w:sz w:val="24"/>
                <w:szCs w:val="24"/>
                <w:highlight w:val="none"/>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10.00</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459DE">
            <w:pPr>
              <w:widowControl/>
              <w:jc w:val="center"/>
              <w:textAlignment w:val="center"/>
              <w:rPr>
                <w:rFonts w:hint="eastAsia" w:asciiTheme="minorEastAsia" w:hAnsiTheme="minorEastAsia" w:cstheme="minorEastAsia"/>
                <w:color w:val="000000" w:themeColor="text1"/>
                <w:sz w:val="24"/>
                <w:highlight w:val="none"/>
                <w14:textFill>
                  <w14:solidFill>
                    <w14:schemeClr w14:val="tx1"/>
                  </w14:solidFill>
                </w14:textFill>
              </w:rPr>
            </w:pPr>
            <w:r>
              <w:rPr>
                <w:rFonts w:hint="eastAsia" w:asciiTheme="minorEastAsia" w:hAnsiTheme="minorEastAsia" w:cstheme="minorEastAsia"/>
                <w:color w:val="000000" w:themeColor="text1"/>
                <w:kern w:val="0"/>
                <w:sz w:val="24"/>
                <w:highlight w:val="none"/>
                <w:lang w:val="en-US" w:eastAsia="zh-CN"/>
                <w14:textFill>
                  <w14:solidFill>
                    <w14:schemeClr w14:val="tx1"/>
                  </w14:solidFill>
                </w14:textFill>
              </w:rPr>
              <w:t>10.00</w:t>
            </w:r>
          </w:p>
        </w:tc>
        <w:tc>
          <w:tcPr>
            <w:tcW w:w="1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2E1CB">
            <w:pPr>
              <w:pStyle w:val="9"/>
              <w:jc w:val="center"/>
              <w:rPr>
                <w:rFonts w:asciiTheme="minorEastAsia" w:hAnsiTheme="minorEastAsia" w:cstheme="minorEastAsia"/>
                <w:color w:val="000000" w:themeColor="text1"/>
                <w:sz w:val="24"/>
                <w:szCs w:val="24"/>
                <w:highlight w:val="none"/>
                <w14:textFill>
                  <w14:solidFill>
                    <w14:schemeClr w14:val="tx1"/>
                  </w14:solidFill>
                </w14:textFill>
              </w:rPr>
            </w:pPr>
            <w:r>
              <w:rPr>
                <w:rFonts w:asciiTheme="minorEastAsia" w:hAnsiTheme="minorEastAsia" w:cstheme="minorEastAsia"/>
                <w:color w:val="000000" w:themeColor="text1"/>
                <w:sz w:val="24"/>
                <w:szCs w:val="24"/>
                <w:highlight w:val="none"/>
                <w14:textFill>
                  <w14:solidFill>
                    <w14:schemeClr w14:val="tx1"/>
                  </w14:solidFill>
                </w14:textFill>
              </w:rPr>
              <w:t>否</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E314B">
            <w:pPr>
              <w:widowControl/>
              <w:jc w:val="center"/>
              <w:textAlignment w:val="center"/>
              <w:rPr>
                <w:rFonts w:asciiTheme="minorEastAsia" w:hAnsiTheme="minorEastAsia" w:cstheme="minorEastAsia"/>
                <w:color w:val="000000" w:themeColor="text1"/>
                <w:kern w:val="0"/>
                <w:sz w:val="24"/>
                <w:highlight w:val="none"/>
                <w14:textFill>
                  <w14:solidFill>
                    <w14:schemeClr w14:val="tx1"/>
                  </w14:solidFill>
                </w14:textFill>
              </w:rPr>
            </w:pPr>
          </w:p>
        </w:tc>
      </w:tr>
      <w:tr w14:paraId="07A1E4F4">
        <w:tblPrEx>
          <w:tblCellMar>
            <w:top w:w="0" w:type="dxa"/>
            <w:left w:w="108" w:type="dxa"/>
            <w:bottom w:w="0" w:type="dxa"/>
            <w:right w:w="108" w:type="dxa"/>
          </w:tblCellMar>
        </w:tblPrEx>
        <w:trPr>
          <w:trHeight w:val="567" w:hRule="atLeast"/>
          <w:jc w:val="center"/>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05921">
            <w:pPr>
              <w:pStyle w:val="9"/>
              <w:jc w:val="cente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2</w:t>
            </w:r>
          </w:p>
        </w:tc>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68564">
            <w:pPr>
              <w:pStyle w:val="9"/>
              <w:jc w:val="center"/>
              <w:rPr>
                <w:rFonts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手持叶绿素荧光仪</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0A138">
            <w:pPr>
              <w:pStyle w:val="9"/>
              <w:jc w:val="center"/>
              <w:rPr>
                <w:rFonts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套</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0B9F6">
            <w:pPr>
              <w:pStyle w:val="9"/>
              <w:jc w:val="center"/>
              <w:rPr>
                <w:rFonts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2</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A740A">
            <w:pPr>
              <w:pStyle w:val="9"/>
              <w:jc w:val="center"/>
              <w:rPr>
                <w:rFonts w:asciiTheme="minorEastAsia" w:hAnsiTheme="minorEastAsia" w:cstheme="minorEastAsia"/>
                <w:color w:val="000000" w:themeColor="text1"/>
                <w:kern w:val="2"/>
                <w:sz w:val="24"/>
                <w:szCs w:val="24"/>
                <w:highlight w:val="none"/>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10.00</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F181F">
            <w:pPr>
              <w:widowControl/>
              <w:jc w:val="center"/>
              <w:textAlignment w:val="center"/>
              <w:rPr>
                <w:rFonts w:hint="eastAsia" w:asciiTheme="minorEastAsia" w:hAnsiTheme="minorEastAsia" w:cstheme="minorEastAsia"/>
                <w:color w:val="000000" w:themeColor="text1"/>
                <w:sz w:val="24"/>
                <w:highlight w:val="none"/>
                <w14:textFill>
                  <w14:solidFill>
                    <w14:schemeClr w14:val="tx1"/>
                  </w14:solidFill>
                </w14:textFill>
              </w:rPr>
            </w:pPr>
            <w:r>
              <w:rPr>
                <w:rFonts w:hint="eastAsia" w:asciiTheme="minorEastAsia" w:hAnsiTheme="minorEastAsia" w:cstheme="minorEastAsia"/>
                <w:color w:val="000000" w:themeColor="text1"/>
                <w:sz w:val="24"/>
                <w:highlight w:val="none"/>
                <w:lang w:val="en-US" w:eastAsia="zh-CN"/>
                <w14:textFill>
                  <w14:solidFill>
                    <w14:schemeClr w14:val="tx1"/>
                  </w14:solidFill>
                </w14:textFill>
              </w:rPr>
              <w:t>20.00</w:t>
            </w:r>
          </w:p>
        </w:tc>
        <w:tc>
          <w:tcPr>
            <w:tcW w:w="1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6EBE7">
            <w:pPr>
              <w:pStyle w:val="9"/>
              <w:jc w:val="center"/>
              <w:rPr>
                <w:rFonts w:asciiTheme="minorEastAsia" w:hAnsiTheme="minorEastAsia" w:cstheme="minorEastAsia"/>
                <w:color w:val="000000" w:themeColor="text1"/>
                <w:sz w:val="24"/>
                <w:szCs w:val="24"/>
                <w:highlight w:val="none"/>
                <w14:textFill>
                  <w14:solidFill>
                    <w14:schemeClr w14:val="tx1"/>
                  </w14:solidFill>
                </w14:textFill>
              </w:rPr>
            </w:pPr>
            <w:r>
              <w:rPr>
                <w:rFonts w:asciiTheme="minorEastAsia" w:hAnsiTheme="minorEastAsia" w:cstheme="minorEastAsia"/>
                <w:color w:val="000000" w:themeColor="text1"/>
                <w:sz w:val="24"/>
                <w:szCs w:val="24"/>
                <w:highlight w:val="none"/>
                <w14:textFill>
                  <w14:solidFill>
                    <w14:schemeClr w14:val="tx1"/>
                  </w14:solidFill>
                </w14:textFill>
              </w:rPr>
              <w:t>否</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7A0F9">
            <w:pPr>
              <w:widowControl/>
              <w:jc w:val="center"/>
              <w:textAlignment w:val="center"/>
              <w:rPr>
                <w:rFonts w:asciiTheme="minorEastAsia" w:hAnsiTheme="minorEastAsia" w:cstheme="minorEastAsia"/>
                <w:color w:val="000000" w:themeColor="text1"/>
                <w:kern w:val="0"/>
                <w:sz w:val="24"/>
                <w:highlight w:val="none"/>
                <w14:textFill>
                  <w14:solidFill>
                    <w14:schemeClr w14:val="tx1"/>
                  </w14:solidFill>
                </w14:textFill>
              </w:rPr>
            </w:pPr>
          </w:p>
        </w:tc>
      </w:tr>
      <w:tr w14:paraId="178E95C8">
        <w:tblPrEx>
          <w:tblCellMar>
            <w:top w:w="0" w:type="dxa"/>
            <w:left w:w="108" w:type="dxa"/>
            <w:bottom w:w="0" w:type="dxa"/>
            <w:right w:w="108" w:type="dxa"/>
          </w:tblCellMar>
        </w:tblPrEx>
        <w:trPr>
          <w:trHeight w:val="567" w:hRule="atLeast"/>
          <w:jc w:val="center"/>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FCA2C">
            <w:pPr>
              <w:pStyle w:val="9"/>
              <w:jc w:val="cente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3</w:t>
            </w:r>
          </w:p>
        </w:tc>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6B86F">
            <w:pPr>
              <w:pStyle w:val="9"/>
              <w:jc w:val="center"/>
              <w:rPr>
                <w:rFonts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气相色谱仪</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B1422">
            <w:pPr>
              <w:pStyle w:val="9"/>
              <w:jc w:val="center"/>
              <w:rPr>
                <w:rFonts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套</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39CE5">
            <w:pPr>
              <w:pStyle w:val="9"/>
              <w:jc w:val="center"/>
              <w:rPr>
                <w:rFonts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1</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F9F75">
            <w:pPr>
              <w:pStyle w:val="9"/>
              <w:jc w:val="center"/>
              <w:rPr>
                <w:rFonts w:hint="default" w:asciiTheme="minorEastAsia" w:hAnsiTheme="minorEastAsia" w:eastAsiaTheme="minorEastAsia" w:cstheme="minorEastAsia"/>
                <w:color w:val="000000" w:themeColor="text1"/>
                <w:kern w:val="2"/>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30.00</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9BB43">
            <w:pPr>
              <w:widowControl/>
              <w:jc w:val="center"/>
              <w:textAlignment w:val="center"/>
              <w:rPr>
                <w:rFonts w:hint="default" w:asciiTheme="minorEastAsia" w:hAnsiTheme="minorEastAsia" w:eastAsiaTheme="minorEastAsia" w:cstheme="minorEastAsia"/>
                <w:color w:val="000000" w:themeColor="text1"/>
                <w:sz w:val="24"/>
                <w:highlight w:val="none"/>
                <w:lang w:val="en-US" w:eastAsia="zh-CN"/>
                <w14:textFill>
                  <w14:solidFill>
                    <w14:schemeClr w14:val="tx1"/>
                  </w14:solidFill>
                </w14:textFill>
              </w:rPr>
            </w:pPr>
            <w:r>
              <w:rPr>
                <w:rFonts w:hint="eastAsia" w:asciiTheme="minorEastAsia" w:hAnsiTheme="minorEastAsia" w:cstheme="minorEastAsia"/>
                <w:color w:val="000000" w:themeColor="text1"/>
                <w:kern w:val="0"/>
                <w:sz w:val="24"/>
                <w:highlight w:val="none"/>
                <w:lang w:val="en-US" w:eastAsia="zh-CN"/>
                <w14:textFill>
                  <w14:solidFill>
                    <w14:schemeClr w14:val="tx1"/>
                  </w14:solidFill>
                </w14:textFill>
              </w:rPr>
              <w:t>30.00</w:t>
            </w:r>
          </w:p>
        </w:tc>
        <w:tc>
          <w:tcPr>
            <w:tcW w:w="1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7CA0C">
            <w:pPr>
              <w:pStyle w:val="9"/>
              <w:jc w:val="center"/>
              <w:rPr>
                <w:rFonts w:asciiTheme="minorEastAsia" w:hAnsiTheme="minorEastAsia" w:cstheme="minorEastAsia"/>
                <w:color w:val="000000" w:themeColor="text1"/>
                <w:sz w:val="24"/>
                <w:szCs w:val="24"/>
                <w:highlight w:val="none"/>
                <w14:textFill>
                  <w14:solidFill>
                    <w14:schemeClr w14:val="tx1"/>
                  </w14:solidFill>
                </w14:textFill>
              </w:rPr>
            </w:pPr>
            <w:r>
              <w:rPr>
                <w:rFonts w:asciiTheme="minorEastAsia" w:hAnsiTheme="minorEastAsia" w:cstheme="minorEastAsia"/>
                <w:color w:val="000000" w:themeColor="text1"/>
                <w:sz w:val="24"/>
                <w:szCs w:val="24"/>
                <w:highlight w:val="none"/>
                <w14:textFill>
                  <w14:solidFill>
                    <w14:schemeClr w14:val="tx1"/>
                  </w14:solidFill>
                </w14:textFill>
              </w:rPr>
              <w:t>是</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8CBA3">
            <w:pPr>
              <w:widowControl/>
              <w:jc w:val="center"/>
              <w:textAlignment w:val="center"/>
              <w:rPr>
                <w:rFonts w:asciiTheme="minorEastAsia" w:hAnsiTheme="minorEastAsia" w:cstheme="minorEastAsia"/>
                <w:color w:val="000000" w:themeColor="text1"/>
                <w:kern w:val="0"/>
                <w:sz w:val="24"/>
                <w:highlight w:val="none"/>
                <w14:textFill>
                  <w14:solidFill>
                    <w14:schemeClr w14:val="tx1"/>
                  </w14:solidFill>
                </w14:textFill>
              </w:rPr>
            </w:pPr>
          </w:p>
        </w:tc>
      </w:tr>
      <w:tr w14:paraId="0B210C54">
        <w:tblPrEx>
          <w:tblCellMar>
            <w:top w:w="0" w:type="dxa"/>
            <w:left w:w="108" w:type="dxa"/>
            <w:bottom w:w="0" w:type="dxa"/>
            <w:right w:w="108" w:type="dxa"/>
          </w:tblCellMar>
        </w:tblPrEx>
        <w:trPr>
          <w:trHeight w:val="567" w:hRule="atLeast"/>
          <w:jc w:val="center"/>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15BB8">
            <w:pPr>
              <w:pStyle w:val="9"/>
              <w:jc w:val="cente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4</w:t>
            </w:r>
          </w:p>
        </w:tc>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6A95C">
            <w:pPr>
              <w:pStyle w:val="9"/>
              <w:jc w:val="center"/>
              <w:rPr>
                <w:rFonts w:hint="default"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三气培养箱</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3FC51">
            <w:pPr>
              <w:pStyle w:val="9"/>
              <w:jc w:val="center"/>
              <w:rPr>
                <w:rFonts w:hint="default"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台</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30282">
            <w:pPr>
              <w:pStyle w:val="9"/>
              <w:jc w:val="center"/>
              <w:rPr>
                <w:rFonts w:hint="default"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2</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DB314">
            <w:pPr>
              <w:pStyle w:val="9"/>
              <w:jc w:val="cente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16.00</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F5210">
            <w:pPr>
              <w:widowControl/>
              <w:jc w:val="center"/>
              <w:textAlignment w:val="cente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cstheme="minorEastAsia"/>
                <w:color w:val="000000" w:themeColor="text1"/>
                <w:kern w:val="0"/>
                <w:sz w:val="24"/>
                <w:highlight w:val="none"/>
                <w14:textFill>
                  <w14:solidFill>
                    <w14:schemeClr w14:val="tx1"/>
                  </w14:solidFill>
                </w14:textFill>
              </w:rPr>
              <w:t>32.00</w:t>
            </w:r>
          </w:p>
        </w:tc>
        <w:tc>
          <w:tcPr>
            <w:tcW w:w="1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AABC3">
            <w:pPr>
              <w:pStyle w:val="9"/>
              <w:jc w:val="center"/>
              <w:rPr>
                <w:rFonts w:hint="default" w:asciiTheme="minorEastAsia" w:hAnsiTheme="minorEastAsia" w:eastAsiaTheme="minorEastAsia" w:cstheme="minorEastAsia"/>
                <w:color w:val="000000" w:themeColor="text1"/>
                <w:sz w:val="24"/>
                <w:szCs w:val="24"/>
                <w:highlight w:val="none"/>
                <w:lang w:val="en-US" w:eastAsia="zh-CN" w:bidi="ar-SA"/>
                <w14:textFill>
                  <w14:solidFill>
                    <w14:schemeClr w14:val="tx1"/>
                  </w14:solidFill>
                </w14:textFill>
              </w:rPr>
            </w:pPr>
            <w:r>
              <w:rPr>
                <w:rFonts w:asciiTheme="minorEastAsia" w:hAnsiTheme="minorEastAsia" w:cstheme="minorEastAsia"/>
                <w:color w:val="000000" w:themeColor="text1"/>
                <w:sz w:val="24"/>
                <w:szCs w:val="24"/>
                <w:highlight w:val="none"/>
                <w14:textFill>
                  <w14:solidFill>
                    <w14:schemeClr w14:val="tx1"/>
                  </w14:solidFill>
                </w14:textFill>
              </w:rPr>
              <w:t>是</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D4398">
            <w:pPr>
              <w:widowControl/>
              <w:jc w:val="center"/>
              <w:textAlignment w:val="center"/>
              <w:rPr>
                <w:rFonts w:asciiTheme="minorEastAsia" w:hAnsiTheme="minorEastAsia" w:eastAsiaTheme="minorEastAsia" w:cstheme="minorEastAsia"/>
                <w:color w:val="000000" w:themeColor="text1"/>
                <w:kern w:val="0"/>
                <w:sz w:val="24"/>
                <w:szCs w:val="24"/>
                <w:highlight w:val="none"/>
                <w:lang w:val="en-US" w:eastAsia="zh-CN" w:bidi="ar-SA"/>
                <w14:textFill>
                  <w14:solidFill>
                    <w14:schemeClr w14:val="tx1"/>
                  </w14:solidFill>
                </w14:textFill>
              </w:rPr>
            </w:pPr>
          </w:p>
        </w:tc>
      </w:tr>
      <w:tr w14:paraId="3E8E4195">
        <w:tblPrEx>
          <w:tblCellMar>
            <w:top w:w="0" w:type="dxa"/>
            <w:left w:w="108" w:type="dxa"/>
            <w:bottom w:w="0" w:type="dxa"/>
            <w:right w:w="108" w:type="dxa"/>
          </w:tblCellMar>
        </w:tblPrEx>
        <w:trPr>
          <w:trHeight w:val="567" w:hRule="atLeast"/>
          <w:jc w:val="center"/>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00906">
            <w:pPr>
              <w:pStyle w:val="9"/>
              <w:jc w:val="cente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5</w:t>
            </w:r>
          </w:p>
        </w:tc>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566B2">
            <w:pPr>
              <w:pStyle w:val="9"/>
              <w:jc w:val="center"/>
              <w:rPr>
                <w:rFonts w:hint="default"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不锈钢气相液氮罐</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45ED5">
            <w:pPr>
              <w:pStyle w:val="9"/>
              <w:jc w:val="center"/>
              <w:rPr>
                <w:rFonts w:hint="default"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套</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996F1">
            <w:pPr>
              <w:pStyle w:val="9"/>
              <w:jc w:val="center"/>
              <w:rPr>
                <w:rFonts w:hint="default"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1</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71180">
            <w:pPr>
              <w:pStyle w:val="9"/>
              <w:jc w:val="center"/>
              <w:rPr>
                <w:rFonts w:hint="default"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20.00</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F6E8A">
            <w:pPr>
              <w:widowControl/>
              <w:jc w:val="center"/>
              <w:textAlignment w:val="center"/>
              <w:rPr>
                <w:rFonts w:hint="default" w:asciiTheme="minorEastAsia" w:hAnsiTheme="minorEastAsia" w:eastAsiaTheme="minorEastAsia" w:cstheme="minorEastAsia"/>
                <w:color w:val="000000" w:themeColor="text1"/>
                <w:kern w:val="0"/>
                <w:sz w:val="24"/>
                <w:szCs w:val="24"/>
                <w:highlight w:val="none"/>
                <w:lang w:val="en-US" w:eastAsia="zh-CN" w:bidi="ar-SA"/>
                <w14:textFill>
                  <w14:solidFill>
                    <w14:schemeClr w14:val="tx1"/>
                  </w14:solidFill>
                </w14:textFill>
              </w:rPr>
            </w:pPr>
            <w:r>
              <w:rPr>
                <w:rFonts w:hint="eastAsia" w:asciiTheme="minorEastAsia" w:hAnsiTheme="minorEastAsia" w:cstheme="minorEastAsia"/>
                <w:color w:val="000000" w:themeColor="text1"/>
                <w:sz w:val="24"/>
                <w:highlight w:val="none"/>
                <w:lang w:val="en-US" w:eastAsia="zh-CN"/>
                <w14:textFill>
                  <w14:solidFill>
                    <w14:schemeClr w14:val="tx1"/>
                  </w14:solidFill>
                </w14:textFill>
              </w:rPr>
              <w:t>20.00</w:t>
            </w:r>
          </w:p>
        </w:tc>
        <w:tc>
          <w:tcPr>
            <w:tcW w:w="1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DE908">
            <w:pPr>
              <w:pStyle w:val="9"/>
              <w:jc w:val="center"/>
              <w:rPr>
                <w:rFonts w:hint="default" w:asciiTheme="minorEastAsia" w:hAnsiTheme="minorEastAsia" w:eastAsiaTheme="minorEastAsia" w:cstheme="minorEastAsia"/>
                <w:color w:val="000000" w:themeColor="text1"/>
                <w:sz w:val="24"/>
                <w:szCs w:val="24"/>
                <w:highlight w:val="none"/>
                <w:lang w:val="en-US" w:eastAsia="zh-CN" w:bidi="ar-SA"/>
                <w14:textFill>
                  <w14:solidFill>
                    <w14:schemeClr w14:val="tx1"/>
                  </w14:solidFill>
                </w14:textFill>
              </w:rPr>
            </w:pPr>
            <w:r>
              <w:rPr>
                <w:rFonts w:asciiTheme="minorEastAsia" w:hAnsiTheme="minorEastAsia" w:cstheme="minorEastAsia"/>
                <w:color w:val="000000" w:themeColor="text1"/>
                <w:sz w:val="24"/>
                <w:szCs w:val="24"/>
                <w:highlight w:val="none"/>
                <w14:textFill>
                  <w14:solidFill>
                    <w14:schemeClr w14:val="tx1"/>
                  </w14:solidFill>
                </w14:textFill>
              </w:rPr>
              <w:t>否</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38946">
            <w:pPr>
              <w:widowControl/>
              <w:jc w:val="center"/>
              <w:textAlignment w:val="center"/>
              <w:rPr>
                <w:rFonts w:asciiTheme="minorEastAsia" w:hAnsiTheme="minorEastAsia" w:eastAsiaTheme="minorEastAsia" w:cstheme="minorEastAsia"/>
                <w:color w:val="000000" w:themeColor="text1"/>
                <w:kern w:val="0"/>
                <w:sz w:val="24"/>
                <w:szCs w:val="24"/>
                <w:highlight w:val="none"/>
                <w:lang w:val="en-US" w:eastAsia="zh-CN" w:bidi="ar-SA"/>
                <w14:textFill>
                  <w14:solidFill>
                    <w14:schemeClr w14:val="tx1"/>
                  </w14:solidFill>
                </w14:textFill>
              </w:rPr>
            </w:pPr>
          </w:p>
        </w:tc>
      </w:tr>
      <w:tr w14:paraId="15911036">
        <w:tblPrEx>
          <w:tblCellMar>
            <w:top w:w="0" w:type="dxa"/>
            <w:left w:w="108" w:type="dxa"/>
            <w:bottom w:w="0" w:type="dxa"/>
            <w:right w:w="108" w:type="dxa"/>
          </w:tblCellMar>
        </w:tblPrEx>
        <w:trPr>
          <w:trHeight w:val="567" w:hRule="atLeast"/>
          <w:jc w:val="center"/>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F9DA6">
            <w:pPr>
              <w:pStyle w:val="9"/>
              <w:jc w:val="center"/>
              <w:rPr>
                <w:rFonts w:hint="eastAsia" w:asciiTheme="minorEastAsia" w:hAnsiTheme="minorEastAsia" w:eastAsiaTheme="minorEastAsia" w:cstheme="minorEastAsia"/>
                <w:color w:val="000000" w:themeColor="text1"/>
                <w:kern w:val="2"/>
                <w:sz w:val="24"/>
                <w:szCs w:val="24"/>
                <w:highlight w:val="none"/>
                <w:lang w:eastAsia="zh-CN"/>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6</w:t>
            </w:r>
          </w:p>
        </w:tc>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039B9">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大容量冷冻离心机</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596B8">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台</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3D7D6">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1</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FF8E7">
            <w:pPr>
              <w:pStyle w:val="9"/>
              <w:jc w:val="center"/>
              <w:rPr>
                <w:rFonts w:hint="default" w:asciiTheme="minorEastAsia" w:hAnsiTheme="minorEastAsia" w:eastAsiaTheme="minorEastAsia" w:cstheme="minorEastAsia"/>
                <w:color w:val="000000" w:themeColor="text1"/>
                <w:kern w:val="2"/>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20.00</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94DD5">
            <w:pPr>
              <w:widowControl/>
              <w:jc w:val="center"/>
              <w:textAlignment w:val="center"/>
              <w:rPr>
                <w:rFonts w:hint="default" w:asciiTheme="minorEastAsia" w:hAnsiTheme="minorEastAsia" w:eastAsiaTheme="minorEastAsia" w:cstheme="minorEastAsia"/>
                <w:color w:val="000000" w:themeColor="text1"/>
                <w:sz w:val="24"/>
                <w:highlight w:val="none"/>
                <w:lang w:val="en-US" w:eastAsia="zh-CN"/>
                <w14:textFill>
                  <w14:solidFill>
                    <w14:schemeClr w14:val="tx1"/>
                  </w14:solidFill>
                </w14:textFill>
              </w:rPr>
            </w:pPr>
            <w:r>
              <w:rPr>
                <w:rFonts w:hint="eastAsia" w:asciiTheme="minorEastAsia" w:hAnsiTheme="minorEastAsia" w:cstheme="minorEastAsia"/>
                <w:color w:val="000000" w:themeColor="text1"/>
                <w:kern w:val="0"/>
                <w:sz w:val="24"/>
                <w:highlight w:val="none"/>
                <w:lang w:val="en-US" w:eastAsia="zh-CN"/>
                <w14:textFill>
                  <w14:solidFill>
                    <w14:schemeClr w14:val="tx1"/>
                  </w14:solidFill>
                </w14:textFill>
              </w:rPr>
              <w:t>20.00</w:t>
            </w:r>
          </w:p>
        </w:tc>
        <w:tc>
          <w:tcPr>
            <w:tcW w:w="1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0F467">
            <w:pPr>
              <w:pStyle w:val="9"/>
              <w:jc w:val="center"/>
              <w:rPr>
                <w:rFonts w:hint="default" w:asciiTheme="minorEastAsia" w:hAnsiTheme="minorEastAsia" w:cstheme="minorEastAsia"/>
                <w:color w:val="000000" w:themeColor="text1"/>
                <w:sz w:val="24"/>
                <w:szCs w:val="24"/>
                <w:highlight w:val="none"/>
                <w14:textFill>
                  <w14:solidFill>
                    <w14:schemeClr w14:val="tx1"/>
                  </w14:solidFill>
                </w14:textFill>
              </w:rPr>
            </w:pPr>
            <w:r>
              <w:rPr>
                <w:rFonts w:asciiTheme="minorEastAsia" w:hAnsiTheme="minorEastAsia" w:cstheme="minorEastAsia"/>
                <w:color w:val="000000" w:themeColor="text1"/>
                <w:sz w:val="24"/>
                <w:szCs w:val="24"/>
                <w:highlight w:val="none"/>
                <w14:textFill>
                  <w14:solidFill>
                    <w14:schemeClr w14:val="tx1"/>
                  </w14:solidFill>
                </w14:textFill>
              </w:rPr>
              <w:t>是</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1FCF7">
            <w:pPr>
              <w:widowControl/>
              <w:jc w:val="center"/>
              <w:textAlignment w:val="center"/>
              <w:rPr>
                <w:rFonts w:asciiTheme="minorEastAsia" w:hAnsiTheme="minorEastAsia" w:cstheme="minorEastAsia"/>
                <w:color w:val="000000" w:themeColor="text1"/>
                <w:kern w:val="0"/>
                <w:sz w:val="24"/>
                <w:highlight w:val="none"/>
                <w14:textFill>
                  <w14:solidFill>
                    <w14:schemeClr w14:val="tx1"/>
                  </w14:solidFill>
                </w14:textFill>
              </w:rPr>
            </w:pPr>
          </w:p>
        </w:tc>
      </w:tr>
      <w:tr w14:paraId="6744FB70">
        <w:tblPrEx>
          <w:tblCellMar>
            <w:top w:w="0" w:type="dxa"/>
            <w:left w:w="108" w:type="dxa"/>
            <w:bottom w:w="0" w:type="dxa"/>
            <w:right w:w="108" w:type="dxa"/>
          </w:tblCellMar>
        </w:tblPrEx>
        <w:trPr>
          <w:trHeight w:val="567" w:hRule="atLeast"/>
          <w:jc w:val="center"/>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05350">
            <w:pPr>
              <w:pStyle w:val="9"/>
              <w:jc w:val="cente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7</w:t>
            </w:r>
          </w:p>
        </w:tc>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B4E64">
            <w:pPr>
              <w:pStyle w:val="9"/>
              <w:jc w:val="center"/>
              <w:rPr>
                <w:rFonts w:hint="default"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酶标仪</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054CC">
            <w:pPr>
              <w:pStyle w:val="9"/>
              <w:jc w:val="center"/>
              <w:rPr>
                <w:rFonts w:hint="default"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套</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B21EE">
            <w:pPr>
              <w:pStyle w:val="9"/>
              <w:jc w:val="center"/>
              <w:rPr>
                <w:rFonts w:hint="default"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1</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FEA9F">
            <w:pPr>
              <w:pStyle w:val="9"/>
              <w:jc w:val="center"/>
              <w:rPr>
                <w:rFonts w:hint="default"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bidi="ar-SA"/>
                <w14:textFill>
                  <w14:solidFill>
                    <w14:schemeClr w14:val="tx1"/>
                  </w14:solidFill>
                </w14:textFill>
              </w:rPr>
              <w:t>40.00</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24CDC">
            <w:pPr>
              <w:widowControl/>
              <w:jc w:val="center"/>
              <w:textAlignment w:val="center"/>
              <w:rPr>
                <w:rFonts w:hint="default" w:asciiTheme="minorEastAsia" w:hAnsiTheme="minorEastAsia" w:eastAsiaTheme="minorEastAsia" w:cstheme="minorEastAsia"/>
                <w:color w:val="000000" w:themeColor="text1"/>
                <w:kern w:val="0"/>
                <w:sz w:val="24"/>
                <w:szCs w:val="24"/>
                <w:highlight w:val="none"/>
                <w:lang w:val="en-US" w:eastAsia="zh-CN" w:bidi="ar-SA"/>
                <w14:textFill>
                  <w14:solidFill>
                    <w14:schemeClr w14:val="tx1"/>
                  </w14:solidFill>
                </w14:textFill>
              </w:rPr>
            </w:pPr>
            <w:r>
              <w:rPr>
                <w:rFonts w:hint="eastAsia" w:asciiTheme="minorEastAsia" w:hAnsiTheme="minorEastAsia" w:cstheme="minorEastAsia"/>
                <w:color w:val="000000" w:themeColor="text1"/>
                <w:sz w:val="24"/>
                <w:highlight w:val="none"/>
                <w:lang w:val="en-US" w:eastAsia="zh-CN"/>
                <w14:textFill>
                  <w14:solidFill>
                    <w14:schemeClr w14:val="tx1"/>
                  </w14:solidFill>
                </w14:textFill>
              </w:rPr>
              <w:t>40.00</w:t>
            </w:r>
          </w:p>
        </w:tc>
        <w:tc>
          <w:tcPr>
            <w:tcW w:w="1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D02D5">
            <w:pPr>
              <w:pStyle w:val="9"/>
              <w:jc w:val="center"/>
              <w:rPr>
                <w:rFonts w:hint="default" w:asciiTheme="minorEastAsia" w:hAnsiTheme="minorEastAsia" w:eastAsiaTheme="minorEastAsia" w:cstheme="minorEastAsia"/>
                <w:color w:val="000000" w:themeColor="text1"/>
                <w:sz w:val="24"/>
                <w:szCs w:val="24"/>
                <w:highlight w:val="none"/>
                <w:lang w:val="en-US" w:eastAsia="zh-CN" w:bidi="ar-SA"/>
                <w14:textFill>
                  <w14:solidFill>
                    <w14:schemeClr w14:val="tx1"/>
                  </w14:solidFill>
                </w14:textFill>
              </w:rPr>
            </w:pPr>
            <w:r>
              <w:rPr>
                <w:rFonts w:asciiTheme="minorEastAsia" w:hAnsiTheme="minorEastAsia" w:cstheme="minorEastAsia"/>
                <w:color w:val="000000" w:themeColor="text1"/>
                <w:sz w:val="24"/>
                <w:szCs w:val="24"/>
                <w:highlight w:val="none"/>
                <w14:textFill>
                  <w14:solidFill>
                    <w14:schemeClr w14:val="tx1"/>
                  </w14:solidFill>
                </w14:textFill>
              </w:rPr>
              <w:t>是</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CACF9">
            <w:pPr>
              <w:widowControl/>
              <w:jc w:val="center"/>
              <w:textAlignment w:val="center"/>
              <w:rPr>
                <w:rFonts w:asciiTheme="minorEastAsia" w:hAnsiTheme="minorEastAsia" w:eastAsiaTheme="minorEastAsia" w:cstheme="minorEastAsia"/>
                <w:color w:val="000000" w:themeColor="text1"/>
                <w:kern w:val="0"/>
                <w:sz w:val="24"/>
                <w:szCs w:val="24"/>
                <w:highlight w:val="none"/>
                <w:lang w:val="en-US" w:eastAsia="zh-CN" w:bidi="ar-SA"/>
                <w14:textFill>
                  <w14:solidFill>
                    <w14:schemeClr w14:val="tx1"/>
                  </w14:solidFill>
                </w14:textFill>
              </w:rPr>
            </w:pPr>
          </w:p>
        </w:tc>
      </w:tr>
      <w:tr w14:paraId="57F8E352">
        <w:tblPrEx>
          <w:tblCellMar>
            <w:top w:w="0" w:type="dxa"/>
            <w:left w:w="108" w:type="dxa"/>
            <w:bottom w:w="0" w:type="dxa"/>
            <w:right w:w="108" w:type="dxa"/>
          </w:tblCellMar>
        </w:tblPrEx>
        <w:trPr>
          <w:trHeight w:val="532" w:hRule="atLeast"/>
          <w:jc w:val="center"/>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46F07">
            <w:pPr>
              <w:pStyle w:val="9"/>
              <w:jc w:val="center"/>
              <w:rPr>
                <w:rFonts w:hint="eastAsia" w:asciiTheme="minorEastAsia" w:hAnsiTheme="minorEastAsia" w:eastAsiaTheme="minorEastAsia" w:cstheme="minorEastAsia"/>
                <w:color w:val="000000" w:themeColor="text1"/>
                <w:kern w:val="2"/>
                <w:sz w:val="24"/>
                <w:szCs w:val="24"/>
                <w:highlight w:val="none"/>
                <w:lang w:eastAsia="zh-CN"/>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8</w:t>
            </w:r>
          </w:p>
        </w:tc>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2936A">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鱼类低氧工作站</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A8734">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套</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005C7">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1</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A9346">
            <w:pPr>
              <w:pStyle w:val="9"/>
              <w:jc w:val="center"/>
              <w:rPr>
                <w:rFonts w:hint="default" w:asciiTheme="minorEastAsia" w:hAnsiTheme="minorEastAsia" w:eastAsiaTheme="minorEastAsia" w:cstheme="minorEastAsia"/>
                <w:color w:val="000000" w:themeColor="text1"/>
                <w:kern w:val="2"/>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50.00</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0C362">
            <w:pPr>
              <w:widowControl/>
              <w:jc w:val="center"/>
              <w:textAlignment w:val="center"/>
              <w:rPr>
                <w:rFonts w:hint="default" w:asciiTheme="minorEastAsia" w:hAnsiTheme="minorEastAsia" w:eastAsiaTheme="minorEastAsia" w:cstheme="minorEastAsia"/>
                <w:color w:val="000000" w:themeColor="text1"/>
                <w:sz w:val="24"/>
                <w:highlight w:val="none"/>
                <w:lang w:val="en-US" w:eastAsia="zh-CN"/>
                <w14:textFill>
                  <w14:solidFill>
                    <w14:schemeClr w14:val="tx1"/>
                  </w14:solidFill>
                </w14:textFill>
              </w:rPr>
            </w:pPr>
            <w:r>
              <w:rPr>
                <w:rFonts w:hint="eastAsia" w:asciiTheme="minorEastAsia" w:hAnsiTheme="minorEastAsia" w:cstheme="minorEastAsia"/>
                <w:color w:val="000000" w:themeColor="text1"/>
                <w:kern w:val="0"/>
                <w:sz w:val="24"/>
                <w:highlight w:val="none"/>
                <w:lang w:val="en-US" w:eastAsia="zh-CN"/>
                <w14:textFill>
                  <w14:solidFill>
                    <w14:schemeClr w14:val="tx1"/>
                  </w14:solidFill>
                </w14:textFill>
              </w:rPr>
              <w:t>50.00</w:t>
            </w:r>
          </w:p>
        </w:tc>
        <w:tc>
          <w:tcPr>
            <w:tcW w:w="1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31E6F">
            <w:pPr>
              <w:pStyle w:val="9"/>
              <w:jc w:val="center"/>
              <w:rPr>
                <w:rFonts w:hint="default" w:asciiTheme="minorEastAsia" w:hAnsiTheme="minorEastAsia" w:cstheme="minorEastAsia"/>
                <w:color w:val="000000" w:themeColor="text1"/>
                <w:sz w:val="24"/>
                <w:szCs w:val="24"/>
                <w:highlight w:val="none"/>
                <w14:textFill>
                  <w14:solidFill>
                    <w14:schemeClr w14:val="tx1"/>
                  </w14:solidFill>
                </w14:textFill>
              </w:rPr>
            </w:pPr>
            <w:r>
              <w:rPr>
                <w:rFonts w:asciiTheme="minorEastAsia" w:hAnsiTheme="minorEastAsia" w:cstheme="minorEastAsia"/>
                <w:color w:val="000000" w:themeColor="text1"/>
                <w:sz w:val="24"/>
                <w:szCs w:val="24"/>
                <w:highlight w:val="none"/>
                <w14:textFill>
                  <w14:solidFill>
                    <w14:schemeClr w14:val="tx1"/>
                  </w14:solidFill>
                </w14:textFill>
              </w:rPr>
              <w:t>是</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C866C">
            <w:pPr>
              <w:widowControl/>
              <w:jc w:val="center"/>
              <w:textAlignment w:val="center"/>
              <w:rPr>
                <w:rFonts w:asciiTheme="minorEastAsia" w:hAnsi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cstheme="minorEastAsia"/>
                <w:b/>
                <w:bCs/>
                <w:color w:val="000000" w:themeColor="text1"/>
                <w:kern w:val="0"/>
                <w:sz w:val="24"/>
                <w:highlight w:val="none"/>
                <w14:textFill>
                  <w14:solidFill>
                    <w14:schemeClr w14:val="tx1"/>
                  </w14:solidFill>
                </w14:textFill>
              </w:rPr>
              <w:t>是</w:t>
            </w:r>
          </w:p>
        </w:tc>
      </w:tr>
      <w:tr w14:paraId="6634295F">
        <w:tblPrEx>
          <w:tblCellMar>
            <w:top w:w="0" w:type="dxa"/>
            <w:left w:w="108" w:type="dxa"/>
            <w:bottom w:w="0" w:type="dxa"/>
            <w:right w:w="108" w:type="dxa"/>
          </w:tblCellMar>
        </w:tblPrEx>
        <w:trPr>
          <w:trHeight w:val="567" w:hRule="atLeast"/>
          <w:jc w:val="center"/>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3AC89">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9</w:t>
            </w:r>
          </w:p>
        </w:tc>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193F3">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杜马斯定氮仪</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469F9">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套</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CDE1E">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1</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C9E70">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45.00</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731EB">
            <w:pPr>
              <w:widowControl/>
              <w:jc w:val="center"/>
              <w:textAlignment w:val="center"/>
              <w:rPr>
                <w:rFonts w:asciiTheme="minorEastAsia" w:hAnsiTheme="minorEastAsia" w:cstheme="minorEastAsia"/>
                <w:color w:val="000000" w:themeColor="text1"/>
                <w:sz w:val="24"/>
                <w:highlight w:val="none"/>
                <w14:textFill>
                  <w14:solidFill>
                    <w14:schemeClr w14:val="tx1"/>
                  </w14:solidFill>
                </w14:textFill>
              </w:rPr>
            </w:pPr>
            <w:r>
              <w:rPr>
                <w:rFonts w:hint="eastAsia" w:asciiTheme="minorEastAsia" w:hAnsiTheme="minorEastAsia" w:cstheme="minorEastAsia"/>
                <w:color w:val="000000" w:themeColor="text1"/>
                <w:kern w:val="0"/>
                <w:sz w:val="24"/>
                <w:highlight w:val="none"/>
                <w14:textFill>
                  <w14:solidFill>
                    <w14:schemeClr w14:val="tx1"/>
                  </w14:solidFill>
                </w14:textFill>
              </w:rPr>
              <w:t>45.00</w:t>
            </w:r>
          </w:p>
        </w:tc>
        <w:tc>
          <w:tcPr>
            <w:tcW w:w="1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0B106">
            <w:pPr>
              <w:pStyle w:val="9"/>
              <w:jc w:val="center"/>
              <w:rPr>
                <w:rFonts w:hint="default" w:asciiTheme="minorEastAsia" w:hAnsiTheme="minorEastAsia" w:cstheme="minorEastAsia"/>
                <w:color w:val="000000" w:themeColor="text1"/>
                <w:sz w:val="24"/>
                <w:szCs w:val="24"/>
                <w:highlight w:val="none"/>
                <w14:textFill>
                  <w14:solidFill>
                    <w14:schemeClr w14:val="tx1"/>
                  </w14:solidFill>
                </w14:textFill>
              </w:rPr>
            </w:pPr>
            <w:r>
              <w:rPr>
                <w:rFonts w:asciiTheme="minorEastAsia" w:hAnsiTheme="minorEastAsia" w:cstheme="minorEastAsia"/>
                <w:color w:val="000000" w:themeColor="text1"/>
                <w:sz w:val="24"/>
                <w:szCs w:val="24"/>
                <w:highlight w:val="none"/>
                <w14:textFill>
                  <w14:solidFill>
                    <w14:schemeClr w14:val="tx1"/>
                  </w14:solidFill>
                </w14:textFill>
              </w:rPr>
              <w:t>是</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9B91A">
            <w:pPr>
              <w:widowControl/>
              <w:jc w:val="center"/>
              <w:textAlignment w:val="center"/>
              <w:rPr>
                <w:rFonts w:asciiTheme="minorEastAsia" w:hAnsiTheme="minorEastAsia" w:cstheme="minorEastAsia"/>
                <w:color w:val="000000" w:themeColor="text1"/>
                <w:kern w:val="0"/>
                <w:sz w:val="24"/>
                <w:highlight w:val="none"/>
                <w14:textFill>
                  <w14:solidFill>
                    <w14:schemeClr w14:val="tx1"/>
                  </w14:solidFill>
                </w14:textFill>
              </w:rPr>
            </w:pPr>
          </w:p>
        </w:tc>
      </w:tr>
      <w:tr w14:paraId="2EBAABB8">
        <w:tblPrEx>
          <w:tblCellMar>
            <w:top w:w="0" w:type="dxa"/>
            <w:left w:w="108" w:type="dxa"/>
            <w:bottom w:w="0" w:type="dxa"/>
            <w:right w:w="108" w:type="dxa"/>
          </w:tblCellMar>
        </w:tblPrEx>
        <w:trPr>
          <w:trHeight w:val="567" w:hRule="atLeast"/>
          <w:jc w:val="center"/>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F0822">
            <w:pPr>
              <w:pStyle w:val="9"/>
              <w:jc w:val="center"/>
              <w:rPr>
                <w:rFonts w:hint="eastAsia" w:asciiTheme="minorEastAsia" w:hAnsiTheme="minorEastAsia" w:eastAsiaTheme="minorEastAsia" w:cstheme="minorEastAsia"/>
                <w:color w:val="000000" w:themeColor="text1"/>
                <w:kern w:val="2"/>
                <w:sz w:val="24"/>
                <w:szCs w:val="24"/>
                <w:highlight w:val="none"/>
                <w:lang w:eastAsia="zh-CN"/>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10</w:t>
            </w:r>
          </w:p>
        </w:tc>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3DC0A">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质构仪</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F3B2B">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套</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D2257">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1</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5CFCE">
            <w:pPr>
              <w:pStyle w:val="9"/>
              <w:jc w:val="center"/>
              <w:rPr>
                <w:rFonts w:hint="default" w:asciiTheme="minorEastAsia" w:hAnsiTheme="minorEastAsia" w:eastAsiaTheme="minorEastAsia" w:cstheme="minorEastAsia"/>
                <w:color w:val="000000" w:themeColor="text1"/>
                <w:kern w:val="2"/>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45.00</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4BD2A">
            <w:pPr>
              <w:widowControl/>
              <w:jc w:val="center"/>
              <w:textAlignment w:val="center"/>
              <w:rPr>
                <w:rFonts w:hint="default"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cstheme="minorEastAsia"/>
                <w:color w:val="000000" w:themeColor="text1"/>
                <w:sz w:val="24"/>
                <w:highlight w:val="none"/>
                <w:lang w:val="en-US" w:eastAsia="zh-CN"/>
                <w14:textFill>
                  <w14:solidFill>
                    <w14:schemeClr w14:val="tx1"/>
                  </w14:solidFill>
                </w14:textFill>
              </w:rPr>
              <w:t>45.00</w:t>
            </w:r>
          </w:p>
        </w:tc>
        <w:tc>
          <w:tcPr>
            <w:tcW w:w="1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590B0">
            <w:pPr>
              <w:pStyle w:val="9"/>
              <w:jc w:val="center"/>
              <w:rPr>
                <w:rFonts w:hint="default" w:asciiTheme="minorEastAsia" w:hAnsiTheme="minorEastAsia" w:cstheme="minorEastAsia"/>
                <w:color w:val="000000" w:themeColor="text1"/>
                <w:sz w:val="24"/>
                <w:szCs w:val="24"/>
                <w:highlight w:val="none"/>
                <w14:textFill>
                  <w14:solidFill>
                    <w14:schemeClr w14:val="tx1"/>
                  </w14:solidFill>
                </w14:textFill>
              </w:rPr>
            </w:pPr>
            <w:r>
              <w:rPr>
                <w:rFonts w:asciiTheme="minorEastAsia" w:hAnsiTheme="minorEastAsia" w:cstheme="minorEastAsia"/>
                <w:color w:val="000000" w:themeColor="text1"/>
                <w:sz w:val="24"/>
                <w:szCs w:val="24"/>
                <w:highlight w:val="none"/>
                <w14:textFill>
                  <w14:solidFill>
                    <w14:schemeClr w14:val="tx1"/>
                  </w14:solidFill>
                </w14:textFill>
              </w:rPr>
              <w:t>是</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FF75F">
            <w:pPr>
              <w:widowControl/>
              <w:jc w:val="center"/>
              <w:textAlignment w:val="center"/>
              <w:rPr>
                <w:rFonts w:asciiTheme="minorEastAsia" w:hAnsi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cstheme="minorEastAsia"/>
                <w:b/>
                <w:bCs/>
                <w:color w:val="000000" w:themeColor="text1"/>
                <w:kern w:val="0"/>
                <w:sz w:val="24"/>
                <w:highlight w:val="none"/>
                <w14:textFill>
                  <w14:solidFill>
                    <w14:schemeClr w14:val="tx1"/>
                  </w14:solidFill>
                </w14:textFill>
              </w:rPr>
              <w:t>是</w:t>
            </w:r>
          </w:p>
        </w:tc>
      </w:tr>
      <w:tr w14:paraId="709208B7">
        <w:tblPrEx>
          <w:tblCellMar>
            <w:top w:w="0" w:type="dxa"/>
            <w:left w:w="108" w:type="dxa"/>
            <w:bottom w:w="0" w:type="dxa"/>
            <w:right w:w="108" w:type="dxa"/>
          </w:tblCellMar>
        </w:tblPrEx>
        <w:trPr>
          <w:trHeight w:val="567" w:hRule="atLeast"/>
          <w:jc w:val="center"/>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180E8">
            <w:pPr>
              <w:pStyle w:val="9"/>
              <w:jc w:val="center"/>
              <w:rPr>
                <w:rFonts w:hint="default" w:asciiTheme="minorEastAsia" w:hAnsiTheme="minorEastAsia" w:eastAsiaTheme="minorEastAsia" w:cstheme="minorEastAsia"/>
                <w:color w:val="000000" w:themeColor="text1"/>
                <w:kern w:val="2"/>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11</w:t>
            </w:r>
          </w:p>
        </w:tc>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F115A">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紫外可见分光光度计</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890C8">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套</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97F8C">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1</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E533C">
            <w:pPr>
              <w:pStyle w:val="9"/>
              <w:jc w:val="center"/>
              <w:rPr>
                <w:rFonts w:hint="default" w:asciiTheme="minorEastAsia" w:hAnsiTheme="minorEastAsia" w:eastAsiaTheme="minorEastAsia" w:cstheme="minorEastAsia"/>
                <w:color w:val="000000" w:themeColor="text1"/>
                <w:kern w:val="2"/>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18.00</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3D0FD">
            <w:pPr>
              <w:widowControl/>
              <w:jc w:val="center"/>
              <w:textAlignment w:val="center"/>
              <w:rPr>
                <w:rFonts w:hint="default"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cstheme="minorEastAsia"/>
                <w:color w:val="000000" w:themeColor="text1"/>
                <w:kern w:val="0"/>
                <w:sz w:val="24"/>
                <w:highlight w:val="none"/>
                <w:lang w:val="en-US" w:eastAsia="zh-CN"/>
                <w14:textFill>
                  <w14:solidFill>
                    <w14:schemeClr w14:val="tx1"/>
                  </w14:solidFill>
                </w14:textFill>
              </w:rPr>
              <w:t>18.00</w:t>
            </w:r>
          </w:p>
        </w:tc>
        <w:tc>
          <w:tcPr>
            <w:tcW w:w="1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C80E1">
            <w:pPr>
              <w:pStyle w:val="9"/>
              <w:jc w:val="center"/>
              <w:rPr>
                <w:rFonts w:hint="default" w:asciiTheme="minorEastAsia" w:hAnsiTheme="minorEastAsia" w:cstheme="minorEastAsia"/>
                <w:color w:val="000000" w:themeColor="text1"/>
                <w:sz w:val="24"/>
                <w:szCs w:val="24"/>
                <w:highlight w:val="none"/>
                <w14:textFill>
                  <w14:solidFill>
                    <w14:schemeClr w14:val="tx1"/>
                  </w14:solidFill>
                </w14:textFill>
              </w:rPr>
            </w:pPr>
            <w:r>
              <w:rPr>
                <w:rFonts w:asciiTheme="minorEastAsia" w:hAnsiTheme="minorEastAsia" w:cstheme="minorEastAsia"/>
                <w:color w:val="000000" w:themeColor="text1"/>
                <w:sz w:val="24"/>
                <w:szCs w:val="24"/>
                <w:highlight w:val="none"/>
                <w14:textFill>
                  <w14:solidFill>
                    <w14:schemeClr w14:val="tx1"/>
                  </w14:solidFill>
                </w14:textFill>
              </w:rPr>
              <w:t>是</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5924C">
            <w:pPr>
              <w:widowControl/>
              <w:jc w:val="center"/>
              <w:textAlignment w:val="center"/>
              <w:rPr>
                <w:rFonts w:asciiTheme="minorEastAsia" w:hAnsiTheme="minorEastAsia" w:cstheme="minorEastAsia"/>
                <w:color w:val="000000" w:themeColor="text1"/>
                <w:kern w:val="0"/>
                <w:sz w:val="24"/>
                <w:highlight w:val="none"/>
                <w14:textFill>
                  <w14:solidFill>
                    <w14:schemeClr w14:val="tx1"/>
                  </w14:solidFill>
                </w14:textFill>
              </w:rPr>
            </w:pPr>
          </w:p>
        </w:tc>
      </w:tr>
      <w:tr w14:paraId="440B3972">
        <w:tblPrEx>
          <w:tblCellMar>
            <w:top w:w="0" w:type="dxa"/>
            <w:left w:w="108" w:type="dxa"/>
            <w:bottom w:w="0" w:type="dxa"/>
            <w:right w:w="108" w:type="dxa"/>
          </w:tblCellMar>
        </w:tblPrEx>
        <w:trPr>
          <w:trHeight w:val="567" w:hRule="atLeast"/>
          <w:jc w:val="center"/>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7F4B9">
            <w:pPr>
              <w:pStyle w:val="9"/>
              <w:jc w:val="center"/>
              <w:rPr>
                <w:rFonts w:hint="default" w:asciiTheme="minorEastAsia" w:hAnsiTheme="minorEastAsia" w:eastAsiaTheme="minorEastAsia" w:cstheme="minorEastAsia"/>
                <w:color w:val="000000" w:themeColor="text1"/>
                <w:kern w:val="2"/>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12</w:t>
            </w:r>
          </w:p>
        </w:tc>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D23D5">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振动切片机</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EB254">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台</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E17FA">
            <w:pPr>
              <w:pStyle w:val="9"/>
              <w:jc w:val="center"/>
              <w:rPr>
                <w:rFonts w:hint="default" w:asciiTheme="minorEastAsia" w:hAnsiTheme="minorEastAsia" w:cstheme="minorEastAsia"/>
                <w:color w:val="000000" w:themeColor="text1"/>
                <w:kern w:val="2"/>
                <w:sz w:val="24"/>
                <w:szCs w:val="24"/>
                <w:highlight w:val="none"/>
                <w14:textFill>
                  <w14:solidFill>
                    <w14:schemeClr w14:val="tx1"/>
                  </w14:solidFill>
                </w14:textFill>
              </w:rPr>
            </w:pPr>
            <w:r>
              <w:rPr>
                <w:rFonts w:asciiTheme="minorEastAsia" w:hAnsiTheme="minorEastAsia" w:cstheme="minorEastAsia"/>
                <w:color w:val="000000" w:themeColor="text1"/>
                <w:kern w:val="2"/>
                <w:sz w:val="24"/>
                <w:szCs w:val="24"/>
                <w:highlight w:val="none"/>
                <w14:textFill>
                  <w14:solidFill>
                    <w14:schemeClr w14:val="tx1"/>
                  </w14:solidFill>
                </w14:textFill>
              </w:rPr>
              <w:t>1</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DFFC9">
            <w:pPr>
              <w:pStyle w:val="9"/>
              <w:jc w:val="center"/>
              <w:rPr>
                <w:rFonts w:hint="default" w:asciiTheme="minorEastAsia" w:hAnsiTheme="minorEastAsia" w:eastAsiaTheme="minorEastAsia" w:cstheme="minorEastAsia"/>
                <w:color w:val="000000" w:themeColor="text1"/>
                <w:kern w:val="2"/>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kern w:val="2"/>
                <w:sz w:val="24"/>
                <w:szCs w:val="24"/>
                <w:highlight w:val="none"/>
                <w:lang w:val="en-US" w:eastAsia="zh-CN"/>
                <w14:textFill>
                  <w14:solidFill>
                    <w14:schemeClr w14:val="tx1"/>
                  </w14:solidFill>
                </w14:textFill>
              </w:rPr>
              <w:t>20.00</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929F5">
            <w:pPr>
              <w:widowControl/>
              <w:jc w:val="center"/>
              <w:textAlignment w:val="center"/>
              <w:rPr>
                <w:rFonts w:hint="default"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cstheme="minorEastAsia"/>
                <w:color w:val="000000" w:themeColor="text1"/>
                <w:sz w:val="24"/>
                <w:highlight w:val="none"/>
                <w:lang w:val="en-US" w:eastAsia="zh-CN"/>
                <w14:textFill>
                  <w14:solidFill>
                    <w14:schemeClr w14:val="tx1"/>
                  </w14:solidFill>
                </w14:textFill>
              </w:rPr>
              <w:t>20.00</w:t>
            </w:r>
          </w:p>
        </w:tc>
        <w:tc>
          <w:tcPr>
            <w:tcW w:w="1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8675C">
            <w:pPr>
              <w:pStyle w:val="9"/>
              <w:jc w:val="center"/>
              <w:rPr>
                <w:rFonts w:hint="default" w:asciiTheme="minorEastAsia" w:hAnsiTheme="minorEastAsia" w:cstheme="minorEastAsia"/>
                <w:color w:val="000000" w:themeColor="text1"/>
                <w:sz w:val="24"/>
                <w:szCs w:val="24"/>
                <w:highlight w:val="none"/>
                <w14:textFill>
                  <w14:solidFill>
                    <w14:schemeClr w14:val="tx1"/>
                  </w14:solidFill>
                </w14:textFill>
              </w:rPr>
            </w:pPr>
            <w:r>
              <w:rPr>
                <w:rFonts w:asciiTheme="minorEastAsia" w:hAnsiTheme="minorEastAsia" w:cstheme="minorEastAsia"/>
                <w:color w:val="000000" w:themeColor="text1"/>
                <w:sz w:val="24"/>
                <w:szCs w:val="24"/>
                <w:highlight w:val="none"/>
                <w14:textFill>
                  <w14:solidFill>
                    <w14:schemeClr w14:val="tx1"/>
                  </w14:solidFill>
                </w14:textFill>
              </w:rPr>
              <w:t>是</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17649">
            <w:pPr>
              <w:widowControl/>
              <w:jc w:val="center"/>
              <w:textAlignment w:val="center"/>
              <w:rPr>
                <w:rFonts w:asciiTheme="minorEastAsia" w:hAnsiTheme="minorEastAsia" w:cstheme="minorEastAsia"/>
                <w:color w:val="000000" w:themeColor="text1"/>
                <w:kern w:val="0"/>
                <w:sz w:val="24"/>
                <w:highlight w:val="none"/>
                <w14:textFill>
                  <w14:solidFill>
                    <w14:schemeClr w14:val="tx1"/>
                  </w14:solidFill>
                </w14:textFill>
              </w:rPr>
            </w:pPr>
          </w:p>
        </w:tc>
      </w:tr>
    </w:tbl>
    <w:p w14:paraId="4592754F">
      <w:pPr>
        <w:rPr>
          <w:rFonts w:asciiTheme="minorEastAsia" w:hAnsiTheme="minorEastAsia" w:cstheme="minorEastAsia"/>
          <w:b/>
          <w:bCs/>
          <w:color w:val="000000" w:themeColor="text1"/>
          <w:sz w:val="28"/>
          <w:szCs w:val="28"/>
          <w:highlight w:val="none"/>
          <w14:textFill>
            <w14:solidFill>
              <w14:schemeClr w14:val="tx1"/>
            </w14:solidFill>
          </w14:textFill>
        </w:rPr>
      </w:pPr>
      <w:r>
        <w:rPr>
          <w:rFonts w:hint="eastAsia" w:asciiTheme="minorEastAsia" w:hAnsiTheme="minorEastAsia" w:cstheme="minorEastAsia"/>
          <w:b/>
          <w:bCs/>
          <w:color w:val="000000" w:themeColor="text1"/>
          <w:sz w:val="28"/>
          <w:szCs w:val="28"/>
          <w:highlight w:val="none"/>
          <w14:textFill>
            <w14:solidFill>
              <w14:schemeClr w14:val="tx1"/>
            </w14:solidFill>
          </w14:textFill>
        </w:rPr>
        <w:t>注：本项目的核心产品为：鱼类低氧工作站、质构仪。</w:t>
      </w:r>
    </w:p>
    <w:p w14:paraId="07266D4F">
      <w:pPr>
        <w:rPr>
          <w:rFonts w:asciiTheme="minorEastAsia" w:hAnsiTheme="minorEastAsia" w:cstheme="minorEastAsia"/>
          <w:b/>
          <w:bCs/>
          <w:color w:val="000000" w:themeColor="text1"/>
          <w:sz w:val="28"/>
          <w:szCs w:val="28"/>
          <w:highlight w:val="none"/>
          <w14:textFill>
            <w14:solidFill>
              <w14:schemeClr w14:val="tx1"/>
            </w14:solidFill>
          </w14:textFill>
        </w:rPr>
      </w:pPr>
      <w:r>
        <w:rPr>
          <w:rFonts w:hint="eastAsia" w:asciiTheme="minorEastAsia" w:hAnsiTheme="minorEastAsia" w:cstheme="minorEastAsia"/>
          <w:b/>
          <w:bCs/>
          <w:color w:val="000000" w:themeColor="text1"/>
          <w:sz w:val="28"/>
          <w:szCs w:val="28"/>
          <w:highlight w:val="none"/>
          <w14:textFill>
            <w14:solidFill>
              <w14:schemeClr w14:val="tx1"/>
            </w14:solidFill>
          </w14:textFill>
        </w:rPr>
        <w:t>三、详细技术与性能指标（技术和服务要求）</w:t>
      </w:r>
    </w:p>
    <w:p w14:paraId="7CC23C1F">
      <w:pPr>
        <w:spacing w:line="360" w:lineRule="auto"/>
        <w:ind w:firstLine="482" w:firstLineChars="200"/>
        <w:jc w:val="left"/>
        <w:rPr>
          <w:rFonts w:asciiTheme="minorEastAsia" w:hAnsiTheme="minorEastAsia" w:cstheme="minorEastAsia"/>
          <w:b/>
          <w:bCs/>
          <w:color w:val="000000" w:themeColor="text1"/>
          <w:sz w:val="24"/>
          <w:highlight w:val="none"/>
          <w14:textFill>
            <w14:solidFill>
              <w14:schemeClr w14:val="tx1"/>
            </w14:solidFill>
          </w14:textFill>
        </w:rPr>
      </w:pPr>
      <w:r>
        <w:rPr>
          <w:rFonts w:hint="eastAsia" w:asciiTheme="minorEastAsia" w:hAnsiTheme="minorEastAsia" w:cstheme="minorEastAsia"/>
          <w:b/>
          <w:bCs/>
          <w:color w:val="000000" w:themeColor="text1"/>
          <w:sz w:val="24"/>
          <w:highlight w:val="none"/>
          <w14:textFill>
            <w14:solidFill>
              <w14:schemeClr w14:val="tx1"/>
            </w14:solidFill>
          </w14:textFill>
        </w:rPr>
        <w:t>注：1、“★”条款为本项目实质性响应条款不允许偏离，如投标人不满足，做无效投标处理。</w:t>
      </w:r>
    </w:p>
    <w:p w14:paraId="49D8DF8C">
      <w:pPr>
        <w:spacing w:line="360" w:lineRule="auto"/>
        <w:ind w:firstLine="474" w:firstLineChars="200"/>
        <w:jc w:val="left"/>
        <w:rPr>
          <w:rFonts w:asciiTheme="minorEastAsia" w:hAnsiTheme="minorEastAsia" w:cstheme="minorEastAsia"/>
          <w:b/>
          <w:bCs/>
          <w:color w:val="000000" w:themeColor="text1"/>
          <w:sz w:val="24"/>
          <w:highlight w:val="none"/>
          <w14:textFill>
            <w14:solidFill>
              <w14:schemeClr w14:val="tx1"/>
            </w14:solidFill>
          </w14:textFill>
        </w:rPr>
      </w:pPr>
      <w:r>
        <w:rPr>
          <w:rFonts w:hint="eastAsia" w:asciiTheme="minorEastAsia" w:hAnsiTheme="minorEastAsia" w:cstheme="minorEastAsia"/>
          <w:b/>
          <w:bCs/>
          <w:color w:val="000000" w:themeColor="text1"/>
          <w:spacing w:val="-2"/>
          <w:sz w:val="24"/>
          <w:highlight w:val="none"/>
          <w14:textFill>
            <w14:solidFill>
              <w14:schemeClr w14:val="tx1"/>
            </w14:solidFill>
          </w14:textFill>
        </w:rPr>
        <w:t>2、“▲”条款为本项目重要技术参数条款，如投标人不满足，将在详细评审中加重扣分，</w:t>
      </w:r>
      <w:r>
        <w:rPr>
          <w:rFonts w:hint="eastAsia" w:asciiTheme="minorEastAsia" w:hAnsiTheme="minorEastAsia" w:cstheme="minorEastAsia"/>
          <w:b/>
          <w:bCs/>
          <w:color w:val="000000" w:themeColor="text1"/>
          <w:spacing w:val="-7"/>
          <w:sz w:val="24"/>
          <w:highlight w:val="none"/>
          <w14:textFill>
            <w14:solidFill>
              <w14:schemeClr w14:val="tx1"/>
            </w14:solidFill>
          </w14:textFill>
        </w:rPr>
        <w:t xml:space="preserve">且负偏离条款数超过 </w:t>
      </w:r>
      <w:r>
        <w:rPr>
          <w:rFonts w:hint="eastAsia" w:asciiTheme="minorEastAsia" w:hAnsiTheme="minorEastAsia" w:cstheme="minorEastAsia"/>
          <w:b/>
          <w:bCs/>
          <w:color w:val="000000" w:themeColor="text1"/>
          <w:spacing w:val="-2"/>
          <w:sz w:val="24"/>
          <w:highlight w:val="none"/>
          <w14:textFill>
            <w14:solidFill>
              <w14:schemeClr w14:val="tx1"/>
            </w14:solidFill>
          </w14:textFill>
        </w:rPr>
        <w:t>10</w:t>
      </w:r>
      <w:r>
        <w:rPr>
          <w:rFonts w:hint="eastAsia" w:asciiTheme="minorEastAsia" w:hAnsiTheme="minorEastAsia" w:cstheme="minorEastAsia"/>
          <w:b/>
          <w:bCs/>
          <w:color w:val="000000" w:themeColor="text1"/>
          <w:spacing w:val="-23"/>
          <w:sz w:val="24"/>
          <w:highlight w:val="none"/>
          <w14:textFill>
            <w14:solidFill>
              <w14:schemeClr w14:val="tx1"/>
            </w14:solidFill>
          </w14:textFill>
        </w:rPr>
        <w:t xml:space="preserve"> 条</w:t>
      </w:r>
      <w:r>
        <w:rPr>
          <w:rFonts w:hint="eastAsia" w:asciiTheme="minorEastAsia" w:hAnsiTheme="minorEastAsia" w:cstheme="minorEastAsia"/>
          <w:b/>
          <w:bCs/>
          <w:color w:val="000000" w:themeColor="text1"/>
          <w:spacing w:val="-2"/>
          <w:sz w:val="24"/>
          <w:highlight w:val="none"/>
          <w14:textFill>
            <w14:solidFill>
              <w14:schemeClr w14:val="tx1"/>
            </w14:solidFill>
          </w14:textFill>
        </w:rPr>
        <w:t>视为重大偏离，评审时不得分。</w:t>
      </w:r>
    </w:p>
    <w:p w14:paraId="1714A3A0">
      <w:pPr>
        <w:spacing w:line="360" w:lineRule="auto"/>
        <w:ind w:firstLine="474" w:firstLineChars="200"/>
        <w:rPr>
          <w:rFonts w:asciiTheme="minorEastAsia" w:hAnsiTheme="minorEastAsia" w:cstheme="minorEastAsia"/>
          <w:b/>
          <w:bCs/>
          <w:color w:val="000000" w:themeColor="text1"/>
          <w:spacing w:val="-2"/>
          <w:sz w:val="24"/>
          <w:highlight w:val="none"/>
          <w14:textFill>
            <w14:solidFill>
              <w14:schemeClr w14:val="tx1"/>
            </w14:solidFill>
          </w14:textFill>
        </w:rPr>
      </w:pPr>
      <w:r>
        <w:rPr>
          <w:rFonts w:hint="eastAsia" w:asciiTheme="minorEastAsia" w:hAnsiTheme="minorEastAsia" w:cstheme="minorEastAsia"/>
          <w:b/>
          <w:bCs/>
          <w:color w:val="000000" w:themeColor="text1"/>
          <w:spacing w:val="-2"/>
          <w:sz w:val="24"/>
          <w:highlight w:val="none"/>
          <w14:textFill>
            <w14:solidFill>
              <w14:schemeClr w14:val="tx1"/>
            </w14:solidFill>
          </w14:textFill>
        </w:rPr>
        <w:t>3、非“▲”为本项目一般性技术参数条款，以投标人在技术参数响应表中</w:t>
      </w:r>
      <w:r>
        <w:rPr>
          <w:rFonts w:hint="eastAsia" w:asciiTheme="minorEastAsia" w:hAnsiTheme="minorEastAsia" w:cstheme="minorEastAsia"/>
          <w:b/>
          <w:bCs/>
          <w:color w:val="000000" w:themeColor="text1"/>
          <w:spacing w:val="-6"/>
          <w:sz w:val="24"/>
          <w:highlight w:val="none"/>
          <w14:textFill>
            <w14:solidFill>
              <w14:schemeClr w14:val="tx1"/>
            </w14:solidFill>
          </w14:textFill>
        </w:rPr>
        <w:t>的响应为准，</w:t>
      </w:r>
      <w:r>
        <w:rPr>
          <w:rFonts w:hint="eastAsia" w:asciiTheme="minorEastAsia" w:hAnsiTheme="minorEastAsia" w:cstheme="minorEastAsia"/>
          <w:b/>
          <w:bCs/>
          <w:color w:val="000000" w:themeColor="text1"/>
          <w:spacing w:val="-8"/>
          <w:sz w:val="24"/>
          <w:highlight w:val="none"/>
          <w14:textFill>
            <w14:solidFill>
              <w14:schemeClr w14:val="tx1"/>
            </w14:solidFill>
          </w14:textFill>
        </w:rPr>
        <w:t>如负偏离条款数超过50</w:t>
      </w:r>
      <w:r>
        <w:rPr>
          <w:rFonts w:hint="eastAsia" w:asciiTheme="minorEastAsia" w:hAnsiTheme="minorEastAsia" w:cstheme="minorEastAsia"/>
          <w:b/>
          <w:bCs/>
          <w:color w:val="000000" w:themeColor="text1"/>
          <w:spacing w:val="-15"/>
          <w:sz w:val="24"/>
          <w:highlight w:val="none"/>
          <w14:textFill>
            <w14:solidFill>
              <w14:schemeClr w14:val="tx1"/>
            </w14:solidFill>
          </w14:textFill>
        </w:rPr>
        <w:t>条</w:t>
      </w:r>
      <w:r>
        <w:rPr>
          <w:rFonts w:hint="eastAsia" w:asciiTheme="minorEastAsia" w:hAnsiTheme="minorEastAsia" w:cstheme="minorEastAsia"/>
          <w:b/>
          <w:bCs/>
          <w:color w:val="000000" w:themeColor="text1"/>
          <w:spacing w:val="-6"/>
          <w:sz w:val="24"/>
          <w:highlight w:val="none"/>
          <w14:textFill>
            <w14:solidFill>
              <w14:schemeClr w14:val="tx1"/>
            </w14:solidFill>
          </w14:textFill>
        </w:rPr>
        <w:t>视</w:t>
      </w:r>
      <w:r>
        <w:rPr>
          <w:rFonts w:hint="eastAsia" w:asciiTheme="minorEastAsia" w:hAnsiTheme="minorEastAsia" w:cstheme="minorEastAsia"/>
          <w:b/>
          <w:bCs/>
          <w:color w:val="000000" w:themeColor="text1"/>
          <w:spacing w:val="-2"/>
          <w:sz w:val="24"/>
          <w:highlight w:val="none"/>
          <w14:textFill>
            <w14:solidFill>
              <w14:schemeClr w14:val="tx1"/>
            </w14:solidFill>
          </w14:textFill>
        </w:rPr>
        <w:t>为重大偏离，评审时不得分。</w:t>
      </w:r>
    </w:p>
    <w:p w14:paraId="634D6937">
      <w:pPr>
        <w:spacing w:line="360" w:lineRule="auto"/>
        <w:ind w:firstLine="474" w:firstLineChars="200"/>
        <w:rPr>
          <w:rFonts w:asciiTheme="minorEastAsia" w:hAnsiTheme="minorEastAsia" w:cstheme="minorEastAsia"/>
          <w:b/>
          <w:bCs/>
          <w:color w:val="000000" w:themeColor="text1"/>
          <w:spacing w:val="-2"/>
          <w:sz w:val="24"/>
          <w:highlight w:val="none"/>
          <w14:textFill>
            <w14:solidFill>
              <w14:schemeClr w14:val="tx1"/>
            </w14:solidFill>
          </w14:textFill>
        </w:rPr>
      </w:pPr>
      <w:r>
        <w:rPr>
          <w:rFonts w:hint="eastAsia" w:asciiTheme="minorEastAsia" w:hAnsiTheme="minorEastAsia" w:cstheme="minorEastAsia"/>
          <w:b/>
          <w:bCs/>
          <w:color w:val="000000" w:themeColor="text1"/>
          <w:spacing w:val="-2"/>
          <w:sz w:val="24"/>
          <w:highlight w:val="none"/>
          <w14:textFill>
            <w14:solidFill>
              <w14:schemeClr w14:val="tx1"/>
            </w14:solidFill>
          </w14:textFill>
        </w:rPr>
        <w:t>4、采购品目的配置、耗材要求均为采购人根据实际工作需要制定，作为实现设备功能的配置参考，投标人所投产品的配置、耗材名称或数量应能满足配置要求中的同等功能，但配置清单内容名称不构成强制性一致要求。</w:t>
      </w:r>
    </w:p>
    <w:p w14:paraId="63EA5697">
      <w:pPr>
        <w:spacing w:line="360" w:lineRule="auto"/>
        <w:ind w:firstLine="474" w:firstLineChars="200"/>
        <w:rPr>
          <w:rFonts w:hint="eastAsia" w:asciiTheme="minorEastAsia" w:hAnsiTheme="minorEastAsia" w:cstheme="minorEastAsia"/>
          <w:b/>
          <w:bCs/>
          <w:color w:val="000000" w:themeColor="text1"/>
          <w:spacing w:val="-2"/>
          <w:sz w:val="24"/>
          <w:highlight w:val="none"/>
          <w14:textFill>
            <w14:solidFill>
              <w14:schemeClr w14:val="tx1"/>
            </w14:solidFill>
          </w14:textFill>
        </w:rPr>
      </w:pPr>
      <w:r>
        <w:rPr>
          <w:rFonts w:hint="eastAsia" w:asciiTheme="minorEastAsia" w:hAnsiTheme="minorEastAsia" w:cstheme="minorEastAsia"/>
          <w:b/>
          <w:bCs/>
          <w:color w:val="000000" w:themeColor="text1"/>
          <w:spacing w:val="-2"/>
          <w:sz w:val="24"/>
          <w:highlight w:val="none"/>
          <w14:textFill>
            <w14:solidFill>
              <w14:schemeClr w14:val="tx1"/>
            </w14:solidFill>
          </w14:textFill>
        </w:rPr>
        <w:t>5、关于各包产品中专机专用耗材目录（需提供对应报价清单），该报价为后续采购参考价，不包含在本次采购预算内。</w:t>
      </w:r>
    </w:p>
    <w:p w14:paraId="5F838EAF">
      <w:pPr>
        <w:pStyle w:val="2"/>
        <w:rPr>
          <w:rFonts w:hint="eastAsia" w:asciiTheme="minorEastAsia" w:hAnsiTheme="minorEastAsia" w:cstheme="minorEastAsia"/>
          <w:b/>
          <w:bCs/>
          <w:color w:val="000000" w:themeColor="text1"/>
          <w:spacing w:val="-2"/>
          <w:sz w:val="24"/>
          <w:highlight w:val="none"/>
          <w14:textFill>
            <w14:solidFill>
              <w14:schemeClr w14:val="tx1"/>
            </w14:solidFill>
          </w14:textFill>
        </w:rPr>
      </w:pPr>
    </w:p>
    <w:p w14:paraId="2F01ED8E">
      <w:pPr>
        <w:rPr>
          <w:color w:val="000000" w:themeColor="text1"/>
          <w:highlight w:val="none"/>
          <w14:textFill>
            <w14:solidFill>
              <w14:schemeClr w14:val="tx1"/>
            </w14:solidFill>
          </w14:textFill>
        </w:rPr>
      </w:pPr>
    </w:p>
    <w:p w14:paraId="50DAE5B4">
      <w:pPr>
        <w:spacing w:line="360" w:lineRule="auto"/>
        <w:ind w:firstLine="562" w:firstLineChars="200"/>
        <w:rPr>
          <w:rFonts w:asciiTheme="minorEastAsia" w:hAnsiTheme="minorEastAsia" w:cstheme="minorEastAsia"/>
          <w:b/>
          <w:bCs/>
          <w:color w:val="000000" w:themeColor="text1"/>
          <w:sz w:val="28"/>
          <w:szCs w:val="28"/>
          <w:highlight w:val="none"/>
          <w14:textFill>
            <w14:solidFill>
              <w14:schemeClr w14:val="tx1"/>
            </w14:solidFill>
          </w14:textFill>
        </w:rPr>
      </w:pPr>
      <w:r>
        <w:rPr>
          <w:rFonts w:hint="eastAsia" w:asciiTheme="minorEastAsia" w:hAnsiTheme="minorEastAsia" w:cstheme="minorEastAsia"/>
          <w:b/>
          <w:bCs/>
          <w:color w:val="000000" w:themeColor="text1"/>
          <w:sz w:val="28"/>
          <w:szCs w:val="28"/>
          <w:highlight w:val="none"/>
          <w14:textFill>
            <w14:solidFill>
              <w14:schemeClr w14:val="tx1"/>
            </w14:solidFill>
          </w14:textFill>
        </w:rPr>
        <w:t>（</w:t>
      </w:r>
      <w:r>
        <w:rPr>
          <w:rFonts w:hint="eastAsia" w:asciiTheme="minorEastAsia" w:hAnsiTheme="minorEastAsia" w:cstheme="minorEastAsia"/>
          <w:b/>
          <w:bCs/>
          <w:color w:val="000000" w:themeColor="text1"/>
          <w:sz w:val="28"/>
          <w:szCs w:val="28"/>
          <w:highlight w:val="none"/>
          <w:lang w:val="en-US" w:eastAsia="zh-CN"/>
          <w14:textFill>
            <w14:solidFill>
              <w14:schemeClr w14:val="tx1"/>
            </w14:solidFill>
          </w14:textFill>
        </w:rPr>
        <w:t>一</w:t>
      </w:r>
      <w:r>
        <w:rPr>
          <w:rFonts w:hint="eastAsia" w:asciiTheme="minorEastAsia" w:hAnsiTheme="minorEastAsia" w:cstheme="minorEastAsia"/>
          <w:b/>
          <w:bCs/>
          <w:color w:val="000000" w:themeColor="text1"/>
          <w:sz w:val="28"/>
          <w:szCs w:val="28"/>
          <w:highlight w:val="none"/>
          <w14:textFill>
            <w14:solidFill>
              <w14:schemeClr w14:val="tx1"/>
            </w14:solidFill>
          </w14:textFill>
        </w:rPr>
        <w:t>）小型高速冷冻离心机</w:t>
      </w:r>
    </w:p>
    <w:p w14:paraId="0E4D3FD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一、技术参数</w:t>
      </w:r>
    </w:p>
    <w:p w14:paraId="728B9C4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▲1、最高转速：≥16,000rpm ；最大离心力：≥24,000 xg （验收按照配置的转头为准）</w:t>
      </w:r>
    </w:p>
    <w:p w14:paraId="46DF096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2、最大容量：12×5ml（锥底）/12 X 7ml（圆底）(7ml为定制适配耗材）</w:t>
      </w:r>
    </w:p>
    <w:p w14:paraId="11A0D7B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3、转速精控制精度：±10rpm</w:t>
      </w:r>
    </w:p>
    <w:p w14:paraId="2D4E9CA8">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▲4、温度设定范围：-11~40℃</w:t>
      </w:r>
    </w:p>
    <w:p w14:paraId="310A364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5、样品温度控制精度：±2 ℃</w:t>
      </w:r>
    </w:p>
    <w:p w14:paraId="2348DDB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6、定时范围：1s to 99H59 min59s</w:t>
      </w:r>
    </w:p>
    <w:p w14:paraId="2CEB0A7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7、具有瞬时离心功能</w:t>
      </w:r>
    </w:p>
    <w:p w14:paraId="114ADC7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8、程序组：≥1000组 + 收藏夹功能</w:t>
      </w:r>
    </w:p>
    <w:p w14:paraId="0C0C0F6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9、升降速度：快/慢两档</w:t>
      </w:r>
    </w:p>
    <w:p w14:paraId="54D504B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10、噪音：≤54db(A)</w:t>
      </w:r>
    </w:p>
    <w:p w14:paraId="0F10E1B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11、制冷剂：R134A</w:t>
      </w:r>
    </w:p>
    <w:p w14:paraId="776E22D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12、电源：198-242V，50Hz，10A</w:t>
      </w:r>
    </w:p>
    <w:p w14:paraId="138FE67A">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13、尺寸 （D x W x H）：300 × 560× 300 mm</w:t>
      </w:r>
    </w:p>
    <w:p w14:paraId="236ED1F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14、重量：31 kg</w:t>
      </w:r>
    </w:p>
    <w:p w14:paraId="660D825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15、转子静态自动识别（转子使用次数计数功能，并具有寿命到期提醒功能）</w:t>
      </w:r>
    </w:p>
    <w:p w14:paraId="7EC5E51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16、不平衡监测功能</w:t>
      </w:r>
    </w:p>
    <w:p w14:paraId="26BCC1A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17、屏幕显示：7寸LCD触摸屏显示，支持中、英两种语言</w:t>
      </w:r>
    </w:p>
    <w:p w14:paraId="7A69FA6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18、自动吸附门锁，方便操作</w:t>
      </w:r>
    </w:p>
    <w:p w14:paraId="07D8ECD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19、具备离心结束运行后计时器功能</w:t>
      </w:r>
    </w:p>
    <w:p w14:paraId="2B5CE5F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20、制冷能力：所有转子最高转速下达4度（环境温度15-25℃）</w:t>
      </w:r>
    </w:p>
    <w:p w14:paraId="6D73FFD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21、快速预冷功能：8分钟内降低到4℃（环境温度15-25℃）</w:t>
      </w:r>
    </w:p>
    <w:p w14:paraId="58D48FB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22、节能模式：每30分钟递增，最长8个小时后自动开盖并停止制冷</w:t>
      </w:r>
    </w:p>
    <w:p w14:paraId="4B227C8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23、运行记录可以实时曲线显示</w:t>
      </w:r>
    </w:p>
    <w:p w14:paraId="5FEABA0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24、支持多段离心功能（最多5段）</w:t>
      </w:r>
    </w:p>
    <w:p w14:paraId="0DEE958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25、提供两种计时方式选择：1）立即开始计时，2）到达最高速时开始计时</w:t>
      </w:r>
    </w:p>
    <w:p w14:paraId="5523763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26、数据导出功能（可通过USB以PDF或CSV (UTF-8形式) 导出数据</w:t>
      </w:r>
    </w:p>
    <w:p w14:paraId="438D996D">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27、用户管理（可配置100个独立用户名，登入采用密码保护，自定义用户权限）</w:t>
      </w:r>
    </w:p>
    <w:p w14:paraId="37178E1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28、三级访问权限设置（管理员、超级用户、操作员）</w:t>
      </w:r>
    </w:p>
    <w:p w14:paraId="65D5D7A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29、具有电子签名功能并在导出PDF文件时一同输出</w:t>
      </w:r>
    </w:p>
    <w:p w14:paraId="2ABA5C6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30、持审计追踪 - 事件记录（记录运行期间所有设置变更、警报、错误事件，跟踪具体离心工作、操作人员登入和操作时间），有时间戳，支持最多10万条记录</w:t>
      </w:r>
    </w:p>
    <w:p w14:paraId="158DA55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31、支持审计追踪 - 运行记录1000条（记录运行条件、运行结果、开始及结束时间、设备信息（序列号，软件版本）、转子信息、当中发生的事件例如报警等）</w:t>
      </w:r>
    </w:p>
    <w:p w14:paraId="2AF35B9A">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32、离心腔体内具有排水口设计</w:t>
      </w:r>
    </w:p>
    <w:p w14:paraId="10857D56">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33、提供1个USB接口，具备数据导出、软件更新等功能</w:t>
      </w:r>
    </w:p>
    <w:p w14:paraId="081D38AE">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配置：</w:t>
      </w:r>
    </w:p>
    <w:p w14:paraId="1A78B3A0">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▲1.定角转头1个，最大转速≥16,000rpm，最大相对离心力≥24,000g，最大容量≥24*1.5/2mL。</w:t>
      </w:r>
    </w:p>
    <w:p w14:paraId="0B0C06B9">
      <w:pPr>
        <w:spacing w:line="360" w:lineRule="auto"/>
        <w:ind w:firstLine="562" w:firstLineChars="200"/>
        <w:rPr>
          <w:rFonts w:hint="eastAsia" w:asciiTheme="minorEastAsia" w:hAnsiTheme="minorEastAsia" w:cstheme="minorEastAsia"/>
          <w:b/>
          <w:bCs/>
          <w:color w:val="000000" w:themeColor="text1"/>
          <w:sz w:val="28"/>
          <w:szCs w:val="28"/>
          <w:highlight w:val="none"/>
          <w14:textFill>
            <w14:solidFill>
              <w14:schemeClr w14:val="tx1"/>
            </w14:solidFill>
          </w14:textFill>
        </w:rPr>
      </w:pPr>
    </w:p>
    <w:p w14:paraId="791A9C13">
      <w:pPr>
        <w:spacing w:line="360" w:lineRule="auto"/>
        <w:ind w:firstLine="562" w:firstLineChars="200"/>
        <w:rPr>
          <w:rFonts w:asciiTheme="minorEastAsia" w:hAnsiTheme="minorEastAsia" w:cstheme="minorEastAsia"/>
          <w:b/>
          <w:bCs/>
          <w:color w:val="000000" w:themeColor="text1"/>
          <w:sz w:val="28"/>
          <w:szCs w:val="28"/>
          <w:highlight w:val="none"/>
          <w14:textFill>
            <w14:solidFill>
              <w14:schemeClr w14:val="tx1"/>
            </w14:solidFill>
          </w14:textFill>
        </w:rPr>
      </w:pPr>
      <w:r>
        <w:rPr>
          <w:rFonts w:hint="eastAsia" w:asciiTheme="minorEastAsia" w:hAnsiTheme="minorEastAsia" w:cstheme="minorEastAsia"/>
          <w:b/>
          <w:bCs/>
          <w:color w:val="000000" w:themeColor="text1"/>
          <w:sz w:val="28"/>
          <w:szCs w:val="28"/>
          <w:highlight w:val="none"/>
          <w14:textFill>
            <w14:solidFill>
              <w14:schemeClr w14:val="tx1"/>
            </w14:solidFill>
          </w14:textFill>
        </w:rPr>
        <w:t>（</w:t>
      </w:r>
      <w:r>
        <w:rPr>
          <w:rFonts w:hint="eastAsia" w:asciiTheme="minorEastAsia" w:hAnsiTheme="minorEastAsia" w:cstheme="minorEastAsia"/>
          <w:b/>
          <w:bCs/>
          <w:color w:val="000000" w:themeColor="text1"/>
          <w:sz w:val="28"/>
          <w:szCs w:val="28"/>
          <w:highlight w:val="none"/>
          <w:lang w:val="en-US" w:eastAsia="zh-CN"/>
          <w14:textFill>
            <w14:solidFill>
              <w14:schemeClr w14:val="tx1"/>
            </w14:solidFill>
          </w14:textFill>
        </w:rPr>
        <w:t>二</w:t>
      </w:r>
      <w:r>
        <w:rPr>
          <w:rFonts w:hint="eastAsia" w:asciiTheme="minorEastAsia" w:hAnsiTheme="minorEastAsia" w:cstheme="minorEastAsia"/>
          <w:b/>
          <w:bCs/>
          <w:color w:val="000000" w:themeColor="text1"/>
          <w:sz w:val="28"/>
          <w:szCs w:val="28"/>
          <w:highlight w:val="none"/>
          <w14:textFill>
            <w14:solidFill>
              <w14:schemeClr w14:val="tx1"/>
            </w14:solidFill>
          </w14:textFill>
        </w:rPr>
        <w:t>）手持叶绿素荧光仪</w:t>
      </w:r>
    </w:p>
    <w:p w14:paraId="56741DF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技术参数：</w:t>
      </w:r>
    </w:p>
    <w:p w14:paraId="3BB7280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▲1、测量参数包括F0、Ft、Fm、Fm’、QY、QY_Ln、QY_Dn、NPQ、Qp、Rfd、Area、Mo、Sm、PI、ABS/RC等50多个叶绿素荧光参数，及3种给光程序的光响应曲线、2种荧光淬灭曲线、OJIP曲线等</w:t>
      </w:r>
    </w:p>
    <w:p w14:paraId="37F1529A">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▲2、OJIP–test时间分辨率为10µs（每秒10万次），给出OJIP曲线和26个参数，包括F0、Fj、Fi、Fm、Fv、Vj、Vi、Fm/F0、Fv/F0、Fv/Fm、Mo、Area、Fix Area、Sm、Ss、N、Phi_Po、Psi_o、Phi_Eo、Phi–Do、Phi_Pav、PI_Abs、ABS/RC、TRo/RC、ETo/RC、DIo/RC等</w:t>
      </w:r>
    </w:p>
    <w:p w14:paraId="0C8A152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3、测量程序：Ft、QY、OJIP、NPQ1、NPQ2、LC1、LC2、LC3、Multi无人值守自动监测</w:t>
      </w:r>
    </w:p>
    <w:p w14:paraId="3A243B5D">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4、测量光：每测量脉冲0–0.09µmol(photons)/m².s，0—100%可调</w:t>
      </w:r>
    </w:p>
    <w:p w14:paraId="4855BF1A">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5、光化学光：0–1000µmol(photons)/m².s，0—100%可调</w:t>
      </w:r>
    </w:p>
    <w:p w14:paraId="224EB96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6、饱和光：0–3000µmol(photons)/m².s，0—100%可调</w:t>
      </w:r>
    </w:p>
    <w:p w14:paraId="1778B7E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bookmarkStart w:id="0" w:name="OLE_LINK4"/>
      <w:bookmarkStart w:id="1" w:name="OLE_LINK3"/>
      <w:r>
        <w:rPr>
          <w:rFonts w:hint="eastAsia" w:asciiTheme="minorEastAsia" w:hAnsiTheme="minorEastAsia" w:cstheme="minorEastAsia"/>
          <w:color w:val="000000" w:themeColor="text1"/>
          <w:spacing w:val="-2"/>
          <w:sz w:val="24"/>
          <w:highlight w:val="none"/>
          <w14:textFill>
            <w14:solidFill>
              <w14:schemeClr w14:val="tx1"/>
            </w14:solidFill>
          </w14:textFill>
        </w:rPr>
        <w:t>▲</w:t>
      </w:r>
      <w:bookmarkEnd w:id="0"/>
      <w:bookmarkEnd w:id="1"/>
      <w:r>
        <w:rPr>
          <w:rFonts w:hint="eastAsia" w:asciiTheme="minorEastAsia" w:hAnsiTheme="minorEastAsia" w:cstheme="minorEastAsia"/>
          <w:color w:val="000000" w:themeColor="text1"/>
          <w:spacing w:val="-2"/>
          <w:sz w:val="24"/>
          <w:highlight w:val="none"/>
          <w14:textFill>
            <w14:solidFill>
              <w14:schemeClr w14:val="tx1"/>
            </w14:solidFill>
          </w14:textFill>
        </w:rPr>
        <w:t>7、光源：标准配置蓝光470nm，可根据需求配备不同波长的LED光源</w:t>
      </w:r>
    </w:p>
    <w:p w14:paraId="563A98B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8、检测器：PIN光电二极管，667–750nm滤波器</w:t>
      </w:r>
    </w:p>
    <w:p w14:paraId="3E1D4AB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9、尺寸大小：超便携，手机大小，134×65×33mm，重量仅188g</w:t>
      </w:r>
    </w:p>
    <w:p w14:paraId="4677B85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10、存贮：容量16Mb，可存储149000数据点</w:t>
      </w:r>
    </w:p>
    <w:p w14:paraId="224D115E">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11、显示与操作：图形化显示，双键操作，待机8分钟自动关闭</w:t>
      </w:r>
    </w:p>
    <w:p w14:paraId="10597A1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12、供电：可充电锂电池，USB充电，连续工作48小时，低电报警</w:t>
      </w:r>
    </w:p>
    <w:p w14:paraId="581FF01A">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13、工作条件：0–55℃，0–95%相对湿度（无凝结水）</w:t>
      </w:r>
    </w:p>
    <w:p w14:paraId="7D90C3E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14、存贮条件：-10–60℃，0–95％相对湿度（无凝结水）</w:t>
      </w:r>
    </w:p>
    <w:p w14:paraId="4F02A5A8">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15、通讯方式：蓝牙+USB双通讯模式</w:t>
      </w:r>
    </w:p>
    <w:p w14:paraId="45929EA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16、GPS模块：内置</w:t>
      </w:r>
    </w:p>
    <w:p w14:paraId="6A06429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17、软件：专用软件，用于数据下载、分析和图表显示，输出Excel数据文件及荧光动力学曲线图，适用于Windows 7及更高操作系统</w:t>
      </w:r>
    </w:p>
    <w:p w14:paraId="54738CD4">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18、配置：掌上荧光仪，内置GPS模块、通讯模块（USB/蓝牙双模式），软件（数据收集和可视化）、分离式叶夹一包（10个装）</w:t>
      </w:r>
    </w:p>
    <w:p w14:paraId="341EFF0D">
      <w:pPr>
        <w:spacing w:line="360" w:lineRule="auto"/>
        <w:ind w:firstLine="562" w:firstLineChars="200"/>
        <w:rPr>
          <w:rFonts w:hint="eastAsia" w:asciiTheme="minorEastAsia" w:hAnsiTheme="minorEastAsia" w:cstheme="minorEastAsia"/>
          <w:b/>
          <w:bCs/>
          <w:color w:val="000000" w:themeColor="text1"/>
          <w:sz w:val="28"/>
          <w:szCs w:val="28"/>
          <w:highlight w:val="none"/>
          <w14:textFill>
            <w14:solidFill>
              <w14:schemeClr w14:val="tx1"/>
            </w14:solidFill>
          </w14:textFill>
        </w:rPr>
      </w:pPr>
    </w:p>
    <w:p w14:paraId="3754CD2F">
      <w:pPr>
        <w:spacing w:line="360" w:lineRule="auto"/>
        <w:ind w:firstLine="562" w:firstLineChars="200"/>
        <w:rPr>
          <w:rFonts w:asciiTheme="minorEastAsia" w:hAnsiTheme="minorEastAsia" w:cstheme="minorEastAsia"/>
          <w:b/>
          <w:bCs/>
          <w:color w:val="000000" w:themeColor="text1"/>
          <w:sz w:val="28"/>
          <w:szCs w:val="28"/>
          <w:highlight w:val="none"/>
          <w14:textFill>
            <w14:solidFill>
              <w14:schemeClr w14:val="tx1"/>
            </w14:solidFill>
          </w14:textFill>
        </w:rPr>
      </w:pPr>
      <w:r>
        <w:rPr>
          <w:rFonts w:hint="eastAsia" w:asciiTheme="minorEastAsia" w:hAnsiTheme="minorEastAsia" w:cstheme="minorEastAsia"/>
          <w:b/>
          <w:bCs/>
          <w:color w:val="000000" w:themeColor="text1"/>
          <w:sz w:val="28"/>
          <w:szCs w:val="28"/>
          <w:highlight w:val="none"/>
          <w14:textFill>
            <w14:solidFill>
              <w14:schemeClr w14:val="tx1"/>
            </w14:solidFill>
          </w14:textFill>
        </w:rPr>
        <w:t>（</w:t>
      </w:r>
      <w:r>
        <w:rPr>
          <w:rFonts w:hint="eastAsia" w:asciiTheme="minorEastAsia" w:hAnsiTheme="minorEastAsia" w:cstheme="minorEastAsia"/>
          <w:b/>
          <w:bCs/>
          <w:color w:val="000000" w:themeColor="text1"/>
          <w:sz w:val="28"/>
          <w:szCs w:val="28"/>
          <w:highlight w:val="none"/>
          <w:lang w:val="en-US" w:eastAsia="zh-CN"/>
          <w14:textFill>
            <w14:solidFill>
              <w14:schemeClr w14:val="tx1"/>
            </w14:solidFill>
          </w14:textFill>
        </w:rPr>
        <w:t>三</w:t>
      </w:r>
      <w:r>
        <w:rPr>
          <w:rFonts w:hint="eastAsia" w:asciiTheme="minorEastAsia" w:hAnsiTheme="minorEastAsia" w:cstheme="minorEastAsia"/>
          <w:b/>
          <w:bCs/>
          <w:color w:val="000000" w:themeColor="text1"/>
          <w:sz w:val="28"/>
          <w:szCs w:val="28"/>
          <w:highlight w:val="none"/>
          <w14:textFill>
            <w14:solidFill>
              <w14:schemeClr w14:val="tx1"/>
            </w14:solidFill>
          </w14:textFill>
        </w:rPr>
        <w:t>）气相色谱仪</w:t>
      </w:r>
    </w:p>
    <w:p w14:paraId="5E898E1E">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一、仪器配置要求：</w:t>
      </w:r>
    </w:p>
    <w:p w14:paraId="2990E64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1、气相色谱仪主机1台</w:t>
      </w:r>
    </w:p>
    <w:p w14:paraId="4F212A1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2、分流/不分流进样口1件</w:t>
      </w:r>
    </w:p>
    <w:p w14:paraId="0864C6B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3、FID检测器1件</w:t>
      </w:r>
    </w:p>
    <w:p w14:paraId="0600F06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4、液体自动进样器1件</w:t>
      </w:r>
    </w:p>
    <w:p w14:paraId="3B49A8C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 气体智选阀1件</w:t>
      </w:r>
    </w:p>
    <w:p w14:paraId="0EE9BBB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6、工具包1件</w:t>
      </w:r>
    </w:p>
    <w:p w14:paraId="69816E0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7、气相控制软件1套</w:t>
      </w:r>
    </w:p>
    <w:p w14:paraId="2E0502A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8、常用消耗品1套</w:t>
      </w:r>
    </w:p>
    <w:p w14:paraId="6086522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9、气路净化装置（三个独立的滤芯，分别用于载气，助燃气的除氧，除湿，除烃）1件</w:t>
      </w:r>
    </w:p>
    <w:p w14:paraId="2343F25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10、空气管、氢气管、载气管各1件</w:t>
      </w:r>
    </w:p>
    <w:p w14:paraId="6CCD652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11、色谱柱2根</w:t>
      </w:r>
    </w:p>
    <w:p w14:paraId="01248E5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11、空气压缩机（与主机同品牌）1台</w:t>
      </w:r>
    </w:p>
    <w:p w14:paraId="5F18E84D">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12、 氢气发生器（与主机同品牌）1台</w:t>
      </w:r>
    </w:p>
    <w:p w14:paraId="72CAE9D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13、氮气钢瓶及减压阀1件</w:t>
      </w:r>
    </w:p>
    <w:p w14:paraId="5184C72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14、氦气钢瓶及减压阀1件</w:t>
      </w:r>
    </w:p>
    <w:p w14:paraId="18364C9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15、品牌电脑及打印机1套</w:t>
      </w:r>
    </w:p>
    <w:p w14:paraId="1921252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二、技术参数：</w:t>
      </w:r>
    </w:p>
    <w:p w14:paraId="71290C3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1.柱温箱</w:t>
      </w:r>
    </w:p>
    <w:p w14:paraId="452ACEF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1.1  柱箱温度：室温以上2℃ ～ 450℃（使用液态CO2时可达-45℃）；</w:t>
      </w:r>
    </w:p>
    <w:p w14:paraId="2C05124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▲1.2  程序升温：至少32阶33平台；</w:t>
      </w:r>
    </w:p>
    <w:p w14:paraId="189A56C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▲1.3  可设定升温速率：标配至少 240℃/min（无需升级），支持程序降温；</w:t>
      </w:r>
    </w:p>
    <w:p w14:paraId="07DDE56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1.4  温度设定精度：0.1℃；</w:t>
      </w:r>
    </w:p>
    <w:p w14:paraId="2658080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1.5  控温精度：设定值（K） ± 1% （可校准至0.01℃）；</w:t>
      </w:r>
    </w:p>
    <w:p w14:paraId="526A48A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1.6  温度稳定性：周围温度每变化1℃，柱温箱温度变化小于0.01℃；</w:t>
      </w:r>
    </w:p>
    <w:p w14:paraId="0A4DCF4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▲1.7  冷却速度：从 450 降到 50℃ ≤3.5min（210s）；</w:t>
      </w:r>
    </w:p>
    <w:p w14:paraId="1641ABF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1.8  最大运行时间：9000分钟；</w:t>
      </w:r>
    </w:p>
    <w:p w14:paraId="0C932ED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1.9 气相色谱主机采用不小于7英寸的彩色触摸屏进行操控。</w:t>
      </w:r>
    </w:p>
    <w:p w14:paraId="7BD6836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1.10 柱温箱可升级配置氢气传感器，其具有氢气漏气报警功能，可实时监控泄漏，确保安全使用。</w:t>
      </w:r>
    </w:p>
    <w:p w14:paraId="457E14B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1.11 具有一键设置柱温箱降温速率功能，可依据不同色谱柱自由设置降温速率，有效延长色谱柱使用寿命。</w:t>
      </w:r>
    </w:p>
    <w:p w14:paraId="4AA1408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▲1.12 柱温箱内置耐高温灯，柱箱门开启时自动点亮，照亮柱箱内空间方便安装和更换色谱柱。</w:t>
      </w:r>
    </w:p>
    <w:p w14:paraId="5B42814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1.13 柱温箱可升级柱温箱插件，进一步提高加热效率</w:t>
      </w:r>
    </w:p>
    <w:p w14:paraId="044BEF6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2、进样单元</w:t>
      </w:r>
    </w:p>
    <w:p w14:paraId="7709793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最多可同时安装三个独立控温的进样单元，由先进的电子流量控制系统控制（AFC），可实现“2个SPL+1个PTV”或“2个PTV+1个SPL”等的进样口组合模式。</w:t>
      </w:r>
    </w:p>
    <w:p w14:paraId="01F8E4D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2.1 分流/不分流进样口</w:t>
      </w:r>
    </w:p>
    <w:p w14:paraId="1FA8064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2.1.1  最高温度：430℃；</w:t>
      </w:r>
    </w:p>
    <w:p w14:paraId="433EF0FA">
      <w:pPr>
        <w:spacing w:line="360" w:lineRule="auto"/>
        <w:ind w:firstLine="474" w:firstLineChars="200"/>
        <w:jc w:val="left"/>
        <w:rPr>
          <w:rFonts w:asciiTheme="minorEastAsia" w:hAnsiTheme="minorEastAsia" w:cstheme="minorEastAsia"/>
          <w:b/>
          <w:color w:val="000000" w:themeColor="text1"/>
          <w:spacing w:val="-2"/>
          <w:sz w:val="24"/>
          <w:highlight w:val="none"/>
          <w14:textFill>
            <w14:solidFill>
              <w14:schemeClr w14:val="tx1"/>
            </w14:solidFill>
          </w14:textFill>
        </w:rPr>
      </w:pPr>
      <w:r>
        <w:rPr>
          <w:rFonts w:hint="eastAsia" w:asciiTheme="minorEastAsia" w:hAnsiTheme="minorEastAsia" w:cstheme="minorEastAsia"/>
          <w:b/>
          <w:color w:val="000000" w:themeColor="text1"/>
          <w:spacing w:val="-2"/>
          <w:sz w:val="24"/>
          <w:highlight w:val="none"/>
          <w14:textFill>
            <w14:solidFill>
              <w14:schemeClr w14:val="tx1"/>
            </w14:solidFill>
          </w14:textFill>
        </w:rPr>
        <w:t>★2.1.2  配备全自动电子流量控制系统AFC，具备室温补偿和自动环境补偿功能；</w:t>
      </w:r>
    </w:p>
    <w:p w14:paraId="2B3B0B2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支持恒流，恒压，程序增加流速，程序升压及压力脉冲等操作模式以及恒</w:t>
      </w:r>
    </w:p>
    <w:p w14:paraId="6DE6011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线速度控制功能，须提供软件截图和采用恒线速度分析样品的应用文章证明。</w:t>
      </w:r>
    </w:p>
    <w:p w14:paraId="7995CA7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2.1.3  标准配备载气节省模式，有效节约载气消耗量；</w:t>
      </w:r>
    </w:p>
    <w:p w14:paraId="1F2AD28D">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▲2.1.4  进样口可徒手无需任何工具1秒内即可完成进样口的打开或关闭，仪器自动感知最佳气密位置，大幅简化维护操作。</w:t>
      </w:r>
    </w:p>
    <w:p w14:paraId="47ED1AA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2.1.5  压力设定范围：0 ～ 1015kPa（相当于0～147psi）；</w:t>
      </w:r>
    </w:p>
    <w:p w14:paraId="6C05B51D">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2.1.6  压力控制精度：0.001psi；</w:t>
      </w:r>
    </w:p>
    <w:p w14:paraId="70A7A6E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2.1.7  压力程序比率设定范围：-400 ～ 400kPa/min；</w:t>
      </w:r>
    </w:p>
    <w:p w14:paraId="45EE81D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2.1.8  压力程序：6阶；</w:t>
      </w:r>
    </w:p>
    <w:p w14:paraId="7276245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2.1.9  分流比设定范围：0 ～ 9000；</w:t>
      </w:r>
    </w:p>
    <w:p w14:paraId="6ACADF8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2.1.10  流量设定范围：0 ～ 1280mL/min，He；0 ～ 550mL/min，N2</w:t>
      </w:r>
    </w:p>
    <w:p w14:paraId="162468A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2.1.11  进样口标配徒手无需任何工具1秒内即可完成色谱柱的安装或拆卸，仪器自动感知最佳气密位置，大幅提升色谱柱操作体验。</w:t>
      </w:r>
    </w:p>
    <w:p w14:paraId="21FC354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2.1.12 仪器主机最多可同时安装3个SPL进样口。</w:t>
      </w:r>
    </w:p>
    <w:p w14:paraId="2D1AA00D">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2.1.13 可升级配置气体智选阀，实现SPL进样单元同时连接两种气体类型，分析时可根据工作需要在软件中进行两种类型载气的自动无缝切换。</w:t>
      </w:r>
    </w:p>
    <w:p w14:paraId="798C8B8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3、检测器单元</w:t>
      </w:r>
    </w:p>
    <w:p w14:paraId="58B6BE2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可同时安装四个独立控温的检测器，检测器的气体由先进的压力控制系统控制（APC）。</w:t>
      </w:r>
    </w:p>
    <w:p w14:paraId="2E75E39D">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3.1 氢火焰离子化检测器（FID）</w:t>
      </w:r>
    </w:p>
    <w:p w14:paraId="43A18A6E">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3.1.1 最高使用温度：450℃</w:t>
      </w:r>
    </w:p>
    <w:p w14:paraId="5B17A2A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3.1.2 自动点火功能</w:t>
      </w:r>
    </w:p>
    <w:p w14:paraId="20B26A2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▲3.1.3 检测限：≦1.2×10-12g/s ( 十二烷 )</w:t>
      </w:r>
    </w:p>
    <w:p w14:paraId="2F7AD86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3.2.4 动态范围：107</w:t>
      </w:r>
    </w:p>
    <w:p w14:paraId="011365B8">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4、主机和电子流量控制器单元</w:t>
      </w:r>
    </w:p>
    <w:p w14:paraId="1046FEB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4.1 色谱柱和主机功能</w:t>
      </w:r>
    </w:p>
    <w:p w14:paraId="6DC362E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4.1.1 可安装并使用包括内径0.53mm在内的各规格毛细柱，可选配填充柱，可使用PAH专用柱、PLOT、手性柱等特殊填料色谱柱；</w:t>
      </w:r>
    </w:p>
    <w:p w14:paraId="0AE4E73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4.1.2 支持双柱双流路系统，且两根色谱柱长度不受限制；</w:t>
      </w:r>
    </w:p>
    <w:p w14:paraId="1377E180">
      <w:pPr>
        <w:spacing w:line="360" w:lineRule="auto"/>
        <w:ind w:firstLine="474" w:firstLineChars="200"/>
        <w:jc w:val="left"/>
        <w:rPr>
          <w:rFonts w:asciiTheme="minorEastAsia" w:hAnsiTheme="minorEastAsia" w:cstheme="minorEastAsia"/>
          <w:b/>
          <w:color w:val="000000" w:themeColor="text1"/>
          <w:spacing w:val="-2"/>
          <w:sz w:val="24"/>
          <w:highlight w:val="none"/>
          <w14:textFill>
            <w14:solidFill>
              <w14:schemeClr w14:val="tx1"/>
            </w14:solidFill>
          </w14:textFill>
        </w:rPr>
      </w:pPr>
      <w:r>
        <w:rPr>
          <w:rFonts w:hint="eastAsia" w:asciiTheme="minorEastAsia" w:hAnsiTheme="minorEastAsia" w:cstheme="minorEastAsia"/>
          <w:b/>
          <w:color w:val="000000" w:themeColor="text1"/>
          <w:spacing w:val="-2"/>
          <w:sz w:val="24"/>
          <w:highlight w:val="none"/>
          <w14:textFill>
            <w14:solidFill>
              <w14:schemeClr w14:val="tx1"/>
            </w14:solidFill>
          </w14:textFill>
        </w:rPr>
        <w:t>★4.1.3 具有专为色谱柱安装设计的智能量具组件——进样口/检测器量具的多合一。通过智能量具的使用，实现快速的色谱柱安装和维护体验。</w:t>
      </w:r>
    </w:p>
    <w:p w14:paraId="1896B8A8">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4.1.4 支持色谱柱柱后反吹，具有专为反吹设计的图示化控制软件，操作方便。</w:t>
      </w:r>
    </w:p>
    <w:p w14:paraId="462963F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4.1.5主机具有Eco节能模式及自动开始/关闭功能，实验完成后可使仪器进入Eco模式或关闭系统，从而节省能源和成本。</w:t>
      </w:r>
    </w:p>
    <w:p w14:paraId="0FCEC34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4.1.6主机具有“参数锁定”和“显示屏锁定功能”，从而避免误操作和意外操作。这些功能均可在主机彩色触摸屏上进行设置。</w:t>
      </w:r>
    </w:p>
    <w:p w14:paraId="1556977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4.1.7主机具有载气漏气检查功能，可在主机显示屏上显示漏气检查的结果。</w:t>
      </w:r>
    </w:p>
    <w:p w14:paraId="5DD9414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4.1.8主机触摸屏支持显示配置3条流路通道。</w:t>
      </w:r>
    </w:p>
    <w:p w14:paraId="20ABB12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4.1.9 主机具有预老化功能，在软件中有预老化按键，可根据工作需要，在批处理分析开始前自动执行定制化的老化操作。</w:t>
      </w:r>
    </w:p>
    <w:p w14:paraId="5ABF1AB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4.1.10 主机具有报错码功能，遇到系统报错时，主机触摸屏自动显示此错误信息对应的二维码，分析人员扫码即可浏览相应的维护说明，有助于快速了解和解决问题，提高效率。</w:t>
      </w:r>
    </w:p>
    <w:p w14:paraId="5F85D29E">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4.2 电子流量控制单元</w:t>
      </w:r>
    </w:p>
    <w:p w14:paraId="2A3AAC6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4.2.1具有大气压力补偿和温度补偿功能；</w:t>
      </w:r>
    </w:p>
    <w:p w14:paraId="5678CDD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4.2.2压力单元包括psi, kPa, bar三种，可自由选择使用；</w:t>
      </w:r>
    </w:p>
    <w:p w14:paraId="538A086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4.2.3 压力设定范围：0 ～ 1015kPa（相当于0～147psi）</w:t>
      </w:r>
    </w:p>
    <w:p w14:paraId="3C7AA2B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2.4.4 压力控制精度：0.001psi；</w:t>
      </w:r>
    </w:p>
    <w:p w14:paraId="4CB3217A">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4.2.5 压力程序阶数：6阶；</w:t>
      </w:r>
    </w:p>
    <w:p w14:paraId="3690FD9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4.2.6 压力传感器准确度：〈 ± 2%（全范围）；</w:t>
      </w:r>
    </w:p>
    <w:p w14:paraId="5003A41E">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4.2.7 压力传感器重现性：〈 ± 0.34 kPa；</w:t>
      </w:r>
    </w:p>
    <w:p w14:paraId="1E25367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4.2.8 温度系数：〈 ± 0.068 kPa/°C；</w:t>
      </w:r>
    </w:p>
    <w:p w14:paraId="2A4FC87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4.2.9 压力漂移：〈 ± 0.68 kPa/6个月；</w:t>
      </w:r>
    </w:p>
    <w:p w14:paraId="6B007E4F">
      <w:pPr>
        <w:spacing w:line="360" w:lineRule="auto"/>
        <w:ind w:firstLine="474" w:firstLineChars="200"/>
        <w:jc w:val="left"/>
        <w:rPr>
          <w:rFonts w:asciiTheme="minorEastAsia" w:hAnsiTheme="minorEastAsia" w:cstheme="minorEastAsia"/>
          <w:b/>
          <w:color w:val="000000" w:themeColor="text1"/>
          <w:spacing w:val="-2"/>
          <w:sz w:val="24"/>
          <w:highlight w:val="none"/>
          <w14:textFill>
            <w14:solidFill>
              <w14:schemeClr w14:val="tx1"/>
            </w14:solidFill>
          </w14:textFill>
        </w:rPr>
      </w:pPr>
      <w:r>
        <w:rPr>
          <w:rFonts w:hint="eastAsia" w:asciiTheme="minorEastAsia" w:hAnsiTheme="minorEastAsia" w:cstheme="minorEastAsia"/>
          <w:b/>
          <w:color w:val="000000" w:themeColor="text1"/>
          <w:spacing w:val="-2"/>
          <w:sz w:val="24"/>
          <w:highlight w:val="none"/>
          <w14:textFill>
            <w14:solidFill>
              <w14:schemeClr w14:val="tx1"/>
            </w14:solidFill>
          </w14:textFill>
        </w:rPr>
        <w:t>★4.2.10 支持的载气类型：氮气、氦气、氢气、氩气；</w:t>
      </w:r>
    </w:p>
    <w:p w14:paraId="1E20822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5.自动进样器</w:t>
      </w:r>
    </w:p>
    <w:p w14:paraId="3A58D6DD">
      <w:pPr>
        <w:spacing w:line="360" w:lineRule="auto"/>
        <w:ind w:firstLine="474" w:firstLineChars="200"/>
        <w:jc w:val="left"/>
        <w:rPr>
          <w:rFonts w:asciiTheme="minorEastAsia" w:hAnsiTheme="minorEastAsia" w:cstheme="minorEastAsia"/>
          <w:b/>
          <w:color w:val="000000" w:themeColor="text1"/>
          <w:spacing w:val="-2"/>
          <w:sz w:val="24"/>
          <w:highlight w:val="none"/>
          <w14:textFill>
            <w14:solidFill>
              <w14:schemeClr w14:val="tx1"/>
            </w14:solidFill>
          </w14:textFill>
        </w:rPr>
      </w:pPr>
      <w:r>
        <w:rPr>
          <w:rFonts w:hint="eastAsia" w:asciiTheme="minorEastAsia" w:hAnsiTheme="minorEastAsia" w:cstheme="minorEastAsia"/>
          <w:b/>
          <w:color w:val="000000" w:themeColor="text1"/>
          <w:spacing w:val="-2"/>
          <w:sz w:val="24"/>
          <w:highlight w:val="none"/>
          <w14:textFill>
            <w14:solidFill>
              <w14:schemeClr w14:val="tx1"/>
            </w14:solidFill>
          </w14:textFill>
        </w:rPr>
        <w:t>★5.1峰面积重现性：&lt; 0.3 % RSD</w:t>
      </w:r>
    </w:p>
    <w:p w14:paraId="6346AA6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5.2样品歧视效应：&lt; 10 %</w:t>
      </w:r>
    </w:p>
    <w:p w14:paraId="35B5833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5.3进样线性：&lt; 5 %</w:t>
      </w:r>
    </w:p>
    <w:p w14:paraId="714599F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5.4交叉污染：&lt; 5 ppm</w:t>
      </w:r>
    </w:p>
    <w:p w14:paraId="4614EAF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5.5样品容量：不小于30位</w:t>
      </w:r>
    </w:p>
    <w:p w14:paraId="6E868182">
      <w:pPr>
        <w:spacing w:line="360" w:lineRule="auto"/>
        <w:ind w:firstLine="474" w:firstLineChars="200"/>
        <w:jc w:val="left"/>
        <w:rPr>
          <w:rFonts w:asciiTheme="minorEastAsia" w:hAnsiTheme="minorEastAsia" w:cstheme="minorEastAsia"/>
          <w:b/>
          <w:color w:val="000000" w:themeColor="text1"/>
          <w:spacing w:val="-2"/>
          <w:sz w:val="24"/>
          <w:highlight w:val="none"/>
          <w14:textFill>
            <w14:solidFill>
              <w14:schemeClr w14:val="tx1"/>
            </w14:solidFill>
          </w14:textFill>
        </w:rPr>
      </w:pPr>
      <w:r>
        <w:rPr>
          <w:rFonts w:hint="eastAsia" w:asciiTheme="minorEastAsia" w:hAnsiTheme="minorEastAsia" w:cstheme="minorEastAsia"/>
          <w:b/>
          <w:color w:val="000000" w:themeColor="text1"/>
          <w:spacing w:val="-2"/>
          <w:sz w:val="24"/>
          <w:highlight w:val="none"/>
          <w14:textFill>
            <w14:solidFill>
              <w14:schemeClr w14:val="tx1"/>
            </w14:solidFill>
          </w14:textFill>
        </w:rPr>
        <w:t>★5.6支持使用4种溶剂清洗；</w:t>
      </w:r>
    </w:p>
    <w:p w14:paraId="2B86533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5.7具有进样助手功能，仅需设置进样体积和洗针溶剂类型，一键选择预置的进样参数。采用图标显示真实操作流程。</w:t>
      </w:r>
    </w:p>
    <w:p w14:paraId="0335A79F">
      <w:pPr>
        <w:spacing w:line="360" w:lineRule="auto"/>
        <w:ind w:firstLine="474" w:firstLineChars="200"/>
        <w:jc w:val="left"/>
        <w:rPr>
          <w:rFonts w:asciiTheme="minorEastAsia" w:hAnsiTheme="minorEastAsia" w:cstheme="minorEastAsia"/>
          <w:b/>
          <w:color w:val="000000" w:themeColor="text1"/>
          <w:spacing w:val="-2"/>
          <w:sz w:val="24"/>
          <w:highlight w:val="none"/>
          <w14:textFill>
            <w14:solidFill>
              <w14:schemeClr w14:val="tx1"/>
            </w14:solidFill>
          </w14:textFill>
        </w:rPr>
      </w:pPr>
      <w:bookmarkStart w:id="2" w:name="OLE_LINK1"/>
      <w:bookmarkStart w:id="3" w:name="OLE_LINK2"/>
      <w:r>
        <w:rPr>
          <w:rFonts w:hint="eastAsia" w:asciiTheme="minorEastAsia" w:hAnsiTheme="minorEastAsia" w:cstheme="minorEastAsia"/>
          <w:b/>
          <w:color w:val="000000" w:themeColor="text1"/>
          <w:spacing w:val="-2"/>
          <w:sz w:val="24"/>
          <w:highlight w:val="none"/>
          <w14:textFill>
            <w14:solidFill>
              <w14:schemeClr w14:val="tx1"/>
            </w14:solidFill>
          </w14:textFill>
        </w:rPr>
        <w:t>★</w:t>
      </w:r>
      <w:bookmarkEnd w:id="2"/>
      <w:bookmarkEnd w:id="3"/>
      <w:r>
        <w:rPr>
          <w:rFonts w:hint="eastAsia" w:asciiTheme="minorEastAsia" w:hAnsiTheme="minorEastAsia" w:cstheme="minorEastAsia"/>
          <w:b/>
          <w:color w:val="000000" w:themeColor="text1"/>
          <w:spacing w:val="-2"/>
          <w:sz w:val="24"/>
          <w:highlight w:val="none"/>
          <w14:textFill>
            <w14:solidFill>
              <w14:schemeClr w14:val="tx1"/>
            </w14:solidFill>
          </w14:textFill>
        </w:rPr>
        <w:t>5.8 包含六种进样方法：标准模式、最小化交叉污染模式、溶剂节省模式、样品节省模式、粘性样品模式、多层进样模式。</w:t>
      </w:r>
    </w:p>
    <w:p w14:paraId="53D06C7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5.9 支持远程访问功能</w:t>
      </w:r>
    </w:p>
    <w:p w14:paraId="1239525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5.10 具有样品瓶传感器功能，可自动感知样品瓶的存在。如果漏放，可提前设定跳过继续分析或分析暂停。</w:t>
      </w:r>
    </w:p>
    <w:p w14:paraId="15D8843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5.11 支持重叠进样功能</w:t>
      </w:r>
    </w:p>
    <w:p w14:paraId="0A46B83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5.12 可选配样品盘读码器，支持二维码样品管理；样品加热/冷却模块。</w:t>
      </w:r>
    </w:p>
    <w:p w14:paraId="735DE8F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5.13 针杆速度可调：低速、中速、高速</w:t>
      </w:r>
    </w:p>
    <w:p w14:paraId="667485B9">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5.14 配备进样塔照明LED灯，可在进样和维护时自动点亮。</w:t>
      </w:r>
    </w:p>
    <w:p w14:paraId="50592906">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p>
    <w:p w14:paraId="7CE6632F">
      <w:pPr>
        <w:spacing w:line="360" w:lineRule="auto"/>
        <w:ind w:firstLine="562" w:firstLineChars="200"/>
        <w:rPr>
          <w:rFonts w:asciiTheme="minorEastAsia" w:hAnsiTheme="minorEastAsia" w:cstheme="minorEastAsia"/>
          <w:b/>
          <w:bCs/>
          <w:color w:val="000000" w:themeColor="text1"/>
          <w:sz w:val="28"/>
          <w:szCs w:val="28"/>
          <w:highlight w:val="none"/>
          <w14:textFill>
            <w14:solidFill>
              <w14:schemeClr w14:val="tx1"/>
            </w14:solidFill>
          </w14:textFill>
        </w:rPr>
      </w:pPr>
      <w:r>
        <w:rPr>
          <w:rFonts w:hint="eastAsia" w:asciiTheme="minorEastAsia" w:hAnsiTheme="minorEastAsia" w:cstheme="minorEastAsia"/>
          <w:b/>
          <w:bCs/>
          <w:color w:val="000000" w:themeColor="text1"/>
          <w:sz w:val="28"/>
          <w:szCs w:val="28"/>
          <w:highlight w:val="none"/>
          <w14:textFill>
            <w14:solidFill>
              <w14:schemeClr w14:val="tx1"/>
            </w14:solidFill>
          </w14:textFill>
        </w:rPr>
        <w:t>（</w:t>
      </w:r>
      <w:r>
        <w:rPr>
          <w:rFonts w:hint="eastAsia" w:asciiTheme="minorEastAsia" w:hAnsiTheme="minorEastAsia" w:cstheme="minorEastAsia"/>
          <w:b/>
          <w:bCs/>
          <w:color w:val="000000" w:themeColor="text1"/>
          <w:sz w:val="28"/>
          <w:szCs w:val="28"/>
          <w:highlight w:val="none"/>
          <w:lang w:val="en-US" w:eastAsia="zh-CN"/>
          <w14:textFill>
            <w14:solidFill>
              <w14:schemeClr w14:val="tx1"/>
            </w14:solidFill>
          </w14:textFill>
        </w:rPr>
        <w:t>四</w:t>
      </w:r>
      <w:r>
        <w:rPr>
          <w:rFonts w:hint="eastAsia" w:asciiTheme="minorEastAsia" w:hAnsiTheme="minorEastAsia" w:cstheme="minorEastAsia"/>
          <w:b/>
          <w:bCs/>
          <w:color w:val="000000" w:themeColor="text1"/>
          <w:sz w:val="28"/>
          <w:szCs w:val="28"/>
          <w:highlight w:val="none"/>
          <w14:textFill>
            <w14:solidFill>
              <w14:schemeClr w14:val="tx1"/>
            </w14:solidFill>
          </w14:textFill>
        </w:rPr>
        <w:t>）三气培养箱</w:t>
      </w:r>
    </w:p>
    <w:p w14:paraId="1E5D79B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1、容量：170升</w:t>
      </w:r>
    </w:p>
    <w:p w14:paraId="5B56B80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2、控温范围：环境温度以上4 ºC-50 ºC </w:t>
      </w:r>
    </w:p>
    <w:p w14:paraId="2F8D696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3、温度调节：± 0.1 ºC</w:t>
      </w:r>
    </w:p>
    <w:p w14:paraId="5D6DD65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4、温度稳定性，@37 ºC，± 0.1 ºC</w:t>
      </w:r>
    </w:p>
    <w:p w14:paraId="23A9681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5、CO2浓度范围：0.1 – 20%</w:t>
      </w:r>
    </w:p>
    <w:p w14:paraId="3FECB17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6、CO2浓度调节：± 0.1%</w:t>
      </w:r>
    </w:p>
    <w:p w14:paraId="7816FA1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7、标配双通道红外（IR）CO2感应器，自动校准功能，保证精确度</w:t>
      </w:r>
    </w:p>
    <w:p w14:paraId="7C59C9F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8、开门后CO2%恢复时间：5分钟 </w:t>
      </w:r>
    </w:p>
    <w:p w14:paraId="0CC0D0AA">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9、标配高温消毒功能，180 ºC高温消毒。CO2感应器无需从箱内取出</w:t>
      </w:r>
    </w:p>
    <w:p w14:paraId="722D595E">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10、六面直接加热方式，无气套或水套结构，最大化利用箱内空间 </w:t>
      </w:r>
    </w:p>
    <w:p w14:paraId="0702C03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11、无风扇结构，无需风扇辅助，气体通过缓和对流运动保持温度和气体浓度均一，降低样品的挥发与污染的风险。</w:t>
      </w:r>
    </w:p>
    <w:p w14:paraId="070E147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12、箱体由一整块不锈钢板热压而成，无焊接、焊缝，圆角设计无死角</w:t>
      </w:r>
    </w:p>
    <w:p w14:paraId="5FFAD71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13、控制面板： 触摸控制面板，智能管理系统，可实时详细显示控制参数及趋势图，并具备数据记录及事件筛选下载功能：</w:t>
      </w:r>
    </w:p>
    <w:p w14:paraId="4175372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13.1数据记录：详细记录温度、报警、开门及CO2和O2浓度等关键数据，并生成趋势图，便于实验出现问题后快速追溯原因</w:t>
      </w:r>
    </w:p>
    <w:p w14:paraId="3CDB797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13.2直观的控制面板，可快速更改控制与报警参数设定</w:t>
      </w:r>
    </w:p>
    <w:p w14:paraId="573A691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13.3操作任务模板设定，可根据实际操作需要设定培养工作流程及时间，培养箱可提醒使用者任务执行情况。模板可保存，无需反复设定。</w:t>
      </w:r>
    </w:p>
    <w:p w14:paraId="1CCD5F3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13.4用户权限分级，可设定管理员/受限使用人员的管理权限，相应用户名及密码登录保护，防止未授权更改参数及报警设置</w:t>
      </w:r>
    </w:p>
    <w:p w14:paraId="060125E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14、氧气浓度控制，1%—20% O2%；</w:t>
      </w:r>
    </w:p>
    <w:p w14:paraId="74DFE66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配置：主机1台  单内门， 右置门把手， 氧气浓度控制</w:t>
      </w:r>
    </w:p>
    <w:p w14:paraId="42C2C5F0">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p>
    <w:p w14:paraId="451F8FCC">
      <w:pPr>
        <w:spacing w:line="360" w:lineRule="auto"/>
        <w:ind w:firstLine="562" w:firstLineChars="200"/>
        <w:rPr>
          <w:rFonts w:asciiTheme="minorEastAsia" w:hAnsiTheme="minorEastAsia" w:cstheme="minorEastAsia"/>
          <w:b/>
          <w:bCs/>
          <w:color w:val="000000" w:themeColor="text1"/>
          <w:sz w:val="28"/>
          <w:szCs w:val="28"/>
          <w:highlight w:val="none"/>
          <w14:textFill>
            <w14:solidFill>
              <w14:schemeClr w14:val="tx1"/>
            </w14:solidFill>
          </w14:textFill>
        </w:rPr>
      </w:pPr>
      <w:r>
        <w:rPr>
          <w:rFonts w:hint="eastAsia" w:asciiTheme="minorEastAsia" w:hAnsiTheme="minorEastAsia" w:cstheme="minorEastAsia"/>
          <w:b/>
          <w:bCs/>
          <w:color w:val="000000" w:themeColor="text1"/>
          <w:sz w:val="28"/>
          <w:szCs w:val="28"/>
          <w:highlight w:val="none"/>
          <w14:textFill>
            <w14:solidFill>
              <w14:schemeClr w14:val="tx1"/>
            </w14:solidFill>
          </w14:textFill>
        </w:rPr>
        <w:t>（</w:t>
      </w:r>
      <w:r>
        <w:rPr>
          <w:rFonts w:hint="eastAsia" w:asciiTheme="minorEastAsia" w:hAnsiTheme="minorEastAsia" w:cstheme="minorEastAsia"/>
          <w:b/>
          <w:bCs/>
          <w:color w:val="000000" w:themeColor="text1"/>
          <w:sz w:val="28"/>
          <w:szCs w:val="28"/>
          <w:highlight w:val="none"/>
          <w:lang w:val="en-US" w:eastAsia="zh-CN"/>
          <w14:textFill>
            <w14:solidFill>
              <w14:schemeClr w14:val="tx1"/>
            </w14:solidFill>
          </w14:textFill>
        </w:rPr>
        <w:t>五</w:t>
      </w:r>
      <w:r>
        <w:rPr>
          <w:rFonts w:hint="eastAsia" w:asciiTheme="minorEastAsia" w:hAnsiTheme="minorEastAsia" w:cstheme="minorEastAsia"/>
          <w:b/>
          <w:bCs/>
          <w:color w:val="000000" w:themeColor="text1"/>
          <w:sz w:val="28"/>
          <w:szCs w:val="28"/>
          <w:highlight w:val="none"/>
          <w14:textFill>
            <w14:solidFill>
              <w14:schemeClr w14:val="tx1"/>
            </w14:solidFill>
          </w14:textFill>
        </w:rPr>
        <w:t>）不锈钢气相液氮罐</w:t>
      </w:r>
    </w:p>
    <w:p w14:paraId="4AA76968">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一、气相罐</w:t>
      </w:r>
    </w:p>
    <w:p w14:paraId="29382DE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1.兼容液相和气相两种储存方式。</w:t>
      </w:r>
    </w:p>
    <w:p w14:paraId="703721D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2.容量≥370L，可容纳2ml 冻存管数≥13000支。</w:t>
      </w:r>
    </w:p>
    <w:p w14:paraId="663EB54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3.托盘下液氮容积≥55L。</w:t>
      </w:r>
    </w:p>
    <w:p w14:paraId="732476B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4.托盘底部大容量液氮设计，托盘采用高导热率铝合金材质，气相储存时整个储存区域温差≤10℃，冻存架顶部≤-190℃。</w:t>
      </w:r>
    </w:p>
    <w:p w14:paraId="73E7FEF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5.10寸液晶屏控制器，可支持各角度旋转，所有操作可在屏幕上触控完成，人性化操作，控制器具有记录，趋势曲线，存储及数据输出功能。</w:t>
      </w:r>
    </w:p>
    <w:p w14:paraId="1EFF9BC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6.控制器具有两路独立温度采集功能，能通过温度系数经过校准的铂电阻实时采集液氮罐内总体温度、样本存放位置温度及旁路温度（温度传感器采集误差≤±0.5℃）。</w:t>
      </w:r>
    </w:p>
    <w:p w14:paraId="6566881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7.温度传感器Pt1000，测量范围-200~200℃。</w:t>
      </w:r>
    </w:p>
    <w:p w14:paraId="3ECF61D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8.液位传感器和液氮输送口位于双层真空内，增加储存空间， 同时防止冻存架取放过程中对传感器造成损害。</w:t>
      </w:r>
    </w:p>
    <w:p w14:paraId="637099C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9.控制器具备液位采集和控制功能，能设置和实时采集液氮罐内液位高度，采用电容式液位采集方式（液位传感器采集误差≤±5mm；可选配压差式液位传感器）。</w:t>
      </w:r>
    </w:p>
    <w:p w14:paraId="11E6AE3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10.控制系统具有自动添加液氮功能，双电磁阀控制，分别承担自动灌注、过溢保护功能。</w:t>
      </w:r>
    </w:p>
    <w:p w14:paraId="4C5B081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11.控制器具有热气旁路，在每次液氮加注启动前将液氮罐内和管道内的升温氮气转移到环境中，减少对液氮罐内部温度的影响。</w:t>
      </w:r>
    </w:p>
    <w:p w14:paraId="5CBD0FA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12.控制器具有一键除雾功能，用户查看样品前可通过系统主页除雾按键一键清除液氮罐内氮气，方便寻找样本；且用户可根据实际应用情况自定义设置除雾时间。</w:t>
      </w:r>
    </w:p>
    <w:p w14:paraId="53B25B2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13.控制器具有多种报警功能，当报警触发后，终端设备发出蜂鸣报警声音，且主页显示报警信息，当终端设备绑定平台时，平台会将报警信息通过系统、微信、短信、语音及邮件等多种途径推送给用户。</w:t>
      </w:r>
    </w:p>
    <w:p w14:paraId="7A89548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14.控制器具有数据管理功能，主要记录液氮罐内温度及液位数据，并支持USB导出功能。</w:t>
      </w:r>
    </w:p>
    <w:p w14:paraId="337E2F9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15.控制器具有数据记录功能，主要记录液氮罐工作事件包括充液、报警、除雾等事件，并支持USB导出功能。</w:t>
      </w:r>
    </w:p>
    <w:p w14:paraId="2D3DD9A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16.控制器具有三级及以上权限管理功能，用户可根据使用开启或关闭该功能</w:t>
      </w:r>
    </w:p>
    <w:p w14:paraId="4F01207D">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17.控制器具有休眠功能，系统内可设定休眠时间，有效降低屏幕亮度，从而延长显示器的使用寿命。</w:t>
      </w:r>
    </w:p>
    <w:p w14:paraId="47F22FF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18.控制器采用Wi-Fi通讯或4G方式实现远程监控及报警功能，可通过控制系统主机自由配置Wi-Fi。</w:t>
      </w:r>
    </w:p>
    <w:p w14:paraId="16AA1F28">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19.控制器具有参数设置功能，设置各个采集点的超限值和自动控制临界值。</w:t>
      </w:r>
    </w:p>
    <w:p w14:paraId="0C079FF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20.标配真空进液软管。</w:t>
      </w:r>
    </w:p>
    <w:p w14:paraId="294A15D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21.折叠台阶和稳固的辅助工作台，方便样本取放。</w:t>
      </w:r>
    </w:p>
    <w:p w14:paraId="3A1F32F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22.配置门磁开关和保温盖锁挂孔。</w:t>
      </w:r>
    </w:p>
    <w:p w14:paraId="7005601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23.保修期：整机保修2年，真空层保修5年。</w:t>
      </w:r>
    </w:p>
    <w:p w14:paraId="5884B8D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二、液氮补给罐</w:t>
      </w:r>
    </w:p>
    <w:p w14:paraId="7088F33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1.容积：200L。</w:t>
      </w:r>
    </w:p>
    <w:p w14:paraId="1CCAE54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2.罐体外径：≥656mm。</w:t>
      </w:r>
    </w:p>
    <w:p w14:paraId="52774D8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3.高度：≥1280mm。</w:t>
      </w:r>
    </w:p>
    <w:p w14:paraId="6452B74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4.空重：≥97kg。</w:t>
      </w:r>
    </w:p>
    <w:p w14:paraId="567F2CCE">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5.静态液氮日蒸发率：1%。</w:t>
      </w:r>
    </w:p>
    <w:p w14:paraId="3590E30E">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6.工作压力：&lt;0.1Mpa。</w:t>
      </w:r>
    </w:p>
    <w:p w14:paraId="2EE6B93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7.输液量：≥10 L/Min。</w:t>
      </w:r>
    </w:p>
    <w:p w14:paraId="7075E9E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8.安全阀开启压力：0.099Mpa。</w:t>
      </w:r>
    </w:p>
    <w:p w14:paraId="650238A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9.罐体材质：不锈钢304。</w:t>
      </w:r>
    </w:p>
    <w:p w14:paraId="0FAB48B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10.保温方式：高真空多层绝热。</w:t>
      </w:r>
    </w:p>
    <w:p w14:paraId="589E7FD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11.选配：稳压阀、真空保温软管。</w:t>
      </w:r>
    </w:p>
    <w:p w14:paraId="1A06642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12.保修期：真空层保修五年。</w:t>
      </w:r>
    </w:p>
    <w:p w14:paraId="43EA2A95">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p>
    <w:p w14:paraId="74D01EE6">
      <w:pPr>
        <w:rPr>
          <w:rFonts w:asciiTheme="minorEastAsia" w:hAnsiTheme="minorEastAsia" w:cstheme="minorEastAsia"/>
          <w:b/>
          <w:bCs/>
          <w:color w:val="000000" w:themeColor="text1"/>
          <w:sz w:val="28"/>
          <w:szCs w:val="28"/>
          <w:highlight w:val="none"/>
          <w14:textFill>
            <w14:solidFill>
              <w14:schemeClr w14:val="tx1"/>
            </w14:solidFill>
          </w14:textFill>
        </w:rPr>
      </w:pPr>
      <w:r>
        <w:rPr>
          <w:rFonts w:hint="eastAsia" w:asciiTheme="minorEastAsia" w:hAnsiTheme="minorEastAsia" w:cstheme="minorEastAsia"/>
          <w:b/>
          <w:bCs/>
          <w:color w:val="000000" w:themeColor="text1"/>
          <w:sz w:val="28"/>
          <w:szCs w:val="28"/>
          <w:highlight w:val="none"/>
          <w14:textFill>
            <w14:solidFill>
              <w14:schemeClr w14:val="tx1"/>
            </w14:solidFill>
          </w14:textFill>
        </w:rPr>
        <w:t>（</w:t>
      </w:r>
      <w:r>
        <w:rPr>
          <w:rFonts w:hint="eastAsia" w:asciiTheme="minorEastAsia" w:hAnsiTheme="minorEastAsia" w:cstheme="minorEastAsia"/>
          <w:b/>
          <w:bCs/>
          <w:color w:val="000000" w:themeColor="text1"/>
          <w:sz w:val="28"/>
          <w:szCs w:val="28"/>
          <w:highlight w:val="none"/>
          <w:lang w:val="en-US" w:eastAsia="zh-CN"/>
          <w14:textFill>
            <w14:solidFill>
              <w14:schemeClr w14:val="tx1"/>
            </w14:solidFill>
          </w14:textFill>
        </w:rPr>
        <w:t>六</w:t>
      </w:r>
      <w:r>
        <w:rPr>
          <w:rFonts w:hint="eastAsia" w:asciiTheme="minorEastAsia" w:hAnsiTheme="minorEastAsia" w:cstheme="minorEastAsia"/>
          <w:b/>
          <w:bCs/>
          <w:color w:val="000000" w:themeColor="text1"/>
          <w:sz w:val="28"/>
          <w:szCs w:val="28"/>
          <w:highlight w:val="none"/>
          <w14:textFill>
            <w14:solidFill>
              <w14:schemeClr w14:val="tx1"/>
            </w14:solidFill>
          </w14:textFill>
        </w:rPr>
        <w:t>）大容量冷冻离心机</w:t>
      </w:r>
    </w:p>
    <w:p w14:paraId="33467F3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技术参数和配置：</w:t>
      </w:r>
    </w:p>
    <w:p w14:paraId="0AB0430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1、主机最高转速≥13,500 rpm；最大相对离心力≥20,412×g；最大容量4*750mL（验收按照实际配置的转头为准）；</w:t>
      </w:r>
    </w:p>
    <w:p w14:paraId="28FF425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2、水平转子最大容量3000ml，定角转子最大容量1500 ml，可选配100*2ml定角转子；</w:t>
      </w:r>
    </w:p>
    <w:p w14:paraId="286ABB18">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3、可选配经第三方认证的生物安全转头，能有效地避免气溶胶的外溢；</w:t>
      </w:r>
    </w:p>
    <w:p w14:paraId="28F7578D">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4、多种转头、适配器可供选择，分离样本范围为0.25 ml -3000ml；</w:t>
      </w:r>
    </w:p>
    <w:p w14:paraId="374BBF7A">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5、转子经第三方测试机构 CAMR, Porton Down, UK 或 USARMIID, Ft. Detrick, MD, U.S.A. 认证达到防生物污染要求；</w:t>
      </w:r>
    </w:p>
    <w:p w14:paraId="35DF0C1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6、微机控制，数字显示，触摸式按键操作；</w:t>
      </w:r>
    </w:p>
    <w:p w14:paraId="3CCEF47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7、能重现运行条件程序储存：≥50个；</w:t>
      </w:r>
    </w:p>
    <w:p w14:paraId="3EBFC24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▲8、温度设置范围至少为-10℃至40℃；</w:t>
      </w:r>
    </w:p>
    <w:p w14:paraId="4E7CD1EA">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9、高效的制冷系统，Rapid Temp（快速模式）和ECO（节能模式）方便用户一键操作；</w:t>
      </w:r>
    </w:p>
    <w:p w14:paraId="324C8E38">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10、最高转速时转子温度可保持4°C；</w:t>
      </w:r>
    </w:p>
    <w:p w14:paraId="18BA12C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11、冷凝器：片式冷凝器； </w:t>
      </w:r>
    </w:p>
    <w:p w14:paraId="384F545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12、微处理系统可自动默认上次实验设定的温度、运行曲线等；</w:t>
      </w:r>
    </w:p>
    <w:p w14:paraId="216042CA">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13、环境运行湿度≤75%；</w:t>
      </w:r>
    </w:p>
    <w:p w14:paraId="65E5421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14、自带稳压功能，220-240v内自动稳压；</w:t>
      </w:r>
    </w:p>
    <w:p w14:paraId="5982E58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15、腔盖采用双机电锁门机制，可防止操作员接触正在旋转的转子；</w:t>
      </w:r>
    </w:p>
    <w:p w14:paraId="4EA85FA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▲16、升/降速率选择：至少10个/ 10个；</w:t>
      </w:r>
    </w:p>
    <w:p w14:paraId="482B454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17、智能化控制系统，电源中断自动启动转子驱动装置进行减速；</w:t>
      </w:r>
    </w:p>
    <w:p w14:paraId="5C8E105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18、一键停止功能，方便用户快速取出样本；</w:t>
      </w:r>
    </w:p>
    <w:p w14:paraId="22996CDE">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19、设置锁定功能，有效防止意外或在无意间更改离心机的设置；</w:t>
      </w:r>
    </w:p>
    <w:p w14:paraId="0F43C6A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20、自动打开腔盖功能，离心运行结束后，自动打开腔盖；</w:t>
      </w:r>
    </w:p>
    <w:p w14:paraId="631F8A7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21、数字显示；实时RPM/RCF互换读数显示；</w:t>
      </w:r>
    </w:p>
    <w:p w14:paraId="498872C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22、人性化控制模块，在离心过程中可更改运行参数；</w:t>
      </w:r>
    </w:p>
    <w:p w14:paraId="1110A98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23、时间设定范围：10 秒至 99 小时 59 分钟 59 秒或持续；</w:t>
      </w:r>
    </w:p>
    <w:p w14:paraId="1DA7BD1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24、运行方式：定时运行、保持运行、脉冲运行；</w:t>
      </w:r>
    </w:p>
    <w:p w14:paraId="490C7C7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25、具有无限连续离心功能，当时间设定小于0或大于9小时59分钟的运行时间自动启动无限连续离心功能；</w:t>
      </w:r>
    </w:p>
    <w:p w14:paraId="35D7CAB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26、噪音≤55 dBA；</w:t>
      </w:r>
    </w:p>
    <w:p w14:paraId="22F01BA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27、可选配离心机移动推车，方便离心机移动、零配件存放，离心机可在移动推车上直接使用；</w:t>
      </w:r>
    </w:p>
    <w:p w14:paraId="7A092C6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28、安全功能包括转头不平衡检测和超速、超温保护；</w:t>
      </w:r>
    </w:p>
    <w:p w14:paraId="2EC5281A">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29、配置： </w:t>
      </w:r>
    </w:p>
    <w:p w14:paraId="551573C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29.1、高速台式冷冻离心机1台；</w:t>
      </w:r>
    </w:p>
    <w:p w14:paraId="5C2968C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▲29.2水平转头1个，最高转速≥4,700rpm，最大相对离心力≥4,650 ×g，最大容量≥4×750mL；配置锥底50mL和15mL离心管适配器各2套（2个/套）；酶标板适配器2套（2个/套）；</w:t>
      </w:r>
    </w:p>
    <w:p w14:paraId="3375012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▲29.3 定角转头1个，最高转速≥10,000rpm，最大相对离心力≥11,870 ×g，最大容量≥6×94mL；配置锥底50mL和15mL离心管适配器各2套（2个/套）；</w:t>
      </w:r>
    </w:p>
    <w:p w14:paraId="112C2C88">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▲29.4 定角转头1个，最高转速≥13,500rpm，最大相对离心力≥20,400 ×g，最大容量≥48×2mL；200uL离心管适配器2盒（12个/盒）。</w:t>
      </w:r>
    </w:p>
    <w:p w14:paraId="49B4F398">
      <w:pPr>
        <w:spacing w:line="360" w:lineRule="auto"/>
        <w:ind w:firstLine="562" w:firstLineChars="200"/>
        <w:rPr>
          <w:rFonts w:asciiTheme="minorEastAsia" w:hAnsiTheme="minorEastAsia" w:cstheme="minorEastAsia"/>
          <w:b/>
          <w:bCs/>
          <w:color w:val="000000" w:themeColor="text1"/>
          <w:sz w:val="28"/>
          <w:szCs w:val="28"/>
          <w:highlight w:val="none"/>
          <w14:textFill>
            <w14:solidFill>
              <w14:schemeClr w14:val="tx1"/>
            </w14:solidFill>
          </w14:textFill>
        </w:rPr>
      </w:pPr>
    </w:p>
    <w:p w14:paraId="7835F591">
      <w:pPr>
        <w:spacing w:line="360" w:lineRule="auto"/>
        <w:ind w:firstLine="562" w:firstLineChars="200"/>
        <w:rPr>
          <w:rFonts w:asciiTheme="minorEastAsia" w:hAnsiTheme="minorEastAsia" w:cstheme="minorEastAsia"/>
          <w:b/>
          <w:bCs/>
          <w:color w:val="000000" w:themeColor="text1"/>
          <w:sz w:val="28"/>
          <w:szCs w:val="28"/>
          <w:highlight w:val="none"/>
          <w14:textFill>
            <w14:solidFill>
              <w14:schemeClr w14:val="tx1"/>
            </w14:solidFill>
          </w14:textFill>
        </w:rPr>
      </w:pPr>
      <w:r>
        <w:rPr>
          <w:rFonts w:hint="eastAsia" w:asciiTheme="minorEastAsia" w:hAnsiTheme="minorEastAsia" w:cstheme="minorEastAsia"/>
          <w:b/>
          <w:bCs/>
          <w:color w:val="000000" w:themeColor="text1"/>
          <w:sz w:val="28"/>
          <w:szCs w:val="28"/>
          <w:highlight w:val="none"/>
          <w14:textFill>
            <w14:solidFill>
              <w14:schemeClr w14:val="tx1"/>
            </w14:solidFill>
          </w14:textFill>
        </w:rPr>
        <w:t>（</w:t>
      </w:r>
      <w:r>
        <w:rPr>
          <w:rFonts w:hint="eastAsia" w:asciiTheme="minorEastAsia" w:hAnsiTheme="minorEastAsia" w:cstheme="minorEastAsia"/>
          <w:b/>
          <w:bCs/>
          <w:color w:val="000000" w:themeColor="text1"/>
          <w:sz w:val="28"/>
          <w:szCs w:val="28"/>
          <w:highlight w:val="none"/>
          <w:lang w:val="en-US" w:eastAsia="zh-CN"/>
          <w14:textFill>
            <w14:solidFill>
              <w14:schemeClr w14:val="tx1"/>
            </w14:solidFill>
          </w14:textFill>
        </w:rPr>
        <w:t>七</w:t>
      </w:r>
      <w:r>
        <w:rPr>
          <w:rFonts w:hint="eastAsia" w:asciiTheme="minorEastAsia" w:hAnsiTheme="minorEastAsia" w:cstheme="minorEastAsia"/>
          <w:b/>
          <w:bCs/>
          <w:color w:val="000000" w:themeColor="text1"/>
          <w:sz w:val="28"/>
          <w:szCs w:val="28"/>
          <w:highlight w:val="none"/>
          <w14:textFill>
            <w14:solidFill>
              <w14:schemeClr w14:val="tx1"/>
            </w14:solidFill>
          </w14:textFill>
        </w:rPr>
        <w:t>）酶标仪</w:t>
      </w:r>
    </w:p>
    <w:p w14:paraId="031BC37B">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一、主机</w:t>
      </w:r>
    </w:p>
    <w:p w14:paraId="136D8F96">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1.硬件设计：模块化设计，功能模块任意组合工作；光吸收，荧光和发光模块光源、光路及检测器完全独立。</w:t>
      </w:r>
    </w:p>
    <w:p w14:paraId="5F1AADF3">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★2.分光系统：四光栅光路，激发和发射分别为双光栅，杂光率＜0.0005%</w:t>
      </w:r>
    </w:p>
    <w:p w14:paraId="7B0B73F3">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3.板型：适用板型：1-384孔板，预设常用品牌型号，自动扫描并定义特殊规格板型，微量检测板，Cellchip，比色杯。</w:t>
      </w:r>
    </w:p>
    <w:p w14:paraId="3C329DB2">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4.检测光源：光吸收和荧光使用各自独立高能闪烁氙灯，使用寿命&gt;108次闪烁；</w:t>
      </w:r>
    </w:p>
    <w:p w14:paraId="0660973E">
      <w:pPr>
        <w:spacing w:line="360" w:lineRule="auto"/>
        <w:ind w:firstLine="472"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w:t>
      </w: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5.检测器：光吸收（紫外硅光电二极管）、荧光（扩展波长低暗电流PMT）、发光（低暗电流单光子计数PMT）</w:t>
      </w:r>
    </w:p>
    <w:p w14:paraId="37872344">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6.温控 ：室温以上5℃到42℃；</w:t>
      </w:r>
    </w:p>
    <w:p w14:paraId="5C3749FC">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7.振荡器：线性和轨道振荡，振幅和时间可调；</w:t>
      </w:r>
    </w:p>
    <w:p w14:paraId="4B333C7A">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8.第三方认证：Transcreener® Red FI；Transcreener® Far-red FP；Transcreener® Red  TR-FRET；HTRF®；DLReady</w:t>
      </w:r>
    </w:p>
    <w:p w14:paraId="3C4757F0">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二、光吸收模式</w:t>
      </w:r>
    </w:p>
    <w:p w14:paraId="50632451">
      <w:pPr>
        <w:spacing w:line="360" w:lineRule="auto"/>
        <w:ind w:firstLine="472"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w:t>
      </w: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1.波长范围：200-1000nm</w:t>
      </w:r>
    </w:p>
    <w:p w14:paraId="349C16AD">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2.扫描速度：≤ 7 sec（200-1000 nm，1nm步进）</w:t>
      </w:r>
    </w:p>
    <w:p w14:paraId="2FCBCAB1">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3.波宽：3.5nm</w:t>
      </w:r>
    </w:p>
    <w:p w14:paraId="0026DF10">
      <w:pPr>
        <w:spacing w:line="360" w:lineRule="auto"/>
        <w:ind w:firstLine="472"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w:t>
      </w: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4.波长准确性：±0.3nm</w:t>
      </w:r>
    </w:p>
    <w:p w14:paraId="3F12389E">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5.波长重复性：±0.3nm</w:t>
      </w:r>
    </w:p>
    <w:p w14:paraId="37CBCA48">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6.检测线性范围：0-4 OD</w:t>
      </w:r>
    </w:p>
    <w:p w14:paraId="42FF1F47">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7.检测分辨率：0.0001 OD</w:t>
      </w:r>
    </w:p>
    <w:p w14:paraId="2CF8CDC9">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8.检测准确性：&lt;0.5% (@260 nm)</w:t>
      </w:r>
    </w:p>
    <w:p w14:paraId="7A1FF767">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9.检测重复性：&lt;0.2% (@260 nm)</w:t>
      </w:r>
    </w:p>
    <w:p w14:paraId="46F2F046">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三、荧光模式</w:t>
      </w:r>
    </w:p>
    <w:p w14:paraId="36CF50BA">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1.光源：高能闪烁氙灯；</w:t>
      </w:r>
    </w:p>
    <w:p w14:paraId="4FE81B20">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2.波长选择：四光栅系统，即激发和发射端为双光栅</w:t>
      </w:r>
    </w:p>
    <w:p w14:paraId="1F96DE5F">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3.波长范围：230-900nm， 1nm可调（四光栅）；</w:t>
      </w:r>
    </w:p>
    <w:p w14:paraId="4E67ECC6">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4.波长重复性：〈 1 nm</w:t>
      </w:r>
    </w:p>
    <w:p w14:paraId="18650C5C">
      <w:pPr>
        <w:spacing w:line="360" w:lineRule="auto"/>
        <w:ind w:firstLine="472"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w:t>
      </w: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5.荧光检测限（顶部）：M/M ≤ 0.5 pM (≤ 50 amol/well; 100 μl) 荧光素；</w:t>
      </w:r>
    </w:p>
    <w:p w14:paraId="68173086">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6.荧光检测限（底部）：M/M ≤4 pM (≤  0.8 fmol/well; 200 μl) 荧光素；</w:t>
      </w:r>
    </w:p>
    <w:p w14:paraId="181EFC08">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 xml:space="preserve">7.测量范围：7个数量级   </w:t>
      </w:r>
    </w:p>
    <w:p w14:paraId="1FEE271E">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四、时间分辨荧光检测模式</w:t>
      </w:r>
    </w:p>
    <w:p w14:paraId="12A3AA36">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1.光源：高能闪烁氙灯；</w:t>
      </w:r>
    </w:p>
    <w:p w14:paraId="07C80610">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2.分光系统：四光栅系统，即激发和发射端为双光栅</w:t>
      </w:r>
    </w:p>
    <w:p w14:paraId="4CD4C205">
      <w:pPr>
        <w:spacing w:line="360" w:lineRule="auto"/>
        <w:ind w:firstLine="472"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w:t>
      </w: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3.波长选择范围：Ex: 230 – 900 nm; Em: 280 – 900 nm，1nm可调（四光栅），或按滤光片配置</w:t>
      </w:r>
    </w:p>
    <w:p w14:paraId="363E05CC">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4.检测灵敏度 ：</w:t>
      </w:r>
    </w:p>
    <w:p w14:paraId="30B01478">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5.M/M:≤ 100 fM (≤ 10 amol/well; 100 μl)</w:t>
      </w:r>
    </w:p>
    <w:p w14:paraId="142A3967">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五、发光模式</w:t>
      </w:r>
    </w:p>
    <w:p w14:paraId="65463FB0">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1.波长范围：370-700nm</w:t>
      </w:r>
    </w:p>
    <w:p w14:paraId="41B518FA">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2.检测限（辉光）：≤ 9 pM (≤ 225 amol/well; 25 μl)</w:t>
      </w:r>
    </w:p>
    <w:p w14:paraId="08F80CC1">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3.检测限（闪光）：≤ 218 fM (≤ 12 amol/well; 55 μl)。（8.2，8.3参数使用真实ATP试剂盒检测获得，非使用glowell气态发光物质检测。）</w:t>
      </w:r>
    </w:p>
    <w:p w14:paraId="7DC8AC10">
      <w:pPr>
        <w:spacing w:line="360" w:lineRule="auto"/>
        <w:ind w:firstLine="472"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w:t>
      </w: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4.线性范围： 9个数量级</w:t>
      </w:r>
    </w:p>
    <w:p w14:paraId="0B73CBE6">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六、配置清单</w:t>
      </w:r>
    </w:p>
    <w:p w14:paraId="2CB93181">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1.主机1台</w:t>
      </w:r>
    </w:p>
    <w:p w14:paraId="2636846F">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2.光吸收模块1个</w:t>
      </w:r>
    </w:p>
    <w:p w14:paraId="5BDEB05F">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3.荧光顶读模块1个</w:t>
      </w:r>
    </w:p>
    <w:p w14:paraId="4A0C1CA2">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4.四光栅光路 1套</w:t>
      </w:r>
    </w:p>
    <w:p w14:paraId="6DC7953C">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5.荧光底读模块1个</w:t>
      </w:r>
    </w:p>
    <w:p w14:paraId="5B0DAF8C">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6.TRF检测模块 1个</w:t>
      </w:r>
    </w:p>
    <w:p w14:paraId="6EF3D277">
      <w:pPr>
        <w:spacing w:line="360" w:lineRule="auto"/>
        <w:ind w:firstLine="480" w:firstLineChars="200"/>
        <w:rPr>
          <w:rFonts w:asciiTheme="minorEastAsia" w:hAnsiTheme="minorEastAsia" w:cstheme="minorEastAsia"/>
          <w:color w:val="000000" w:themeColor="text1"/>
          <w:sz w:val="24"/>
          <w:highlight w:val="none"/>
          <w:shd w:val="clear" w:color="auto" w:fill="FFFFFF"/>
          <w14:textFill>
            <w14:solidFill>
              <w14:schemeClr w14:val="tx1"/>
            </w14:solidFill>
          </w14:textFill>
        </w:rPr>
      </w:pPr>
      <w:r>
        <w:rPr>
          <w:rFonts w:hint="eastAsia" w:asciiTheme="minorEastAsia" w:hAnsiTheme="minorEastAsia" w:cstheme="minorEastAsia"/>
          <w:color w:val="000000" w:themeColor="text1"/>
          <w:sz w:val="24"/>
          <w:highlight w:val="none"/>
          <w:shd w:val="clear" w:color="auto" w:fill="FFFFFF"/>
          <w14:textFill>
            <w14:solidFill>
              <w14:schemeClr w14:val="tx1"/>
            </w14:solidFill>
          </w14:textFill>
        </w:rPr>
        <w:t>7.化学发光模块1个</w:t>
      </w:r>
    </w:p>
    <w:p w14:paraId="072BF85C">
      <w:pPr>
        <w:spacing w:line="360" w:lineRule="auto"/>
        <w:ind w:firstLine="562" w:firstLineChars="200"/>
        <w:rPr>
          <w:rFonts w:hint="eastAsia" w:asciiTheme="minorEastAsia" w:hAnsiTheme="minorEastAsia" w:cstheme="minorEastAsia"/>
          <w:b/>
          <w:bCs/>
          <w:color w:val="000000" w:themeColor="text1"/>
          <w:sz w:val="28"/>
          <w:szCs w:val="28"/>
          <w:highlight w:val="none"/>
          <w14:textFill>
            <w14:solidFill>
              <w14:schemeClr w14:val="tx1"/>
            </w14:solidFill>
          </w14:textFill>
        </w:rPr>
      </w:pPr>
    </w:p>
    <w:p w14:paraId="4A6C18DC">
      <w:pPr>
        <w:spacing w:line="360" w:lineRule="auto"/>
        <w:ind w:firstLine="562" w:firstLineChars="200"/>
        <w:rPr>
          <w:rFonts w:asciiTheme="minorEastAsia" w:hAnsiTheme="minorEastAsia" w:cstheme="minorEastAsia"/>
          <w:b/>
          <w:bCs/>
          <w:color w:val="000000" w:themeColor="text1"/>
          <w:sz w:val="28"/>
          <w:szCs w:val="28"/>
          <w:highlight w:val="none"/>
          <w14:textFill>
            <w14:solidFill>
              <w14:schemeClr w14:val="tx1"/>
            </w14:solidFill>
          </w14:textFill>
        </w:rPr>
      </w:pPr>
      <w:bookmarkStart w:id="4" w:name="_GoBack"/>
      <w:bookmarkEnd w:id="4"/>
      <w:r>
        <w:rPr>
          <w:rFonts w:hint="eastAsia" w:asciiTheme="minorEastAsia" w:hAnsiTheme="minorEastAsia" w:cstheme="minorEastAsia"/>
          <w:b/>
          <w:bCs/>
          <w:color w:val="000000" w:themeColor="text1"/>
          <w:sz w:val="28"/>
          <w:szCs w:val="28"/>
          <w:highlight w:val="none"/>
          <w14:textFill>
            <w14:solidFill>
              <w14:schemeClr w14:val="tx1"/>
            </w14:solidFill>
          </w14:textFill>
        </w:rPr>
        <w:t>（</w:t>
      </w:r>
      <w:r>
        <w:rPr>
          <w:rFonts w:hint="eastAsia" w:asciiTheme="minorEastAsia" w:hAnsiTheme="minorEastAsia" w:cstheme="minorEastAsia"/>
          <w:b/>
          <w:bCs/>
          <w:color w:val="000000" w:themeColor="text1"/>
          <w:sz w:val="28"/>
          <w:szCs w:val="28"/>
          <w:highlight w:val="none"/>
          <w:lang w:val="en-US" w:eastAsia="zh-CN"/>
          <w14:textFill>
            <w14:solidFill>
              <w14:schemeClr w14:val="tx1"/>
            </w14:solidFill>
          </w14:textFill>
        </w:rPr>
        <w:t>八</w:t>
      </w:r>
      <w:r>
        <w:rPr>
          <w:rFonts w:hint="eastAsia" w:asciiTheme="minorEastAsia" w:hAnsiTheme="minorEastAsia" w:cstheme="minorEastAsia"/>
          <w:b/>
          <w:bCs/>
          <w:color w:val="000000" w:themeColor="text1"/>
          <w:sz w:val="28"/>
          <w:szCs w:val="28"/>
          <w:highlight w:val="none"/>
          <w14:textFill>
            <w14:solidFill>
              <w14:schemeClr w14:val="tx1"/>
            </w14:solidFill>
          </w14:textFill>
        </w:rPr>
        <w:t>）鱼类低氧工作站</w:t>
      </w:r>
    </w:p>
    <w:p w14:paraId="2ECEFCB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▲1.内部高效空气过滤器系统减少内部空气污染，过滤等级 4 级（ISO 14644-1）；A 级（2004/23/EU）；10 级（FED STD 209E）; 在静止状态下符合或超越 ISO-14644-1 第 3 级的要求 </w:t>
      </w:r>
    </w:p>
    <w:p w14:paraId="3735D7CE">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▲2.主机使用聚乙烯材料制成，结构稳定，易于清洁，抑制细菌滋生，不易产生腐蚀，经久耐用。 </w:t>
      </w:r>
    </w:p>
    <w:p w14:paraId="162B1E9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3.工作站使用触屏控制系统，在屏幕上可显示设定和实时氧气含量，二氧化碳， 温度以及湿度值（设备内部预置氧及二氧化碳传感器，温湿度计并内置保水剂调节湿度）。如超出预设值会变色警示并报警。每分钟记录一次数据集， 每组数据包括：时间、日期、氧气 （设定/实际）、二氧化碳（设定/实际）、湿度、温度。 </w:t>
      </w:r>
    </w:p>
    <w:p w14:paraId="070C266D">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▲4.最长质保期可延长至 4 年（在购买年度服务包情况下）</w:t>
      </w:r>
    </w:p>
    <w:p w14:paraId="1DB8ACA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5. 外部尺寸：1392 x 797 x 1025 毫米（宽 x 深 x 高） </w:t>
      </w:r>
    </w:p>
    <w:p w14:paraId="63350EE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内部尺寸：761 x 580 x 535 毫米（宽 x 深 x 高） </w:t>
      </w:r>
    </w:p>
    <w:p w14:paraId="3F505FD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转换舱内部尺寸：316 x 366 x 299 毫米（宽 x 深 x 高） </w:t>
      </w:r>
    </w:p>
    <w:p w14:paraId="0D9C8D0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工作仓体积高达 210.3L，90mm 培养皿可装载 504 个可实现工作仓体积全利用。中转仓容积 41L，90mm 培养皿可装载 70 个。智能联锁净化功能：提供全净化和快速净化选项，经济用气。并配有透明联锁门。智能联锁（自动将氧气水平设置为主工作站的相同水平如有需要可降为 0.0%） </w:t>
      </w:r>
    </w:p>
    <w:p w14:paraId="3F92B63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6. 设备内置电子化氧传感器每 2 年更换一次。 </w:t>
      </w:r>
    </w:p>
    <w:p w14:paraId="689F817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▲7. 具有氧传感器一键校正功能 </w:t>
      </w:r>
    </w:p>
    <w:p w14:paraId="040F9D3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▲8. 具有三种不同 O2/CO2 浓度调控之一序列程式设计功能 (hypoxic cycling) </w:t>
      </w:r>
    </w:p>
    <w:p w14:paraId="0500A2F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▲9.前面板一键拆装功能（10 秒完成拆卸）便于清洁和更换内部设施。 </w:t>
      </w:r>
    </w:p>
    <w:p w14:paraId="14957A3A">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10. 温度设定范围室温+7℃-45℃，最小增减 0.1℃。 </w:t>
      </w:r>
    </w:p>
    <w:p w14:paraId="375929F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11.工作仓照明可调，开，关，变暗。 </w:t>
      </w:r>
    </w:p>
    <w:p w14:paraId="0A50569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12. 氧气调控（0.1%至 23.0%，以 0.1%为增量， 可另选配 0.0%无氧） • 二氧化碳调控（0.1% 至 30.0%，以 0.1%为增量） </w:t>
      </w:r>
    </w:p>
    <w:p w14:paraId="61E09C5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13. 活性炭吸附剂，可实现免维护并快速吸收工作仓内有机挥发物以及硫化氢等会影响细胞生长有害物质。 </w:t>
      </w:r>
    </w:p>
    <w:p w14:paraId="70A20BD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14.工作仓电源插头 3 个。 </w:t>
      </w:r>
    </w:p>
    <w:p w14:paraId="7118C36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15.Ezeeyin 手套通道，可实现自动袖套气体置换。 </w:t>
      </w:r>
    </w:p>
    <w:p w14:paraId="72E601B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16.一个窄培养架和一个宽培养架。 </w:t>
      </w:r>
    </w:p>
    <w:p w14:paraId="5896EA0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▲17.原厂提供 V.O.C（有机挥发物）检测认证书。 </w:t>
      </w:r>
    </w:p>
    <w:p w14:paraId="0D4C69D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▲18.Remote monitoring 远程监视功能 (standard) </w:t>
      </w:r>
    </w:p>
    <w:p w14:paraId="4AF285EA">
      <w:pPr>
        <w:spacing w:line="360" w:lineRule="auto"/>
        <w:ind w:firstLine="474" w:firstLineChars="200"/>
        <w:jc w:val="left"/>
        <w:rPr>
          <w:rFonts w:asciiTheme="minorEastAsia" w:hAnsiTheme="minorEastAsia" w:cstheme="minorEastAsia"/>
          <w:b/>
          <w:color w:val="000000" w:themeColor="text1"/>
          <w:spacing w:val="-2"/>
          <w:sz w:val="24"/>
          <w:highlight w:val="none"/>
          <w14:textFill>
            <w14:solidFill>
              <w14:schemeClr w14:val="tx1"/>
            </w14:solidFill>
          </w14:textFill>
        </w:rPr>
      </w:pPr>
      <w:r>
        <w:rPr>
          <w:rFonts w:hint="eastAsia" w:asciiTheme="minorEastAsia" w:hAnsiTheme="minorEastAsia" w:cstheme="minorEastAsia"/>
          <w:b/>
          <w:color w:val="000000" w:themeColor="text1"/>
          <w:spacing w:val="-2"/>
          <w:sz w:val="24"/>
          <w:highlight w:val="none"/>
          <w14:textFill>
            <w14:solidFill>
              <w14:schemeClr w14:val="tx1"/>
            </w14:solidFill>
          </w14:textFill>
        </w:rPr>
        <w:t>★19、</w:t>
      </w:r>
      <w:r>
        <w:rPr>
          <w:rFonts w:hint="eastAsia" w:asciiTheme="minorEastAsia" w:hAnsiTheme="minorEastAsia" w:cstheme="minorEastAsia"/>
          <w:b/>
          <w:color w:val="000000" w:themeColor="text1"/>
          <w:sz w:val="24"/>
          <w:highlight w:val="none"/>
          <w:shd w:val="clear" w:color="auto" w:fill="FFFFFF"/>
          <w14:textFill>
            <w14:solidFill>
              <w14:schemeClr w14:val="tx1"/>
            </w14:solidFill>
          </w14:textFill>
        </w:rPr>
        <w:t>为确保产品质量与售后服务保障，须提供由制造厂家或其授权区域代理商针对本项目出具的正式授权书及售后服务承诺书，并加盖公章。</w:t>
      </w:r>
    </w:p>
    <w:p w14:paraId="42F57928">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配置清单：</w:t>
      </w:r>
    </w:p>
    <w:p w14:paraId="7A46A6A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主机 1台</w:t>
      </w:r>
    </w:p>
    <w:p w14:paraId="28481B4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电源线 1根</w:t>
      </w:r>
    </w:p>
    <w:p w14:paraId="452966D8">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氮气气管（3m） 1根</w:t>
      </w:r>
    </w:p>
    <w:p w14:paraId="239E8D9A">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二氧化碳气管（3m）1根</w:t>
      </w:r>
    </w:p>
    <w:p w14:paraId="2F01239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空气气管（3m）1根</w:t>
      </w:r>
    </w:p>
    <w:p w14:paraId="58A424A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Ezee手套一对</w:t>
      </w:r>
    </w:p>
    <w:p w14:paraId="28F604B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活性炭包 1个</w:t>
      </w:r>
    </w:p>
    <w:p w14:paraId="4583EF0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加湿包 1套</w:t>
      </w:r>
    </w:p>
    <w:p w14:paraId="4331054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清洁套装1套</w:t>
      </w:r>
    </w:p>
    <w:p w14:paraId="3D4FBAC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窄培养架1个</w:t>
      </w:r>
    </w:p>
    <w:p w14:paraId="20E592D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宽培养架1个</w:t>
      </w:r>
    </w:p>
    <w:p w14:paraId="55B1F59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脚踏板1个</w:t>
      </w:r>
    </w:p>
    <w:p w14:paraId="73021B0E">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p>
    <w:p w14:paraId="20190B6B">
      <w:pPr>
        <w:spacing w:line="360" w:lineRule="auto"/>
        <w:ind w:firstLine="562" w:firstLineChars="200"/>
        <w:rPr>
          <w:rFonts w:asciiTheme="minorEastAsia" w:hAnsiTheme="minorEastAsia" w:cstheme="minorEastAsia"/>
          <w:b/>
          <w:bCs/>
          <w:color w:val="000000" w:themeColor="text1"/>
          <w:sz w:val="28"/>
          <w:szCs w:val="28"/>
          <w:highlight w:val="none"/>
          <w14:textFill>
            <w14:solidFill>
              <w14:schemeClr w14:val="tx1"/>
            </w14:solidFill>
          </w14:textFill>
        </w:rPr>
      </w:pPr>
      <w:r>
        <w:rPr>
          <w:rFonts w:hint="eastAsia" w:asciiTheme="minorEastAsia" w:hAnsiTheme="minorEastAsia" w:cstheme="minorEastAsia"/>
          <w:b/>
          <w:bCs/>
          <w:color w:val="000000" w:themeColor="text1"/>
          <w:sz w:val="28"/>
          <w:szCs w:val="28"/>
          <w:highlight w:val="none"/>
          <w14:textFill>
            <w14:solidFill>
              <w14:schemeClr w14:val="tx1"/>
            </w14:solidFill>
          </w14:textFill>
        </w:rPr>
        <w:t>（</w:t>
      </w:r>
      <w:r>
        <w:rPr>
          <w:rFonts w:hint="eastAsia" w:asciiTheme="minorEastAsia" w:hAnsiTheme="minorEastAsia" w:cstheme="minorEastAsia"/>
          <w:b/>
          <w:bCs/>
          <w:color w:val="000000" w:themeColor="text1"/>
          <w:sz w:val="28"/>
          <w:szCs w:val="28"/>
          <w:highlight w:val="none"/>
          <w:lang w:val="en-US" w:eastAsia="zh-CN"/>
          <w14:textFill>
            <w14:solidFill>
              <w14:schemeClr w14:val="tx1"/>
            </w14:solidFill>
          </w14:textFill>
        </w:rPr>
        <w:t>九</w:t>
      </w:r>
      <w:r>
        <w:rPr>
          <w:rFonts w:hint="eastAsia" w:asciiTheme="minorEastAsia" w:hAnsiTheme="minorEastAsia" w:cstheme="minorEastAsia"/>
          <w:b/>
          <w:bCs/>
          <w:color w:val="000000" w:themeColor="text1"/>
          <w:sz w:val="28"/>
          <w:szCs w:val="28"/>
          <w:highlight w:val="none"/>
          <w14:textFill>
            <w14:solidFill>
              <w14:schemeClr w14:val="tx1"/>
            </w14:solidFill>
          </w14:textFill>
        </w:rPr>
        <w:t>）杜马斯定氮仪</w:t>
      </w:r>
    </w:p>
    <w:p w14:paraId="7E98118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主要技术参数</w:t>
      </w:r>
    </w:p>
    <w:p w14:paraId="669BD4E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▲1、载气类型：氦气和氩气，一台机器具有双载气系统</w:t>
      </w:r>
    </w:p>
    <w:p w14:paraId="4B6D754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2、检测器：TCD检测器，可自动校准，无需参比气</w:t>
      </w:r>
    </w:p>
    <w:p w14:paraId="6799BFFD">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▲3、脱水：在还原反应前进行第一步脱水（附彩页流程图作为证明材料），通过物理冷凝方式去除99%以上的水分，无需耗材；第二步脱水是通过无水高氯酸镁进行吸附</w:t>
      </w:r>
    </w:p>
    <w:p w14:paraId="707AC0CE">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 样本重量： ≤1g</w:t>
      </w:r>
    </w:p>
    <w:p w14:paraId="6A2FEA1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5、还原：采用高效铜粉作为还原剂</w:t>
      </w:r>
    </w:p>
    <w:p w14:paraId="3024AEB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▲6、CO2 吸附：具有并行两个吸附管路，交替使用，可自动再生</w:t>
      </w:r>
    </w:p>
    <w:p w14:paraId="2460500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7、自动进样器位数：30—117位自动进样器</w:t>
      </w:r>
    </w:p>
    <w:p w14:paraId="4ED1157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8、自动进样类型：气动</w:t>
      </w:r>
    </w:p>
    <w:p w14:paraId="3308F71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9、分析时间：3～5min/样本</w:t>
      </w:r>
    </w:p>
    <w:p w14:paraId="00C8336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10、重现性（RSD）：＜0.5%(EDTA标准品）</w:t>
      </w:r>
    </w:p>
    <w:p w14:paraId="6C495BE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11、回收率：＞99.5%</w:t>
      </w:r>
    </w:p>
    <w:p w14:paraId="2CCEF02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▲12、检测下限：≤0.001mgN （氦气） ，≤0.01mgN（氩气）</w:t>
      </w:r>
    </w:p>
    <w:p w14:paraId="0DDAD3B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13、燃烧管类型：石英和金属两种材质，金属燃烧管可重复使用</w:t>
      </w:r>
    </w:p>
    <w:p w14:paraId="6D0E1E38">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▲14、 标配灰分接收管类型：石英，陶瓷和金属三种材质，金属燃烧管可重复使用（附官网截屏图作为证明材料）</w:t>
      </w:r>
    </w:p>
    <w:p w14:paraId="27F1BE1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15、检漏方式：自动整体检漏和局部检漏</w:t>
      </w:r>
    </w:p>
    <w:p w14:paraId="04CD3BE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16、进样器运行方式：气动，压缩空气或氮气提供载样盘动力</w:t>
      </w:r>
    </w:p>
    <w:p w14:paraId="1683FD1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17、端口：同时具备RS232和USB数据接口</w:t>
      </w:r>
    </w:p>
    <w:p w14:paraId="77993198">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18、外接设备：可连接分析天平，减少称量时间、避免样品量输入错误</w:t>
      </w:r>
    </w:p>
    <w:p w14:paraId="7607BBB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19、运行模式：具有工作，待机模式和休眠模式</w:t>
      </w:r>
    </w:p>
    <w:p w14:paraId="1875597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▲20、设备管理平台：可通过WIFI或网线将设备与pc或手机连接，可实时远程监控和管理设备，随时了解仪器运行状态，可通过该平台接收提醒和报警通知，也可远程停止仪器运行。</w:t>
      </w:r>
    </w:p>
    <w:p w14:paraId="122B1F7E">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配置：</w:t>
      </w:r>
    </w:p>
    <w:p w14:paraId="58EF8BF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1.主机：1 </w:t>
      </w:r>
    </w:p>
    <w:p w14:paraId="2921FE7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2.启动套件（提供了所有必要的配件和耗材，可进行1000 *次分析（包括催化剂，铜，石英棉，试剂和密封件）。):1 </w:t>
      </w:r>
    </w:p>
    <w:p w14:paraId="57C3364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3.自动进样盘：1 </w:t>
      </w:r>
    </w:p>
    <w:p w14:paraId="5460F7F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4.DUMASoftTM软件：1 </w:t>
      </w:r>
    </w:p>
    <w:p w14:paraId="60C8275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5.USB电缆，PC，5m：1 </w:t>
      </w:r>
    </w:p>
    <w:p w14:paraId="444E43B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6.RS232天平数据线：1 </w:t>
      </w:r>
    </w:p>
    <w:p w14:paraId="35F9546A">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7.VELP Ermes 1 年使用权限：1 </w:t>
      </w:r>
    </w:p>
    <w:p w14:paraId="7D5D760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8.金属灰分接收管清理工具：1 </w:t>
      </w:r>
    </w:p>
    <w:p w14:paraId="2AA93EE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9.2000次耗材包：1</w:t>
      </w:r>
    </w:p>
    <w:p w14:paraId="61CE720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p>
    <w:p w14:paraId="6B1A2CB5">
      <w:pPr>
        <w:spacing w:line="360" w:lineRule="auto"/>
        <w:ind w:firstLine="562" w:firstLineChars="200"/>
        <w:rPr>
          <w:rFonts w:asciiTheme="minorEastAsia" w:hAnsiTheme="minorEastAsia" w:cstheme="minorEastAsia"/>
          <w:b/>
          <w:bCs/>
          <w:color w:val="000000" w:themeColor="text1"/>
          <w:sz w:val="28"/>
          <w:szCs w:val="28"/>
          <w:highlight w:val="none"/>
          <w14:textFill>
            <w14:solidFill>
              <w14:schemeClr w14:val="tx1"/>
            </w14:solidFill>
          </w14:textFill>
        </w:rPr>
      </w:pPr>
      <w:r>
        <w:rPr>
          <w:rFonts w:hint="eastAsia" w:asciiTheme="minorEastAsia" w:hAnsiTheme="minorEastAsia" w:cstheme="minorEastAsia"/>
          <w:b/>
          <w:bCs/>
          <w:color w:val="000000" w:themeColor="text1"/>
          <w:sz w:val="28"/>
          <w:szCs w:val="28"/>
          <w:highlight w:val="none"/>
          <w14:textFill>
            <w14:solidFill>
              <w14:schemeClr w14:val="tx1"/>
            </w14:solidFill>
          </w14:textFill>
        </w:rPr>
        <w:t>（十）质构仪</w:t>
      </w:r>
    </w:p>
    <w:p w14:paraId="1067FC91">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 (一)硬件</w:t>
      </w:r>
    </w:p>
    <w:p w14:paraId="32ACC97A">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▲1.力量测试范围及精度：0–50 kg，力量感应元具国家计量院校准证书，力量示值误差≦±0.3%，测量不确定度≦0.3%（K=2），须检附感应元之校准证书复印件及对应之实测检测数据，以确保测试数据之溯源性与法律效力。</w:t>
      </w:r>
    </w:p>
    <w:p w14:paraId="5A8CA978">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▲2.力值校正与计量合规性：符合 ISO 17025 及 ASTM E4-24 国际标准，支持使用第三方标准砝码进行多点线性校正与检量线查核；软件须内建引导式校正程序，实时显示校正曲线与偏差结果，相关校正参数与当前硬件状态须自动记录于原始数据档案之 Misc. Info List 中，确保每一笔测试数据皆可回溯至对应之校正日志；投标时须提供软件校正接口及数据溯源列表（Info List）截图证明。</w:t>
      </w:r>
    </w:p>
    <w:p w14:paraId="5CA2A81C">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3.力量感应元弯曲度补偿机制：厚度≦1mm之薄型样品，具有挠曲（弯曲）补偿机制，可降低测试过程因结构变形造成的位移误差。并可根据测试需求选择单点或多点补偿。</w:t>
      </w:r>
    </w:p>
    <w:p w14:paraId="77E4E3A5">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4.两种仪器运行方向：1) 支持垂直上下，如压缩、拉伸、穿刺、剪切及弯曲等力学测试，并可结合气压系统进行延展与破裂测试；2)仪器支持90°横放，主机位移轴承结构为水平，探头可直接连接力量感应元不依靠滑轮装置，进行摩擦测试，用于包材、饮品及乳液等样品之表面摩擦特性评估；</w:t>
      </w:r>
    </w:p>
    <w:p w14:paraId="48079C37">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▲5.测试速度与动态控制：速度范围 0.01～40 mm/sec，分辨率 0.01 mm/sec；并支持在同一个测试程序中进行定速与多段变速切换，投标时须检附含多段速度变化之测试曲线截图。</w:t>
      </w:r>
    </w:p>
    <w:p w14:paraId="3E12058D">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6.探头过载保护功能：系统可自动识别探头型号，并自动带入对应测试面积与过载保护参数，当负载超过设定安全范围时，可自动停止运行，避免人为输入错误以保护设备及探头超载风险。</w:t>
      </w:r>
    </w:p>
    <w:p w14:paraId="42D8C045">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7.仪器支持三种操作模式：1) 主机触控屏独立操作 2) 电脑软件控制 3)手机或平板远程控制，且三种模式均可执行测试，并实时查看数据。</w:t>
      </w:r>
    </w:p>
    <w:p w14:paraId="58438B02">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(二)软件</w:t>
      </w:r>
    </w:p>
    <w:p w14:paraId="11D8CA1E">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▲1.PID闭环控制功能：通过比例－积分－微分可在压缩或拉伸过程中，根据样本实时变形自动调整出力，以实现恒定应力或恒定应变测试。</w:t>
      </w:r>
    </w:p>
    <w:p w14:paraId="6A71260B">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数据智能判定与分级系统：系统基于预设允收标准及统计分析模型（如正态分布模型、百分比或阈值区间）对测试数据进行自动处理与判定。同时具备GO/NO-GO二元合格判定功能及多等级质量分级功能（如数字或文字等级），并可依据设定规则自动输出判定结果及等级标识。且支持将测试数据及判定结果生成质量控制图（Control Chart）及标准评估曲线，以用于质量过程控制、产品研发分析及验收判定依据。</w:t>
      </w:r>
    </w:p>
    <w:p w14:paraId="694E0512">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▲3.弹性编辑程序功能：具备开放式程序指令编辑平台，支持同一测试过程中之变温与变速控制、多段应力/应变闭环循环控制，以及TDT（Two Deformation Test）双阶段不同形变程序设定。且须具备根据样本力值回馈实时切换运动路径之逻辑功能。投标时应检附指令编辑操作界面截图，并提供至少包含力值、位移、时间及应变等多信道同步之测试曲线图，以验证系统功能符合性。</w:t>
      </w:r>
    </w:p>
    <w:p w14:paraId="6FE73D8D">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▲4.创建平均图功能：可对多组重复测试数据进行统计处理，并生成平均曲线图，用于提升批量样品之趋势分析能力。投标时应提供相关软件功能操作界面截图，以资证明功能符合性。</w:t>
      </w:r>
    </w:p>
    <w:p w14:paraId="1CEAD6CF">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5.实时电压监控：无需拆卸机台即可于软件界面实时查看仪器电压数值与稳定状态，便于设备监控与异常判断，投标时应检附软件界面显示证明资料，以供功能验证及验收依据。</w:t>
      </w:r>
    </w:p>
    <w:p w14:paraId="40F2AB79">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6.实验方案与报告系统：内建国际标准方法（如 AACC, AOAC, ASTM, ISO）与学术参考文献数据库，支持测试参数(扫码枪)一键调用；专用软件系统须整合示范教学影片，并具备自动化分析宏（Macro），可实时产出包含多维度测试曲线、统计数据及自定义格式之实验报告。</w:t>
      </w:r>
      <w:r>
        <w:rPr>
          <w:rFonts w:hint="eastAsia" w:asciiTheme="minorEastAsia" w:hAnsiTheme="minorEastAsia" w:cstheme="minorEastAsia"/>
          <w:color w:val="000000" w:themeColor="text1"/>
          <w:spacing w:val="-2"/>
          <w:sz w:val="24"/>
          <w:highlight w:val="none"/>
          <w14:textFill>
            <w14:solidFill>
              <w14:schemeClr w14:val="tx1"/>
            </w14:solidFill>
          </w14:textFill>
        </w:rPr>
        <w:tab/>
      </w:r>
    </w:p>
    <w:p w14:paraId="5375235F">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7.测试数据溯源功能：可自动建立完整测试日志，必须记录每笔测试数据对应探头规格、批次名称、测试时间、测试参数、操作人员及档案存储路径，以确保数据完整性及可追溯性。且相关记录应具备可查询、可追踪功能，以满足质量管理需求。</w:t>
      </w:r>
    </w:p>
    <w:p w14:paraId="6DFF9BC8">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二、仪器配置要求</w:t>
      </w:r>
    </w:p>
    <w:p w14:paraId="368D82AC">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1.物性测试仪主机</w:t>
      </w:r>
    </w:p>
    <w:p w14:paraId="4B1C7C92">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2.专用软件，满足Win10以上操作系统一套；</w:t>
      </w:r>
    </w:p>
    <w:p w14:paraId="1E5AE0F0">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3.力量感应元：30Kg</w:t>
      </w:r>
    </w:p>
    <w:p w14:paraId="1253BF33">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4.高强度测试平台一套</w:t>
      </w:r>
    </w:p>
    <w:p w14:paraId="3133BD49">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asciiTheme="minorEastAsia" w:hAnsiTheme="minorEastAsia" w:cstheme="minorEastAsia"/>
          <w:color w:val="000000" w:themeColor="text1"/>
          <w:spacing w:val="-2"/>
          <w:sz w:val="24"/>
          <w:highlight w:val="none"/>
          <w14:textFill>
            <w14:solidFill>
              <w14:schemeClr w14:val="tx1"/>
            </w14:solidFill>
          </w14:textFill>
        </w:rPr>
        <w:t>5</w:t>
      </w:r>
      <w:r>
        <w:rPr>
          <w:rFonts w:hint="eastAsia" w:asciiTheme="minorEastAsia" w:hAnsiTheme="minorEastAsia" w:cstheme="minorEastAsia"/>
          <w:color w:val="000000" w:themeColor="text1"/>
          <w:spacing w:val="-2"/>
          <w:sz w:val="24"/>
          <w:highlight w:val="none"/>
          <w14:textFill>
            <w14:solidFill>
              <w14:schemeClr w14:val="tx1"/>
            </w14:solidFill>
          </w14:textFill>
        </w:rPr>
        <w:t>.用于各种样品穿</w:t>
      </w:r>
      <w:r>
        <w:rPr>
          <w:rFonts w:hint="eastAsia" w:eastAsia="Batang" w:asciiTheme="minorEastAsia" w:hAnsiTheme="minorEastAsia" w:cstheme="minorEastAsia"/>
          <w:color w:val="000000" w:themeColor="text1"/>
          <w:spacing w:val="-2"/>
          <w:sz w:val="24"/>
          <w:highlight w:val="none"/>
          <w14:textFill>
            <w14:solidFill>
              <w14:schemeClr w14:val="tx1"/>
            </w14:solidFill>
          </w14:textFill>
        </w:rPr>
        <w:t>刺</w:t>
      </w:r>
      <w:r>
        <w:rPr>
          <w:rFonts w:hint="eastAsia" w:eastAsia="宋体" w:asciiTheme="minorEastAsia" w:hAnsiTheme="minorEastAsia" w:cstheme="minorEastAsia"/>
          <w:color w:val="000000" w:themeColor="text1"/>
          <w:spacing w:val="-2"/>
          <w:sz w:val="24"/>
          <w:highlight w:val="none"/>
          <w14:textFill>
            <w14:solidFill>
              <w14:schemeClr w14:val="tx1"/>
            </w14:solidFill>
          </w14:textFill>
        </w:rPr>
        <w:t>实验。测试内外不同层次质地的直径</w:t>
      </w:r>
      <w:r>
        <w:rPr>
          <w:rFonts w:asciiTheme="minorEastAsia" w:hAnsiTheme="minorEastAsia" w:cstheme="minorEastAsia"/>
          <w:color w:val="000000" w:themeColor="text1"/>
          <w:spacing w:val="-2"/>
          <w:sz w:val="24"/>
          <w:highlight w:val="none"/>
          <w14:textFill>
            <w14:solidFill>
              <w14:schemeClr w14:val="tx1"/>
            </w14:solidFill>
          </w14:textFill>
        </w:rPr>
        <w:t>2mm</w:t>
      </w:r>
      <w:r>
        <w:rPr>
          <w:rFonts w:hint="eastAsia" w:asciiTheme="minorEastAsia" w:hAnsiTheme="minorEastAsia" w:cstheme="minorEastAsia"/>
          <w:color w:val="000000" w:themeColor="text1"/>
          <w:spacing w:val="-2"/>
          <w:sz w:val="24"/>
          <w:highlight w:val="none"/>
          <w14:textFill>
            <w14:solidFill>
              <w14:schemeClr w14:val="tx1"/>
            </w14:solidFill>
          </w14:textFill>
        </w:rPr>
        <w:t>柱型探头一套。</w:t>
      </w:r>
    </w:p>
    <w:p w14:paraId="2599747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asciiTheme="minorEastAsia" w:hAnsiTheme="minorEastAsia" w:cstheme="minorEastAsia"/>
          <w:color w:val="000000" w:themeColor="text1"/>
          <w:spacing w:val="-2"/>
          <w:sz w:val="24"/>
          <w:highlight w:val="none"/>
          <w14:textFill>
            <w14:solidFill>
              <w14:schemeClr w14:val="tx1"/>
            </w14:solidFill>
          </w14:textFill>
        </w:rPr>
        <w:t>6</w:t>
      </w:r>
      <w:r>
        <w:rPr>
          <w:rFonts w:hint="eastAsia" w:asciiTheme="minorEastAsia" w:hAnsiTheme="minorEastAsia" w:cstheme="minorEastAsia"/>
          <w:color w:val="000000" w:themeColor="text1"/>
          <w:spacing w:val="-2"/>
          <w:sz w:val="24"/>
          <w:highlight w:val="none"/>
          <w14:textFill>
            <w14:solidFill>
              <w14:schemeClr w14:val="tx1"/>
            </w14:solidFill>
          </w14:textFill>
        </w:rPr>
        <w:t>.用于各种样品穿</w:t>
      </w:r>
      <w:r>
        <w:rPr>
          <w:rFonts w:hint="eastAsia" w:eastAsia="Batang" w:asciiTheme="minorEastAsia" w:hAnsiTheme="minorEastAsia" w:cstheme="minorEastAsia"/>
          <w:color w:val="000000" w:themeColor="text1"/>
          <w:spacing w:val="-2"/>
          <w:sz w:val="24"/>
          <w:highlight w:val="none"/>
          <w14:textFill>
            <w14:solidFill>
              <w14:schemeClr w14:val="tx1"/>
            </w14:solidFill>
          </w14:textFill>
        </w:rPr>
        <w:t>刺</w:t>
      </w:r>
      <w:r>
        <w:rPr>
          <w:rFonts w:hint="eastAsia" w:eastAsia="宋体" w:asciiTheme="minorEastAsia" w:hAnsiTheme="minorEastAsia" w:cstheme="minorEastAsia"/>
          <w:color w:val="000000" w:themeColor="text1"/>
          <w:spacing w:val="-2"/>
          <w:sz w:val="24"/>
          <w:highlight w:val="none"/>
          <w14:textFill>
            <w14:solidFill>
              <w14:schemeClr w14:val="tx1"/>
            </w14:solidFill>
          </w14:textFill>
        </w:rPr>
        <w:t>实验。测试内外不同层次质地的直径</w:t>
      </w:r>
      <w:r>
        <w:rPr>
          <w:rFonts w:asciiTheme="minorEastAsia" w:hAnsiTheme="minorEastAsia" w:cstheme="minorEastAsia"/>
          <w:color w:val="000000" w:themeColor="text1"/>
          <w:spacing w:val="-2"/>
          <w:sz w:val="24"/>
          <w:highlight w:val="none"/>
          <w14:textFill>
            <w14:solidFill>
              <w14:schemeClr w14:val="tx1"/>
            </w14:solidFill>
          </w14:textFill>
        </w:rPr>
        <w:t>5mm</w:t>
      </w:r>
      <w:r>
        <w:rPr>
          <w:rFonts w:hint="eastAsia" w:asciiTheme="minorEastAsia" w:hAnsiTheme="minorEastAsia" w:cstheme="minorEastAsia"/>
          <w:color w:val="000000" w:themeColor="text1"/>
          <w:spacing w:val="-2"/>
          <w:sz w:val="24"/>
          <w:highlight w:val="none"/>
          <w14:textFill>
            <w14:solidFill>
              <w14:schemeClr w14:val="tx1"/>
            </w14:solidFill>
          </w14:textFill>
        </w:rPr>
        <w:t>柱型探头一套。</w:t>
      </w:r>
    </w:p>
    <w:p w14:paraId="5655FDB8">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7.符合ISO/ GMIA标准方法,用于测试凝胶胶强度的直径½英寸聚甲醛柱型探头一套。</w:t>
      </w:r>
    </w:p>
    <w:p w14:paraId="393D97C6">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8.符合国际标准方法AACC，测试面包硬度及弹性等样品的直径36mm周边修圆弧柱型探头一套。</w:t>
      </w:r>
    </w:p>
    <w:p w14:paraId="2B89B8C4">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9.适用于各种整体压缩试验，可进行全质构分析(TPA)的直径75mm柱型探头一套。</w:t>
      </w:r>
    </w:p>
    <w:p w14:paraId="1ECB4903">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10.用于粘性样品初黏力、黏着力等测试的直径1英寸球型探头一套。</w:t>
      </w:r>
    </w:p>
    <w:p w14:paraId="2733CF23">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11.用于膏霜样品涂抹性及稠度等软滑材料质地测试的45°圆锥形探头一套。</w:t>
      </w:r>
    </w:p>
    <w:p w14:paraId="572770B9">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12.用于规则或不规则形状及纤维性的样品小刀具(含 10片刀) 一套。</w:t>
      </w:r>
    </w:p>
    <w:p w14:paraId="595C3B7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13.电脑(含显示器)，符合专用软件，规格为CPU i5、8GB、512GB、Win 10以上。</w:t>
      </w:r>
    </w:p>
    <w:p w14:paraId="2D0E2B8C">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p>
    <w:p w14:paraId="51756604">
      <w:pPr>
        <w:spacing w:line="360" w:lineRule="auto"/>
        <w:ind w:firstLine="562" w:firstLineChars="200"/>
        <w:rPr>
          <w:rFonts w:asciiTheme="minorEastAsia" w:hAnsiTheme="minorEastAsia" w:cstheme="minorEastAsia"/>
          <w:b/>
          <w:bCs/>
          <w:color w:val="000000" w:themeColor="text1"/>
          <w:sz w:val="28"/>
          <w:szCs w:val="28"/>
          <w:highlight w:val="none"/>
          <w14:textFill>
            <w14:solidFill>
              <w14:schemeClr w14:val="tx1"/>
            </w14:solidFill>
          </w14:textFill>
        </w:rPr>
      </w:pPr>
      <w:r>
        <w:rPr>
          <w:rFonts w:hint="eastAsia" w:asciiTheme="minorEastAsia" w:hAnsiTheme="minorEastAsia" w:cstheme="minorEastAsia"/>
          <w:b/>
          <w:bCs/>
          <w:color w:val="000000" w:themeColor="text1"/>
          <w:sz w:val="28"/>
          <w:szCs w:val="28"/>
          <w:highlight w:val="none"/>
          <w14:textFill>
            <w14:solidFill>
              <w14:schemeClr w14:val="tx1"/>
            </w14:solidFill>
          </w14:textFill>
        </w:rPr>
        <w:t>（</w:t>
      </w:r>
      <w:r>
        <w:rPr>
          <w:rFonts w:hint="eastAsia" w:asciiTheme="minorEastAsia" w:hAnsiTheme="minorEastAsia" w:cstheme="minorEastAsia"/>
          <w:b/>
          <w:bCs/>
          <w:color w:val="000000" w:themeColor="text1"/>
          <w:sz w:val="28"/>
          <w:szCs w:val="28"/>
          <w:highlight w:val="none"/>
          <w:lang w:val="en-US" w:eastAsia="zh-CN"/>
          <w14:textFill>
            <w14:solidFill>
              <w14:schemeClr w14:val="tx1"/>
            </w14:solidFill>
          </w14:textFill>
        </w:rPr>
        <w:t>十一</w:t>
      </w:r>
      <w:r>
        <w:rPr>
          <w:rFonts w:hint="eastAsia" w:asciiTheme="minorEastAsia" w:hAnsiTheme="minorEastAsia" w:cstheme="minorEastAsia"/>
          <w:b/>
          <w:bCs/>
          <w:color w:val="000000" w:themeColor="text1"/>
          <w:sz w:val="28"/>
          <w:szCs w:val="28"/>
          <w:highlight w:val="none"/>
          <w14:textFill>
            <w14:solidFill>
              <w14:schemeClr w14:val="tx1"/>
            </w14:solidFill>
          </w14:textFill>
        </w:rPr>
        <w:t>）紫外可见分光光度计</w:t>
      </w:r>
    </w:p>
    <w:p w14:paraId="42ED855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1、光学系统：采用双光束光路结构，有参比池位；高性能、低杂散光、高分辨率的单色器， 具有出众的测量精度、准确性、重现性和稳定性</w:t>
      </w:r>
    </w:p>
    <w:p w14:paraId="3B4881F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▲2、光源：脉冲氙灯光源（无需预热，开机即用，保修3年）</w:t>
      </w:r>
    </w:p>
    <w:p w14:paraId="63EDF98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3、带宽：2nm</w:t>
      </w:r>
    </w:p>
    <w:p w14:paraId="0B57E29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▲4、波长范围：190nm－1100nm  </w:t>
      </w:r>
    </w:p>
    <w:p w14:paraId="7E672A2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5、吸光度线性范围：-3.0～5.0A</w:t>
      </w:r>
    </w:p>
    <w:p w14:paraId="4E85B18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6、光度计重复性：±0.001A</w:t>
      </w:r>
    </w:p>
    <w:p w14:paraId="6CA456BC">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7、波长准确度：±0.5nm</w:t>
      </w:r>
    </w:p>
    <w:p w14:paraId="50DD270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8、波长重复性：＜±0.2nm</w:t>
      </w:r>
    </w:p>
    <w:p w14:paraId="5CF171C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9、光度精确度：±0.002A@0.5A</w:t>
      </w:r>
    </w:p>
    <w:p w14:paraId="65C98D5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10、噪音：≤0.00020A@260和500nm且0A</w:t>
      </w:r>
    </w:p>
    <w:p w14:paraId="64D15C5E">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11、漂移：＜0.0005A/Hr</w:t>
      </w:r>
    </w:p>
    <w:p w14:paraId="561A33A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12、杂散光：〈 1.0%T 198 nm (KCl)、220 nm 时&lt;0.05%T(NaI)、340 nm 时&lt;0.03%T (NaNO2 ) </w:t>
      </w:r>
    </w:p>
    <w:p w14:paraId="777C4BB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13、波长数据分辨率：0.1 nm, 0.2 nm, 0.5 nm, 1 nm, 2nm, 5 nm</w:t>
      </w:r>
    </w:p>
    <w:p w14:paraId="46DEB76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14、基线平直度：±0.002A</w:t>
      </w:r>
    </w:p>
    <w:p w14:paraId="1373BC3D">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15、开机自检：仪器开机后自动检测各个部件的工作状态同时自动校正波长</w:t>
      </w:r>
    </w:p>
    <w:p w14:paraId="256ADE7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16、硬件功能：具有全波段扫描、分波段扫描、多波长扫描、自动扣除空白等功能，即开即用无需预热，且光源只在检测时点亮，节能且延长仪器寿命，主机配置USB接口*模块及WIFI传输模块，无线连接共享 Wi-Fi 打印机、可远程存储或备份数据和方法</w:t>
      </w:r>
    </w:p>
    <w:p w14:paraId="3AB06F6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17、底座：拥有光学铸铝底座，光学稳定性更好，重量更轻，抗震性更好（有测试报告）</w:t>
      </w:r>
    </w:p>
    <w:p w14:paraId="4840EFE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18、显示器：仪器本身带7”高清彩色触摸屏（800×1280像素），可带实验室手套触控，可调节显示器角度，防止眩光</w:t>
      </w:r>
    </w:p>
    <w:p w14:paraId="2AA393D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19、检测器：双硅光电二极管检测器，双检测器配合专利的独特3D双层光学系统，能够极大消除杂散光的干扰，获得更高的灵敏度，且检测器寿命更长</w:t>
      </w:r>
    </w:p>
    <w:p w14:paraId="76E5833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20、方法储存：每个方法带有唯一名称及自动校准信息，且可以直接导入标准曲线，方便用户开发新方法</w:t>
      </w:r>
    </w:p>
    <w:p w14:paraId="1CB4E6D8">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21、软件功能：具有动力学、高级定量方法和峰值标注以及单组分和多组分定量分析等功能，动力学，平行比率，方程式模式等功能</w:t>
      </w:r>
    </w:p>
    <w:p w14:paraId="01D6A95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▲22、打印：可选配内置便签式打印机，同时可通过WIFI连接无线打印机</w:t>
      </w:r>
    </w:p>
    <w:p w14:paraId="6B82714E">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▲23、可开盖检测，不受环境光线影响</w:t>
      </w:r>
    </w:p>
    <w:p w14:paraId="0F2424E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24、控制系统：自带安卓控制系统，在无外接计算机情况下可直接完成测样，中英文双语自由切换操作软件并具备与计算机的WIFI传输功能。</w:t>
      </w:r>
    </w:p>
    <w:p w14:paraId="3CF1D0E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▲25、重量不超过8kg</w:t>
      </w:r>
    </w:p>
    <w:p w14:paraId="7CC0566B">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26、体积：35.5 × 38.5 × 19.5 cm (L × W × H) </w:t>
      </w:r>
    </w:p>
    <w:p w14:paraId="15D960D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配置：</w:t>
      </w:r>
    </w:p>
    <w:p w14:paraId="61B21B5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主机：1台 </w:t>
      </w:r>
    </w:p>
    <w:p w14:paraId="31485FD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10mm光程单池支架：1个 </w:t>
      </w:r>
    </w:p>
    <w:p w14:paraId="32015F5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10mm光程智能八联池：1个 </w:t>
      </w:r>
    </w:p>
    <w:p w14:paraId="199A4E17">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10mm石英比色皿：8个 </w:t>
      </w:r>
    </w:p>
    <w:p w14:paraId="6A344D0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蠕动泵进样系统：1台 </w:t>
      </w:r>
    </w:p>
    <w:p w14:paraId="63A8B8E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电源线：1根</w:t>
      </w:r>
    </w:p>
    <w:p w14:paraId="06FE498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p>
    <w:p w14:paraId="72211F25">
      <w:pPr>
        <w:spacing w:line="360" w:lineRule="auto"/>
        <w:ind w:firstLine="562" w:firstLineChars="200"/>
        <w:rPr>
          <w:rFonts w:asciiTheme="minorEastAsia" w:hAnsiTheme="minorEastAsia" w:cstheme="minorEastAsia"/>
          <w:b/>
          <w:bCs/>
          <w:color w:val="000000" w:themeColor="text1"/>
          <w:sz w:val="28"/>
          <w:szCs w:val="28"/>
          <w:highlight w:val="none"/>
          <w14:textFill>
            <w14:solidFill>
              <w14:schemeClr w14:val="tx1"/>
            </w14:solidFill>
          </w14:textFill>
        </w:rPr>
      </w:pPr>
      <w:r>
        <w:rPr>
          <w:rFonts w:hint="eastAsia" w:asciiTheme="minorEastAsia" w:hAnsiTheme="minorEastAsia" w:cstheme="minorEastAsia"/>
          <w:b/>
          <w:bCs/>
          <w:color w:val="000000" w:themeColor="text1"/>
          <w:sz w:val="28"/>
          <w:szCs w:val="28"/>
          <w:highlight w:val="none"/>
          <w14:textFill>
            <w14:solidFill>
              <w14:schemeClr w14:val="tx1"/>
            </w14:solidFill>
          </w14:textFill>
        </w:rPr>
        <w:t>（十</w:t>
      </w:r>
      <w:r>
        <w:rPr>
          <w:rFonts w:hint="eastAsia" w:asciiTheme="minorEastAsia" w:hAnsiTheme="minorEastAsia" w:cstheme="minorEastAsia"/>
          <w:b/>
          <w:bCs/>
          <w:color w:val="000000" w:themeColor="text1"/>
          <w:sz w:val="28"/>
          <w:szCs w:val="28"/>
          <w:highlight w:val="none"/>
          <w:lang w:val="en-US" w:eastAsia="zh-CN"/>
          <w14:textFill>
            <w14:solidFill>
              <w14:schemeClr w14:val="tx1"/>
            </w14:solidFill>
          </w14:textFill>
        </w:rPr>
        <w:t>二</w:t>
      </w:r>
      <w:r>
        <w:rPr>
          <w:rFonts w:hint="eastAsia" w:asciiTheme="minorEastAsia" w:hAnsiTheme="minorEastAsia" w:cstheme="minorEastAsia"/>
          <w:b/>
          <w:bCs/>
          <w:color w:val="000000" w:themeColor="text1"/>
          <w:sz w:val="28"/>
          <w:szCs w:val="28"/>
          <w:highlight w:val="none"/>
          <w14:textFill>
            <w14:solidFill>
              <w14:schemeClr w14:val="tx1"/>
            </w14:solidFill>
          </w14:textFill>
        </w:rPr>
        <w:t>）振动切片机</w:t>
      </w:r>
    </w:p>
    <w:p w14:paraId="1A7F348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 设计紧凑的控制面板，图形化按钮有效控制所有的操作。</w:t>
      </w:r>
    </w:p>
    <w:p w14:paraId="284020CA">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 带振动刀片的全自动切片机，可在自动切片模式下操作，也可在半自动切片模式下操作。</w:t>
      </w:r>
    </w:p>
    <w:p w14:paraId="51E485BE">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 自动切片模式下带有样品回缩功能；半自动切片模式下无自动样品回缩功能，但可以手动执行回缩。</w:t>
      </w:r>
    </w:p>
    <w:p w14:paraId="2F2B166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 切片厚度设置：手动，以1μm递增；或自动，最厚为999μm；切片厚度可计。</w:t>
      </w:r>
    </w:p>
    <w:p w14:paraId="6C0D7A1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 切片频率（±10%）：1—100Hz</w:t>
      </w:r>
    </w:p>
    <w:p w14:paraId="3F01F4B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6. 切片振幅：5级可调：0.2；0.4；0.6；0.8；1mm</w:t>
      </w:r>
    </w:p>
    <w:p w14:paraId="458B2A7E">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7. 切片速度（±10%）：0.025—2.5mm/s</w:t>
      </w:r>
    </w:p>
    <w:p w14:paraId="5B40C13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8. 返回速度（±10%）：5mm/s</w:t>
      </w:r>
    </w:p>
    <w:p w14:paraId="5E61CA83">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9. 样品垂直总行程：15mm（电动）</w:t>
      </w:r>
    </w:p>
    <w:p w14:paraId="5877A14A">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10. 切片范围：1—40mm（可调）</w:t>
      </w:r>
    </w:p>
    <w:p w14:paraId="2B5CB051">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11. 样品回缩：0-999μm（可调，可关闭）</w:t>
      </w:r>
    </w:p>
    <w:p w14:paraId="2516769F">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12. 在生理条件下工作：可拆卸的冰浴盘和缓冲盘保证工作在生理条件下进行。</w:t>
      </w:r>
    </w:p>
    <w:p w14:paraId="4F769A4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 xml:space="preserve">13. 提供安全的刀片安装：可以使用剃须刀          </w:t>
      </w:r>
    </w:p>
    <w:p w14:paraId="29CAD376">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2.基本配置</w:t>
      </w:r>
    </w:p>
    <w:p w14:paraId="65127965">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1. 振动切片机主机1台</w:t>
      </w:r>
    </w:p>
    <w:p w14:paraId="10CF3B9E">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2.缓冲液盘1个</w:t>
      </w:r>
    </w:p>
    <w:p w14:paraId="25C9E9C2">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3.刀架1个</w:t>
      </w:r>
    </w:p>
    <w:p w14:paraId="3E128088">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4.刀片20张</w:t>
      </w:r>
    </w:p>
    <w:p w14:paraId="676D4640">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5.放大镜1个</w:t>
      </w:r>
    </w:p>
    <w:p w14:paraId="2780CAC4">
      <w:pPr>
        <w:spacing w:line="360" w:lineRule="auto"/>
        <w:ind w:firstLine="472" w:firstLineChars="200"/>
        <w:jc w:val="left"/>
        <w:rPr>
          <w:rFonts w:asciiTheme="minorEastAsia" w:hAnsiTheme="minorEastAsia" w:cstheme="minorEastAsia"/>
          <w:color w:val="000000" w:themeColor="text1"/>
          <w:spacing w:val="-2"/>
          <w:sz w:val="24"/>
          <w:highlight w:val="none"/>
          <w14:textFill>
            <w14:solidFill>
              <w14:schemeClr w14:val="tx1"/>
            </w14:solidFill>
          </w14:textFill>
        </w:rPr>
      </w:pPr>
      <w:r>
        <w:rPr>
          <w:rFonts w:hint="eastAsia" w:asciiTheme="minorEastAsia" w:hAnsiTheme="minorEastAsia" w:cstheme="minorEastAsia"/>
          <w:color w:val="000000" w:themeColor="text1"/>
          <w:spacing w:val="-2"/>
          <w:sz w:val="24"/>
          <w:highlight w:val="none"/>
          <w14:textFill>
            <w14:solidFill>
              <w14:schemeClr w14:val="tx1"/>
            </w14:solidFill>
          </w14:textFill>
        </w:rPr>
        <w:t>6.电源线1根</w:t>
      </w:r>
    </w:p>
    <w:p w14:paraId="03919F77">
      <w:pPr>
        <w:spacing w:line="360" w:lineRule="auto"/>
        <w:ind w:firstLine="472" w:firstLineChars="200"/>
        <w:jc w:val="left"/>
        <w:rPr>
          <w:rFonts w:hint="eastAsia" w:asciiTheme="minorEastAsia" w:hAnsiTheme="minorEastAsia" w:cstheme="minorEastAsia"/>
          <w:color w:val="000000" w:themeColor="text1"/>
          <w:spacing w:val="-2"/>
          <w:sz w:val="24"/>
          <w:highlight w:val="none"/>
          <w14:textFill>
            <w14:solidFill>
              <w14:schemeClr w14:val="tx1"/>
            </w14:solidFill>
          </w14:textFill>
        </w:rPr>
      </w:pPr>
    </w:p>
    <w:p w14:paraId="593168E7">
      <w:pPr>
        <w:pStyle w:val="4"/>
        <w:rPr>
          <w:color w:val="000000" w:themeColor="text1"/>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DF6BEA"/>
    <w:rsid w:val="144808AD"/>
    <w:rsid w:val="1FF30597"/>
    <w:rsid w:val="49DF6BEA"/>
    <w:rsid w:val="65251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1"/>
    <w:basedOn w:val="1"/>
    <w:next w:val="1"/>
    <w:qFormat/>
    <w:uiPriority w:val="1"/>
    <w:pPr>
      <w:spacing w:before="30"/>
      <w:ind w:left="520"/>
      <w:outlineLvl w:val="0"/>
    </w:pPr>
    <w:rPr>
      <w:rFonts w:ascii="宋体" w:hAnsi="宋体" w:eastAsia="宋体" w:cs="宋体"/>
      <w:b/>
      <w:bCs/>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pPr>
  </w:style>
  <w:style w:type="paragraph" w:styleId="3">
    <w:name w:val="Body Text Indent"/>
    <w:basedOn w:val="1"/>
    <w:next w:val="1"/>
    <w:qFormat/>
    <w:uiPriority w:val="0"/>
    <w:pPr>
      <w:ind w:left="420" w:leftChars="200"/>
    </w:pPr>
  </w:style>
  <w:style w:type="paragraph" w:styleId="4">
    <w:name w:val="Body Text"/>
    <w:basedOn w:val="1"/>
    <w:next w:val="5"/>
    <w:qFormat/>
    <w:uiPriority w:val="1"/>
    <w:rPr>
      <w:rFonts w:ascii="宋体" w:hAnsi="宋体" w:eastAsia="宋体" w:cs="宋体"/>
      <w:sz w:val="24"/>
    </w:rPr>
  </w:style>
  <w:style w:type="paragraph" w:customStyle="1" w:styleId="5">
    <w:name w:val="引用1"/>
    <w:basedOn w:val="1"/>
    <w:next w:val="1"/>
    <w:qFormat/>
    <w:uiPriority w:val="99"/>
    <w:rPr>
      <w:rFonts w:ascii="Calibri" w:hAnsi="Calibri" w:cs="Calibri"/>
      <w:i/>
      <w:iCs/>
      <w:color w:val="000000"/>
      <w:sz w:val="22"/>
    </w:rPr>
  </w:style>
  <w:style w:type="paragraph" w:customStyle="1" w:styleId="9">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10734</Words>
  <Characters>12910</Characters>
  <Lines>0</Lines>
  <Paragraphs>0</Paragraphs>
  <TotalTime>0</TotalTime>
  <ScaleCrop>false</ScaleCrop>
  <LinksUpToDate>false</LinksUpToDate>
  <CharactersWithSpaces>13351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2026-05-29T08:20:00Z</dcterms:created>
  <dc:creator>━═☆ジ明日</dc:creator>
  <cp:lastModifiedBy>━═☆ジ明日</cp:lastModifiedBy>
  <dcterms:modified xsi:type="dcterms:W3CDTF">2026-06-09T08:55:01Z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DEDAFBD6810D40C18C42C0A83ACD3664_11</vt:lpwstr>
  </property>
  <property fmtid="{D5CDD505-2E9C-101B-9397-08002B2CF9AE}" pid="4" name="KSOTemplateDocerSaveRecord">
    <vt:lpwstr>eyJoZGlkIjoiY2ZmY2M2NDFjMGQ3NDJkZTMzYWI0NThjZGI0MzUwZmUiLCJ1c2VySWQiOiIxOTA1NTI5MjAifQ==</vt:lpwstr>
  </property>
</Properties>
</file>