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6D63" w:rsidRDefault="00736D63" w:rsidP="00736D63">
      <w:pPr>
        <w:pStyle w:val="1"/>
      </w:pPr>
      <w:r>
        <w:rPr>
          <w:rFonts w:hint="eastAsia"/>
        </w:rPr>
        <w:t>附件</w:t>
      </w:r>
      <w:r w:rsidR="00726167">
        <w:t>2</w:t>
      </w:r>
      <w:bookmarkStart w:id="0" w:name="_GoBack"/>
      <w:bookmarkEnd w:id="0"/>
    </w:p>
    <w:p w:rsidR="00BE2503" w:rsidRDefault="00BE2503" w:rsidP="00BE2503">
      <w:pPr>
        <w:pStyle w:val="1"/>
        <w:jc w:val="center"/>
      </w:pPr>
      <w:r>
        <w:t>中药饮片配送服务季度质量考核表</w:t>
      </w:r>
    </w:p>
    <w:tbl>
      <w:tblPr>
        <w:tblW w:w="11054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6"/>
        <w:gridCol w:w="2981"/>
        <w:gridCol w:w="1321"/>
        <w:gridCol w:w="1537"/>
        <w:gridCol w:w="2835"/>
        <w:gridCol w:w="1134"/>
      </w:tblGrid>
      <w:tr w:rsidR="00BE2503" w:rsidRPr="00BE2503" w:rsidTr="00BE2503">
        <w:trPr>
          <w:trHeight w:val="90"/>
          <w:jc w:val="center"/>
        </w:trPr>
        <w:tc>
          <w:tcPr>
            <w:tcW w:w="124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BE2503" w:rsidRPr="00BE2503" w:rsidRDefault="00BE2503" w:rsidP="00BE2503">
            <w:pPr>
              <w:pStyle w:val="Style13"/>
              <w:jc w:val="center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考核季度</w:t>
            </w:r>
          </w:p>
        </w:tc>
        <w:tc>
          <w:tcPr>
            <w:tcW w:w="298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BE2503" w:rsidRPr="00BE2503" w:rsidRDefault="00BE2503" w:rsidP="00BE2503">
            <w:pPr>
              <w:pStyle w:val="Style13"/>
              <w:jc w:val="center"/>
              <w:rPr>
                <w:rFonts w:ascii="宋体" w:eastAsia="宋体" w:hAnsi="宋体" w:cs="Times New Roman"/>
                <w:color w:val="000000" w:themeColor="text1"/>
              </w:rPr>
            </w:pPr>
            <w:r>
              <w:rPr>
                <w:rFonts w:ascii="宋体" w:eastAsia="宋体" w:hAnsi="宋体" w:cs="Times New Roman" w:hint="eastAsia"/>
                <w:color w:val="000000" w:themeColor="text1"/>
              </w:rPr>
              <w:t>X</w:t>
            </w:r>
            <w:r>
              <w:rPr>
                <w:rFonts w:ascii="宋体" w:eastAsia="宋体" w:hAnsi="宋体" w:cs="Times New Roman"/>
                <w:color w:val="000000" w:themeColor="text1"/>
              </w:rPr>
              <w:t>X</w:t>
            </w:r>
            <w:r w:rsidRPr="00BE2503">
              <w:rPr>
                <w:rFonts w:ascii="宋体" w:eastAsia="宋体" w:hAnsi="宋体" w:cs="Times New Roman"/>
                <w:color w:val="000000" w:themeColor="text1"/>
              </w:rPr>
              <w:t>年 第</w:t>
            </w:r>
            <w:r>
              <w:rPr>
                <w:rFonts w:ascii="宋体" w:eastAsia="宋体" w:hAnsi="宋体" w:cs="Times New Roman"/>
                <w:color w:val="000000" w:themeColor="text1"/>
              </w:rPr>
              <w:t>XX</w:t>
            </w:r>
            <w:r w:rsidRPr="00BE2503">
              <w:rPr>
                <w:rFonts w:ascii="宋体" w:eastAsia="宋体" w:hAnsi="宋体" w:cs="Times New Roman"/>
                <w:color w:val="000000" w:themeColor="text1"/>
              </w:rPr>
              <w:t>季度</w:t>
            </w:r>
          </w:p>
        </w:tc>
        <w:tc>
          <w:tcPr>
            <w:tcW w:w="132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BE2503" w:rsidRPr="00BE2503" w:rsidRDefault="00BE2503" w:rsidP="00BE2503">
            <w:pPr>
              <w:pStyle w:val="Style13"/>
              <w:ind w:firstLineChars="50" w:firstLine="110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考核对象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BE2503" w:rsidRPr="00BE2503" w:rsidRDefault="00BE2503" w:rsidP="00BE2503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（中标供应商名称）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BE2503" w:rsidRPr="00BE2503" w:rsidRDefault="00BE2503" w:rsidP="00BE2503">
            <w:pPr>
              <w:pStyle w:val="Style13"/>
              <w:jc w:val="center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考核时间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BE2503" w:rsidRPr="00BE2503" w:rsidRDefault="00BE2503" w:rsidP="00BE2503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年 月 日</w:t>
            </w:r>
          </w:p>
        </w:tc>
      </w:tr>
      <w:tr w:rsidR="00BE2503" w:rsidRPr="00BE2503" w:rsidTr="00BE2503">
        <w:trPr>
          <w:trHeight w:val="547"/>
          <w:jc w:val="center"/>
        </w:trPr>
        <w:tc>
          <w:tcPr>
            <w:tcW w:w="124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BE2503" w:rsidRPr="00BE2503" w:rsidRDefault="00BE2503" w:rsidP="00BE2503">
            <w:pPr>
              <w:pStyle w:val="Style13"/>
              <w:jc w:val="center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考核项目</w:t>
            </w:r>
          </w:p>
        </w:tc>
        <w:tc>
          <w:tcPr>
            <w:tcW w:w="298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BE2503" w:rsidRPr="00BE2503" w:rsidRDefault="00BE2503" w:rsidP="00BE2503">
            <w:pPr>
              <w:pStyle w:val="Style13"/>
              <w:jc w:val="center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考核内容及标准</w:t>
            </w:r>
          </w:p>
        </w:tc>
        <w:tc>
          <w:tcPr>
            <w:tcW w:w="132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BE2503" w:rsidRPr="00BE2503" w:rsidRDefault="00BE2503" w:rsidP="00BE2503">
            <w:pPr>
              <w:pStyle w:val="Style13"/>
              <w:jc w:val="center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考核方式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BE2503" w:rsidRPr="00BE2503" w:rsidRDefault="00BE2503" w:rsidP="00BE2503">
            <w:pPr>
              <w:pStyle w:val="Style13"/>
              <w:jc w:val="center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分值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BE2503" w:rsidRPr="00BE2503" w:rsidRDefault="00BE2503" w:rsidP="00BE2503">
            <w:pPr>
              <w:pStyle w:val="Style13"/>
              <w:jc w:val="center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扣分规则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BE2503" w:rsidRPr="00BE2503" w:rsidRDefault="00BE2503" w:rsidP="00BE2503">
            <w:pPr>
              <w:pStyle w:val="Style13"/>
              <w:jc w:val="center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实际得分</w:t>
            </w:r>
          </w:p>
        </w:tc>
      </w:tr>
      <w:tr w:rsidR="00BE2503" w:rsidRPr="00BE2503" w:rsidTr="00BE2503">
        <w:trPr>
          <w:trHeight w:val="90"/>
          <w:jc w:val="center"/>
        </w:trPr>
        <w:tc>
          <w:tcPr>
            <w:tcW w:w="124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一、饮片质量（30 分）</w:t>
            </w:r>
          </w:p>
        </w:tc>
        <w:tc>
          <w:tcPr>
            <w:tcW w:w="298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1. 符合《中华人民共和国药典》等国家 / 省级标准，</w:t>
            </w:r>
            <w:r w:rsidRPr="00BE2503">
              <w:rPr>
                <w:rFonts w:ascii="宋体" w:eastAsia="宋体" w:hAnsi="宋体" w:cs="Times New Roman" w:hint="eastAsia"/>
                <w:color w:val="000000" w:themeColor="text1"/>
              </w:rPr>
              <w:t>符合《资阳市精神病医院中药饮片采购需求目录》品质要求，</w:t>
            </w:r>
            <w:r w:rsidRPr="00BE2503">
              <w:rPr>
                <w:rFonts w:ascii="宋体" w:eastAsia="宋体" w:hAnsi="宋体" w:cs="Times New Roman"/>
                <w:color w:val="000000" w:themeColor="text1"/>
              </w:rPr>
              <w:t>无霉变、虫蛀、掺假（10 分）；</w:t>
            </w:r>
          </w:p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2. 重点品种每批次提供检验报告（含重金属、农残、含量测定）（8 分）；</w:t>
            </w:r>
          </w:p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3. 道地药材提供产地证明，符合指定产地要求（6 分）；</w:t>
            </w:r>
          </w:p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4. 毒性饮片单独储存运输，挥发性饮片密封包装（6 分）</w:t>
            </w:r>
          </w:p>
        </w:tc>
        <w:tc>
          <w:tcPr>
            <w:tcW w:w="132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抽样检测、查阅检验报告及产地证明、现场核查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jc w:val="center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30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BE2503">
            <w:pPr>
              <w:pStyle w:val="Style13"/>
              <w:numPr>
                <w:ilvl w:val="0"/>
                <w:numId w:val="1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发现 1 批次不合格饮片扣 10 分；</w:t>
            </w:r>
          </w:p>
          <w:p w:rsidR="00BE2503" w:rsidRPr="00BE2503" w:rsidRDefault="00BE2503" w:rsidP="00BE2503">
            <w:pPr>
              <w:pStyle w:val="Style13"/>
              <w:numPr>
                <w:ilvl w:val="0"/>
                <w:numId w:val="1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重点品种未提供检验报告，每缺 1 批次扣 2 分；</w:t>
            </w:r>
          </w:p>
          <w:p w:rsidR="00BE2503" w:rsidRPr="00BE2503" w:rsidRDefault="00BE2503" w:rsidP="00BE2503">
            <w:pPr>
              <w:pStyle w:val="Style13"/>
              <w:numPr>
                <w:ilvl w:val="0"/>
                <w:numId w:val="1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道地药材无产地证明或不符合要求，每品种扣 3 分；</w:t>
            </w:r>
          </w:p>
          <w:p w:rsidR="00BE2503" w:rsidRPr="00BE2503" w:rsidRDefault="00BE2503" w:rsidP="00BE2503">
            <w:pPr>
              <w:pStyle w:val="Style13"/>
              <w:numPr>
                <w:ilvl w:val="0"/>
                <w:numId w:val="1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毒性 / 挥发性饮片储存运输不达标，每发现 1 次扣 3 分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</w:p>
        </w:tc>
      </w:tr>
      <w:tr w:rsidR="00BE2503" w:rsidRPr="00BE2503" w:rsidTr="00BE2503">
        <w:trPr>
          <w:trHeight w:val="90"/>
          <w:jc w:val="center"/>
        </w:trPr>
        <w:tc>
          <w:tcPr>
            <w:tcW w:w="124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二、配送服务（20 分）</w:t>
            </w:r>
          </w:p>
        </w:tc>
        <w:tc>
          <w:tcPr>
            <w:tcW w:w="298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1. 常规订单 48 小时内送达，应急订单 4 小时内送达（10 分）；</w:t>
            </w:r>
          </w:p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2. 运输条件达标（普通饮片密闭车厢，易变质饮片 2-8℃冷藏，附温度记录）（6 分）；</w:t>
            </w:r>
          </w:p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lastRenderedPageBreak/>
              <w:t>3. 运输过程无破损、污染（4 分）</w:t>
            </w:r>
          </w:p>
        </w:tc>
        <w:tc>
          <w:tcPr>
            <w:tcW w:w="132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lastRenderedPageBreak/>
              <w:t>查阅配送台账、温度记录、现场核查、医院反馈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jc w:val="center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20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BE2503">
            <w:pPr>
              <w:pStyle w:val="Style13"/>
              <w:numPr>
                <w:ilvl w:val="0"/>
                <w:numId w:val="2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常规订单延迟送达，每超 12 小时扣 2 分；应急订单延迟，每超 1 小时扣 2 分，累计不超 10 分；</w:t>
            </w:r>
          </w:p>
          <w:p w:rsidR="00BE2503" w:rsidRPr="00BE2503" w:rsidRDefault="00BE2503" w:rsidP="00BE2503">
            <w:pPr>
              <w:pStyle w:val="Style13"/>
              <w:numPr>
                <w:ilvl w:val="0"/>
                <w:numId w:val="2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运输条件不达标，每发现 1 次扣 3 分；</w:t>
            </w:r>
          </w:p>
          <w:p w:rsidR="00BE2503" w:rsidRPr="00BE2503" w:rsidRDefault="00BE2503" w:rsidP="00BE2503">
            <w:pPr>
              <w:pStyle w:val="Style13"/>
              <w:numPr>
                <w:ilvl w:val="0"/>
                <w:numId w:val="2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货物破损 / 污染，每批次扣 2 分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</w:p>
        </w:tc>
      </w:tr>
      <w:tr w:rsidR="00BE2503" w:rsidRPr="00BE2503" w:rsidTr="00BE2503">
        <w:trPr>
          <w:trHeight w:val="90"/>
          <w:jc w:val="center"/>
        </w:trPr>
        <w:tc>
          <w:tcPr>
            <w:tcW w:w="124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三、代煎服务（10 分）</w:t>
            </w:r>
          </w:p>
        </w:tc>
        <w:tc>
          <w:tcPr>
            <w:tcW w:w="298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1. 符合《医疗机构中药煎药室管理规范》（3 分）；</w:t>
            </w:r>
          </w:p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2. 一次性无菌包装，标注患者信息、用法用量等关键信息（3 分）；</w:t>
            </w:r>
          </w:p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3. 代煎汤剂 2-8℃</w:t>
            </w:r>
            <w:r w:rsidRPr="00BE2503">
              <w:rPr>
                <w:rFonts w:ascii="宋体" w:eastAsia="宋体" w:hAnsi="宋体" w:cs="Times New Roman" w:hint="eastAsia"/>
                <w:color w:val="000000" w:themeColor="text1"/>
              </w:rPr>
              <w:t>储存</w:t>
            </w:r>
            <w:r w:rsidRPr="00BE2503">
              <w:rPr>
                <w:rFonts w:ascii="宋体" w:eastAsia="宋体" w:hAnsi="宋体" w:cs="Times New Roman"/>
                <w:color w:val="000000" w:themeColor="text1"/>
              </w:rPr>
              <w:t>，签字确认（4 分）</w:t>
            </w:r>
          </w:p>
        </w:tc>
        <w:tc>
          <w:tcPr>
            <w:tcW w:w="132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现场检查煎药流程、查阅包装标注、核对配送记录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jc w:val="center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10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BE2503">
            <w:pPr>
              <w:pStyle w:val="Style13"/>
              <w:numPr>
                <w:ilvl w:val="0"/>
                <w:numId w:val="3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煎药流程不符合规范，扣 3 分；</w:t>
            </w:r>
          </w:p>
          <w:p w:rsidR="00BE2503" w:rsidRPr="00BE2503" w:rsidRDefault="00BE2503" w:rsidP="00BE2503">
            <w:pPr>
              <w:pStyle w:val="Style13"/>
              <w:numPr>
                <w:ilvl w:val="0"/>
                <w:numId w:val="3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包装标注信息不全，每批次扣 1 分；</w:t>
            </w:r>
          </w:p>
          <w:p w:rsidR="00BE2503" w:rsidRPr="00BE2503" w:rsidRDefault="00BE2503" w:rsidP="00BE2503">
            <w:pPr>
              <w:pStyle w:val="Style13"/>
              <w:numPr>
                <w:ilvl w:val="0"/>
                <w:numId w:val="3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未按温度要求</w:t>
            </w:r>
            <w:r w:rsidRPr="00BE2503">
              <w:rPr>
                <w:rFonts w:ascii="宋体" w:eastAsia="宋体" w:hAnsi="宋体" w:cs="Times New Roman" w:hint="eastAsia"/>
                <w:color w:val="000000" w:themeColor="text1"/>
              </w:rPr>
              <w:t>储存</w:t>
            </w:r>
            <w:r w:rsidRPr="00BE2503">
              <w:rPr>
                <w:rFonts w:ascii="宋体" w:eastAsia="宋体" w:hAnsi="宋体" w:cs="Times New Roman"/>
                <w:color w:val="000000" w:themeColor="text1"/>
              </w:rPr>
              <w:t>或无签字记录，每批次扣 2 分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</w:p>
        </w:tc>
      </w:tr>
      <w:tr w:rsidR="00BE2503" w:rsidRPr="00BE2503" w:rsidTr="00BE2503">
        <w:trPr>
          <w:trHeight w:val="90"/>
          <w:jc w:val="center"/>
        </w:trPr>
        <w:tc>
          <w:tcPr>
            <w:tcW w:w="124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四、质量追溯（15 分）</w:t>
            </w:r>
          </w:p>
        </w:tc>
        <w:tc>
          <w:tcPr>
            <w:tcW w:w="298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1. 建立 “一品一码” 追溯体系，追溯码关联完整信息（6 分）；</w:t>
            </w:r>
          </w:p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2. 追溯数据电子保存≥3 年，运输温湿度记录、代煎监控视频保存≥90 天（5 分）；</w:t>
            </w:r>
          </w:p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3. 配合医院每月质量复检，24 小时内召回不合格饮片（4 分）</w:t>
            </w:r>
          </w:p>
        </w:tc>
        <w:tc>
          <w:tcPr>
            <w:tcW w:w="132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系统核查追溯信息、查阅数据存档记录、跟踪复检及召回情况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jc w:val="center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15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BE2503">
            <w:pPr>
              <w:pStyle w:val="Style13"/>
              <w:numPr>
                <w:ilvl w:val="0"/>
                <w:numId w:val="4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未建立追溯体系或信息不全，每品种扣 2 分；</w:t>
            </w:r>
          </w:p>
          <w:p w:rsidR="00BE2503" w:rsidRPr="00BE2503" w:rsidRDefault="00BE2503" w:rsidP="00BE2503">
            <w:pPr>
              <w:pStyle w:val="Style13"/>
              <w:numPr>
                <w:ilvl w:val="0"/>
                <w:numId w:val="4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数据保存不达标，每项扣 2 分；</w:t>
            </w:r>
          </w:p>
          <w:p w:rsidR="00BE2503" w:rsidRPr="00BE2503" w:rsidRDefault="00BE2503" w:rsidP="00BE2503">
            <w:pPr>
              <w:pStyle w:val="Style13"/>
              <w:numPr>
                <w:ilvl w:val="0"/>
                <w:numId w:val="4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未按时召回不合格饮片，扣 4 分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</w:p>
        </w:tc>
      </w:tr>
      <w:tr w:rsidR="00BE2503" w:rsidRPr="00BE2503" w:rsidTr="00BE2503">
        <w:trPr>
          <w:trHeight w:val="90"/>
          <w:jc w:val="center"/>
        </w:trPr>
        <w:tc>
          <w:tcPr>
            <w:tcW w:w="124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五、信息化对接（10 分）</w:t>
            </w:r>
          </w:p>
        </w:tc>
        <w:tc>
          <w:tcPr>
            <w:tcW w:w="298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1. 与医院 HIS 系统联动，实现订单同步、物流更新等功能（5 分）；</w:t>
            </w:r>
          </w:p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2. SPD 系统按时上线，含库存预警等模块（3 分）；</w:t>
            </w:r>
          </w:p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3. 患者信息加密存储，符合《个人信息保护法》（2 分）</w:t>
            </w:r>
          </w:p>
        </w:tc>
        <w:tc>
          <w:tcPr>
            <w:tcW w:w="132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系统实操验证、查阅对接记录、安全合规检查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jc w:val="center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10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BE2503">
            <w:pPr>
              <w:pStyle w:val="Style13"/>
              <w:numPr>
                <w:ilvl w:val="0"/>
                <w:numId w:val="5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HIS 系统功能未实现，每项扣 2 分；</w:t>
            </w:r>
          </w:p>
          <w:p w:rsidR="00BE2503" w:rsidRPr="00BE2503" w:rsidRDefault="00BE2503" w:rsidP="00BE2503">
            <w:pPr>
              <w:pStyle w:val="Style13"/>
              <w:numPr>
                <w:ilvl w:val="0"/>
                <w:numId w:val="5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 xml:space="preserve"> SPD 系统未按时上线或模块缺失，扣 3 分；</w:t>
            </w:r>
          </w:p>
          <w:p w:rsidR="00BE2503" w:rsidRPr="00BE2503" w:rsidRDefault="00BE2503" w:rsidP="00BE2503">
            <w:pPr>
              <w:pStyle w:val="Style13"/>
              <w:numPr>
                <w:ilvl w:val="0"/>
                <w:numId w:val="5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 xml:space="preserve"> 信息安全不合规，扣 2 分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</w:p>
        </w:tc>
      </w:tr>
      <w:tr w:rsidR="00BE2503" w:rsidRPr="00BE2503" w:rsidTr="00BE2503">
        <w:trPr>
          <w:trHeight w:val="90"/>
          <w:jc w:val="center"/>
        </w:trPr>
        <w:tc>
          <w:tcPr>
            <w:tcW w:w="124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六、应急保障（8 分）</w:t>
            </w:r>
          </w:p>
        </w:tc>
        <w:tc>
          <w:tcPr>
            <w:tcW w:w="298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1. 重点品种库存≥30 天用量，集采品种≥60 天用量，提前 7 天预警（4 分）；</w:t>
            </w:r>
          </w:p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lastRenderedPageBreak/>
              <w:t>2. 断供时 24 小时内提供替补供应商，断供不超 48 小时（4 分）</w:t>
            </w:r>
          </w:p>
        </w:tc>
        <w:tc>
          <w:tcPr>
            <w:tcW w:w="132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lastRenderedPageBreak/>
              <w:t>查阅库存台账、核实替补供应商名</w:t>
            </w:r>
            <w:r w:rsidRPr="00BE2503">
              <w:rPr>
                <w:rFonts w:ascii="宋体" w:eastAsia="宋体" w:hAnsi="宋体" w:cs="Times New Roman"/>
                <w:color w:val="000000" w:themeColor="text1"/>
              </w:rPr>
              <w:lastRenderedPageBreak/>
              <w:t>单、跟踪断供处理情况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jc w:val="center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lastRenderedPageBreak/>
              <w:t>8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BE2503">
            <w:pPr>
              <w:pStyle w:val="Style13"/>
              <w:numPr>
                <w:ilvl w:val="0"/>
                <w:numId w:val="6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库存不足且未预警，每品种扣 1 分；</w:t>
            </w:r>
          </w:p>
          <w:p w:rsidR="00BE2503" w:rsidRPr="00BE2503" w:rsidRDefault="00BE2503" w:rsidP="00BE2503">
            <w:pPr>
              <w:pStyle w:val="Style13"/>
              <w:numPr>
                <w:ilvl w:val="0"/>
                <w:numId w:val="6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lastRenderedPageBreak/>
              <w:t xml:space="preserve"> 断供超 24 小时未提供替补，扣 2 分；超 48 小时，扣 4 分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</w:p>
        </w:tc>
      </w:tr>
      <w:tr w:rsidR="00BE2503" w:rsidRPr="00BE2503" w:rsidTr="00BE2503">
        <w:trPr>
          <w:trHeight w:val="90"/>
          <w:jc w:val="center"/>
        </w:trPr>
        <w:tc>
          <w:tcPr>
            <w:tcW w:w="124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七、售后服务（7 分）</w:t>
            </w:r>
          </w:p>
        </w:tc>
        <w:tc>
          <w:tcPr>
            <w:tcW w:w="298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1. 质量 / 供应问题 2 小时内响应（3 分）；</w:t>
            </w:r>
          </w:p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2. 每月提交《配送台账》《质量报告》（2 分）；</w:t>
            </w:r>
          </w:p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3. 配合医院考核及问题整改（2 分）</w:t>
            </w:r>
          </w:p>
        </w:tc>
        <w:tc>
          <w:tcPr>
            <w:tcW w:w="132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查阅售后记录、核对提交材料、跟踪整改情况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jc w:val="center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7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BE2503">
            <w:pPr>
              <w:pStyle w:val="Style13"/>
              <w:numPr>
                <w:ilvl w:val="0"/>
                <w:numId w:val="7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响应超时，每次扣 1 分；</w:t>
            </w:r>
          </w:p>
          <w:p w:rsidR="00BE2503" w:rsidRPr="00BE2503" w:rsidRDefault="00BE2503" w:rsidP="00BE2503">
            <w:pPr>
              <w:pStyle w:val="Style13"/>
              <w:numPr>
                <w:ilvl w:val="0"/>
                <w:numId w:val="7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未按时提交报告，每次扣 1 分；</w:t>
            </w:r>
          </w:p>
          <w:p w:rsidR="00BE2503" w:rsidRPr="00BE2503" w:rsidRDefault="00BE2503" w:rsidP="00BE2503">
            <w:pPr>
              <w:pStyle w:val="Style13"/>
              <w:numPr>
                <w:ilvl w:val="0"/>
                <w:numId w:val="7"/>
              </w:numPr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不配合考核或未整改，扣 2 分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</w:p>
        </w:tc>
      </w:tr>
      <w:tr w:rsidR="00BE2503" w:rsidRPr="00BE2503" w:rsidTr="00BE2503">
        <w:trPr>
          <w:trHeight w:val="90"/>
          <w:jc w:val="center"/>
        </w:trPr>
        <w:tc>
          <w:tcPr>
            <w:tcW w:w="124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总分</w:t>
            </w:r>
          </w:p>
        </w:tc>
        <w:tc>
          <w:tcPr>
            <w:tcW w:w="298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</w:p>
        </w:tc>
        <w:tc>
          <w:tcPr>
            <w:tcW w:w="132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</w:p>
        </w:tc>
        <w:tc>
          <w:tcPr>
            <w:tcW w:w="153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100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总分≥80 分为合格，＜80 分为不合格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</w:p>
        </w:tc>
      </w:tr>
      <w:tr w:rsidR="00BE2503" w:rsidRPr="00BE2503" w:rsidTr="00BE2503">
        <w:trPr>
          <w:trHeight w:val="90"/>
          <w:jc w:val="center"/>
        </w:trPr>
        <w:tc>
          <w:tcPr>
            <w:tcW w:w="124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考核结论</w:t>
            </w:r>
          </w:p>
        </w:tc>
        <w:tc>
          <w:tcPr>
            <w:tcW w:w="298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  <w:sz w:val="32"/>
                <w:szCs w:val="32"/>
              </w:rPr>
              <w:t xml:space="preserve">□ </w:t>
            </w:r>
            <w:r w:rsidRPr="00BE2503">
              <w:rPr>
                <w:rFonts w:ascii="宋体" w:eastAsia="宋体" w:hAnsi="宋体" w:cs="Times New Roman"/>
                <w:color w:val="000000" w:themeColor="text1"/>
              </w:rPr>
              <w:t>合格</w:t>
            </w:r>
          </w:p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 xml:space="preserve"> </w:t>
            </w:r>
            <w:r w:rsidRPr="00BE2503">
              <w:rPr>
                <w:rFonts w:ascii="宋体" w:eastAsia="宋体" w:hAnsi="宋体" w:cs="Times New Roman"/>
                <w:color w:val="000000" w:themeColor="text1"/>
                <w:sz w:val="32"/>
                <w:szCs w:val="32"/>
              </w:rPr>
              <w:t xml:space="preserve">□ </w:t>
            </w:r>
            <w:r w:rsidRPr="00BE2503">
              <w:rPr>
                <w:rFonts w:ascii="宋体" w:eastAsia="宋体" w:hAnsi="宋体" w:cs="Times New Roman"/>
                <w:color w:val="000000" w:themeColor="text1"/>
              </w:rPr>
              <w:t>不合格</w:t>
            </w:r>
          </w:p>
        </w:tc>
        <w:tc>
          <w:tcPr>
            <w:tcW w:w="1321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整改要求</w:t>
            </w:r>
          </w:p>
        </w:tc>
        <w:tc>
          <w:tcPr>
            <w:tcW w:w="153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（针对扣分项目列出整改期限及要求）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  <w:r w:rsidRPr="00BE2503">
              <w:rPr>
                <w:rFonts w:ascii="宋体" w:eastAsia="宋体" w:hAnsi="宋体" w:cs="Times New Roman"/>
                <w:color w:val="000000" w:themeColor="text1"/>
              </w:rPr>
              <w:t>考核人员签字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BE2503" w:rsidRPr="00BE2503" w:rsidRDefault="00BE2503" w:rsidP="00461446">
            <w:pPr>
              <w:pStyle w:val="Style13"/>
              <w:rPr>
                <w:rFonts w:ascii="宋体" w:eastAsia="宋体" w:hAnsi="宋体" w:cs="Times New Roman"/>
                <w:color w:val="000000" w:themeColor="text1"/>
              </w:rPr>
            </w:pPr>
          </w:p>
        </w:tc>
      </w:tr>
    </w:tbl>
    <w:p w:rsidR="00BE2503" w:rsidRDefault="00BE2503" w:rsidP="00BE2503">
      <w:pPr>
        <w:pStyle w:val="3"/>
      </w:pPr>
      <w:r>
        <w:t>说明</w:t>
      </w:r>
    </w:p>
    <w:p w:rsidR="00BE2503" w:rsidRDefault="00BE2503" w:rsidP="00BE2503">
      <w:pPr>
        <w:pStyle w:val="Style13"/>
        <w:numPr>
          <w:ilvl w:val="0"/>
          <w:numId w:val="8"/>
        </w:numPr>
      </w:pPr>
      <w:r>
        <w:t>考核得分低于</w:t>
      </w:r>
      <w:r>
        <w:t xml:space="preserve"> 80 </w:t>
      </w:r>
      <w:r>
        <w:t>分，医院有权依据合同约定约谈供应商，连续两个季度不合格可终止合作；</w:t>
      </w:r>
    </w:p>
    <w:p w:rsidR="00BE2503" w:rsidRDefault="00BE2503" w:rsidP="00BE2503">
      <w:pPr>
        <w:pStyle w:val="Style13"/>
        <w:numPr>
          <w:ilvl w:val="0"/>
          <w:numId w:val="8"/>
        </w:numPr>
      </w:pPr>
      <w:r>
        <w:t>扣分规则中</w:t>
      </w:r>
      <w:r>
        <w:t xml:space="preserve"> “</w:t>
      </w:r>
      <w:r>
        <w:t>每批次</w:t>
      </w:r>
      <w:r>
        <w:t xml:space="preserve"> / </w:t>
      </w:r>
      <w:r>
        <w:t>每项</w:t>
      </w:r>
      <w:r>
        <w:t xml:space="preserve">” </w:t>
      </w:r>
      <w:r>
        <w:t>均按季度内实际发生次数累计扣分，扣完该项目分值为止；</w:t>
      </w:r>
    </w:p>
    <w:p w:rsidR="00BE2503" w:rsidRDefault="00BE2503" w:rsidP="00BE2503">
      <w:pPr>
        <w:pStyle w:val="Style13"/>
        <w:numPr>
          <w:ilvl w:val="0"/>
          <w:numId w:val="8"/>
        </w:numPr>
      </w:pPr>
      <w:r>
        <w:t>备注栏用于记录考核过程中的特殊情况及佐证材料说明。</w:t>
      </w:r>
    </w:p>
    <w:p w:rsidR="00BE2503" w:rsidRPr="00BE2503" w:rsidRDefault="00BE2503"/>
    <w:sectPr w:rsidR="00BE2503" w:rsidRPr="00BE25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0A1A" w:rsidRDefault="00FF0A1A" w:rsidP="00736D63">
      <w:r>
        <w:separator/>
      </w:r>
    </w:p>
  </w:endnote>
  <w:endnote w:type="continuationSeparator" w:id="0">
    <w:p w:rsidR="00FF0A1A" w:rsidRDefault="00FF0A1A" w:rsidP="00736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0A1A" w:rsidRDefault="00FF0A1A" w:rsidP="00736D63">
      <w:r>
        <w:separator/>
      </w:r>
    </w:p>
  </w:footnote>
  <w:footnote w:type="continuationSeparator" w:id="0">
    <w:p w:rsidR="00FF0A1A" w:rsidRDefault="00FF0A1A" w:rsidP="00736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69D706F"/>
    <w:multiLevelType w:val="singleLevel"/>
    <w:tmpl w:val="A69D706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  <w:lvl w:ilvl="3">
      <w:start w:val="1"/>
      <w:numFmt w:val="decimal"/>
      <w:lvlText w:val="%4."/>
      <w:lvlJc w:val="left"/>
      <w:pPr>
        <w:ind w:left="1583" w:hanging="288"/>
      </w:pPr>
      <w:rPr>
        <w:color w:val="3370FF"/>
        <w:sz w:val="22"/>
        <w:szCs w:val="22"/>
      </w:rPr>
    </w:lvl>
    <w:lvl w:ilvl="4">
      <w:start w:val="1"/>
      <w:numFmt w:val="lowerLetter"/>
      <w:lvlText w:val="%5."/>
      <w:lvlJc w:val="left"/>
      <w:pPr>
        <w:ind w:left="2015" w:hanging="288"/>
      </w:pPr>
      <w:rPr>
        <w:color w:val="3370FF"/>
        <w:sz w:val="22"/>
        <w:szCs w:val="22"/>
      </w:rPr>
    </w:lvl>
    <w:lvl w:ilvl="5">
      <w:start w:val="1"/>
      <w:numFmt w:val="lowerRoman"/>
      <w:lvlText w:val="%6."/>
      <w:lvlJc w:val="left"/>
      <w:pPr>
        <w:ind w:left="2448" w:hanging="288"/>
      </w:pPr>
      <w:rPr>
        <w:color w:val="3370FF"/>
        <w:sz w:val="22"/>
        <w:szCs w:val="22"/>
      </w:rPr>
    </w:lvl>
    <w:lvl w:ilvl="6">
      <w:start w:val="1"/>
      <w:numFmt w:val="decimal"/>
      <w:lvlText w:val="%7."/>
      <w:lvlJc w:val="left"/>
      <w:pPr>
        <w:ind w:left="2879" w:hanging="288"/>
      </w:pPr>
      <w:rPr>
        <w:color w:val="3370FF"/>
        <w:sz w:val="22"/>
        <w:szCs w:val="22"/>
      </w:rPr>
    </w:lvl>
    <w:lvl w:ilvl="7">
      <w:start w:val="1"/>
      <w:numFmt w:val="lowerLetter"/>
      <w:lvlText w:val="%8."/>
      <w:lvlJc w:val="left"/>
      <w:pPr>
        <w:ind w:left="3312" w:hanging="288"/>
      </w:pPr>
      <w:rPr>
        <w:color w:val="3370FF"/>
        <w:sz w:val="22"/>
        <w:szCs w:val="22"/>
      </w:rPr>
    </w:lvl>
    <w:lvl w:ilvl="8">
      <w:start w:val="1"/>
      <w:numFmt w:val="lowerRoman"/>
      <w:lvlText w:val="%9."/>
      <w:lvlJc w:val="left"/>
      <w:pPr>
        <w:ind w:left="3744" w:hanging="288"/>
      </w:pPr>
      <w:rPr>
        <w:color w:val="3370FF"/>
        <w:sz w:val="22"/>
        <w:szCs w:val="22"/>
      </w:rPr>
    </w:lvl>
  </w:abstractNum>
  <w:abstractNum w:abstractNumId="2" w15:restartNumberingAfterBreak="0">
    <w:nsid w:val="0FD5B991"/>
    <w:multiLevelType w:val="singleLevel"/>
    <w:tmpl w:val="0FD5B991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DA27D55"/>
    <w:multiLevelType w:val="singleLevel"/>
    <w:tmpl w:val="1DA27D5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47E9F17D"/>
    <w:multiLevelType w:val="singleLevel"/>
    <w:tmpl w:val="47E9F17D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C6DC316"/>
    <w:multiLevelType w:val="singleLevel"/>
    <w:tmpl w:val="6C6DC316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7117A122"/>
    <w:multiLevelType w:val="singleLevel"/>
    <w:tmpl w:val="7117A122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77993094"/>
    <w:multiLevelType w:val="singleLevel"/>
    <w:tmpl w:val="77993094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6"/>
  </w:num>
  <w:num w:numId="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503"/>
    <w:rsid w:val="00726167"/>
    <w:rsid w:val="00736D63"/>
    <w:rsid w:val="00BE2503"/>
    <w:rsid w:val="00DD6113"/>
    <w:rsid w:val="00FF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5E719"/>
  <w15:chartTrackingRefBased/>
  <w15:docId w15:val="{6D9F97A4-56E2-48BC-9790-BE0582C0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503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next w:val="a"/>
    <w:link w:val="10"/>
    <w:qFormat/>
    <w:rsid w:val="00BE2503"/>
    <w:pPr>
      <w:spacing w:before="380" w:after="140" w:line="288" w:lineRule="auto"/>
      <w:outlineLvl w:val="0"/>
    </w:pPr>
    <w:rPr>
      <w:rFonts w:ascii="Arial" w:eastAsia="等线" w:hAnsi="Arial" w:cs="Arial"/>
      <w:b/>
      <w:bCs/>
      <w:kern w:val="0"/>
      <w:sz w:val="36"/>
      <w:szCs w:val="36"/>
    </w:rPr>
  </w:style>
  <w:style w:type="paragraph" w:styleId="3">
    <w:name w:val="heading 3"/>
    <w:next w:val="a"/>
    <w:link w:val="30"/>
    <w:qFormat/>
    <w:rsid w:val="00BE2503"/>
    <w:pPr>
      <w:spacing w:before="300" w:after="120" w:line="288" w:lineRule="auto"/>
      <w:outlineLvl w:val="2"/>
    </w:pPr>
    <w:rPr>
      <w:rFonts w:ascii="Arial" w:eastAsia="等线" w:hAnsi="Arial" w:cs="Arial"/>
      <w:b/>
      <w:bCs/>
      <w:kern w:val="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BE2503"/>
    <w:rPr>
      <w:rFonts w:ascii="Arial" w:eastAsia="等线" w:hAnsi="Arial" w:cs="Arial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rsid w:val="00BE2503"/>
    <w:rPr>
      <w:rFonts w:ascii="Arial" w:eastAsia="等线" w:hAnsi="Arial" w:cs="Arial"/>
      <w:b/>
      <w:bCs/>
      <w:kern w:val="0"/>
      <w:sz w:val="30"/>
      <w:szCs w:val="30"/>
    </w:rPr>
  </w:style>
  <w:style w:type="paragraph" w:customStyle="1" w:styleId="Style13">
    <w:name w:val="_Style 13"/>
    <w:qFormat/>
    <w:rsid w:val="00BE2503"/>
    <w:pPr>
      <w:spacing w:before="120" w:after="120" w:line="288" w:lineRule="auto"/>
    </w:pPr>
    <w:rPr>
      <w:rFonts w:ascii="Arial" w:eastAsia="等线" w:hAnsi="Arial" w:cs="Arial"/>
      <w:kern w:val="0"/>
      <w:sz w:val="22"/>
    </w:rPr>
  </w:style>
  <w:style w:type="paragraph" w:styleId="a3">
    <w:name w:val="header"/>
    <w:basedOn w:val="a"/>
    <w:link w:val="a4"/>
    <w:uiPriority w:val="99"/>
    <w:unhideWhenUsed/>
    <w:rsid w:val="00736D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6D6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6D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6D63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36D6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36D6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HA8350</dc:creator>
  <cp:keywords/>
  <dc:description/>
  <cp:lastModifiedBy>HA8350</cp:lastModifiedBy>
  <cp:revision>3</cp:revision>
  <cp:lastPrinted>2025-12-01T03:31:00Z</cp:lastPrinted>
  <dcterms:created xsi:type="dcterms:W3CDTF">2025-12-01T01:58:00Z</dcterms:created>
  <dcterms:modified xsi:type="dcterms:W3CDTF">2026-01-04T01:31:00Z</dcterms:modified>
</cp:coreProperties>
</file>