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版本号：N512001202500029220260603001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中药饮片配送服务采购项目(四次)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N5120012025000292</w:t>
      </w:r>
    </w:p>
    <w:p>
      <w:pPr>
        <w:pStyle w:val="null3"/>
        <w:jc w:val="left"/>
        <w:outlineLvl w:val="2"/>
      </w:pPr>
      <w:r>
        <w:rPr>
          <w:rFonts w:ascii="仿宋_GB2312" w:hAnsi="仿宋_GB2312" w:cs="仿宋_GB2312" w:eastAsia="仿宋_GB2312"/>
          <w:sz w:val="28"/>
          <w:b/>
        </w:rPr>
        <w:t>资阳市精神病医院</w:t>
      </w:r>
    </w:p>
    <w:p>
      <w:pPr>
        <w:pStyle w:val="null3"/>
        <w:jc w:val="center"/>
        <w:outlineLvl w:val="2"/>
      </w:pPr>
      <w:r>
        <w:rPr>
          <w:rFonts w:ascii="仿宋_GB2312" w:hAnsi="仿宋_GB2312" w:cs="仿宋_GB2312" w:eastAsia="仿宋_GB2312"/>
          <w:sz w:val="28"/>
          <w:b/>
        </w:rPr>
        <w:t>四川诺道招标代理有限公司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2026年06月03日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四川诺道招标代理有限公司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资阳市精神病医院</w:t>
      </w:r>
      <w:r>
        <w:rPr>
          <w:rFonts w:ascii="仿宋_GB2312" w:hAnsi="仿宋_GB2312" w:cs="仿宋_GB2312" w:eastAsia="仿宋_GB2312"/>
        </w:rPr>
        <w:t xml:space="preserve"> 委托，拟对 </w:t>
      </w:r>
      <w:r>
        <w:rPr>
          <w:rFonts w:ascii="仿宋_GB2312" w:hAnsi="仿宋_GB2312" w:cs="仿宋_GB2312" w:eastAsia="仿宋_GB2312"/>
        </w:rPr>
        <w:t>中药饮片配送服务采购项目(四次)</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资阳市市本级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N5120012025000292</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中药饮片配送服务采购项目(四次)</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为满足临床一线使用需求，资阳市精神病医院拟采购中药饮片配送服务。</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1、投标人须具备药品经营 / 生产资质（描述：（1）若投标人为产品制造商的，须具有有效的《药品生产许可证》或《药品生产许可证》电子证书（生产范围需包含中药饮片）； （2）若投标人为非产品制造商的，须具有有效的《药品经营许可证》或《药品经营许可证》电子证书（经营范围需包含中药饮片），同时所投产品生产企业须具有有效的《药品生产许可证》或《药品生产许可证》电子证书（生产范围需包含中药饮片）。（提供证书影印件） ）</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资阳市精神病医院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资阳市雁江区莲花路95号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641300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黎老师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028-26115016</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四川诺道招标代理有限公司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四川省资阳市雁江区四川省资阳市雁江区大千路大千药业南侧恒大名都1幢1（F）2-1号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641300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庞女士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028-26075599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采购包1：1,000,000.00元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参照中华人民共和国国家计划委员会发布的《招标代理服务收费管理暂行办法》[计价格［2002］1980号］中“招标代理服务收费标准”为控价标准，在控价基础上下浮50%进行测算后收取；甲乙双方同意由乙方在成交供应商领取成交通知书前通过现金或者转账方式向成交供应商收取。</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资阳市精神病医院</w:t>
      </w:r>
      <w:r>
        <w:rPr>
          <w:rFonts w:ascii="仿宋_GB2312" w:hAnsi="仿宋_GB2312" w:cs="仿宋_GB2312" w:eastAsia="仿宋_GB2312"/>
        </w:rPr>
        <w:t xml:space="preserve"> 和 </w:t>
      </w:r>
      <w:r>
        <w:rPr>
          <w:rFonts w:ascii="仿宋_GB2312" w:hAnsi="仿宋_GB2312" w:cs="仿宋_GB2312" w:eastAsia="仿宋_GB2312"/>
        </w:rPr>
        <w:t>四川诺道招标代理有限公司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资阳市精神病医院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四川诺道招标代理有限公司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每批次货物到货后</w:t>
      </w:r>
      <w:r>
        <w:rPr>
          <w:rFonts w:ascii="仿宋_GB2312" w:hAnsi="仿宋_GB2312" w:cs="仿宋_GB2312" w:eastAsia="仿宋_GB2312"/>
        </w:rPr>
        <w:t xml:space="preserve"> ，达到验收条件起 </w:t>
      </w:r>
      <w:r>
        <w:rPr>
          <w:rFonts w:ascii="仿宋_GB2312" w:hAnsi="仿宋_GB2312" w:cs="仿宋_GB2312" w:eastAsia="仿宋_GB2312"/>
        </w:rPr>
        <w:t>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按照相关法律条规的要求、招标文件规定技术参数与性能指标的要求和投标文件响应的技术参数与性能指标及合 同承诺的内容进行验收。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按照相关法律条规的要求、招标文件规定的商务要求和投标文件响应的商务要求及合同承诺的内容进行验收。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中华人民共和国药典》、《中华人民共和国药品管理法》、《药品经营质量管理规范》、《中药饮片质量标准》、《四川省中药材标准》等国家或省级相关法律法规、行业标准及本项目投标文件、响应文件及双方确认的各类书面函件、变更协议等。（若标准不一致的，采购人有权按最严标准验收）；采购人与供应商双方如对质量要求和技术指标的约定标准又相互抵触或异议的事项，按招标与投标文件中质量要求和技术指标比较优胜的原则确定该项的约定标准进行验收。规定了：供应商所提供的药品有效期限不得少于整个药品有效期的三分之二。无规定效期的药品，供应商应保障按采购人要求及时更换批次。</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因系统固化原因，本采购包履约验收时间以此为准：分期验收，采购人组建中药饮片配送服务验收组，每季度进行一次验收。负责： （一）中药饮片质量验收 1. 中药饮片不得出现虫蛀、霉变、走油酸败等现象。有效成分、含水量、杂质、灰分、非药用部位、辅料、重金属含量、农药残留量等应符合标准要求；饮片外观整洁，不得出现碎颗粒太多的情况；挥发性饮片（如薄荷、砂仁）需采用密封包装确保药效不流失；毒性饮片（如制草乌、制川乌）需单独储存运输，禁止代煎；基本要求：包装袋（箱）应干净、结实、无破损、封口严密，支持储存、运输和使用，在每件包装上须注明：品名、规格、数量（装量）、产地、供应单位（生产企业）、批号、生产日期、执行标准、质量合格标志等。 2. 每批次饮片在送货时中标人需提供生产厂家或第三方检测机构出具的本批次产品的质量检测报告，重点品种提供每批次检验报告（含重金属、农残、含量测定），道地药材需符合指定产地要求。 （二）中药饮片配送服务验收 1. 常规订单：医院通过 HIS 系统下达订单后，48 小时内送达医院中药房。 2. 应急订单（如抢救用药）：接到通知后 4 小时内送达。 3. 运输条件：（1）普通饮片：采用密闭式厢式货车，车厢内安装温湿度记录仪（温度 5℃-25℃，相对湿度 60%-70%）；（2）易变质饮片（如鲜地黄、石斛）：采用冷藏车或恒温箱，温度控制 2℃-8℃，并附温度记录（每 30 分钟一次）。 4. 代煎汤剂：采用一次性无菌包装（符合药用复合膜标准），标注患者姓名、科室、床号、用法用量、煎煮日期、有效期（不超过7天） （三）承诺及有关服务方案有关验收 供应商是否履行招标文件中服务方案等所涉及的设备、系统、人员、资源等承诺并及时、完整配置到位。</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资阳市精神病医院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四川诺道招标代理有限公司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四川诺道招标代理有限公司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联系人：黎老师</w:t>
      </w:r>
    </w:p>
    <w:p>
      <w:pPr>
        <w:pStyle w:val="null3"/>
        <w:jc w:val="left"/>
      </w:pPr>
      <w:r>
        <w:rPr>
          <w:rFonts w:ascii="仿宋_GB2312" w:hAnsi="仿宋_GB2312" w:cs="仿宋_GB2312" w:eastAsia="仿宋_GB2312"/>
        </w:rPr>
        <w:t>联系电话： 028-26115016</w:t>
      </w:r>
    </w:p>
    <w:p>
      <w:pPr>
        <w:pStyle w:val="null3"/>
        <w:jc w:val="left"/>
      </w:pPr>
      <w:r>
        <w:rPr>
          <w:rFonts w:ascii="仿宋_GB2312" w:hAnsi="仿宋_GB2312" w:cs="仿宋_GB2312" w:eastAsia="仿宋_GB2312"/>
        </w:rPr>
        <w:t>地址：资阳市雁江区莲花路95号</w:t>
      </w:r>
    </w:p>
    <w:p>
      <w:pPr>
        <w:pStyle w:val="null3"/>
        <w:jc w:val="left"/>
      </w:pPr>
      <w:r>
        <w:rPr>
          <w:rFonts w:ascii="仿宋_GB2312" w:hAnsi="仿宋_GB2312" w:cs="仿宋_GB2312" w:eastAsia="仿宋_GB2312"/>
        </w:rPr>
        <w:t>邮编：641300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联系人：庞女士</w:t>
      </w:r>
    </w:p>
    <w:p>
      <w:pPr>
        <w:pStyle w:val="null3"/>
        <w:jc w:val="left"/>
      </w:pPr>
      <w:r>
        <w:rPr>
          <w:rFonts w:ascii="仿宋_GB2312" w:hAnsi="仿宋_GB2312" w:cs="仿宋_GB2312" w:eastAsia="仿宋_GB2312"/>
        </w:rPr>
        <w:t>联系电话： 028-26075599</w:t>
      </w:r>
    </w:p>
    <w:p>
      <w:pPr>
        <w:pStyle w:val="null3"/>
        <w:jc w:val="left"/>
      </w:pPr>
      <w:r>
        <w:rPr>
          <w:rFonts w:ascii="仿宋_GB2312" w:hAnsi="仿宋_GB2312" w:cs="仿宋_GB2312" w:eastAsia="仿宋_GB2312"/>
        </w:rPr>
        <w:t>地址：四川省资阳市雁江区大千路大千药业南侧恒大名都1幢1(F)2-1号</w:t>
      </w:r>
    </w:p>
    <w:p>
      <w:pPr>
        <w:pStyle w:val="null3"/>
        <w:jc w:val="left"/>
      </w:pPr>
      <w:r>
        <w:rPr>
          <w:rFonts w:ascii="仿宋_GB2312" w:hAnsi="仿宋_GB2312" w:cs="仿宋_GB2312" w:eastAsia="仿宋_GB2312"/>
        </w:rPr>
        <w:t>邮编：641300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1,000,000.00</w:t>
      </w:r>
    </w:p>
    <w:p>
      <w:pPr>
        <w:pStyle w:val="null3"/>
        <w:jc w:val="left"/>
      </w:pPr>
      <w:r>
        <w:rPr>
          <w:rFonts w:ascii="仿宋_GB2312" w:hAnsi="仿宋_GB2312" w:cs="仿宋_GB2312" w:eastAsia="仿宋_GB2312"/>
        </w:rPr>
        <w:t>采购包最高限价（元）: 1,000,000.00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C99000000 其他服务</w:t>
            </w:r>
          </w:p>
        </w:tc>
        <w:tc>
          <w:tcPr>
            <w:tcW w:type="dxa" w:w="821"/>
          </w:tcPr>
          <w:p>
            <w:pPr>
              <w:pStyle w:val="null3"/>
              <w:jc w:val="left"/>
            </w:pPr>
            <w:r>
              <w:rPr>
                <w:rFonts w:ascii="仿宋_GB2312" w:hAnsi="仿宋_GB2312" w:cs="仿宋_GB2312" w:eastAsia="仿宋_GB2312"/>
              </w:rPr>
              <w:t>中药饮片配送服务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1,000,000.00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中药饮片配送服务（重点品种部分）</w:t>
            </w:r>
          </w:p>
        </w:tc>
        <w:tc>
          <w:tcPr>
            <w:tcW w:type="dxa" w:w="977"/>
          </w:tcPr>
          <w:p>
            <w:pPr>
              <w:pStyle w:val="null3"/>
              <w:jc w:val="center"/>
            </w:pPr>
            <w:r>
              <w:rPr>
                <w:rFonts w:ascii="仿宋_GB2312" w:hAnsi="仿宋_GB2312" w:cs="仿宋_GB2312" w:eastAsia="仿宋_GB2312"/>
              </w:rPr>
              <w:t>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100.00</w:t>
            </w:r>
          </w:p>
        </w:tc>
        <w:tc>
          <w:tcPr>
            <w:tcW w:type="dxa" w:w="977"/>
          </w:tcPr>
          <w:p>
            <w:pPr>
              <w:pStyle w:val="null3"/>
              <w:jc w:val="center"/>
            </w:pPr>
            <w:r>
              <w:rPr>
                <w:rFonts w:ascii="仿宋_GB2312" w:hAnsi="仿宋_GB2312" w:cs="仿宋_GB2312" w:eastAsia="仿宋_GB2312"/>
              </w:rPr>
              <w:t>百分比</w:t>
            </w:r>
          </w:p>
        </w:tc>
        <w:tc>
          <w:tcPr>
            <w:tcW w:type="dxa" w:w="1466"/>
          </w:tcPr>
          <w:p>
            <w:pPr>
              <w:pStyle w:val="null3"/>
              <w:jc w:val="left"/>
            </w:pPr>
            <w:r>
              <w:rPr>
                <w:rFonts w:ascii="仿宋_GB2312" w:hAnsi="仿宋_GB2312" w:cs="仿宋_GB2312" w:eastAsia="仿宋_GB2312"/>
              </w:rPr>
              <w:t>无</w:t>
            </w:r>
          </w:p>
        </w:tc>
      </w:tr>
      <w:tr>
        <w:tc>
          <w:tcPr>
            <w:tcW w:type="dxa" w:w="684"/>
          </w:tcPr>
          <w:p>
            <w:pPr>
              <w:pStyle w:val="null3"/>
              <w:jc w:val="center"/>
            </w:pPr>
            <w:r>
              <w:rPr>
                <w:rFonts w:ascii="仿宋_GB2312" w:hAnsi="仿宋_GB2312" w:cs="仿宋_GB2312" w:eastAsia="仿宋_GB2312"/>
              </w:rPr>
              <w:t>2</w:t>
            </w:r>
          </w:p>
        </w:tc>
        <w:tc>
          <w:tcPr>
            <w:tcW w:type="dxa" w:w="1759"/>
          </w:tcPr>
          <w:p>
            <w:pPr>
              <w:pStyle w:val="null3"/>
              <w:jc w:val="center"/>
            </w:pPr>
            <w:r>
              <w:rPr>
                <w:rFonts w:ascii="仿宋_GB2312" w:hAnsi="仿宋_GB2312" w:cs="仿宋_GB2312" w:eastAsia="仿宋_GB2312"/>
              </w:rPr>
              <w:t>中药饮片配送服务（非重点品种部分）</w:t>
            </w:r>
          </w:p>
        </w:tc>
        <w:tc>
          <w:tcPr>
            <w:tcW w:type="dxa" w:w="977"/>
          </w:tcPr>
          <w:p>
            <w:pPr>
              <w:pStyle w:val="null3"/>
              <w:jc w:val="center"/>
            </w:pPr>
            <w:r>
              <w:rPr>
                <w:rFonts w:ascii="仿宋_GB2312" w:hAnsi="仿宋_GB2312" w:cs="仿宋_GB2312" w:eastAsia="仿宋_GB2312"/>
              </w:rPr>
              <w:t>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100.00</w:t>
            </w:r>
          </w:p>
        </w:tc>
        <w:tc>
          <w:tcPr>
            <w:tcW w:type="dxa" w:w="977"/>
          </w:tcPr>
          <w:p>
            <w:pPr>
              <w:pStyle w:val="null3"/>
              <w:jc w:val="center"/>
            </w:pPr>
            <w:r>
              <w:rPr>
                <w:rFonts w:ascii="仿宋_GB2312" w:hAnsi="仿宋_GB2312" w:cs="仿宋_GB2312" w:eastAsia="仿宋_GB2312"/>
              </w:rPr>
              <w:t>百分比</w:t>
            </w:r>
          </w:p>
        </w:tc>
        <w:tc>
          <w:tcPr>
            <w:tcW w:type="dxa" w:w="1466"/>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标的名称：中药饮片配送服务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采购清单及要求</w:t>
            </w:r>
          </w:p>
        </w:tc>
        <w:tc>
          <w:tcPr>
            <w:tcW w:type="dxa" w:w="5814"/>
          </w:tcPr>
          <w:p>
            <w:pPr>
              <w:pStyle w:val="null3"/>
              <w:jc w:val="left"/>
            </w:pPr>
            <w:r>
              <w:rPr>
                <w:rFonts w:ascii="仿宋_GB2312" w:hAnsi="仿宋_GB2312" w:cs="仿宋_GB2312" w:eastAsia="仿宋_GB2312"/>
                <w:sz w:val="21"/>
              </w:rPr>
              <w:t>因一体化系统固化原因，本项内容详见附件1 《资阳市精神病医院中药饮片采购清单目录》及要求。</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饮片质量标准</w:t>
            </w:r>
          </w:p>
        </w:tc>
        <w:tc>
          <w:tcPr>
            <w:tcW w:type="dxa" w:w="5814"/>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、中标人所供产品须符合《中华人民共和国药典》（2025年版）、《四川省中药材标准》（2010 年版）等国家 / 省级标准。（特别说明：在履约过程中，因国家或地方标准发生变化，应按新标准执行，新标准中未全部涵盖本次采购的所有清单内容，如原标准中对新标准未涵盖的产品有具体标准要求的，原有标准未废止可继续按原标准执行。）</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中药饮片不得出现虫蛀、霉变、走油酸败等现象。有效成分、含水量、杂质、灰分、非药用部位、辅料、重金属含量、农药残留量等应符合标准要求；饮片外观整洁，不得出现碎颗粒太多的情况；挥发性饮片（如薄荷、砂仁）需采用密封包装确保药效不流失；毒性饮片（如制草乌、制川乌）需单独储存运输，禁止代煎；基本要求：包装袋（箱）应干净、结实、无破损、封口严密，支持储存、运输和使用，在每件包装上须注明：品名、规格、数量（装量）、产地、供应单位（生产企业）、批号、生产日期、执行标准、质量合格标志等。</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、每批次饮片在送货时中标人需提供生产厂家或第三方检测机构出具的本批次产品的质量检测报告，重点品种提供每批次检验报告（含重金属、农残、含量测定），道地药材需符合指定产地要求。（</w:t>
            </w:r>
            <w:r>
              <w:rPr>
                <w:rFonts w:ascii="仿宋_GB2312" w:hAnsi="仿宋_GB2312" w:cs="仿宋_GB2312" w:eastAsia="仿宋_GB2312"/>
                <w:sz w:val="21"/>
                <w:b/>
              </w:rPr>
              <w:t>需在投标文件中提供承诺函并加盖投标人电子签章，格式自拟</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、每半年提供生产企业对中标饮片内部质量控制分析报告，若饮片质量未达到国家质量标准相关要求，则无条件退换货，若发生不良事件应当承担由此造成的一切损失。</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、所供应的中药饮片有效期自验收合格之日应不低于中药饮片本身有效期的三分之二。</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配送要求</w:t>
            </w:r>
          </w:p>
        </w:tc>
        <w:tc>
          <w:tcPr>
            <w:tcW w:type="dxa" w:w="5814"/>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、时效要求：常规订单：医院通过 HIS 系统下达订单后，48 小时内送达医院中药房； 应急订单（如抢救用药）：接到通知后 4 小时内送达，配送延迟每小时按订单金额 0.5% 支付违约金（累计不超过订单金额 10%）。</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、运输条件： 普通饮片：采用密闭式厢式货车，车厢内安装温湿度记录仪（温度 5℃-25℃，相对湿度 60%-70%）； 易变质饮片（如鲜地黄、石斛）：采用冷藏车或恒温箱，温度控制 2℃-8℃，并附温度记录（每 30 分钟一次，保存 1 年）；</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、代煎汤剂：采用一次性无菌包装（符合药用复合膜标准），标注患者姓名、科室、床号、用法用量、煎煮日期、有效期（不超过 7 天）</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质量追溯要求</w:t>
            </w:r>
          </w:p>
        </w:tc>
        <w:tc>
          <w:tcPr>
            <w:tcW w:type="dxa" w:w="5814"/>
          </w:tcPr>
          <w:p>
            <w:pPr>
              <w:pStyle w:val="null3"/>
              <w:jc w:val="both"/>
            </w:pPr>
            <w:r>
              <w:rPr>
                <w:rFonts w:ascii="仿宋_GB2312" w:hAnsi="仿宋_GB2312" w:cs="仿宋_GB2312" w:eastAsia="仿宋_GB2312"/>
                <w:sz w:val="21"/>
              </w:rPr>
              <w:t>根据国家医保部门等上级有关部门文件要求建立 “一品一码” 追溯体系，在有关文件发布后需在医院 HIS 系统中绑定追溯信息，并做好追溯记录保存。</w:t>
            </w:r>
          </w:p>
          <w:p>
            <w:pPr>
              <w:pStyle w:val="null3"/>
              <w:jc w:val="both"/>
            </w:pP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信息化对接要求</w:t>
            </w:r>
          </w:p>
        </w:tc>
        <w:tc>
          <w:tcPr>
            <w:tcW w:type="dxa" w:w="5814"/>
          </w:tcPr>
          <w:p>
            <w:pPr>
              <w:pStyle w:val="null3"/>
              <w:jc w:val="both"/>
            </w:pPr>
            <w:r>
              <w:rPr>
                <w:rFonts w:ascii="仿宋_GB2312" w:hAnsi="仿宋_GB2312" w:cs="仿宋_GB2312" w:eastAsia="仿宋_GB2312"/>
                <w:sz w:val="21"/>
              </w:rPr>
              <w:t>承诺参与医院必要时的</w:t>
            </w:r>
            <w:r>
              <w:rPr>
                <w:rFonts w:ascii="仿宋_GB2312" w:hAnsi="仿宋_GB2312" w:cs="仿宋_GB2312" w:eastAsia="仿宋_GB2312"/>
                <w:sz w:val="21"/>
              </w:rPr>
              <w:t>SPD</w:t>
            </w:r>
            <w:r>
              <w:rPr>
                <w:rFonts w:ascii="仿宋_GB2312" w:hAnsi="仿宋_GB2312" w:cs="仿宋_GB2312" w:eastAsia="仿宋_GB2312"/>
                <w:sz w:val="21"/>
              </w:rPr>
              <w:t>建设，并承担相应费用。</w:t>
            </w:r>
            <w:r>
              <w:rPr>
                <w:rFonts w:ascii="仿宋_GB2312" w:hAnsi="仿宋_GB2312" w:cs="仿宋_GB2312" w:eastAsia="仿宋_GB2312"/>
                <w:sz w:val="21"/>
                <w:b/>
              </w:rPr>
              <w:t>（需在投标文件里提供《</w:t>
            </w:r>
            <w:r>
              <w:rPr>
                <w:rFonts w:ascii="仿宋_GB2312" w:hAnsi="仿宋_GB2312" w:cs="仿宋_GB2312" w:eastAsia="仿宋_GB2312"/>
                <w:sz w:val="21"/>
                <w:b/>
              </w:rPr>
              <w:t xml:space="preserve">SPD </w:t>
            </w:r>
            <w:r>
              <w:rPr>
                <w:rFonts w:ascii="仿宋_GB2312" w:hAnsi="仿宋_GB2312" w:cs="仿宋_GB2312" w:eastAsia="仿宋_GB2312"/>
                <w:sz w:val="21"/>
                <w:b/>
              </w:rPr>
              <w:t>建设参与承诺函》，明确自愿承担医院药品</w:t>
            </w:r>
            <w:r>
              <w:rPr>
                <w:rFonts w:ascii="仿宋_GB2312" w:hAnsi="仿宋_GB2312" w:cs="仿宋_GB2312" w:eastAsia="仿宋_GB2312"/>
                <w:sz w:val="21"/>
                <w:b/>
              </w:rPr>
              <w:t>SPD</w:t>
            </w:r>
            <w:r>
              <w:rPr>
                <w:rFonts w:ascii="仿宋_GB2312" w:hAnsi="仿宋_GB2312" w:cs="仿宋_GB2312" w:eastAsia="仿宋_GB2312"/>
                <w:sz w:val="21"/>
                <w:b/>
              </w:rPr>
              <w:t>建设相关费用，格式自拟）</w:t>
            </w:r>
          </w:p>
          <w:p>
            <w:pPr>
              <w:pStyle w:val="null3"/>
              <w:jc w:val="left"/>
            </w:pP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应急保障要求</w:t>
            </w:r>
          </w:p>
        </w:tc>
        <w:tc>
          <w:tcPr>
            <w:tcW w:type="dxa" w:w="5814"/>
          </w:tcPr>
          <w:p>
            <w:pPr>
              <w:pStyle w:val="null3"/>
              <w:jc w:val="both"/>
            </w:pPr>
            <w:r>
              <w:rPr>
                <w:rFonts w:ascii="仿宋_GB2312" w:hAnsi="仿宋_GB2312" w:cs="仿宋_GB2312" w:eastAsia="仿宋_GB2312"/>
                <w:sz w:val="21"/>
              </w:rPr>
              <w:t>建立 “重点品种安全库存”：76 个重点品种库存不得低于 30 天用量，国家集采中选品种库存不得低于 60 天用量，库存不足时需提前 7 天预警。</w:t>
            </w:r>
          </w:p>
          <w:p>
            <w:pPr>
              <w:pStyle w:val="null3"/>
              <w:jc w:val="left"/>
            </w:pPr>
            <w:r>
              <w:rPr>
                <w:rFonts w:ascii="仿宋_GB2312" w:hAnsi="仿宋_GB2312" w:cs="仿宋_GB2312" w:eastAsia="仿宋_GB2312"/>
                <w:sz w:val="21"/>
              </w:rPr>
              <w:t>断供应对：若因生产企业停产、运输受阻等原因导致断供，需在 24 小时内提供替补供应商（需提前报备 3 家以上合格替补企业名单），确保临床用药不中断，断供超过 48 小时视为严重违约。</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、拥有符合要求的仓储场地（</w:t>
            </w:r>
            <w:r>
              <w:rPr>
                <w:rFonts w:ascii="仿宋_GB2312" w:hAnsi="仿宋_GB2312" w:cs="仿宋_GB2312" w:eastAsia="仿宋_GB2312"/>
                <w:sz w:val="21"/>
                <w:b/>
              </w:rPr>
              <w:t>需提供产权证明或租赁合同影印件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2、具备冷链运输能力。</w:t>
            </w:r>
            <w:r>
              <w:rPr>
                <w:rFonts w:ascii="仿宋_GB2312" w:hAnsi="仿宋_GB2312" w:cs="仿宋_GB2312" w:eastAsia="仿宋_GB2312"/>
                <w:sz w:val="21"/>
                <w:b/>
              </w:rPr>
              <w:t>提供严格按照药品冷链运输要求，具备冷链运输能力的承诺函，格式自拟。</w:t>
            </w:r>
          </w:p>
          <w:p>
            <w:pPr>
              <w:pStyle w:val="null3"/>
              <w:jc w:val="left"/>
            </w:pPr>
            <w:r>
              <w:rPr>
                <w:rFonts w:ascii="仿宋_GB2312" w:hAnsi="仿宋_GB2312" w:cs="仿宋_GB2312" w:eastAsia="仿宋_GB2312"/>
                <w:sz w:val="21"/>
              </w:rPr>
              <w:t>3、代煎需要配备：自动或半自动中药煎药机、自动煎药壶、消毒柜等煎药相关设备。</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color w:val="000000"/>
              </w:rPr>
              <w:t>人员配置要求：针对本项目至少配备1名配送人员，同时以上人员均无犯罪史、吸毒史。</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、业绩要求：近 3 年（2022 年 1 月1日（含）至今）承接过至少一次中药饮片配送项目</w:t>
            </w:r>
            <w:r>
              <w:rPr>
                <w:rFonts w:ascii="仿宋_GB2312" w:hAnsi="仿宋_GB2312" w:cs="仿宋_GB2312" w:eastAsia="仿宋_GB2312"/>
                <w:sz w:val="21"/>
                <w:b/>
              </w:rPr>
              <w:t>（提供合同/协议影印件，需体现服务内容、期限及金额）</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b/>
              </w:rPr>
              <w:t>5、专项承诺：①煎药相关成本均由中标人承担，医保有关收费归采购方。②承诺按照采购人《医院采购项目价格管理工作制度（试行）》制度在药品价格发生变化前3个工作日内向采购人提供书面情况说明；采购人发现市场价格有明显下浮，向中标人提出降价要求时，中标人立即响应并核实、降价。（在投标文件中提供承诺函并加盖投标人电子签章，格式自拟）</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商务要求</w:t>
            </w:r>
          </w:p>
        </w:tc>
        <w:tc>
          <w:tcPr>
            <w:tcW w:type="dxa" w:w="5814"/>
          </w:tcPr>
          <w:p>
            <w:pPr>
              <w:pStyle w:val="null3"/>
              <w:jc w:val="both"/>
            </w:pPr>
            <w:r>
              <w:rPr>
                <w:rFonts w:ascii="仿宋_GB2312" w:hAnsi="仿宋_GB2312" w:cs="仿宋_GB2312" w:eastAsia="仿宋_GB2312"/>
                <w:sz w:val="21"/>
              </w:rPr>
              <w:t>预算金额：100 万元（年度采购预算金额为人民币100万元整。当实际采购结算金额达到该预算上限，或合同履约期限届满时，合同即告终止。）</w:t>
            </w:r>
          </w:p>
          <w:p>
            <w:pPr>
              <w:pStyle w:val="null3"/>
              <w:jc w:val="both"/>
            </w:pPr>
            <w:r>
              <w:rPr>
                <w:rFonts w:ascii="仿宋_GB2312" w:hAnsi="仿宋_GB2312" w:cs="仿宋_GB2312" w:eastAsia="仿宋_GB2312"/>
                <w:sz w:val="21"/>
              </w:rPr>
              <w:t>合同履约期限：自合同签订之日起365日。</w:t>
            </w:r>
          </w:p>
          <w:p>
            <w:pPr>
              <w:pStyle w:val="null3"/>
              <w:jc w:val="left"/>
            </w:pPr>
            <w:r>
              <w:rPr>
                <w:rFonts w:ascii="仿宋_GB2312" w:hAnsi="仿宋_GB2312" w:cs="仿宋_GB2312" w:eastAsia="仿宋_GB2312"/>
                <w:sz w:val="21"/>
              </w:rPr>
              <w:t>最高限价：100%</w:t>
            </w:r>
          </w:p>
          <w:p>
            <w:pPr>
              <w:pStyle w:val="null3"/>
              <w:jc w:val="left"/>
            </w:pPr>
            <w:r>
              <w:rPr>
                <w:rFonts w:ascii="仿宋_GB2312" w:hAnsi="仿宋_GB2312" w:cs="仿宋_GB2312" w:eastAsia="仿宋_GB2312"/>
                <w:sz w:val="21"/>
              </w:rPr>
              <w:t>报价说明：投标人在单价最高限价的基础上分别填报重点品种统一折扣比例和非重点品种的统一折扣比例。（所有重点品种货物仅允许报一个折扣比例，非重点品种仅允许报一个折扣比例。折扣比例的定义：限价10元的货物报价9元，即折扣比例为90%，以此类推。）报价包含饮片采购成本、仓储费、代煎费（若有设备、系统、耗材等）、运输费（含冷链）、包装费、税费、SPD 建设费等所有费用，为 “一价全包” 价格。</w:t>
            </w:r>
          </w:p>
          <w:p>
            <w:pPr>
              <w:pStyle w:val="null3"/>
              <w:jc w:val="left"/>
            </w:pPr>
            <w:r>
              <w:rPr>
                <w:rFonts w:ascii="仿宋_GB2312" w:hAnsi="仿宋_GB2312" w:cs="仿宋_GB2312" w:eastAsia="仿宋_GB2312"/>
                <w:sz w:val="21"/>
              </w:rPr>
              <w:t>付款进度安排：</w:t>
            </w:r>
          </w:p>
          <w:p>
            <w:pPr>
              <w:pStyle w:val="null3"/>
              <w:jc w:val="left"/>
            </w:pPr>
            <w:r>
              <w:rPr>
                <w:rFonts w:ascii="仿宋_GB2312" w:hAnsi="仿宋_GB2312" w:cs="仿宋_GB2312" w:eastAsia="仿宋_GB2312"/>
                <w:sz w:val="21"/>
              </w:rPr>
              <w:t>1.结算时间：由采购人和中标人双方协商，按相关规定据实结算付款。</w:t>
            </w:r>
          </w:p>
          <w:p>
            <w:pPr>
              <w:pStyle w:val="null3"/>
              <w:jc w:val="left"/>
            </w:pPr>
            <w:r>
              <w:rPr>
                <w:rFonts w:ascii="仿宋_GB2312" w:hAnsi="仿宋_GB2312" w:cs="仿宋_GB2312" w:eastAsia="仿宋_GB2312"/>
                <w:sz w:val="21"/>
              </w:rPr>
              <w:t>2.付款前，中标人应向采购人提供所销售药品符合有关规定的增值税发票和有关单据。否则采购人有权暂缓支付直至中标人出符合要求的发票和单据，造成损失的均由中标人承担，中标人应继续履行合同义务。</w:t>
            </w:r>
          </w:p>
          <w:p>
            <w:pPr>
              <w:pStyle w:val="null3"/>
              <w:jc w:val="left"/>
            </w:pPr>
            <w:r>
              <w:rPr>
                <w:rFonts w:ascii="仿宋_GB2312" w:hAnsi="仿宋_GB2312" w:cs="仿宋_GB2312" w:eastAsia="仿宋_GB2312"/>
                <w:sz w:val="21"/>
              </w:rPr>
              <w:t>3.结算方式：由采购人和中标人双方协商确定。（因系统固化付款进度安排以此为准进行响应）</w:t>
            </w:r>
          </w:p>
          <w:p>
            <w:pPr>
              <w:pStyle w:val="null3"/>
              <w:jc w:val="left"/>
            </w:pPr>
            <w:r>
              <w:rPr>
                <w:rFonts w:ascii="仿宋_GB2312" w:hAnsi="仿宋_GB2312" w:cs="仿宋_GB2312" w:eastAsia="仿宋_GB2312"/>
              </w:rPr>
              <w:t xml:space="preserve"> </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两年（合同一年一续签，年度服务达标可续签下一年度，未达标则终止合作。考核内容详见附件2《中药饮片配送服务季度质量考核表》）</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资阳市精神病医院</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投标人与采购人应按照政府采购相关法律法规以及《财政部关于进一步加强政府采购需求和履约验收管理的指导意见》（财库[2016]205号）的规定，严格按照招标文件的质量要求和技术指标、投标人的投标文件及承诺、国家有关部门批准的技术标准、双方签订的合同，共同现场验收。同时提供相关证明文件，否则视为验收不合格，采购人有权单方面解除合同。</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1、进度款，由采购人和中标人双方协商，按相关规定据实结算付款，达到付款条件起10日内，据实结算说明为由采购人和中标人双方协商，按相关规定据实结算付款。</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①合同双方如有一方不履行合同义务或者履行合同义务不符合合同约定的,除另有注明者外，均按合同总价的1%支付对方违约金，造成对方损失的还应赔偿损失。②投标人如违反本合同售后服务协议条款的内容，除应继续按照售后服务要求提供售后服务外还应按合同总金额的5%承担违约责任。③争议解决方法：双方根据本合同原则，友好协商解决；协商无效的，可向有管辖权的人民法院提起诉讼。</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采购包1： 1、根据供应商针对本项目提供以下内容进行评审，所提供的内容将作为本项目评审依据，也将作为成交后履约过程中的监督及验收依据。 1.1、质量要求：内容包括：1.按照中药饮片品质等级评分,单个药品品质等级得分: (1)道地药材:得30分 (2)特等品:得25分 (3)选货:得20分 (4)统货:得 15分 2.在品质等级分值基础上，单个药品此项最终得分采取: （1）重点品种得分=品质等级得分×70% （2）非重点品种得分=品质等级得分x30%; 3.本项最终得分=所有重点品种得分/重点品种数量(76 项)+所有非重点品种得分/非重点品种数量(227项) 4.报表中未填写执行标准或填写不符合上述 4个名称的，视为暂无执行标准，单个药品此项不得分。 1.2服务方案：内容包括：根据投标人提供的配送方案进行综合评审，方案应包括：①配送方案（包含：常规 / 应急配送流程、温度控制措施、时效保障机制）；②质量控制方案（包含：饮片验收标准、追溯系统建设、不合格品召回流程）；③代煎服务方案（包含：处方审核、煎煮参数、包装标注要求、设备、耗材、系统需求）；④信息化对接方案（与医院 HIS 系统、SPD 系统的对接流程及技术支持）。方案能完全满足本项目需求的得12分，每缺失1项，扣3分，扣完为止，针对以上4项方案内容，每一项中每有1处存在内容缺陷，扣1.5分，扣完本项3分为止。未提供方案，不得分。 注：缺陷是指存在项目名称错误、地点区域错误、方案内容错漏或表述前后矛盾、仅有框架或标题、适用的标准（方法）错误、明显复制其他项目内容、与项目需求不相适应等任意一种情形。 1.3售后服务方案：内容包括：根据投标人提供的质量控制方案进行综合评审，方案应包括：①具有出入库管理制度；②运输中的突发应急措施（对运输途中突发状况的描述及对发生突发状况的处理方案）③因问题产品引发的医疗事故应急措施（包含：因问题产品引发的医疗事故的处理方案及保障措施，保障临床用药的安全性）④临时配送的应急措施（如何保证采购人临时配送要求的应急方案，方案中至少包含能保证本项目临时配送要求的配送网点的地点及产品库存的数量，如断供时的替补供应商名单）。方案能完全满足本项目需求的得10分，每缺失1项，扣2.5分，扣完为止，针对以上4项方案内容，每一项中每有1处存在内容缺陷，扣1.25分，扣完本项2.5分为止。未提供方案，不得分。 注：缺陷是指存在项目名称错误、地点区域错误、方案内容错漏或表述前后矛盾、仅有框架或标题、适用的标准（方法）错误、明显复制其他项目内容、与项目需求不相适应等任意一种情形。 1.4类似项目业绩：内容包括：除服务内容中规定的必备业绩外，投标人可额外提供自2022年1月1日（含）以来具有的类似项目（类似项目是指中药饮片采购或配送）业绩，每提供1个得1分，本项最高得3分。 注：需提供项目协议/合同影印件或中标（成交）通知书影印件，同一个项目不重复得分。 注：以上内容无需供应商在响应表中进行响应，根据自身情况在响应文件中提供即可 。</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响应文件时，按要求填写《投标（响应）函》完成承诺并提供相关证明材料进行电子签章。（注：①投标人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⑤若为非法人机构，需提供法人完整逐级授权证明；以上均提供复印件）</w:t>
            </w:r>
          </w:p>
        </w:tc>
        <w:tc>
          <w:tcPr>
            <w:tcW w:type="dxa" w:w="1661"/>
          </w:tcPr>
          <w:p>
            <w:pPr>
              <w:pStyle w:val="null3"/>
              <w:jc w:val="left"/>
            </w:pPr>
            <w:r>
              <w:rPr>
                <w:rFonts w:ascii="仿宋_GB2312" w:hAnsi="仿宋_GB2312" w:cs="仿宋_GB2312" w:eastAsia="仿宋_GB2312"/>
              </w:rPr>
              <w:t>投标人应提交的相关证明材料,投标文件封面,投标（响应）函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投标人需在项目电子化交易系统中按要求填写《投标（响应）函》完成承诺以及提供相应证明材料并进行电子签章。证明材料：①提供 2024 年度经审计的财务报告复印件（包含审计报告和审计报告中所涉及的财务报表和报表附注）；②提供2024年度供应商内部的财务报表复印件（至少包含资产负债表）；③提供距文件递交截止日一年内银行出具的资信证明（复印件）；④供应商注册时间至文件递交截止日不足一年的，提供公司章程复印件；⑤供应商为事业单位或其他组织（不具备法人条件的组织，如合伙组织、个体工商户、农村承包经营户等）或自然人时，可只提供承诺函〕；（注：具备健全的财务会计制度的证明材料中第①-⑤项具有同等效力，供应商可根据自身实际情况选择提供其中任意一项）。</w:t>
            </w:r>
          </w:p>
        </w:tc>
        <w:tc>
          <w:tcPr>
            <w:tcW w:type="dxa" w:w="1661"/>
          </w:tcPr>
          <w:p>
            <w:pPr>
              <w:pStyle w:val="null3"/>
              <w:jc w:val="left"/>
            </w:pPr>
            <w:r>
              <w:rPr>
                <w:rFonts w:ascii="仿宋_GB2312" w:hAnsi="仿宋_GB2312" w:cs="仿宋_GB2312" w:eastAsia="仿宋_GB2312"/>
              </w:rPr>
              <w:t>具有健全财务会计制度的证明材料.docx,投标（响应）函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投标人以联合体形式参加本采购包的，联合体各方均应当符合本采购包专门面向的企业类型；如投标人合同分包的，分包意向协议中分包意向投标人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投标人须具备药品经营 / 生产资质</w:t>
            </w:r>
          </w:p>
        </w:tc>
        <w:tc>
          <w:tcPr>
            <w:tcW w:type="dxa" w:w="3322"/>
          </w:tcPr>
          <w:p>
            <w:pPr>
              <w:pStyle w:val="null3"/>
              <w:jc w:val="left"/>
            </w:pPr>
            <w:r>
              <w:rPr>
                <w:rFonts w:ascii="仿宋_GB2312" w:hAnsi="仿宋_GB2312" w:cs="仿宋_GB2312" w:eastAsia="仿宋_GB2312"/>
              </w:rPr>
              <w:t>（1）若投标人为产品制造商的，须具有有效的《药品生产许可证》或《药品生产许可证》电子证书（生产范围需包含中药饮片）； （2）若投标人为非产品制造商的，须具有有效的《药品经营许可证》或《药品经营许可证》电子证书（经营范围需包含中药饮片），同时所投产品生产企业须具有有效的《药品生产许可证》或《药品生产许可证》电子证书（生产范围需包含中药饮片）。（提供证书影印件）</w:t>
            </w:r>
          </w:p>
        </w:tc>
        <w:tc>
          <w:tcPr>
            <w:tcW w:type="dxa" w:w="1661"/>
          </w:tcPr>
          <w:p>
            <w:pPr>
              <w:pStyle w:val="null3"/>
              <w:jc w:val="left"/>
            </w:pPr>
            <w:r>
              <w:rPr>
                <w:rFonts w:ascii="仿宋_GB2312" w:hAnsi="仿宋_GB2312" w:cs="仿宋_GB2312" w:eastAsia="仿宋_GB2312"/>
              </w:rPr>
              <w:t>投标人认为应该提供的其他材料.docx,特定资格要求的证明材料.docx,投标（响应）函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招标文件中明确要求单独提供承诺函的，投标人按照招标文件要求上传承诺函；招标文件中没有明确要求单独提供承诺函的（除第三章外），投标人在《投标（响应）函》中以“我单位完全接受和理解本项目采购文件规定的实质性要求”进行承诺即视为响应，并严格遵守、执行相关实质性要求。</w:t>
            </w:r>
          </w:p>
        </w:tc>
        <w:tc>
          <w:tcPr>
            <w:tcW w:type="dxa" w:w="1661"/>
          </w:tcPr>
          <w:p>
            <w:pPr>
              <w:pStyle w:val="null3"/>
              <w:jc w:val="left"/>
            </w:pPr>
            <w:r>
              <w:rPr>
                <w:rFonts w:ascii="仿宋_GB2312" w:hAnsi="仿宋_GB2312" w:cs="仿宋_GB2312" w:eastAsia="仿宋_GB2312"/>
              </w:rPr>
              <w:t>投标人认为应该提供的其他材料.docx,投标人应提交的相关证明材料,投标（响应）函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投标文件规定的实质性要求。</w:t>
            </w:r>
          </w:p>
        </w:tc>
        <w:tc>
          <w:tcPr>
            <w:tcW w:type="dxa" w:w="3322"/>
          </w:tcPr>
          <w:p>
            <w:pPr>
              <w:pStyle w:val="null3"/>
              <w:jc w:val="left"/>
            </w:pPr>
            <w:r>
              <w:rPr>
                <w:rFonts w:ascii="仿宋_GB2312" w:hAnsi="仿宋_GB2312" w:cs="仿宋_GB2312" w:eastAsia="仿宋_GB2312"/>
              </w:rPr>
              <w:t>投标人按照招标文件要求上传相应材料。（针对第三章中技术、服务、商务及其他要求中带“★”的实质性要求，投标人应在相应响应表中逐条响应，涉及证明材料的按招标文件要求提供相关证明材料。）</w:t>
            </w:r>
          </w:p>
        </w:tc>
        <w:tc>
          <w:tcPr>
            <w:tcW w:type="dxa" w:w="1661"/>
          </w:tcPr>
          <w:p>
            <w:pPr>
              <w:pStyle w:val="null3"/>
              <w:jc w:val="left"/>
            </w:pPr>
            <w:r>
              <w:rPr>
                <w:rFonts w:ascii="仿宋_GB2312" w:hAnsi="仿宋_GB2312" w:cs="仿宋_GB2312" w:eastAsia="仿宋_GB2312"/>
              </w:rPr>
              <w:t>投标人认为应该提供的其他材料.docx,投标人应提交的相关证明材料,中小企业声明函,残疾人福利性单位声明函,商务应答表.docx,服务应答表,技术要求应答表.docx,监狱企业的证明文件</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详细评审55.00分</w:t>
            </w:r>
          </w:p>
          <w:p>
            <w:pPr>
              <w:pStyle w:val="null3"/>
              <w:jc w:val="left"/>
            </w:pPr>
            <w:r>
              <w:rPr>
                <w:rFonts w:ascii="仿宋_GB2312" w:hAnsi="仿宋_GB2312" w:cs="仿宋_GB2312" w:eastAsia="仿宋_GB2312"/>
              </w:rPr>
              <w:t>报价得分45.00分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质量要求</w:t>
            </w:r>
          </w:p>
        </w:tc>
        <w:tc>
          <w:tcPr>
            <w:tcW w:type="dxa" w:w="2575"/>
          </w:tcPr>
          <w:p>
            <w:pPr>
              <w:pStyle w:val="null3"/>
              <w:jc w:val="left"/>
            </w:pPr>
            <w:r>
              <w:rPr>
                <w:rFonts w:ascii="仿宋_GB2312" w:hAnsi="仿宋_GB2312" w:cs="仿宋_GB2312" w:eastAsia="仿宋_GB2312"/>
              </w:rPr>
              <w:t>1.按照中药饮片品质等级评分,单个药品品质等级得分: (1)道地药材:得30分 (2)特等品:得25分 (3)选货:得20分 (4)统货:得 15分 2.在品质等级分值基础上，单个药品此项最终得分采取: (1)重点品种得分=品质等级得分×70% (2)非重点品种得分=品质等级得分x30%; 3.本项最终得分=所有重点品种得分/重点品种数量(76 项)+所有非重点品种得分/非重点品种数量(227项) 4.报表中未填写执行标准或填写不符合上述 4个名称的，视为暂无执行标准，单个药品此项不得分。</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投标人认为应该提供的其他材料.docx</w:t>
            </w:r>
          </w:p>
        </w:tc>
      </w:tr>
      <w:tr>
        <w:tc>
          <w:tcPr>
            <w:tcW w:type="dxa" w:w="831"/>
            <w:vMerge/>
          </w:tcP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根据投标人提供的配送方案进行综合评审，方案应包括：①配送方案（包含：常规 / 应急配送流程、温度控制措施、时效保障机制）；②质量控制方案（包含：饮片验收标准、追溯系统建设、不合格品召回流程）；③代煎服务方案（包含：处方审核、煎煮参数、包装标注要求、设备、耗材、系统需求）；④信息化对接方案（与医院 HIS 系统、SPD 系统的对接流程及技术支持）。方案能完全满足本项目需求的得12分，每缺失1项，扣3分，扣完为止，针对以上4项方案内容，每一项中每有1处存在内容缺陷，扣1.5分，扣完本项3分为止。未提供方案，不得分。 注：缺陷是指存在项目名称错误、地点区域错误、方案内容错漏或表述前后矛盾、仅有框架或标题、适用的标准（方法）错误、明显复制其他项目内容、与项目需求不相适应等任意一种情形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投标人认为应该提供的其他材料.docx</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根据投标人提供的质量控制方案进行综合评审，方案应包括：①具有出入库管理制度；②运输中的突发应急措施（对运输途中突发状况的描述及对发生突发状况的处理方案）③因问题产品引发的医疗事故应急措施（包含：因问题产品引发的医疗事故的处理方案及保障措施，保障临床用药的安全性）④临时配送的应急措施（如何保证采购人临时配送要求的应急方案，方案中至少包含能保证本项目临时配送要求的配送网点的地点及产品库存的数量，如断供时的替补供应商名单）。方案能完全满足本项目需求的得10分，每缺失1项，扣2.5分，扣完为止，针对以上4项方案内容，每一项中每有1处存在内容缺陷，扣1.25分，扣完本项2.5分为止。未提供方案，不得分。 注：缺陷是指存在项目名称错误、地点区域错误、方案内容错漏或表述前后矛盾、仅有框架或标题、适用的标准（方法）错误、明显复制其他项目内容、与项目需求不相适应等任意一种情形</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投标人认为应该提供的其他材料.docx</w:t>
            </w:r>
          </w:p>
        </w:tc>
      </w:tr>
      <w:tr>
        <w:tc>
          <w:tcPr>
            <w:tcW w:type="dxa" w:w="831"/>
            <w:vMerge/>
          </w:tcPr>
          <w:p/>
        </w:tc>
        <w:tc>
          <w:tcPr>
            <w:tcW w:type="dxa" w:w="1661"/>
          </w:tcPr>
          <w:p>
            <w:pPr>
              <w:pStyle w:val="null3"/>
              <w:jc w:val="left"/>
            </w:pPr>
            <w:r>
              <w:rPr>
                <w:rFonts w:ascii="仿宋_GB2312" w:hAnsi="仿宋_GB2312" w:cs="仿宋_GB2312" w:eastAsia="仿宋_GB2312"/>
              </w:rPr>
              <w:t>类似项目业绩</w:t>
            </w:r>
          </w:p>
        </w:tc>
        <w:tc>
          <w:tcPr>
            <w:tcW w:type="dxa" w:w="2575"/>
          </w:tcPr>
          <w:p>
            <w:pPr>
              <w:pStyle w:val="null3"/>
              <w:jc w:val="left"/>
            </w:pPr>
            <w:r>
              <w:rPr>
                <w:rFonts w:ascii="仿宋_GB2312" w:hAnsi="仿宋_GB2312" w:cs="仿宋_GB2312" w:eastAsia="仿宋_GB2312"/>
              </w:rPr>
              <w:t>除服务内容中规定的必备业绩外，投标人可额外提供自2022年1月1日（含）以来具有的类似项目（类似项目是指中药饮片采购或配送）业绩，每提供1个得1分，本项最高得3分。 注：需提供项目协议/合同影印件或中标（成交）通知书影印件，同一个项目不重复得分。</w:t>
            </w:r>
          </w:p>
        </w:tc>
        <w:tc>
          <w:tcPr>
            <w:tcW w:type="dxa" w:w="831"/>
          </w:tcPr>
          <w:p>
            <w:pPr>
              <w:pStyle w:val="null3"/>
              <w:jc w:val="center"/>
            </w:pPr>
            <w:r>
              <w:rPr>
                <w:rFonts w:ascii="仿宋_GB2312" w:hAnsi="仿宋_GB2312" w:cs="仿宋_GB2312" w:eastAsia="仿宋_GB2312"/>
              </w:rPr>
              <w:t>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投标人认为应该提供的其他材料.docx</w:t>
            </w:r>
          </w:p>
        </w:tc>
      </w:tr>
      <w:tr>
        <w:tc>
          <w:tcPr>
            <w:tcW w:type="dxa" w:w="831"/>
            <w:vMerge w:val="restart"/>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中药饮片配送服务（重点品种部分）</w:t>
            </w:r>
          </w:p>
        </w:tc>
        <w:tc>
          <w:tcPr>
            <w:tcW w:type="dxa" w:w="2575"/>
          </w:tcPr>
          <w:p>
            <w:pPr>
              <w:pStyle w:val="null3"/>
              <w:jc w:val="left"/>
            </w:pPr>
            <w:r>
              <w:rPr>
                <w:rFonts w:ascii="仿宋_GB2312" w:hAnsi="仿宋_GB2312" w:cs="仿宋_GB2312" w:eastAsia="仿宋_GB2312"/>
              </w:rPr>
              <w:t>满足招标文件要求且统一折扣比例最低的为基准价，其价格分为满分。其他供应商的重点品种价格分统一按照下列公式计算：报价得分=基准价／统一折扣比例×40</w:t>
            </w:r>
          </w:p>
        </w:tc>
        <w:tc>
          <w:tcPr>
            <w:tcW w:type="dxa" w:w="831"/>
          </w:tcPr>
          <w:p>
            <w:pPr>
              <w:pStyle w:val="null3"/>
              <w:jc w:val="center"/>
            </w:pPr>
            <w:r>
              <w:rPr>
                <w:rFonts w:ascii="仿宋_GB2312" w:hAnsi="仿宋_GB2312" w:cs="仿宋_GB2312" w:eastAsia="仿宋_GB2312"/>
              </w:rPr>
              <w:t>40.0000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报价明细表</w:t>
            </w:r>
          </w:p>
        </w:tc>
      </w:tr>
      <w:tr>
        <w:tc>
          <w:tcPr>
            <w:tcW w:type="dxa" w:w="831"/>
            <w:vMerge/>
          </w:tcPr>
          <w:p/>
        </w:tc>
        <w:tc>
          <w:tcPr>
            <w:tcW w:type="dxa" w:w="1661"/>
          </w:tcPr>
          <w:p>
            <w:pPr>
              <w:pStyle w:val="null3"/>
              <w:jc w:val="left"/>
            </w:pPr>
            <w:r>
              <w:rPr>
                <w:rFonts w:ascii="仿宋_GB2312" w:hAnsi="仿宋_GB2312" w:cs="仿宋_GB2312" w:eastAsia="仿宋_GB2312"/>
              </w:rPr>
              <w:t>中药饮片配送服务（非重点品种部分）</w:t>
            </w:r>
          </w:p>
        </w:tc>
        <w:tc>
          <w:tcPr>
            <w:tcW w:type="dxa" w:w="2575"/>
          </w:tcPr>
          <w:p>
            <w:pPr>
              <w:pStyle w:val="null3"/>
              <w:jc w:val="left"/>
            </w:pPr>
            <w:r>
              <w:rPr>
                <w:rFonts w:ascii="仿宋_GB2312" w:hAnsi="仿宋_GB2312" w:cs="仿宋_GB2312" w:eastAsia="仿宋_GB2312"/>
              </w:rPr>
              <w:t>满足招标文件要求且统一折扣比例最低的为基准价，其价格分为满分。其他供应商的非重点品种价格分统一按照下列公式计算：报价得分=基准价／统一折扣比例×5</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报价明细表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详见附件：投标人认为应该提供的其他材料.docx</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详见附件：技术要求应答表.docx</w:t>
      </w:r>
    </w:p>
    <w:p>
      <w:pPr>
        <w:pStyle w:val="null3"/>
        <w:ind w:firstLine="960"/>
        <w:jc w:val="left"/>
      </w:pPr>
      <w:r>
        <w:rPr>
          <w:rFonts w:ascii="仿宋_GB2312" w:hAnsi="仿宋_GB2312" w:cs="仿宋_GB2312" w:eastAsia="仿宋_GB2312"/>
        </w:rPr>
        <w:t>详见附件：特定资格要求的证明材料.docx</w:t>
      </w:r>
    </w:p>
    <w:p>
      <w:pPr>
        <w:pStyle w:val="null3"/>
        <w:ind w:firstLine="960"/>
        <w:jc w:val="left"/>
      </w:pPr>
      <w:r>
        <w:rPr>
          <w:rFonts w:ascii="仿宋_GB2312" w:hAnsi="仿宋_GB2312" w:cs="仿宋_GB2312" w:eastAsia="仿宋_GB2312"/>
        </w:rPr>
        <w:t>详见附件：具有健全财务会计制度的证明材料.docx</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详见附件：资阳市精神病医院中药饮片购销合同.docx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