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D8766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小标宋_GBK" w:cs="Times New Roman"/>
          <w:color w:val="000000" w:themeColor="text1"/>
          <w:sz w:val="52"/>
          <w:szCs w:val="52"/>
          <w:lang w:val="en-US" w:eastAsia="zh-CN"/>
          <w14:textFill>
            <w14:solidFill>
              <w14:schemeClr w14:val="tx1"/>
            </w14:solidFill>
          </w14:textFill>
        </w:rPr>
      </w:pPr>
      <w:bookmarkStart w:id="0" w:name="_Toc35393797"/>
      <w:bookmarkStart w:id="1" w:name="_Toc28359011"/>
    </w:p>
    <w:p w14:paraId="42F53A08">
      <w:pPr>
        <w:spacing w:line="360" w:lineRule="auto"/>
        <w:ind w:left="880" w:hanging="880" w:hangingChars="200"/>
        <w:jc w:val="center"/>
        <w:rPr>
          <w:rFonts w:hint="eastAsia" w:ascii="方正小标宋_GBK" w:hAnsi="方正小标宋_GBK" w:eastAsia="方正小标宋_GBK" w:cs="方正小标宋_GBK"/>
          <w:color w:val="000000" w:themeColor="text1"/>
          <w:spacing w:val="0"/>
          <w:sz w:val="44"/>
          <w:szCs w:val="44"/>
          <w:lang w:val="en-US" w:eastAsia="zh-CN"/>
          <w14:textFill>
            <w14:solidFill>
              <w14:schemeClr w14:val="tx1"/>
            </w14:solidFill>
          </w14:textFill>
        </w:rPr>
      </w:pPr>
      <w:r>
        <w:rPr>
          <w:rFonts w:hint="eastAsia" w:ascii="方正小标宋_GBK" w:hAnsi="方正小标宋_GBK" w:eastAsia="方正小标宋_GBK" w:cs="方正小标宋_GBK"/>
          <w:color w:val="000000" w:themeColor="text1"/>
          <w:spacing w:val="0"/>
          <w:sz w:val="44"/>
          <w:szCs w:val="44"/>
          <w:lang w:val="en-US" w:eastAsia="zh-CN"/>
          <w14:textFill>
            <w14:solidFill>
              <w14:schemeClr w14:val="tx1"/>
            </w14:solidFill>
          </w14:textFill>
        </w:rPr>
        <w:t>2026年西双版纳州勐海县勐阿镇南朗河村委会</w:t>
      </w:r>
    </w:p>
    <w:p w14:paraId="1D1857C7">
      <w:pPr>
        <w:spacing w:line="360" w:lineRule="auto"/>
        <w:ind w:left="880" w:hanging="880" w:hangingChars="200"/>
        <w:jc w:val="center"/>
        <w:rPr>
          <w:rFonts w:hint="eastAsia" w:ascii="方正小标宋_GBK" w:hAnsi="方正小标宋_GBK" w:eastAsia="方正小标宋_GBK" w:cs="方正小标宋_GBK"/>
          <w:color w:val="000000" w:themeColor="text1"/>
          <w:spacing w:val="0"/>
          <w:sz w:val="44"/>
          <w:szCs w:val="44"/>
          <w:lang w:val="en-US" w:eastAsia="zh-CN"/>
          <w14:textFill>
            <w14:solidFill>
              <w14:schemeClr w14:val="tx1"/>
            </w14:solidFill>
          </w14:textFill>
        </w:rPr>
      </w:pPr>
      <w:r>
        <w:rPr>
          <w:rFonts w:hint="eastAsia" w:ascii="方正小标宋_GBK" w:hAnsi="方正小标宋_GBK" w:eastAsia="方正小标宋_GBK" w:cs="方正小标宋_GBK"/>
          <w:color w:val="000000" w:themeColor="text1"/>
          <w:spacing w:val="0"/>
          <w:sz w:val="44"/>
          <w:szCs w:val="44"/>
          <w:lang w:val="en-US" w:eastAsia="zh-CN"/>
          <w14:textFill>
            <w14:solidFill>
              <w14:schemeClr w14:val="tx1"/>
            </w14:solidFill>
          </w14:textFill>
        </w:rPr>
        <w:t>龙竹蓬村小组农村公益事业建设</w:t>
      </w:r>
    </w:p>
    <w:p w14:paraId="3400D2C4">
      <w:pPr>
        <w:spacing w:line="360" w:lineRule="auto"/>
        <w:ind w:left="880" w:hanging="880" w:hangingChars="200"/>
        <w:jc w:val="center"/>
        <w:rPr>
          <w:rFonts w:hint="eastAsia" w:ascii="方正小标宋_GBK" w:hAnsi="方正小标宋_GBK" w:eastAsia="方正小标宋_GBK" w:cs="方正小标宋_GBK"/>
          <w:color w:val="000000" w:themeColor="text1"/>
          <w14:textFill>
            <w14:solidFill>
              <w14:schemeClr w14:val="tx1"/>
            </w14:solidFill>
          </w14:textFill>
        </w:rPr>
      </w:pPr>
      <w:r>
        <w:rPr>
          <w:rFonts w:hint="eastAsia" w:ascii="方正小标宋_GBK" w:hAnsi="方正小标宋_GBK" w:eastAsia="方正小标宋_GBK" w:cs="方正小标宋_GBK"/>
          <w:color w:val="000000" w:themeColor="text1"/>
          <w:spacing w:val="0"/>
          <w:sz w:val="44"/>
          <w:szCs w:val="44"/>
          <w:lang w:val="en-US" w:eastAsia="zh-CN"/>
          <w14:textFill>
            <w14:solidFill>
              <w14:schemeClr w14:val="tx1"/>
            </w14:solidFill>
          </w14:textFill>
        </w:rPr>
        <w:t>财政奖补项目（普惠）</w:t>
      </w:r>
    </w:p>
    <w:p w14:paraId="1EF9440C">
      <w:pPr>
        <w:spacing w:line="360" w:lineRule="auto"/>
        <w:jc w:val="center"/>
        <w:rPr>
          <w:rFonts w:hint="default" w:ascii="Times New Roman" w:hAnsi="Times New Roman" w:cs="Times New Roman"/>
          <w:b/>
          <w:color w:val="000000" w:themeColor="text1"/>
          <w:sz w:val="48"/>
          <w:szCs w:val="48"/>
          <w14:textFill>
            <w14:solidFill>
              <w14:schemeClr w14:val="tx1"/>
            </w14:solidFill>
          </w14:textFill>
        </w:rPr>
      </w:pPr>
    </w:p>
    <w:p w14:paraId="2D957366">
      <w:pPr>
        <w:spacing w:line="360" w:lineRule="auto"/>
        <w:ind w:firstLine="2891" w:firstLineChars="600"/>
        <w:jc w:val="both"/>
        <w:rPr>
          <w:rFonts w:hint="default" w:ascii="Times New Roman" w:hAnsi="Times New Roman" w:cs="Times New Roman"/>
          <w:b/>
          <w:color w:val="000000" w:themeColor="text1"/>
          <w:sz w:val="48"/>
          <w:szCs w:val="48"/>
          <w14:textFill>
            <w14:solidFill>
              <w14:schemeClr w14:val="tx1"/>
            </w14:solidFill>
          </w14:textFill>
        </w:rPr>
      </w:pPr>
    </w:p>
    <w:p w14:paraId="00F4221B">
      <w:pPr>
        <w:spacing w:line="360" w:lineRule="auto"/>
        <w:ind w:firstLine="2891" w:firstLineChars="600"/>
        <w:jc w:val="both"/>
        <w:rPr>
          <w:rFonts w:hint="default" w:ascii="Times New Roman" w:hAnsi="Times New Roman" w:cs="Times New Roman"/>
          <w:color w:val="000000" w:themeColor="text1"/>
          <w:sz w:val="48"/>
          <w:szCs w:val="48"/>
          <w14:textFill>
            <w14:solidFill>
              <w14:schemeClr w14:val="tx1"/>
            </w14:solidFill>
          </w14:textFill>
        </w:rPr>
      </w:pPr>
      <w:r>
        <w:rPr>
          <w:rFonts w:hint="default" w:ascii="Times New Roman" w:hAnsi="Times New Roman" w:cs="Times New Roman"/>
          <w:b/>
          <w:color w:val="000000" w:themeColor="text1"/>
          <w:sz w:val="48"/>
          <w:szCs w:val="48"/>
          <w14:textFill>
            <w14:solidFill>
              <w14:schemeClr w14:val="tx1"/>
            </w14:solidFill>
          </w14:textFill>
        </w:rPr>
        <w:t>竞争性磋商文件</w:t>
      </w:r>
    </w:p>
    <w:p w14:paraId="67A63715">
      <w:pPr>
        <w:spacing w:line="360" w:lineRule="auto"/>
        <w:ind w:firstLine="2811" w:firstLineChars="1000"/>
        <w:rPr>
          <w:rFonts w:hint="default" w:ascii="Times New Roman" w:hAnsi="Times New Roman" w:cs="Times New Roman"/>
          <w:b/>
          <w:color w:val="000000" w:themeColor="text1"/>
          <w:sz w:val="28"/>
          <w:lang w:eastAsia="zh-CN"/>
          <w14:textFill>
            <w14:solidFill>
              <w14:schemeClr w14:val="tx1"/>
            </w14:solidFill>
          </w14:textFill>
        </w:rPr>
      </w:pPr>
    </w:p>
    <w:p w14:paraId="77A906F9">
      <w:pPr>
        <w:spacing w:line="360" w:lineRule="auto"/>
        <w:ind w:firstLine="2530" w:firstLineChars="700"/>
        <w:rPr>
          <w:rFonts w:hint="default" w:ascii="Times New Roman" w:hAnsi="Times New Roman" w:cs="Times New Roman"/>
          <w:color w:val="000000" w:themeColor="text1"/>
          <w:sz w:val="36"/>
          <w:szCs w:val="36"/>
          <w:lang w:val="en-US"/>
          <w14:textFill>
            <w14:solidFill>
              <w14:schemeClr w14:val="tx1"/>
            </w14:solidFill>
          </w14:textFill>
        </w:rPr>
      </w:pPr>
      <w:r>
        <w:rPr>
          <w:rFonts w:hint="default" w:ascii="Times New Roman" w:hAnsi="Times New Roman" w:cs="Times New Roman"/>
          <w:b/>
          <w:color w:val="000000" w:themeColor="text1"/>
          <w:sz w:val="36"/>
          <w:szCs w:val="36"/>
          <w:lang w:eastAsia="zh-CN"/>
          <w14:textFill>
            <w14:solidFill>
              <w14:schemeClr w14:val="tx1"/>
            </w14:solidFill>
          </w14:textFill>
        </w:rPr>
        <w:t>项目编号：HMZB-2026-</w:t>
      </w:r>
      <w:r>
        <w:rPr>
          <w:rFonts w:hint="eastAsia" w:cs="Times New Roman"/>
          <w:b/>
          <w:color w:val="000000" w:themeColor="text1"/>
          <w:sz w:val="36"/>
          <w:szCs w:val="36"/>
          <w:lang w:val="en-US" w:eastAsia="zh-CN"/>
          <w14:textFill>
            <w14:solidFill>
              <w14:schemeClr w14:val="tx1"/>
            </w14:solidFill>
          </w14:textFill>
        </w:rPr>
        <w:t>8</w:t>
      </w:r>
      <w:r>
        <w:rPr>
          <w:rFonts w:hint="default" w:ascii="Times New Roman" w:hAnsi="Times New Roman" w:cs="Times New Roman"/>
          <w:b/>
          <w:color w:val="000000" w:themeColor="text1"/>
          <w:sz w:val="36"/>
          <w:szCs w:val="36"/>
          <w:lang w:eastAsia="zh-CN"/>
          <w14:textFill>
            <w14:solidFill>
              <w14:schemeClr w14:val="tx1"/>
            </w14:solidFill>
          </w14:textFill>
        </w:rPr>
        <w:t>-</w:t>
      </w:r>
      <w:r>
        <w:rPr>
          <w:rFonts w:hint="eastAsia" w:cs="Times New Roman"/>
          <w:b/>
          <w:color w:val="000000" w:themeColor="text1"/>
          <w:sz w:val="36"/>
          <w:szCs w:val="36"/>
          <w:lang w:val="en-US" w:eastAsia="zh-CN"/>
          <w14:textFill>
            <w14:solidFill>
              <w14:schemeClr w14:val="tx1"/>
            </w14:solidFill>
          </w14:textFill>
        </w:rPr>
        <w:t>16</w:t>
      </w:r>
    </w:p>
    <w:p w14:paraId="7E983CD1">
      <w:pPr>
        <w:spacing w:line="360" w:lineRule="auto"/>
        <w:rPr>
          <w:rFonts w:hint="default" w:ascii="Times New Roman" w:hAnsi="Times New Roman" w:cs="Times New Roman"/>
          <w:color w:val="000000" w:themeColor="text1"/>
          <w14:textFill>
            <w14:solidFill>
              <w14:schemeClr w14:val="tx1"/>
            </w14:solidFill>
          </w14:textFill>
        </w:rPr>
      </w:pPr>
    </w:p>
    <w:p w14:paraId="560E9A23">
      <w:pPr>
        <w:spacing w:line="360" w:lineRule="auto"/>
        <w:rPr>
          <w:rFonts w:hint="default" w:ascii="Times New Roman" w:hAnsi="Times New Roman" w:cs="Times New Roman"/>
          <w:color w:val="000000" w:themeColor="text1"/>
          <w14:textFill>
            <w14:solidFill>
              <w14:schemeClr w14:val="tx1"/>
            </w14:solidFill>
          </w14:textFill>
        </w:rPr>
      </w:pPr>
    </w:p>
    <w:p w14:paraId="06E9D529">
      <w:pPr>
        <w:spacing w:line="360" w:lineRule="auto"/>
        <w:rPr>
          <w:rFonts w:hint="default" w:ascii="Times New Roman" w:hAnsi="Times New Roman" w:cs="Times New Roman"/>
          <w:color w:val="000000" w:themeColor="text1"/>
          <w14:textFill>
            <w14:solidFill>
              <w14:schemeClr w14:val="tx1"/>
            </w14:solidFill>
          </w14:textFill>
        </w:rPr>
      </w:pPr>
    </w:p>
    <w:p w14:paraId="5C89036B">
      <w:pPr>
        <w:spacing w:line="360" w:lineRule="auto"/>
        <w:rPr>
          <w:rFonts w:hint="default" w:ascii="Times New Roman" w:hAnsi="Times New Roman" w:cs="Times New Roman"/>
          <w:color w:val="000000" w:themeColor="text1"/>
          <w14:textFill>
            <w14:solidFill>
              <w14:schemeClr w14:val="tx1"/>
            </w14:solidFill>
          </w14:textFill>
        </w:rPr>
      </w:pPr>
    </w:p>
    <w:p w14:paraId="1A1E1130">
      <w:pPr>
        <w:spacing w:line="360" w:lineRule="auto"/>
        <w:rPr>
          <w:rFonts w:hint="default" w:ascii="Times New Roman" w:hAnsi="Times New Roman" w:cs="Times New Roman"/>
          <w:color w:val="000000" w:themeColor="text1"/>
          <w14:textFill>
            <w14:solidFill>
              <w14:schemeClr w14:val="tx1"/>
            </w14:solidFill>
          </w14:textFill>
        </w:rPr>
      </w:pPr>
    </w:p>
    <w:p w14:paraId="674F07CF">
      <w:pPr>
        <w:spacing w:line="360" w:lineRule="auto"/>
        <w:ind w:firstLine="1285" w:firstLineChars="400"/>
        <w:rPr>
          <w:rFonts w:hint="default" w:ascii="Times New Roman" w:hAnsi="Times New Roman" w:cs="Times New Roman"/>
          <w:b/>
          <w:color w:val="000000" w:themeColor="text1"/>
          <w:sz w:val="32"/>
          <w:szCs w:val="32"/>
          <w14:textFill>
            <w14:solidFill>
              <w14:schemeClr w14:val="tx1"/>
            </w14:solidFill>
          </w14:textFill>
        </w:rPr>
      </w:pPr>
    </w:p>
    <w:p w14:paraId="7D5EC293">
      <w:pPr>
        <w:keepNext w:val="0"/>
        <w:keepLines w:val="0"/>
        <w:pageBreakBefore w:val="0"/>
        <w:widowControl w:val="0"/>
        <w:kinsoku/>
        <w:wordWrap/>
        <w:overflowPunct/>
        <w:topLinePunct w:val="0"/>
        <w:autoSpaceDE/>
        <w:autoSpaceDN/>
        <w:bidi w:val="0"/>
        <w:adjustRightInd/>
        <w:snapToGrid/>
        <w:spacing w:after="157" w:afterLines="50" w:line="500" w:lineRule="exact"/>
        <w:jc w:val="both"/>
        <w:textAlignment w:val="auto"/>
        <w:rPr>
          <w:rFonts w:hint="default" w:ascii="Times New Roman" w:hAnsi="Times New Roman" w:cs="Times New Roman"/>
          <w:b/>
          <w:color w:val="000000" w:themeColor="text1"/>
          <w:sz w:val="36"/>
          <w:szCs w:val="36"/>
          <w14:textFill>
            <w14:solidFill>
              <w14:schemeClr w14:val="tx1"/>
            </w14:solidFill>
          </w14:textFill>
        </w:rPr>
      </w:pPr>
    </w:p>
    <w:p w14:paraId="71765C47">
      <w:pPr>
        <w:pStyle w:val="9"/>
        <w:rPr>
          <w:rFonts w:hint="default" w:ascii="Times New Roman" w:hAnsi="Times New Roman" w:cs="Times New Roman"/>
          <w:color w:val="000000" w:themeColor="text1"/>
          <w14:textFill>
            <w14:solidFill>
              <w14:schemeClr w14:val="tx1"/>
            </w14:solidFill>
          </w14:textFill>
        </w:rPr>
      </w:pPr>
    </w:p>
    <w:p w14:paraId="18A1B0D3">
      <w:pPr>
        <w:keepNext w:val="0"/>
        <w:keepLines w:val="0"/>
        <w:widowControl/>
        <w:suppressLineNumbers w:val="0"/>
        <w:jc w:val="left"/>
        <w:rPr>
          <w:rFonts w:hint="default" w:ascii="Times New Roman" w:hAnsi="Times New Roman" w:cs="Times New Roman"/>
          <w:b/>
          <w:color w:val="000000" w:themeColor="text1"/>
          <w:sz w:val="36"/>
          <w:szCs w:val="36"/>
          <w:lang w:eastAsia="zh-CN"/>
          <w14:textFill>
            <w14:solidFill>
              <w14:schemeClr w14:val="tx1"/>
            </w14:solidFill>
          </w14:textFill>
        </w:rPr>
      </w:pPr>
      <w:r>
        <w:rPr>
          <w:rFonts w:hint="default" w:ascii="Times New Roman" w:hAnsi="Times New Roman" w:eastAsia="宋体" w:cs="Times New Roman"/>
          <w:b/>
          <w:color w:val="000000" w:themeColor="text1"/>
          <w:sz w:val="36"/>
          <w:szCs w:val="36"/>
          <w:lang w:eastAsia="zh-CN"/>
          <w14:textFill>
            <w14:solidFill>
              <w14:schemeClr w14:val="tx1"/>
            </w14:solidFill>
          </w14:textFill>
        </w:rPr>
        <w:t>采</w:t>
      </w:r>
      <w:r>
        <w:rPr>
          <w:rFonts w:hint="default" w:ascii="Times New Roman" w:hAnsi="Times New Roman" w:eastAsia="宋体" w:cs="Times New Roman"/>
          <w:b/>
          <w:color w:val="000000" w:themeColor="text1"/>
          <w:sz w:val="36"/>
          <w:szCs w:val="36"/>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36"/>
          <w:szCs w:val="36"/>
          <w:lang w:eastAsia="zh-CN"/>
          <w14:textFill>
            <w14:solidFill>
              <w14:schemeClr w14:val="tx1"/>
            </w14:solidFill>
          </w14:textFill>
        </w:rPr>
        <w:t>购</w:t>
      </w:r>
      <w:r>
        <w:rPr>
          <w:rFonts w:hint="default" w:ascii="Times New Roman" w:hAnsi="Times New Roman" w:eastAsia="宋体" w:cs="Times New Roman"/>
          <w:b/>
          <w:color w:val="000000" w:themeColor="text1"/>
          <w:sz w:val="36"/>
          <w:szCs w:val="36"/>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36"/>
          <w:szCs w:val="36"/>
          <w:lang w:eastAsia="zh-CN"/>
          <w14:textFill>
            <w14:solidFill>
              <w14:schemeClr w14:val="tx1"/>
            </w14:solidFill>
          </w14:textFill>
        </w:rPr>
        <w:t>人：</w:t>
      </w:r>
      <w:r>
        <w:rPr>
          <w:rFonts w:hint="default" w:ascii="Times New Roman" w:hAnsi="Times New Roman" w:cs="Times New Roman"/>
          <w:b/>
          <w:color w:val="000000" w:themeColor="text1"/>
          <w:sz w:val="36"/>
          <w:szCs w:val="36"/>
          <w:lang w:val="en-US" w:eastAsia="zh-CN"/>
          <w14:textFill>
            <w14:solidFill>
              <w14:schemeClr w14:val="tx1"/>
            </w14:solidFill>
          </w14:textFill>
        </w:rPr>
        <w:t>勐海县勐阿镇人民政府</w:t>
      </w:r>
    </w:p>
    <w:p w14:paraId="026743BB">
      <w:pPr>
        <w:keepNext w:val="0"/>
        <w:keepLines w:val="0"/>
        <w:pageBreakBefore w:val="0"/>
        <w:widowControl w:val="0"/>
        <w:kinsoku/>
        <w:wordWrap/>
        <w:overflowPunct/>
        <w:topLinePunct w:val="0"/>
        <w:autoSpaceDE/>
        <w:autoSpaceDN/>
        <w:bidi w:val="0"/>
        <w:adjustRightInd/>
        <w:snapToGrid/>
        <w:spacing w:line="700" w:lineRule="exact"/>
        <w:textAlignment w:val="auto"/>
        <w:rPr>
          <w:rFonts w:hint="default" w:ascii="Times New Roman" w:hAnsi="Times New Roman" w:eastAsia="宋体" w:cs="Times New Roman"/>
          <w:b/>
          <w:color w:val="000000" w:themeColor="text1"/>
          <w:sz w:val="36"/>
          <w:szCs w:val="36"/>
          <w:u w:val="single"/>
          <w:lang w:eastAsia="zh-CN"/>
          <w14:textFill>
            <w14:solidFill>
              <w14:schemeClr w14:val="tx1"/>
            </w14:solidFill>
          </w14:textFill>
        </w:rPr>
      </w:pPr>
      <w:r>
        <w:rPr>
          <w:rFonts w:hint="default" w:ascii="Times New Roman" w:hAnsi="Times New Roman" w:cs="Times New Roman"/>
          <w:b/>
          <w:color w:val="000000" w:themeColor="text1"/>
          <w:sz w:val="36"/>
          <w:szCs w:val="36"/>
          <w14:textFill>
            <w14:solidFill>
              <w14:schemeClr w14:val="tx1"/>
            </w14:solidFill>
          </w14:textFill>
        </w:rPr>
        <w:t>采购代理机构：</w:t>
      </w:r>
      <w:r>
        <w:rPr>
          <w:rFonts w:hint="default" w:ascii="Times New Roman" w:hAnsi="Times New Roman" w:cs="Times New Roman"/>
          <w:b/>
          <w:color w:val="000000" w:themeColor="text1"/>
          <w:sz w:val="36"/>
          <w:szCs w:val="36"/>
          <w:lang w:eastAsia="zh-CN"/>
          <w14:textFill>
            <w14:solidFill>
              <w14:schemeClr w14:val="tx1"/>
            </w14:solidFill>
          </w14:textFill>
        </w:rPr>
        <w:t>勐海县海民招标代理有限公司</w:t>
      </w:r>
    </w:p>
    <w:p w14:paraId="45A9B94F">
      <w:pPr>
        <w:keepNext w:val="0"/>
        <w:keepLines w:val="0"/>
        <w:pageBreakBefore w:val="0"/>
        <w:widowControl w:val="0"/>
        <w:kinsoku/>
        <w:wordWrap/>
        <w:overflowPunct/>
        <w:topLinePunct w:val="0"/>
        <w:autoSpaceDE/>
        <w:autoSpaceDN/>
        <w:bidi w:val="0"/>
        <w:adjustRightInd/>
        <w:snapToGrid/>
        <w:spacing w:line="700" w:lineRule="exact"/>
        <w:textAlignment w:val="auto"/>
        <w:rPr>
          <w:rFonts w:hint="default" w:ascii="Times New Roman" w:hAnsi="Times New Roman" w:cs="Times New Roman"/>
          <w:b/>
          <w:color w:val="000000" w:themeColor="text1"/>
          <w:sz w:val="36"/>
          <w:szCs w:val="36"/>
          <w14:textFill>
            <w14:solidFill>
              <w14:schemeClr w14:val="tx1"/>
            </w14:solidFill>
          </w14:textFill>
        </w:rPr>
        <w:sectPr>
          <w:pgSz w:w="11906" w:h="16838"/>
          <w:pgMar w:top="1440" w:right="1080" w:bottom="1440" w:left="1080" w:header="851" w:footer="992" w:gutter="0"/>
          <w:cols w:space="720" w:num="1"/>
          <w:docGrid w:type="lines" w:linePitch="312" w:charSpace="0"/>
        </w:sectPr>
      </w:pPr>
      <w:r>
        <w:rPr>
          <w:rFonts w:hint="default" w:ascii="Times New Roman" w:hAnsi="Times New Roman" w:cs="Times New Roman"/>
          <w:b/>
          <w:color w:val="000000" w:themeColor="text1"/>
          <w:sz w:val="36"/>
          <w:szCs w:val="36"/>
          <w14:textFill>
            <w14:solidFill>
              <w14:schemeClr w14:val="tx1"/>
            </w14:solidFill>
          </w14:textFill>
        </w:rPr>
        <w:t>日</w:t>
      </w:r>
      <w:r>
        <w:rPr>
          <w:rFonts w:hint="default" w:ascii="Times New Roman" w:hAnsi="Times New Roman" w:cs="Times New Roman"/>
          <w:b/>
          <w:color w:val="000000" w:themeColor="text1"/>
          <w:sz w:val="36"/>
          <w:szCs w:val="36"/>
          <w:lang w:val="en-US" w:eastAsia="zh-CN"/>
          <w14:textFill>
            <w14:solidFill>
              <w14:schemeClr w14:val="tx1"/>
            </w14:solidFill>
          </w14:textFill>
        </w:rPr>
        <w:t xml:space="preserve">        </w:t>
      </w:r>
      <w:r>
        <w:rPr>
          <w:rFonts w:hint="default" w:ascii="Times New Roman" w:hAnsi="Times New Roman" w:cs="Times New Roman"/>
          <w:b/>
          <w:color w:val="000000" w:themeColor="text1"/>
          <w:sz w:val="36"/>
          <w:szCs w:val="36"/>
          <w14:textFill>
            <w14:solidFill>
              <w14:schemeClr w14:val="tx1"/>
            </w14:solidFill>
          </w14:textFill>
        </w:rPr>
        <w:t>期：</w:t>
      </w:r>
      <w:r>
        <w:rPr>
          <w:rFonts w:hint="default" w:ascii="Times New Roman" w:hAnsi="Times New Roman" w:cs="Times New Roman"/>
          <w:b/>
          <w:color w:val="000000" w:themeColor="text1"/>
          <w:sz w:val="36"/>
          <w:szCs w:val="36"/>
          <w:lang w:eastAsia="zh-CN"/>
          <w14:textFill>
            <w14:solidFill>
              <w14:schemeClr w14:val="tx1"/>
            </w14:solidFill>
          </w14:textFill>
        </w:rPr>
        <w:t>2026年</w:t>
      </w:r>
      <w:r>
        <w:rPr>
          <w:rFonts w:hint="eastAsia" w:cs="Times New Roman"/>
          <w:b/>
          <w:color w:val="000000" w:themeColor="text1"/>
          <w:sz w:val="36"/>
          <w:szCs w:val="36"/>
          <w:lang w:val="en-US" w:eastAsia="zh-CN"/>
          <w14:textFill>
            <w14:solidFill>
              <w14:schemeClr w14:val="tx1"/>
            </w14:solidFill>
          </w14:textFill>
        </w:rPr>
        <w:t>8</w:t>
      </w:r>
      <w:r>
        <w:rPr>
          <w:rFonts w:hint="default" w:ascii="Times New Roman" w:hAnsi="Times New Roman" w:cs="Times New Roman"/>
          <w:b/>
          <w:color w:val="000000" w:themeColor="text1"/>
          <w:sz w:val="36"/>
          <w:szCs w:val="36"/>
          <w:lang w:eastAsia="zh-CN"/>
          <w14:textFill>
            <w14:solidFill>
              <w14:schemeClr w14:val="tx1"/>
            </w14:solidFill>
          </w14:textFill>
        </w:rPr>
        <w:t>月</w:t>
      </w:r>
    </w:p>
    <w:bookmarkEnd w:id="0"/>
    <w:bookmarkEnd w:id="1"/>
    <w:p w14:paraId="6A667835">
      <w:pPr>
        <w:pStyle w:val="10"/>
        <w:spacing w:line="360" w:lineRule="auto"/>
        <w:ind w:firstLine="4498" w:firstLineChars="1400"/>
        <w:jc w:val="both"/>
        <w:rPr>
          <w:rFonts w:hint="default" w:ascii="Times New Roman" w:hAnsi="Times New Roman" w:cs="Times New Roman"/>
          <w:b/>
          <w:color w:val="000000" w:themeColor="text1"/>
          <w:sz w:val="32"/>
          <w:szCs w:val="32"/>
          <w14:textFill>
            <w14:solidFill>
              <w14:schemeClr w14:val="tx1"/>
            </w14:solidFill>
          </w14:textFill>
        </w:rPr>
      </w:pPr>
      <w:bookmarkStart w:id="2" w:name="_Toc28359012"/>
      <w:bookmarkStart w:id="3" w:name="_Toc35393798"/>
      <w:bookmarkStart w:id="4" w:name="_Toc35393629"/>
      <w:bookmarkStart w:id="5" w:name="_Toc28359089"/>
      <w:r>
        <w:rPr>
          <w:rFonts w:hint="default" w:ascii="Times New Roman" w:hAnsi="Times New Roman" w:cs="Times New Roman"/>
          <w:b/>
          <w:color w:val="000000" w:themeColor="text1"/>
          <w:sz w:val="32"/>
          <w:szCs w:val="32"/>
          <w14:textFill>
            <w14:solidFill>
              <w14:schemeClr w14:val="tx1"/>
            </w14:solidFill>
          </w14:textFill>
        </w:rPr>
        <w:t>目  录</w:t>
      </w:r>
    </w:p>
    <w:p w14:paraId="65DD42BA">
      <w:pPr>
        <w:spacing w:line="360" w:lineRule="auto"/>
        <w:jc w:val="left"/>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
          <w:color w:val="000000" w:themeColor="text1"/>
          <w:sz w:val="32"/>
          <w:szCs w:val="32"/>
          <w14:textFill>
            <w14:solidFill>
              <w14:schemeClr w14:val="tx1"/>
            </w14:solidFill>
          </w14:textFill>
        </w:rPr>
        <w:fldChar w:fldCharType="begin"/>
      </w:r>
      <w:r>
        <w:rPr>
          <w:rFonts w:hint="default" w:ascii="Times New Roman" w:hAnsi="Times New Roman" w:cs="Times New Roman"/>
          <w:b/>
          <w:color w:val="000000" w:themeColor="text1"/>
          <w:sz w:val="32"/>
          <w:szCs w:val="32"/>
          <w14:textFill>
            <w14:solidFill>
              <w14:schemeClr w14:val="tx1"/>
            </w14:solidFill>
          </w14:textFill>
        </w:rPr>
        <w:instrText xml:space="preserve">TOC \o "1-1" \h \u </w:instrText>
      </w:r>
      <w:r>
        <w:rPr>
          <w:rFonts w:hint="default" w:ascii="Times New Roman" w:hAnsi="Times New Roman" w:cs="Times New Roman"/>
          <w:b/>
          <w:color w:val="000000" w:themeColor="text1"/>
          <w:sz w:val="32"/>
          <w:szCs w:val="32"/>
          <w14:textFill>
            <w14:solidFill>
              <w14:schemeClr w14:val="tx1"/>
            </w14:solidFill>
          </w14:textFill>
        </w:rPr>
        <w:fldChar w:fldCharType="separate"/>
      </w:r>
      <w:r>
        <w:rPr>
          <w:rFonts w:hint="default" w:ascii="Times New Roman" w:hAnsi="Times New Roman" w:cs="Times New Roman"/>
          <w:color w:val="000000" w:themeColor="text1"/>
          <w:szCs w:val="32"/>
          <w14:textFill>
            <w14:solidFill>
              <w14:schemeClr w14:val="tx1"/>
            </w14:solidFill>
          </w14:textFill>
        </w:rPr>
        <w:fldChar w:fldCharType="begin"/>
      </w:r>
      <w:r>
        <w:rPr>
          <w:rFonts w:hint="default" w:ascii="Times New Roman" w:hAnsi="Times New Roman" w:cs="Times New Roman"/>
          <w:color w:val="000000" w:themeColor="text1"/>
          <w:szCs w:val="32"/>
          <w14:textFill>
            <w14:solidFill>
              <w14:schemeClr w14:val="tx1"/>
            </w14:solidFill>
          </w14:textFill>
        </w:rPr>
        <w:instrText xml:space="preserve"> HYPERLINK \l _Toc26163 </w:instrText>
      </w:r>
      <w:r>
        <w:rPr>
          <w:rFonts w:hint="default" w:ascii="Times New Roman" w:hAnsi="Times New Roman" w:cs="Times New Roman"/>
          <w:color w:val="000000" w:themeColor="text1"/>
          <w:szCs w:val="32"/>
          <w14:textFill>
            <w14:solidFill>
              <w14:schemeClr w14:val="tx1"/>
            </w14:solidFill>
          </w14:textFill>
        </w:rPr>
        <w:fldChar w:fldCharType="separate"/>
      </w:r>
      <w:r>
        <w:rPr>
          <w:rFonts w:hint="default" w:ascii="Times New Roman" w:hAnsi="Times New Roman" w:cs="Times New Roman"/>
          <w:color w:val="000000" w:themeColor="text1"/>
          <w:szCs w:val="36"/>
          <w14:textFill>
            <w14:solidFill>
              <w14:schemeClr w14:val="tx1"/>
            </w14:solidFill>
          </w14:textFill>
        </w:rPr>
        <w:t>第一章 竞争性磋商公告</w:t>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t>.............................................................................................................................................</w:t>
      </w:r>
      <w:r>
        <w:rPr>
          <w:rFonts w:hint="default" w:ascii="Times New Roman" w:hAnsi="Times New Roman" w:cs="Times New Roman"/>
          <w:color w:val="000000" w:themeColor="text1"/>
          <w:lang w:val="en-US" w:eastAsia="zh-CN"/>
          <w14:textFill>
            <w14:solidFill>
              <w14:schemeClr w14:val="tx1"/>
            </w14:solidFill>
          </w14:textFill>
        </w:rPr>
        <w:t>1</w:t>
      </w:r>
      <w:r>
        <w:rPr>
          <w:rFonts w:hint="default" w:ascii="Times New Roman" w:hAnsi="Times New Roman" w:cs="Times New Roman"/>
          <w:color w:val="000000" w:themeColor="text1"/>
          <w:szCs w:val="32"/>
          <w14:textFill>
            <w14:solidFill>
              <w14:schemeClr w14:val="tx1"/>
            </w14:solidFill>
          </w14:textFill>
        </w:rPr>
        <w:fldChar w:fldCharType="end"/>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begin"/>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instrText xml:space="preserve"> HYPERLINK \l _Toc32055 </w:instrText>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separate"/>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begin"/>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instrText xml:space="preserve"> TOC \o "1-2" \h \z \u </w:instrText>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separate"/>
      </w:r>
    </w:p>
    <w:p w14:paraId="59B4A213">
      <w:pPr>
        <w:spacing w:line="360" w:lineRule="auto"/>
        <w:jc w:val="left"/>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begin"/>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instrText xml:space="preserve"> HYPERLINK \l "_Toc19062" </w:instrText>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separate"/>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t>第二章 供应商须知及其前附表.................................................................................................................................5</w:t>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end"/>
      </w:r>
    </w:p>
    <w:p w14:paraId="77E5DA7F">
      <w:pPr>
        <w:spacing w:line="360" w:lineRule="auto"/>
        <w:jc w:val="left"/>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begin"/>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instrText xml:space="preserve"> HYPERLINK \l "_Toc6295" </w:instrText>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separate"/>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t>第三章评审办法.........................................................................................................................................................2</w:t>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end"/>
      </w:r>
      <w:r>
        <w:rPr>
          <w:rFonts w:hint="eastAsia" w:cs="Times New Roman"/>
          <w:b w:val="0"/>
          <w:bCs w:val="0"/>
          <w:color w:val="000000" w:themeColor="text1"/>
          <w:kern w:val="2"/>
          <w:sz w:val="21"/>
          <w:szCs w:val="21"/>
          <w:lang w:val="en-US" w:eastAsia="zh-CN" w:bidi="ar-SA"/>
          <w14:textFill>
            <w14:solidFill>
              <w14:schemeClr w14:val="tx1"/>
            </w14:solidFill>
          </w14:textFill>
        </w:rPr>
        <w:t>4</w:t>
      </w:r>
    </w:p>
    <w:p w14:paraId="7A5A853F">
      <w:pPr>
        <w:spacing w:line="360" w:lineRule="auto"/>
        <w:jc w:val="left"/>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begin"/>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instrText xml:space="preserve"> HYPERLINK \l "_Toc27958" </w:instrText>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separate"/>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t>第四章 合同条款及格式...........................................................................................................................................</w:t>
      </w:r>
      <w:r>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t>3</w:t>
      </w:r>
      <w:r>
        <w:rPr>
          <w:rFonts w:hint="eastAsia" w:cs="Times New Roman"/>
          <w:b w:val="0"/>
          <w:bCs w:val="0"/>
          <w:color w:val="000000" w:themeColor="text1"/>
          <w:kern w:val="2"/>
          <w:sz w:val="21"/>
          <w:szCs w:val="21"/>
          <w:lang w:val="en-US" w:eastAsia="zh-CN" w:bidi="ar-SA"/>
          <w14:textFill>
            <w14:solidFill>
              <w14:schemeClr w14:val="tx1"/>
            </w14:solidFill>
          </w14:textFill>
        </w:rPr>
        <w:t>4</w:t>
      </w:r>
    </w:p>
    <w:p w14:paraId="0817A4B8">
      <w:pPr>
        <w:spacing w:line="360" w:lineRule="auto"/>
        <w:jc w:val="left"/>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t>第五章 工程</w:t>
      </w:r>
      <w:r>
        <w:rPr>
          <w:rFonts w:hint="eastAsia" w:cs="Times New Roman"/>
          <w:b w:val="0"/>
          <w:bCs w:val="0"/>
          <w:color w:val="000000" w:themeColor="text1"/>
          <w:kern w:val="2"/>
          <w:sz w:val="21"/>
          <w:szCs w:val="21"/>
          <w:lang w:val="en-US" w:eastAsia="zh-CN" w:bidi="ar-SA"/>
          <w14:textFill>
            <w14:solidFill>
              <w14:schemeClr w14:val="tx1"/>
            </w14:solidFill>
          </w14:textFill>
        </w:rPr>
        <w:t>量</w:t>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t>清单册.............................................................................................................................................</w:t>
      </w:r>
      <w:r>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t>1</w:t>
      </w:r>
      <w:r>
        <w:rPr>
          <w:rFonts w:hint="eastAsia" w:cs="Times New Roman"/>
          <w:b w:val="0"/>
          <w:bCs w:val="0"/>
          <w:color w:val="000000" w:themeColor="text1"/>
          <w:kern w:val="2"/>
          <w:sz w:val="21"/>
          <w:szCs w:val="21"/>
          <w:lang w:val="en-US" w:eastAsia="zh-CN" w:bidi="ar-SA"/>
          <w14:textFill>
            <w14:solidFill>
              <w14:schemeClr w14:val="tx1"/>
            </w14:solidFill>
          </w14:textFill>
        </w:rPr>
        <w:t>20</w:t>
      </w:r>
    </w:p>
    <w:p w14:paraId="672D3306">
      <w:pPr>
        <w:spacing w:line="360" w:lineRule="auto"/>
        <w:jc w:val="both"/>
        <w:outlineLvl w:val="3"/>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t>第六章响应文件格式</w:t>
      </w:r>
      <w:r>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t xml:space="preserve"> </w:t>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t>...................................................................................................................................</w:t>
      </w:r>
      <w:r>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t>...</w:t>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t>..</w:t>
      </w:r>
      <w:r>
        <w:rPr>
          <w:rFonts w:hint="default" w:ascii="Times New Roman" w:hAnsi="Times New Roman" w:cs="Times New Roman"/>
          <w:b w:val="0"/>
          <w:bCs w:val="0"/>
          <w:color w:val="000000" w:themeColor="text1"/>
          <w:kern w:val="2"/>
          <w:sz w:val="21"/>
          <w:szCs w:val="21"/>
          <w:lang w:val="en-US" w:eastAsia="zh-CN" w:bidi="ar-SA"/>
          <w14:textFill>
            <w14:solidFill>
              <w14:schemeClr w14:val="tx1"/>
            </w14:solidFill>
          </w14:textFill>
        </w:rPr>
        <w:t>.....12</w:t>
      </w:r>
      <w:r>
        <w:rPr>
          <w:rFonts w:hint="eastAsia" w:cs="Times New Roman"/>
          <w:b w:val="0"/>
          <w:bCs w:val="0"/>
          <w:color w:val="000000" w:themeColor="text1"/>
          <w:kern w:val="2"/>
          <w:sz w:val="21"/>
          <w:szCs w:val="21"/>
          <w:lang w:val="en-US" w:eastAsia="zh-CN" w:bidi="ar-SA"/>
          <w14:textFill>
            <w14:solidFill>
              <w14:schemeClr w14:val="tx1"/>
            </w14:solidFill>
          </w14:textFill>
        </w:rPr>
        <w:t>1</w:t>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end"/>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end"/>
      </w: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fldChar w:fldCharType="end"/>
      </w:r>
    </w:p>
    <w:p w14:paraId="60B9DE00">
      <w:pPr>
        <w:spacing w:line="360" w:lineRule="auto"/>
        <w:jc w:val="left"/>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p>
    <w:p w14:paraId="443797F6">
      <w:pPr>
        <w:pStyle w:val="23"/>
        <w:tabs>
          <w:tab w:val="right" w:leader="dot" w:pos="9746"/>
        </w:tabs>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Cs w:val="32"/>
          <w14:textFill>
            <w14:solidFill>
              <w14:schemeClr w14:val="tx1"/>
            </w14:solidFill>
          </w14:textFill>
        </w:rPr>
        <w:fldChar w:fldCharType="begin"/>
      </w:r>
      <w:r>
        <w:rPr>
          <w:rFonts w:hint="default" w:ascii="Times New Roman" w:hAnsi="Times New Roman" w:cs="Times New Roman"/>
          <w:color w:val="000000" w:themeColor="text1"/>
          <w:szCs w:val="32"/>
          <w14:textFill>
            <w14:solidFill>
              <w14:schemeClr w14:val="tx1"/>
            </w14:solidFill>
          </w14:textFill>
        </w:rPr>
        <w:instrText xml:space="preserve"> HYPERLINK \l _Toc6902 </w:instrText>
      </w:r>
      <w:r>
        <w:rPr>
          <w:rFonts w:hint="default" w:ascii="Times New Roman" w:hAnsi="Times New Roman" w:cs="Times New Roman"/>
          <w:color w:val="000000" w:themeColor="text1"/>
          <w:szCs w:val="32"/>
          <w14:textFill>
            <w14:solidFill>
              <w14:schemeClr w14:val="tx1"/>
            </w14:solidFill>
          </w14:textFill>
        </w:rPr>
        <w:fldChar w:fldCharType="separate"/>
      </w:r>
      <w:r>
        <w:rPr>
          <w:rFonts w:hint="default" w:ascii="Times New Roman" w:hAnsi="Times New Roman" w:cs="Times New Roman"/>
          <w:color w:val="000000" w:themeColor="text1"/>
          <w:szCs w:val="32"/>
          <w14:textFill>
            <w14:solidFill>
              <w14:schemeClr w14:val="tx1"/>
            </w14:solidFill>
          </w14:textFill>
        </w:rPr>
        <w:fldChar w:fldCharType="end"/>
      </w:r>
    </w:p>
    <w:p w14:paraId="407BEBC2">
      <w:pPr>
        <w:pStyle w:val="23"/>
        <w:tabs>
          <w:tab w:val="right" w:leader="dot" w:pos="9746"/>
        </w:tabs>
        <w:rPr>
          <w:rFonts w:hint="default" w:ascii="Times New Roman" w:hAnsi="Times New Roman" w:cs="Times New Roman"/>
          <w:color w:val="000000" w:themeColor="text1"/>
          <w14:textFill>
            <w14:solidFill>
              <w14:schemeClr w14:val="tx1"/>
            </w14:solidFill>
          </w14:textFill>
        </w:rPr>
        <w:sectPr>
          <w:footerReference r:id="rId5" w:type="default"/>
          <w:pgSz w:w="11906" w:h="16838"/>
          <w:pgMar w:top="1440" w:right="1080" w:bottom="1440" w:left="1080" w:header="851" w:footer="992" w:gutter="0"/>
          <w:pgNumType w:fmt="decimal" w:start="1"/>
          <w:cols w:space="720" w:num="1"/>
          <w:docGrid w:type="lines" w:linePitch="312" w:charSpace="0"/>
        </w:sectPr>
      </w:pPr>
      <w:r>
        <w:rPr>
          <w:rFonts w:hint="default" w:ascii="Times New Roman" w:hAnsi="Times New Roman" w:cs="Times New Roman"/>
          <w:color w:val="000000" w:themeColor="text1"/>
          <w:szCs w:val="32"/>
          <w14:textFill>
            <w14:solidFill>
              <w14:schemeClr w14:val="tx1"/>
            </w14:solidFill>
          </w14:textFill>
        </w:rPr>
        <w:fldChar w:fldCharType="begin"/>
      </w:r>
      <w:r>
        <w:rPr>
          <w:rFonts w:hint="default" w:ascii="Times New Roman" w:hAnsi="Times New Roman" w:cs="Times New Roman"/>
          <w:color w:val="000000" w:themeColor="text1"/>
          <w:szCs w:val="32"/>
          <w14:textFill>
            <w14:solidFill>
              <w14:schemeClr w14:val="tx1"/>
            </w14:solidFill>
          </w14:textFill>
        </w:rPr>
        <w:instrText xml:space="preserve"> HYPERLINK \l _Toc4470 </w:instrText>
      </w:r>
      <w:r>
        <w:rPr>
          <w:rFonts w:hint="default" w:ascii="Times New Roman" w:hAnsi="Times New Roman" w:cs="Times New Roman"/>
          <w:color w:val="000000" w:themeColor="text1"/>
          <w:szCs w:val="32"/>
          <w14:textFill>
            <w14:solidFill>
              <w14:schemeClr w14:val="tx1"/>
            </w14:solidFill>
          </w14:textFill>
        </w:rPr>
        <w:fldChar w:fldCharType="separate"/>
      </w:r>
      <w:r>
        <w:rPr>
          <w:rFonts w:hint="default" w:ascii="Times New Roman" w:hAnsi="Times New Roman" w:cs="Times New Roman"/>
          <w:color w:val="000000" w:themeColor="text1"/>
          <w:szCs w:val="32"/>
          <w14:textFill>
            <w14:solidFill>
              <w14:schemeClr w14:val="tx1"/>
            </w14:solidFill>
          </w14:textFill>
        </w:rPr>
        <w:fldChar w:fldCharType="end"/>
      </w:r>
    </w:p>
    <w:p w14:paraId="3029A308">
      <w:pPr>
        <w:rPr>
          <w:rFonts w:hint="default" w:ascii="Times New Roman" w:hAnsi="Times New Roman" w:cs="Times New Roman"/>
          <w:color w:val="000000" w:themeColor="text1"/>
          <w14:textFill>
            <w14:solidFill>
              <w14:schemeClr w14:val="tx1"/>
            </w14:solidFill>
          </w14:textFill>
        </w:rPr>
      </w:pPr>
    </w:p>
    <w:p w14:paraId="6B20300E">
      <w:pPr>
        <w:spacing w:line="360" w:lineRule="auto"/>
        <w:rPr>
          <w:rFonts w:hint="default" w:ascii="Times New Roman" w:hAnsi="Times New Roman" w:eastAsia="仿宋" w:cs="Times New Roman"/>
          <w:b/>
          <w:bCs/>
          <w:color w:val="000000" w:themeColor="text1"/>
          <w:spacing w:val="1"/>
          <w:sz w:val="31"/>
          <w:szCs w:val="31"/>
          <w:lang w:eastAsia="en-US"/>
          <w14:textFill>
            <w14:solidFill>
              <w14:schemeClr w14:val="tx1"/>
            </w14:solidFill>
          </w14:textFill>
        </w:rPr>
      </w:pPr>
      <w:r>
        <w:rPr>
          <w:rFonts w:hint="default" w:ascii="Times New Roman" w:hAnsi="Times New Roman" w:cs="Times New Roman"/>
          <w:color w:val="000000" w:themeColor="text1"/>
          <w:szCs w:val="32"/>
          <w14:textFill>
            <w14:solidFill>
              <w14:schemeClr w14:val="tx1"/>
            </w14:solidFill>
          </w14:textFill>
        </w:rPr>
        <w:fldChar w:fldCharType="end"/>
      </w:r>
      <w:r>
        <w:rPr>
          <w:rFonts w:hint="default" w:ascii="Times New Roman" w:hAnsi="Times New Roman" w:cs="Times New Roman"/>
          <w:color w:val="000000" w:themeColor="text1"/>
          <w:szCs w:val="32"/>
          <w:lang w:val="en-US" w:eastAsia="zh-CN"/>
          <w14:textFill>
            <w14:solidFill>
              <w14:schemeClr w14:val="tx1"/>
            </w14:solidFill>
          </w14:textFill>
        </w:rPr>
        <w:t xml:space="preserve">                            </w:t>
      </w:r>
      <w:r>
        <w:rPr>
          <w:rFonts w:hint="default" w:ascii="Times New Roman" w:hAnsi="Times New Roman" w:eastAsia="仿宋" w:cs="Times New Roman"/>
          <w:b/>
          <w:bCs/>
          <w:color w:val="000000" w:themeColor="text1"/>
          <w:spacing w:val="1"/>
          <w:sz w:val="31"/>
          <w:szCs w:val="31"/>
          <w:lang w:val="en-US" w:eastAsia="zh-CN"/>
          <w14:textFill>
            <w14:solidFill>
              <w14:schemeClr w14:val="tx1"/>
            </w14:solidFill>
          </w14:textFill>
        </w:rPr>
        <w:t>第一章</w:t>
      </w:r>
      <w:r>
        <w:rPr>
          <w:rFonts w:hint="default" w:ascii="Times New Roman" w:hAnsi="Times New Roman" w:eastAsia="仿宋" w:cs="Times New Roman"/>
          <w:b/>
          <w:bCs/>
          <w:color w:val="000000" w:themeColor="text1"/>
          <w:spacing w:val="1"/>
          <w:sz w:val="31"/>
          <w:szCs w:val="31"/>
          <w:lang w:eastAsia="en-US"/>
          <w14:textFill>
            <w14:solidFill>
              <w14:schemeClr w14:val="tx1"/>
            </w14:solidFill>
          </w14:textFill>
        </w:rPr>
        <w:t>竞争性磋商公告</w:t>
      </w:r>
    </w:p>
    <w:tbl>
      <w:tblPr>
        <w:tblStyle w:val="31"/>
        <w:tblW w:w="0" w:type="auto"/>
        <w:tblInd w:w="6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5"/>
      </w:tblGrid>
      <w:tr w14:paraId="73627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7" w:hRule="atLeast"/>
        </w:trPr>
        <w:tc>
          <w:tcPr>
            <w:tcW w:w="8805" w:type="dxa"/>
          </w:tcPr>
          <w:p w14:paraId="7997FC0E">
            <w:pPr>
              <w:pStyle w:val="79"/>
              <w:keepNext w:val="0"/>
              <w:keepLines w:val="0"/>
              <w:pageBreakBefore w:val="0"/>
              <w:widowControl w:val="0"/>
              <w:kinsoku/>
              <w:wordWrap/>
              <w:overflowPunct/>
              <w:topLinePunct w:val="0"/>
              <w:autoSpaceDE/>
              <w:autoSpaceDN/>
              <w:bidi w:val="0"/>
              <w:adjustRightInd/>
              <w:snapToGrid/>
              <w:spacing w:before="148" w:line="560" w:lineRule="exac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项目概况</w:t>
            </w:r>
          </w:p>
          <w:p w14:paraId="79355380">
            <w:pPr>
              <w:keepNext w:val="0"/>
              <w:keepLines w:val="0"/>
              <w:pageBreakBefore w:val="0"/>
              <w:widowControl w:val="0"/>
              <w:kinsoku/>
              <w:wordWrap/>
              <w:overflowPunct/>
              <w:topLinePunct w:val="0"/>
              <w:autoSpaceDE/>
              <w:autoSpaceDN/>
              <w:bidi w:val="0"/>
              <w:adjustRightInd w:val="0"/>
              <w:snapToGrid w:val="0"/>
              <w:spacing w:line="573" w:lineRule="exact"/>
              <w:ind w:left="0" w:leftChars="0" w:right="0" w:rightChars="0" w:firstLine="480" w:firstLineChars="200"/>
              <w:jc w:val="both"/>
              <w:textAlignment w:val="auto"/>
              <w:outlineLvl w:val="9"/>
              <w:rPr>
                <w:rFonts w:hint="default" w:ascii="Times New Roman" w:hAnsi="Times New Roman" w:cs="Times New Roman"/>
                <w:color w:val="000000" w:themeColor="text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2026年西双版纳州勐海县勐阿镇南朗河村委会龙竹蓬村小组农村公益事业建设财政奖补项目（普惠）</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 xml:space="preserve">的潜在供应商应在政采云平台获取采购文件，并于 </w:t>
            </w:r>
            <w:r>
              <w:rPr>
                <w:rFonts w:hint="default" w:ascii="Times New Roman" w:hAnsi="Times New Roman" w:eastAsia="宋体" w:cs="Times New Roman"/>
                <w:color w:val="000000" w:themeColor="text1"/>
                <w:kern w:val="2"/>
                <w:sz w:val="24"/>
                <w:szCs w:val="22"/>
                <w:highlight w:val="none"/>
                <w:u w:val="single"/>
                <w:lang w:val="en-US" w:eastAsia="en-US" w:bidi="ar-SA"/>
                <w14:textFill>
                  <w14:solidFill>
                    <w14:schemeClr w14:val="tx1"/>
                  </w14:solidFill>
                </w14:textFill>
              </w:rPr>
              <w:t>202</w:t>
            </w:r>
            <w:r>
              <w:rPr>
                <w:rFonts w:hint="default" w:ascii="Times New Roman" w:hAnsi="Times New Roman" w:cs="Times New Roman"/>
                <w:color w:val="000000" w:themeColor="text1"/>
                <w:kern w:val="2"/>
                <w:sz w:val="24"/>
                <w:szCs w:val="22"/>
                <w:highlight w:val="none"/>
                <w:u w:val="single"/>
                <w:lang w:val="en-US" w:eastAsia="zh-CN" w:bidi="ar-SA"/>
                <w14:textFill>
                  <w14:solidFill>
                    <w14:schemeClr w14:val="tx1"/>
                  </w14:solidFill>
                </w14:textFill>
              </w:rPr>
              <w:t>6</w:t>
            </w:r>
            <w:r>
              <w:rPr>
                <w:rFonts w:hint="default" w:ascii="Times New Roman" w:hAnsi="Times New Roman" w:eastAsia="宋体" w:cs="Times New Roman"/>
                <w:color w:val="000000" w:themeColor="text1"/>
                <w:kern w:val="2"/>
                <w:sz w:val="24"/>
                <w:szCs w:val="22"/>
                <w:highlight w:val="none"/>
                <w:u w:val="single"/>
                <w:lang w:val="en-US" w:eastAsia="en-US" w:bidi="ar-SA"/>
                <w14:textFill>
                  <w14:solidFill>
                    <w14:schemeClr w14:val="tx1"/>
                  </w14:solidFill>
                </w14:textFill>
              </w:rPr>
              <w:t>年</w:t>
            </w:r>
            <w:r>
              <w:rPr>
                <w:rFonts w:hint="eastAsia" w:cs="Times New Roman"/>
                <w:color w:val="000000" w:themeColor="text1"/>
                <w:kern w:val="2"/>
                <w:sz w:val="24"/>
                <w:szCs w:val="22"/>
                <w:highlight w:val="none"/>
                <w:u w:val="single"/>
                <w:lang w:val="en-US" w:eastAsia="zh-CN" w:bidi="ar-SA"/>
                <w14:textFill>
                  <w14:solidFill>
                    <w14:schemeClr w14:val="tx1"/>
                  </w14:solidFill>
                </w14:textFill>
              </w:rPr>
              <w:t>9</w:t>
            </w:r>
            <w:r>
              <w:rPr>
                <w:rFonts w:hint="default" w:ascii="Times New Roman" w:hAnsi="Times New Roman" w:eastAsia="宋体" w:cs="Times New Roman"/>
                <w:color w:val="000000" w:themeColor="text1"/>
                <w:kern w:val="2"/>
                <w:sz w:val="24"/>
                <w:szCs w:val="22"/>
                <w:highlight w:val="none"/>
                <w:u w:val="single"/>
                <w:lang w:val="en-US" w:eastAsia="en-US" w:bidi="ar-SA"/>
                <w14:textFill>
                  <w14:solidFill>
                    <w14:schemeClr w14:val="tx1"/>
                  </w14:solidFill>
                </w14:textFill>
              </w:rPr>
              <w:t>月</w:t>
            </w:r>
            <w:r>
              <w:rPr>
                <w:rFonts w:hint="eastAsia" w:cs="Times New Roman"/>
                <w:color w:val="000000" w:themeColor="text1"/>
                <w:kern w:val="2"/>
                <w:sz w:val="24"/>
                <w:szCs w:val="22"/>
                <w:highlight w:val="none"/>
                <w:u w:val="single"/>
                <w:lang w:val="en-US" w:eastAsia="zh-CN" w:bidi="ar-SA"/>
                <w14:textFill>
                  <w14:solidFill>
                    <w14:schemeClr w14:val="tx1"/>
                  </w14:solidFill>
                </w14:textFill>
              </w:rPr>
              <w:t>10</w:t>
            </w:r>
            <w:r>
              <w:rPr>
                <w:rFonts w:hint="default" w:ascii="Times New Roman" w:hAnsi="Times New Roman" w:eastAsia="宋体" w:cs="Times New Roman"/>
                <w:color w:val="000000" w:themeColor="text1"/>
                <w:kern w:val="2"/>
                <w:sz w:val="24"/>
                <w:szCs w:val="22"/>
                <w:highlight w:val="none"/>
                <w:u w:val="single"/>
                <w:lang w:val="en-US" w:eastAsia="en-US" w:bidi="ar-SA"/>
                <w14:textFill>
                  <w14:solidFill>
                    <w14:schemeClr w14:val="tx1"/>
                  </w14:solidFill>
                </w14:textFill>
              </w:rPr>
              <w:t>日</w:t>
            </w:r>
            <w:r>
              <w:rPr>
                <w:rFonts w:hint="default" w:ascii="Times New Roman" w:hAnsi="Times New Roman" w:eastAsia="宋体" w:cs="Times New Roman"/>
                <w:color w:val="000000" w:themeColor="text1"/>
                <w:kern w:val="2"/>
                <w:sz w:val="24"/>
                <w:szCs w:val="22"/>
                <w:highlight w:val="none"/>
                <w:u w:val="single"/>
                <w:lang w:val="en-US" w:eastAsia="zh-CN" w:bidi="ar-SA"/>
                <w14:textFill>
                  <w14:solidFill>
                    <w14:schemeClr w14:val="tx1"/>
                  </w14:solidFill>
                </w14:textFill>
              </w:rPr>
              <w:t>09</w:t>
            </w:r>
            <w:r>
              <w:rPr>
                <w:rFonts w:hint="default" w:ascii="Times New Roman" w:hAnsi="Times New Roman" w:eastAsia="宋体" w:cs="Times New Roman"/>
                <w:color w:val="000000" w:themeColor="text1"/>
                <w:kern w:val="2"/>
                <w:sz w:val="24"/>
                <w:szCs w:val="22"/>
                <w:highlight w:val="none"/>
                <w:u w:val="single"/>
                <w:lang w:val="en-US" w:eastAsia="en-US" w:bidi="ar-SA"/>
                <w14:textFill>
                  <w14:solidFill>
                    <w14:schemeClr w14:val="tx1"/>
                  </w14:solidFill>
                </w14:textFill>
              </w:rPr>
              <w:t>时</w:t>
            </w:r>
            <w:r>
              <w:rPr>
                <w:rFonts w:hint="default" w:ascii="Times New Roman" w:hAnsi="Times New Roman" w:eastAsia="宋体" w:cs="Times New Roman"/>
                <w:color w:val="000000" w:themeColor="text1"/>
                <w:kern w:val="2"/>
                <w:sz w:val="24"/>
                <w:szCs w:val="22"/>
                <w:highlight w:val="none"/>
                <w:u w:val="single"/>
                <w:lang w:val="en-US" w:eastAsia="zh-CN" w:bidi="ar-SA"/>
                <w14:textFill>
                  <w14:solidFill>
                    <w14:schemeClr w14:val="tx1"/>
                  </w14:solidFill>
                </w14:textFill>
              </w:rPr>
              <w:t>00</w:t>
            </w:r>
            <w:r>
              <w:rPr>
                <w:rFonts w:hint="default" w:ascii="Times New Roman" w:hAnsi="Times New Roman" w:eastAsia="宋体" w:cs="Times New Roman"/>
                <w:color w:val="000000" w:themeColor="text1"/>
                <w:kern w:val="2"/>
                <w:sz w:val="24"/>
                <w:szCs w:val="22"/>
                <w:highlight w:val="none"/>
                <w:u w:val="single"/>
                <w:lang w:val="en-US" w:eastAsia="en-US" w:bidi="ar-SA"/>
                <w14:textFill>
                  <w14:solidFill>
                    <w14:schemeClr w14:val="tx1"/>
                  </w14:solidFill>
                </w14:textFill>
              </w:rPr>
              <w:t>分</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 xml:space="preserve"> </w:t>
            </w: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北京</w:t>
            </w:r>
            <w:bookmarkStart w:id="6" w:name="bookmark2"/>
            <w:bookmarkEnd w:id="6"/>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时间</w:t>
            </w: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前提交响应文件。</w:t>
            </w:r>
          </w:p>
        </w:tc>
      </w:tr>
    </w:tbl>
    <w:p w14:paraId="7495086C">
      <w:pPr>
        <w:spacing w:line="360" w:lineRule="auto"/>
        <w:rPr>
          <w:rFonts w:hint="default" w:ascii="Times New Roman" w:hAnsi="Times New Roman" w:cs="Times New Roman"/>
          <w:b/>
          <w:bCs/>
          <w:color w:val="000000" w:themeColor="text1"/>
          <w14:textFill>
            <w14:solidFill>
              <w14:schemeClr w14:val="tx1"/>
            </w14:solidFill>
          </w14:textFill>
        </w:rPr>
      </w:pPr>
    </w:p>
    <w:p w14:paraId="5637A4C5">
      <w:pPr>
        <w:spacing w:line="360" w:lineRule="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一、项目基本情况</w:t>
      </w:r>
      <w:bookmarkEnd w:id="2"/>
      <w:bookmarkEnd w:id="3"/>
      <w:bookmarkEnd w:id="4"/>
      <w:bookmarkEnd w:id="5"/>
    </w:p>
    <w:p w14:paraId="67598877">
      <w:pPr>
        <w:keepNext w:val="0"/>
        <w:keepLines w:val="0"/>
        <w:pageBreakBefore w:val="0"/>
        <w:widowControl w:val="0"/>
        <w:kinsoku/>
        <w:wordWrap/>
        <w:overflowPunct/>
        <w:topLinePunct w:val="0"/>
        <w:autoSpaceDE/>
        <w:autoSpaceDN/>
        <w:bidi w:val="0"/>
        <w:adjustRightInd w:val="0"/>
        <w:snapToGrid w:val="0"/>
        <w:spacing w:line="573" w:lineRule="exact"/>
        <w:ind w:left="1199" w:leftChars="228" w:right="0" w:rightChars="0" w:hanging="720" w:hangingChars="300"/>
        <w:jc w:val="both"/>
        <w:textAlignment w:val="auto"/>
        <w:outlineLvl w:val="9"/>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pPr>
      <w:bookmarkStart w:id="7" w:name="_Toc35393799"/>
      <w:bookmarkStart w:id="8" w:name="_Toc28359013"/>
      <w:bookmarkStart w:id="9" w:name="_Toc35393630"/>
      <w:bookmarkStart w:id="10" w:name="_Toc28359090"/>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项目名称：</w:t>
      </w:r>
      <w:r>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2026年西双版纳州勐海县勐阿镇南朗河村委会龙竹蓬村小组农村公益事业</w:t>
      </w:r>
    </w:p>
    <w:p w14:paraId="09216AB4">
      <w:pPr>
        <w:keepNext w:val="0"/>
        <w:keepLines w:val="0"/>
        <w:pageBreakBefore w:val="0"/>
        <w:widowControl w:val="0"/>
        <w:kinsoku/>
        <w:wordWrap/>
        <w:overflowPunct/>
        <w:topLinePunct w:val="0"/>
        <w:autoSpaceDE/>
        <w:autoSpaceDN/>
        <w:bidi w:val="0"/>
        <w:adjustRightInd w:val="0"/>
        <w:snapToGrid w:val="0"/>
        <w:spacing w:line="573" w:lineRule="exact"/>
        <w:ind w:left="1197" w:leftChars="570" w:right="0" w:rightChars="0" w:firstLine="720" w:firstLineChars="300"/>
        <w:jc w:val="both"/>
        <w:textAlignment w:val="auto"/>
        <w:outlineLvl w:val="9"/>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建设财政奖补项目（普惠）</w:t>
      </w:r>
    </w:p>
    <w:p w14:paraId="4F4B695A">
      <w:pPr>
        <w:keepNext w:val="0"/>
        <w:keepLines w:val="0"/>
        <w:pageBreakBefore w:val="0"/>
        <w:widowControl w:val="0"/>
        <w:kinsoku/>
        <w:wordWrap/>
        <w:overflowPunct/>
        <w:topLinePunct w:val="0"/>
        <w:autoSpaceDE/>
        <w:autoSpaceDN/>
        <w:bidi w:val="0"/>
        <w:spacing w:line="50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pP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2.</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项目编号：</w:t>
      </w: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HMZB-2026-</w:t>
      </w:r>
      <w:r>
        <w:rPr>
          <w:rFonts w:hint="eastAsia" w:cs="Times New Roman"/>
          <w:color w:val="000000" w:themeColor="text1"/>
          <w:kern w:val="2"/>
          <w:sz w:val="24"/>
          <w:szCs w:val="22"/>
          <w:highlight w:val="none"/>
          <w:u w:val="none"/>
          <w:lang w:val="en-US" w:eastAsia="zh-CN" w:bidi="ar-SA"/>
          <w14:textFill>
            <w14:solidFill>
              <w14:schemeClr w14:val="tx1"/>
            </w14:solidFill>
          </w14:textFill>
        </w:rPr>
        <w:t>8</w:t>
      </w: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w:t>
      </w:r>
      <w:r>
        <w:rPr>
          <w:rFonts w:hint="eastAsia" w:cs="Times New Roman"/>
          <w:color w:val="000000" w:themeColor="text1"/>
          <w:kern w:val="2"/>
          <w:sz w:val="24"/>
          <w:szCs w:val="22"/>
          <w:highlight w:val="none"/>
          <w:u w:val="none"/>
          <w:lang w:val="en-US" w:eastAsia="zh-CN" w:bidi="ar-SA"/>
          <w14:textFill>
            <w14:solidFill>
              <w14:schemeClr w14:val="tx1"/>
            </w14:solidFill>
          </w14:textFill>
        </w:rPr>
        <w:t>16</w:t>
      </w:r>
    </w:p>
    <w:p w14:paraId="6E0F5D4D">
      <w:pPr>
        <w:keepNext w:val="0"/>
        <w:keepLines w:val="0"/>
        <w:pageBreakBefore w:val="0"/>
        <w:widowControl w:val="0"/>
        <w:kinsoku/>
        <w:wordWrap/>
        <w:overflowPunct/>
        <w:topLinePunct w:val="0"/>
        <w:autoSpaceDE/>
        <w:autoSpaceDN/>
        <w:bidi w:val="0"/>
        <w:spacing w:line="50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采购</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方式：竞争性磋商</w:t>
      </w:r>
    </w:p>
    <w:p w14:paraId="1530613F">
      <w:pPr>
        <w:keepNext w:val="0"/>
        <w:keepLines w:val="0"/>
        <w:pageBreakBefore w:val="0"/>
        <w:widowControl w:val="0"/>
        <w:kinsoku/>
        <w:wordWrap/>
        <w:overflowPunct/>
        <w:topLinePunct w:val="0"/>
        <w:autoSpaceDE/>
        <w:autoSpaceDN/>
        <w:bidi w:val="0"/>
        <w:adjustRightInd w:val="0"/>
        <w:snapToGrid w:val="0"/>
        <w:spacing w:line="573" w:lineRule="exact"/>
        <w:ind w:left="0" w:leftChars="0" w:right="0" w:rightChars="0" w:firstLine="480" w:firstLineChars="200"/>
        <w:jc w:val="both"/>
        <w:textAlignment w:val="auto"/>
        <w:outlineLvl w:val="9"/>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4.</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预算金额：</w:t>
      </w:r>
      <w:r>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100</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0000.00元（大写：</w:t>
      </w:r>
      <w:r>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壹佰万元整</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w:t>
      </w:r>
    </w:p>
    <w:p w14:paraId="49C826E7">
      <w:pPr>
        <w:keepNext w:val="0"/>
        <w:keepLines w:val="0"/>
        <w:pageBreakBefore w:val="0"/>
        <w:widowControl w:val="0"/>
        <w:kinsoku/>
        <w:wordWrap/>
        <w:overflowPunct/>
        <w:topLinePunct w:val="0"/>
        <w:autoSpaceDE/>
        <w:autoSpaceDN/>
        <w:bidi w:val="0"/>
        <w:adjustRightInd w:val="0"/>
        <w:snapToGrid w:val="0"/>
        <w:spacing w:line="573" w:lineRule="exact"/>
        <w:ind w:left="0" w:leftChars="0" w:right="0" w:rightChars="0" w:firstLine="480" w:firstLineChars="200"/>
        <w:jc w:val="both"/>
        <w:textAlignment w:val="auto"/>
        <w:outlineLvl w:val="9"/>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5.最高限价：</w:t>
      </w:r>
      <w:r>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994679.79</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元（大写：</w:t>
      </w:r>
      <w:r>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玖拾玖万肆仟陆佰柒拾玖元柒角玖分</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w:t>
      </w:r>
    </w:p>
    <w:p w14:paraId="66673534">
      <w:pPr>
        <w:keepNext w:val="0"/>
        <w:keepLines w:val="0"/>
        <w:pageBreakBefore w:val="0"/>
        <w:widowControl w:val="0"/>
        <w:kinsoku/>
        <w:wordWrap/>
        <w:overflowPunct/>
        <w:topLinePunct w:val="0"/>
        <w:autoSpaceDE/>
        <w:autoSpaceDN/>
        <w:bidi w:val="0"/>
        <w:adjustRightInd w:val="0"/>
        <w:snapToGrid w:val="0"/>
        <w:spacing w:line="573" w:lineRule="exact"/>
        <w:ind w:left="0" w:leftChars="0" w:right="0" w:rightChars="0" w:firstLine="480" w:firstLineChars="200"/>
        <w:jc w:val="both"/>
        <w:textAlignment w:val="auto"/>
        <w:outlineLvl w:val="9"/>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6.</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工期</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要求：</w:t>
      </w:r>
      <w:r>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180</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日历天</w:t>
      </w:r>
    </w:p>
    <w:p w14:paraId="074EED66">
      <w:pPr>
        <w:keepNext w:val="0"/>
        <w:keepLines w:val="0"/>
        <w:pageBreakBefore w:val="0"/>
        <w:widowControl w:val="0"/>
        <w:kinsoku/>
        <w:wordWrap/>
        <w:overflowPunct/>
        <w:topLinePunct w:val="0"/>
        <w:autoSpaceDE/>
        <w:autoSpaceDN/>
        <w:bidi w:val="0"/>
        <w:adjustRightInd w:val="0"/>
        <w:snapToGrid w:val="0"/>
        <w:spacing w:line="573" w:lineRule="exact"/>
        <w:ind w:left="0" w:leftChars="0" w:right="0" w:rightChars="0" w:firstLine="480" w:firstLineChars="200"/>
        <w:jc w:val="both"/>
        <w:textAlignment w:val="auto"/>
        <w:outlineLvl w:val="9"/>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7.建设内容：</w:t>
      </w:r>
      <w:r>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新建污水收集管网及“大三格”污水处理设施</w:t>
      </w:r>
      <w:r>
        <w:rPr>
          <w:rFonts w:hint="eastAsia" w:cs="Times New Roman"/>
          <w:color w:val="000000" w:themeColor="text1"/>
          <w:kern w:val="2"/>
          <w:sz w:val="24"/>
          <w:szCs w:val="22"/>
          <w:highlight w:val="none"/>
          <w:u w:val="none"/>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（具体详见工程量清单）</w:t>
      </w:r>
    </w:p>
    <w:p w14:paraId="4E1489D8">
      <w:pPr>
        <w:keepNext w:val="0"/>
        <w:keepLines w:val="0"/>
        <w:pageBreakBefore w:val="0"/>
        <w:widowControl w:val="0"/>
        <w:kinsoku/>
        <w:wordWrap/>
        <w:overflowPunct/>
        <w:topLinePunct w:val="0"/>
        <w:autoSpaceDE/>
        <w:autoSpaceDN/>
        <w:bidi w:val="0"/>
        <w:adjustRightInd w:val="0"/>
        <w:snapToGrid w:val="0"/>
        <w:spacing w:line="573" w:lineRule="exact"/>
        <w:ind w:left="0" w:leftChars="0" w:right="0" w:rightChars="0" w:firstLine="480" w:firstLineChars="200"/>
        <w:jc w:val="both"/>
        <w:textAlignment w:val="auto"/>
        <w:outlineLvl w:val="9"/>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8.项目</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建设地点：</w:t>
      </w:r>
      <w:r>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勐海县勐阿镇南朗河村委会龙竹蓬村小组</w:t>
      </w:r>
    </w:p>
    <w:p w14:paraId="17AB2524">
      <w:pPr>
        <w:keepNext w:val="0"/>
        <w:keepLines w:val="0"/>
        <w:pageBreakBefore w:val="0"/>
        <w:widowControl w:val="0"/>
        <w:kinsoku/>
        <w:wordWrap/>
        <w:overflowPunct/>
        <w:topLinePunct w:val="0"/>
        <w:autoSpaceDE/>
        <w:autoSpaceDN/>
        <w:bidi w:val="0"/>
        <w:spacing w:line="50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9.</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质量要求：</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符合现行国家有关工程施工验收规范和标准的要求，一次性验收合格</w:t>
      </w:r>
    </w:p>
    <w:p w14:paraId="1BDAE95F">
      <w:pPr>
        <w:keepNext w:val="0"/>
        <w:keepLines w:val="0"/>
        <w:pageBreakBefore w:val="0"/>
        <w:widowControl w:val="0"/>
        <w:kinsoku/>
        <w:wordWrap/>
        <w:overflowPunct/>
        <w:topLinePunct w:val="0"/>
        <w:autoSpaceDE/>
        <w:autoSpaceDN/>
        <w:bidi w:val="0"/>
        <w:spacing w:line="50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10.</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本项目不接受联合体</w:t>
      </w:r>
    </w:p>
    <w:p w14:paraId="3BF57451">
      <w:pPr>
        <w:spacing w:line="360" w:lineRule="auto"/>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t>二、供应商的资格要求</w:t>
      </w:r>
      <w:bookmarkEnd w:id="7"/>
      <w:bookmarkEnd w:id="8"/>
      <w:bookmarkEnd w:id="9"/>
      <w:bookmarkEnd w:id="10"/>
    </w:p>
    <w:p w14:paraId="4CCED95E">
      <w:pPr>
        <w:keepNext w:val="0"/>
        <w:keepLines w:val="0"/>
        <w:pageBreakBefore w:val="0"/>
        <w:widowControl w:val="0"/>
        <w:kinsoku/>
        <w:wordWrap/>
        <w:overflowPunct/>
        <w:topLinePunct w:val="0"/>
        <w:autoSpaceDE/>
        <w:autoSpaceDN/>
        <w:bidi w:val="0"/>
        <w:spacing w:line="500" w:lineRule="exact"/>
        <w:ind w:firstLine="480" w:firstLineChars="200"/>
        <w:jc w:val="left"/>
        <w:textAlignment w:val="auto"/>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1.满足《中华人民共和国政府采购法》</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等相关</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规定</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w:t>
      </w:r>
    </w:p>
    <w:p w14:paraId="44F4BFFB">
      <w:pPr>
        <w:keepNext w:val="0"/>
        <w:keepLines w:val="0"/>
        <w:pageBreakBefore w:val="0"/>
        <w:widowControl w:val="0"/>
        <w:kinsoku/>
        <w:wordWrap/>
        <w:overflowPunct/>
        <w:topLinePunct w:val="0"/>
        <w:autoSpaceDE/>
        <w:autoSpaceDN/>
        <w:bidi w:val="0"/>
        <w:spacing w:line="50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bookmarkStart w:id="11" w:name="_Toc28359014"/>
      <w:bookmarkStart w:id="12" w:name="_Toc35393800"/>
      <w:bookmarkStart w:id="13" w:name="_Toc35393631"/>
      <w:bookmarkStart w:id="14" w:name="_Toc28359091"/>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（一）具有独立承担民事责任能力的法人或其他组织或者自然人；</w:t>
      </w:r>
    </w:p>
    <w:p w14:paraId="33EB1265">
      <w:pPr>
        <w:keepNext w:val="0"/>
        <w:keepLines w:val="0"/>
        <w:pageBreakBefore w:val="0"/>
        <w:widowControl w:val="0"/>
        <w:kinsoku/>
        <w:wordWrap/>
        <w:overflowPunct/>
        <w:topLinePunct w:val="0"/>
        <w:autoSpaceDE/>
        <w:autoSpaceDN/>
        <w:bidi w:val="0"/>
        <w:spacing w:line="50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（二）具有履行合同所必需的设备和专业技术能力，提供书面声明；</w:t>
      </w:r>
    </w:p>
    <w:p w14:paraId="3D641708">
      <w:pPr>
        <w:keepNext w:val="0"/>
        <w:keepLines w:val="0"/>
        <w:pageBreakBefore w:val="0"/>
        <w:widowControl w:val="0"/>
        <w:kinsoku/>
        <w:wordWrap/>
        <w:overflowPunct/>
        <w:topLinePunct w:val="0"/>
        <w:autoSpaceDE/>
        <w:autoSpaceDN/>
        <w:bidi w:val="0"/>
        <w:spacing w:line="50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（三）</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具有良好的商业信誉和健全的财务会计制度，提供2023年至2025年（任意一年度）经审计的财务报告（扫描件）或近三个月内基本开户银行出具的资信证明（扫描件）（注：若成立时间不足一年的，可提供近三个月内基本开户银行出具的资信证明）</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w:t>
      </w:r>
    </w:p>
    <w:p w14:paraId="1869C740">
      <w:pPr>
        <w:keepNext w:val="0"/>
        <w:keepLines w:val="0"/>
        <w:pageBreakBefore w:val="0"/>
        <w:widowControl w:val="0"/>
        <w:kinsoku/>
        <w:wordWrap/>
        <w:overflowPunct/>
        <w:topLinePunct w:val="0"/>
        <w:autoSpaceDE/>
        <w:autoSpaceDN/>
        <w:bidi w:val="0"/>
        <w:spacing w:line="50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（四）</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具有依法缴纳税收和社会保障资金的良好记录；（提供202</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5</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年1月至投标文件提交截止时间（税款所属时期）任意1个月的税务局税收通用缴款书复印件或银行电子缴税（费）凭证或税务局出具纳税情况的相关证明或具有依法缴纳税收的良好记录的承诺函及提供参加招标活动前段时间202</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5</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年1月至今任意连续 1个月的社会保险费缴款书复印件或银行电子缴税（费）凭证或社保管理部门出具的有效的缴款证明或具有依法缴纳社会保障资金的良好记录承诺函；依法免税或不需要缴纳社会保障资金的投标人，应提供相应文件证明其依法免税或不需要缴纳社会保障资金，成立未满3个月</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的</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提供成立以来的税收和社会保障资金缴纳凭证或相关情况说明）</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w:t>
      </w:r>
    </w:p>
    <w:p w14:paraId="4C961C80">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（五）供应商参加政府采购活动前三年内，在经营活动中没有重大违法记录</w:t>
      </w: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（重大违法记录是指供应商因违法经营受到刑事处罚或者责令停产停业、吊销许可证或者执照、较大数额罚款等行政处罚）的书面声明；</w:t>
      </w:r>
    </w:p>
    <w:p w14:paraId="5197CBB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（六）法律、行政法规规定的其他条件（提供书面声明）；</w:t>
      </w:r>
    </w:p>
    <w:p w14:paraId="5E528B1B">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（七）</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供应商未被列入中国执行信息公开网（http://zxgk.court.gov.cn）失信被执行人，未被列入“信用中国”网站（https://www.creditchina.gov.cn）重大税收违法失信主体和政府采购不良行为记录，未被列入中国政府采购网（http://www.ccgp.gov.cn）政府采购严重违法失信行为记录名单，未被列入国家企业信用信息公示系统（http://www.gsxt.gov.cn）经营异常名录和严重违法失信企业名单（黑名单）（查询结果以采购人或采购代理机构查询结果为准）。</w:t>
      </w:r>
    </w:p>
    <w:p w14:paraId="22BB6C5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2</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.本项目的特定资格要求：</w:t>
      </w:r>
    </w:p>
    <w:p w14:paraId="127A7FC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pP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2</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.1</w:t>
      </w:r>
      <w:r>
        <w:rPr>
          <w:rFonts w:hint="eastAsia" w:ascii="Times New Roman" w:hAnsi="Times New Roman" w:eastAsia="新宋体" w:cs="Times New Roman"/>
          <w:color w:val="000000" w:themeColor="text1"/>
          <w:kern w:val="2"/>
          <w:sz w:val="24"/>
          <w:szCs w:val="24"/>
          <w:lang w:val="en-US" w:eastAsia="zh-CN" w:bidi="ar-SA"/>
          <w14:textFill>
            <w14:solidFill>
              <w14:schemeClr w14:val="tx1"/>
            </w14:solidFill>
          </w14:textFill>
        </w:rPr>
        <w:t>具备市政公用工程施工总承包叁级及以上资质或</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建筑工程施工总承包叁级及以上资质或依据《云南省住房和城乡建设厅关于做好有关建设工程企业资质证书换领和延续工作的通知》云建建</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〔2024〕82号</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文规定，办理更新的建筑工程施工总承包贰级及以上资质，并具有有效的安全生产许可证，并在人员、设备、资金等方面具有承担本工程施工的能力，具备安全生产许可证，并在有效期内；</w:t>
      </w:r>
    </w:p>
    <w:p w14:paraId="04CCEE1E">
      <w:pPr>
        <w:keepNext w:val="0"/>
        <w:keepLines w:val="0"/>
        <w:pageBreakBefore w:val="0"/>
        <w:widowControl w:val="0"/>
        <w:kinsoku/>
        <w:wordWrap/>
        <w:overflowPunct/>
        <w:topLinePunct w:val="0"/>
        <w:autoSpaceDE/>
        <w:autoSpaceDN/>
        <w:bidi w:val="0"/>
        <w:spacing w:line="500" w:lineRule="exact"/>
        <w:ind w:firstLine="480" w:firstLineChars="200"/>
        <w:jc w:val="left"/>
        <w:textAlignment w:val="auto"/>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pPr>
      <w:r>
        <w:rPr>
          <w:rFonts w:hint="eastAsia" w:eastAsia="新宋体" w:cs="Times New Roman"/>
          <w:color w:val="000000" w:themeColor="text1"/>
          <w:kern w:val="2"/>
          <w:sz w:val="24"/>
          <w:szCs w:val="24"/>
          <w:lang w:val="en-US" w:eastAsia="zh-CN" w:bidi="ar-SA"/>
          <w14:textFill>
            <w14:solidFill>
              <w14:schemeClr w14:val="tx1"/>
            </w14:solidFill>
          </w14:textFill>
        </w:rPr>
        <w:t>2.2</w:t>
      </w:r>
      <w:r>
        <w:rPr>
          <w:rFonts w:hint="eastAsia" w:ascii="Times New Roman" w:hAnsi="Times New Roman" w:eastAsia="新宋体" w:cs="Times New Roman"/>
          <w:color w:val="000000" w:themeColor="text1"/>
          <w:kern w:val="2"/>
          <w:sz w:val="24"/>
          <w:szCs w:val="24"/>
          <w:lang w:val="en-US" w:eastAsia="zh-CN" w:bidi="ar-SA"/>
          <w14:textFill>
            <w14:solidFill>
              <w14:schemeClr w14:val="tx1"/>
            </w14:solidFill>
          </w14:textFill>
        </w:rPr>
        <w:t>拟任项目经理应具有有效的市政公用工程专业二级以上（含二级）建造师注册证书和安全生产考核合格</w:t>
      </w:r>
      <w:r>
        <w:rPr>
          <w:rFonts w:hint="eastAsia" w:eastAsia="新宋体" w:cs="Times New Roman"/>
          <w:color w:val="000000" w:themeColor="text1"/>
          <w:kern w:val="2"/>
          <w:sz w:val="24"/>
          <w:szCs w:val="24"/>
          <w:lang w:val="en-US" w:eastAsia="zh-CN" w:bidi="ar-SA"/>
          <w14:textFill>
            <w14:solidFill>
              <w14:schemeClr w14:val="tx1"/>
            </w14:solidFill>
          </w14:textFill>
        </w:rPr>
        <w:t>B</w:t>
      </w:r>
      <w:r>
        <w:rPr>
          <w:rFonts w:hint="eastAsia" w:ascii="Times New Roman" w:hAnsi="Times New Roman" w:eastAsia="新宋体" w:cs="Times New Roman"/>
          <w:color w:val="000000" w:themeColor="text1"/>
          <w:kern w:val="2"/>
          <w:sz w:val="24"/>
          <w:szCs w:val="24"/>
          <w:lang w:val="en-US" w:eastAsia="zh-CN" w:bidi="ar-SA"/>
          <w14:textFill>
            <w14:solidFill>
              <w14:schemeClr w14:val="tx1"/>
            </w14:solidFill>
          </w14:textFill>
        </w:rPr>
        <w:t>证</w:t>
      </w:r>
      <w:r>
        <w:rPr>
          <w:rFonts w:hint="eastAsia" w:eastAsia="新宋体" w:cs="Times New Roman"/>
          <w:color w:val="000000" w:themeColor="text1"/>
          <w:kern w:val="2"/>
          <w:sz w:val="24"/>
          <w:szCs w:val="24"/>
          <w:lang w:val="en-US" w:eastAsia="zh-CN" w:bidi="ar-SA"/>
          <w14:textFill>
            <w14:solidFill>
              <w14:schemeClr w14:val="tx1"/>
            </w14:solidFill>
          </w14:textFill>
        </w:rPr>
        <w:t>。</w:t>
      </w:r>
    </w:p>
    <w:p w14:paraId="7587A205">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t>三、获取采购文件</w:t>
      </w:r>
      <w:bookmarkEnd w:id="11"/>
      <w:bookmarkEnd w:id="12"/>
      <w:bookmarkEnd w:id="13"/>
      <w:bookmarkEnd w:id="14"/>
    </w:p>
    <w:p w14:paraId="443B5C1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1.获取时间：</w:t>
      </w: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2026年8月</w:t>
      </w:r>
      <w:r>
        <w:rPr>
          <w:rFonts w:hint="eastAsia" w:cs="Times New Roman"/>
          <w:color w:val="000000" w:themeColor="text1"/>
          <w:kern w:val="2"/>
          <w:sz w:val="24"/>
          <w:szCs w:val="22"/>
          <w:highlight w:val="none"/>
          <w:u w:val="none"/>
          <w:lang w:val="en-US" w:eastAsia="zh-CN" w:bidi="ar-SA"/>
          <w14:textFill>
            <w14:solidFill>
              <w14:schemeClr w14:val="tx1"/>
            </w14:solidFill>
          </w14:textFill>
        </w:rPr>
        <w:t>31</w:t>
      </w: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日起</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至</w:t>
      </w: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2026年</w:t>
      </w:r>
      <w:r>
        <w:rPr>
          <w:rFonts w:hint="eastAsia" w:cs="Times New Roman"/>
          <w:color w:val="000000" w:themeColor="text1"/>
          <w:kern w:val="2"/>
          <w:sz w:val="24"/>
          <w:szCs w:val="22"/>
          <w:highlight w:val="none"/>
          <w:u w:val="none"/>
          <w:lang w:val="en-US" w:eastAsia="zh-CN" w:bidi="ar-SA"/>
          <w14:textFill>
            <w14:solidFill>
              <w14:schemeClr w14:val="tx1"/>
            </w14:solidFill>
          </w14:textFill>
        </w:rPr>
        <w:t>9</w:t>
      </w: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月</w:t>
      </w:r>
      <w:r>
        <w:rPr>
          <w:rFonts w:hint="eastAsia" w:cs="Times New Roman"/>
          <w:color w:val="000000" w:themeColor="text1"/>
          <w:kern w:val="2"/>
          <w:sz w:val="24"/>
          <w:szCs w:val="22"/>
          <w:highlight w:val="none"/>
          <w:u w:val="none"/>
          <w:lang w:val="en-US" w:eastAsia="zh-CN" w:bidi="ar-SA"/>
          <w14:textFill>
            <w14:solidFill>
              <w14:schemeClr w14:val="tx1"/>
            </w14:solidFill>
          </w14:textFill>
        </w:rPr>
        <w:t>7</w:t>
      </w: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日</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，每天上午0</w:t>
      </w: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6</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:00至12:00，下午12:00至</w:t>
      </w: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23:59</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（北京时间，法定节假日除外）。</w:t>
      </w:r>
    </w:p>
    <w:p w14:paraId="7B3890F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2.</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获取</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地点：“政采云”平台（http</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//www.zcygov.cn）（操作路径：登录“政采云”平台</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项目采购</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 xml:space="preserve">获取采购文件 </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找到本项目</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点击“申请获取采购文件”）</w:t>
      </w: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w:t>
      </w:r>
    </w:p>
    <w:p w14:paraId="60BC12B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3.</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获取</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方式：凡有意参加投标者，须注册政采云平台账号并登录办理数字证书（CA），若供应商未办理数字证书（CA）的，可选择办理云南壹证通CA。CA申领链接：</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fldChar w:fldCharType="begin"/>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instrText xml:space="preserve"> HYPERLINK "https://yzt.ynsmartcert.cn/" </w:instrTex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fldChar w:fldCharType="separate"/>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https://yzt.ynsmartcert.cn/</w: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fldChar w:fldCharType="end"/>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fldChar w:fldCharType="begin"/>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instrText xml:space="preserve"> HYPERLINK "http://yzt.ynsmartcert.cn/cms/yztbnxj16.html" </w:instrText>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fldChar w:fldCharType="separate"/>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fldChar w:fldCharType="end"/>
      </w: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云南壹证通CA 可支持线上、线下两种办理方式，并提供7*24小时全天候客户服务支持，客服热线400-004-0628。（紧急CA办理电话：19988166369）政府采购云平台支持多家CA服务商，供应商可自行选择办理。</w:t>
      </w:r>
    </w:p>
    <w:p w14:paraId="2A26F60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（二）数字证书（CA）申领完成之后进入政府采购云平台，企业账号与数字证书（CA）进行绑定，凭企业数字证书（CA）进行项目报名及免费下载招标文件。</w:t>
      </w:r>
    </w:p>
    <w:p w14:paraId="33B88A69">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（三）按上述要求获取文件的供应商视为已合法获取本项目采购文件，具备本项目的投标（磋商或谈判）资格。</w:t>
      </w:r>
    </w:p>
    <w:p w14:paraId="7CFD2C9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en-US" w:bidi="ar-SA"/>
          <w14:textFill>
            <w14:solidFill>
              <w14:schemeClr w14:val="tx1"/>
            </w14:solidFill>
          </w14:textFill>
        </w:rPr>
        <w:t>（四）如有问题可拨打政采云客户服务热线95763进行咨询，数字证书（CA）问题可咨询24小时技术支持热线400-004-0628（紧急办理可拨：19988166369）</w:t>
      </w:r>
      <w:r>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t>。</w:t>
      </w:r>
    </w:p>
    <w:p w14:paraId="1A92686D">
      <w:pPr>
        <w:spacing w:line="360" w:lineRule="auto"/>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pPr>
      <w:bookmarkStart w:id="15" w:name="_Toc28359092"/>
      <w:bookmarkStart w:id="16" w:name="_Toc35393801"/>
      <w:bookmarkStart w:id="17" w:name="_Toc35393632"/>
      <w:bookmarkStart w:id="18" w:name="_Toc28359015"/>
      <w:r>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t>四、响应文件提交</w:t>
      </w:r>
      <w:bookmarkEnd w:id="15"/>
      <w:bookmarkEnd w:id="16"/>
      <w:bookmarkEnd w:id="17"/>
      <w:bookmarkEnd w:id="18"/>
    </w:p>
    <w:p w14:paraId="21FCE83D">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pP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1.截止时间：</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2026年</w:t>
      </w:r>
      <w:r>
        <w:rPr>
          <w:rFonts w:hint="eastAsia" w:eastAsia="新宋体" w:cs="Times New Roman"/>
          <w:color w:val="000000" w:themeColor="text1"/>
          <w:kern w:val="2"/>
          <w:sz w:val="24"/>
          <w:szCs w:val="24"/>
          <w:lang w:val="en-US" w:eastAsia="zh-CN" w:bidi="ar-SA"/>
          <w14:textFill>
            <w14:solidFill>
              <w14:schemeClr w14:val="tx1"/>
            </w14:solidFill>
          </w14:textFill>
        </w:rPr>
        <w:t>9</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月</w:t>
      </w:r>
      <w:r>
        <w:rPr>
          <w:rFonts w:hint="eastAsia" w:eastAsia="新宋体" w:cs="Times New Roman"/>
          <w:color w:val="000000" w:themeColor="text1"/>
          <w:kern w:val="2"/>
          <w:sz w:val="24"/>
          <w:szCs w:val="24"/>
          <w:lang w:val="en-US" w:eastAsia="zh-CN" w:bidi="ar-SA"/>
          <w14:textFill>
            <w14:solidFill>
              <w14:schemeClr w14:val="tx1"/>
            </w14:solidFill>
          </w14:textFill>
        </w:rPr>
        <w:t>10</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日上午09点00分</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（北京时间）；</w:t>
      </w:r>
    </w:p>
    <w:p w14:paraId="5399B423">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pP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2.地点：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5AF1C776">
      <w:pPr>
        <w:spacing w:line="360" w:lineRule="auto"/>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pPr>
      <w:bookmarkStart w:id="19" w:name="_Toc28359093"/>
      <w:bookmarkStart w:id="20" w:name="_Toc28359016"/>
      <w:bookmarkStart w:id="21" w:name="_Toc35393802"/>
      <w:bookmarkStart w:id="22" w:name="_Toc35393633"/>
      <w:r>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t>五、开启</w:t>
      </w:r>
      <w:bookmarkEnd w:id="19"/>
      <w:bookmarkEnd w:id="20"/>
      <w:bookmarkEnd w:id="21"/>
      <w:bookmarkEnd w:id="22"/>
    </w:p>
    <w:p w14:paraId="3AF0DDDC">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pP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时间：</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2026年</w:t>
      </w:r>
      <w:r>
        <w:rPr>
          <w:rFonts w:hint="eastAsia" w:eastAsia="新宋体" w:cs="Times New Roman"/>
          <w:color w:val="000000" w:themeColor="text1"/>
          <w:kern w:val="2"/>
          <w:sz w:val="24"/>
          <w:szCs w:val="24"/>
          <w:lang w:val="en-US" w:eastAsia="zh-CN" w:bidi="ar-SA"/>
          <w14:textFill>
            <w14:solidFill>
              <w14:schemeClr w14:val="tx1"/>
            </w14:solidFill>
          </w14:textFill>
        </w:rPr>
        <w:t>9</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月</w:t>
      </w:r>
      <w:r>
        <w:rPr>
          <w:rFonts w:hint="eastAsia" w:eastAsia="新宋体" w:cs="Times New Roman"/>
          <w:color w:val="000000" w:themeColor="text1"/>
          <w:kern w:val="2"/>
          <w:sz w:val="24"/>
          <w:szCs w:val="24"/>
          <w:lang w:val="en-US" w:eastAsia="zh-CN" w:bidi="ar-SA"/>
          <w14:textFill>
            <w14:solidFill>
              <w14:schemeClr w14:val="tx1"/>
            </w14:solidFill>
          </w14:textFill>
        </w:rPr>
        <w:t>10</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日上午09点00分</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（北京时间）；</w:t>
      </w:r>
    </w:p>
    <w:p w14:paraId="6427556F">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pP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地点：“</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政采云</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平台开标大厅</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w:t>
      </w:r>
      <w:bookmarkStart w:id="23" w:name="_Toc35393634"/>
      <w:bookmarkStart w:id="24" w:name="_Toc35393803"/>
      <w:bookmarkStart w:id="25" w:name="_Toc28359094"/>
      <w:bookmarkStart w:id="26" w:name="_Toc28359017"/>
    </w:p>
    <w:p w14:paraId="1DBD20E4">
      <w:pPr>
        <w:spacing w:line="360" w:lineRule="auto"/>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pPr>
    </w:p>
    <w:p w14:paraId="2A6389B8">
      <w:pPr>
        <w:spacing w:line="360" w:lineRule="auto"/>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t>六、公告期限</w:t>
      </w:r>
      <w:bookmarkEnd w:id="23"/>
      <w:bookmarkEnd w:id="24"/>
      <w:bookmarkEnd w:id="25"/>
      <w:bookmarkEnd w:id="26"/>
    </w:p>
    <w:p w14:paraId="783A3803">
      <w:pPr>
        <w:keepNext w:val="0"/>
        <w:keepLines w:val="0"/>
        <w:pageBreakBefore w:val="0"/>
        <w:widowControl w:val="0"/>
        <w:kinsoku/>
        <w:wordWrap/>
        <w:overflowPunct/>
        <w:topLinePunct w:val="0"/>
        <w:autoSpaceDE/>
        <w:autoSpaceDN/>
        <w:bidi w:val="0"/>
        <w:spacing w:line="500" w:lineRule="exact"/>
        <w:ind w:firstLine="420" w:firstLineChars="200"/>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自本公告发布之日起</w:t>
      </w:r>
      <w:r>
        <w:rPr>
          <w:rFonts w:hint="default" w:ascii="Times New Roman" w:hAnsi="Times New Roman" w:cs="Times New Roman"/>
          <w:color w:val="000000" w:themeColor="text1"/>
          <w:lang w:val="en-US" w:eastAsia="zh-CN"/>
          <w14:textFill>
            <w14:solidFill>
              <w14:schemeClr w14:val="tx1"/>
            </w14:solidFill>
          </w14:textFill>
        </w:rPr>
        <w:t>3</w:t>
      </w:r>
      <w:r>
        <w:rPr>
          <w:rFonts w:hint="default" w:ascii="Times New Roman" w:hAnsi="Times New Roman" w:cs="Times New Roman"/>
          <w:color w:val="000000" w:themeColor="text1"/>
          <w14:textFill>
            <w14:solidFill>
              <w14:schemeClr w14:val="tx1"/>
            </w14:solidFill>
          </w14:textFill>
        </w:rPr>
        <w:t>个工作日。</w:t>
      </w:r>
    </w:p>
    <w:p w14:paraId="29D093AB">
      <w:pPr>
        <w:spacing w:line="360" w:lineRule="auto"/>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pPr>
      <w:bookmarkStart w:id="27" w:name="_Toc35393804"/>
      <w:bookmarkStart w:id="28" w:name="_Toc35393635"/>
      <w:r>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t>七、其他补充事宜</w:t>
      </w:r>
      <w:bookmarkEnd w:id="27"/>
      <w:bookmarkEnd w:id="28"/>
    </w:p>
    <w:p w14:paraId="0E93295D">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pP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1.公告发布媒介：《云南省政府采购网》（http</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//www.yngp.com</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w:t>
      </w:r>
    </w:p>
    <w:p w14:paraId="7A36635C">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pP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2</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.单位负责人为同一人或者存在直接控股、管理关系的不同供应商，不得参加同一合同项下的政府采购活动。</w:t>
      </w:r>
    </w:p>
    <w:p w14:paraId="669BBA53">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3.落实政府采购政策需满足的资格要求：本项目不属于专门面向中小企业采购的项目。</w:t>
      </w:r>
    </w:p>
    <w:p w14:paraId="52D322C8">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注：对小型和微型企业的价格给予3%的扣除，用扣除后的价格参与评审，监狱企业、残疾人福利性单位视同小型或微型企业。</w:t>
      </w:r>
    </w:p>
    <w:p w14:paraId="131E7B6C">
      <w:pPr>
        <w:pStyle w:val="13"/>
        <w:rPr>
          <w:rFonts w:hint="default" w:ascii="Times New Roman" w:hAnsi="Times New Roman" w:cs="Times New Roman"/>
          <w:color w:val="000000" w:themeColor="text1"/>
          <w:lang w:val="en-US" w:eastAsia="en-US"/>
          <w14:textFill>
            <w14:solidFill>
              <w14:schemeClr w14:val="tx1"/>
            </w14:solidFill>
          </w14:textFill>
        </w:rPr>
      </w:pPr>
    </w:p>
    <w:p w14:paraId="23D6AB69">
      <w:pPr>
        <w:spacing w:line="360" w:lineRule="auto"/>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pPr>
      <w:bookmarkStart w:id="29" w:name="_Toc28359018"/>
      <w:bookmarkStart w:id="30" w:name="_Toc35393805"/>
      <w:bookmarkStart w:id="31" w:name="_Toc35393636"/>
      <w:bookmarkStart w:id="32" w:name="_Toc28359095"/>
      <w:r>
        <w:rPr>
          <w:rFonts w:hint="default" w:ascii="Times New Roman" w:hAnsi="Times New Roman" w:eastAsia="宋体" w:cs="Times New Roman"/>
          <w:b/>
          <w:bCs/>
          <w:color w:val="000000" w:themeColor="text1"/>
          <w:sz w:val="24"/>
          <w:szCs w:val="24"/>
          <w:lang w:val="en-US" w:eastAsia="en-US"/>
          <w14:textFill>
            <w14:solidFill>
              <w14:schemeClr w14:val="tx1"/>
            </w14:solidFill>
          </w14:textFill>
        </w:rPr>
        <w:t>八、凡对本次采购提出询问，请按以下方式联系</w:t>
      </w:r>
      <w:bookmarkEnd w:id="29"/>
      <w:bookmarkEnd w:id="30"/>
      <w:bookmarkEnd w:id="31"/>
      <w:bookmarkEnd w:id="32"/>
      <w:bookmarkStart w:id="33" w:name="_Toc28359021"/>
      <w:bookmarkStart w:id="34" w:name="_Toc35393639"/>
      <w:bookmarkStart w:id="35" w:name="_Toc35393808"/>
      <w:bookmarkStart w:id="36" w:name="_Toc28359098"/>
    </w:p>
    <w:p w14:paraId="63494AC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1.采购人信息</w:t>
      </w:r>
    </w:p>
    <w:p w14:paraId="417C4EE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名  称：</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勐海县勐阿镇人民政府</w:t>
      </w:r>
    </w:p>
    <w:p w14:paraId="47D57EC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地  址：</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勐阿镇人民政府</w:t>
      </w:r>
    </w:p>
    <w:p w14:paraId="7A5F6E3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联 系人：陈桔</w:t>
      </w:r>
    </w:p>
    <w:p w14:paraId="63A41F9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联系方式：</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18088115822</w:t>
      </w:r>
    </w:p>
    <w:p w14:paraId="386C389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p>
    <w:p w14:paraId="3724998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2.采购代理机构信息</w:t>
      </w:r>
    </w:p>
    <w:p w14:paraId="4C1161B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名  称：勐海县海民招标代理有限公司</w:t>
      </w:r>
    </w:p>
    <w:p w14:paraId="29CB6A4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地  址：云南省西双版纳傣族自治州勐海县勐海镇双塔国际五楼F3-513</w:t>
      </w:r>
    </w:p>
    <w:p w14:paraId="6258B4A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联系人：谢女士</w:t>
      </w:r>
    </w:p>
    <w:p w14:paraId="0D0323B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联系方式：15287682653</w:t>
      </w:r>
    </w:p>
    <w:bookmarkEnd w:id="33"/>
    <w:bookmarkEnd w:id="34"/>
    <w:bookmarkEnd w:id="35"/>
    <w:bookmarkEnd w:id="36"/>
    <w:p w14:paraId="061F22BB">
      <w:pPr>
        <w:spacing w:line="360" w:lineRule="auto"/>
        <w:jc w:val="both"/>
        <w:outlineLvl w:val="1"/>
        <w:rPr>
          <w:rFonts w:hint="default" w:ascii="Times New Roman" w:hAnsi="Times New Roman" w:eastAsia="宋体" w:cs="Times New Roman"/>
          <w:b/>
          <w:color w:val="000000" w:themeColor="text1"/>
          <w:kern w:val="0"/>
          <w:sz w:val="32"/>
          <w14:textFill>
            <w14:solidFill>
              <w14:schemeClr w14:val="tx1"/>
            </w14:solidFill>
          </w14:textFill>
        </w:rPr>
      </w:pPr>
      <w:bookmarkStart w:id="37" w:name="_Toc24185"/>
      <w:bookmarkStart w:id="38" w:name="_Toc21485"/>
      <w:bookmarkStart w:id="39" w:name="_Toc6193"/>
      <w:bookmarkStart w:id="40" w:name="_Toc32055"/>
      <w:bookmarkStart w:id="41" w:name="_Toc8078"/>
    </w:p>
    <w:p w14:paraId="69C58A8C">
      <w:pPr>
        <w:spacing w:line="360" w:lineRule="auto"/>
        <w:jc w:val="both"/>
        <w:outlineLvl w:val="1"/>
        <w:rPr>
          <w:rFonts w:hint="default" w:ascii="Times New Roman" w:hAnsi="Times New Roman" w:eastAsia="宋体" w:cs="Times New Roman"/>
          <w:b/>
          <w:color w:val="000000" w:themeColor="text1"/>
          <w:kern w:val="0"/>
          <w:sz w:val="32"/>
          <w14:textFill>
            <w14:solidFill>
              <w14:schemeClr w14:val="tx1"/>
            </w14:solidFill>
          </w14:textFill>
        </w:rPr>
      </w:pPr>
    </w:p>
    <w:p w14:paraId="02D319B1">
      <w:pPr>
        <w:spacing w:line="360" w:lineRule="auto"/>
        <w:jc w:val="both"/>
        <w:outlineLvl w:val="1"/>
        <w:rPr>
          <w:rFonts w:hint="default" w:ascii="Times New Roman" w:hAnsi="Times New Roman" w:eastAsia="宋体" w:cs="Times New Roman"/>
          <w:b/>
          <w:color w:val="000000" w:themeColor="text1"/>
          <w:kern w:val="0"/>
          <w:sz w:val="32"/>
          <w14:textFill>
            <w14:solidFill>
              <w14:schemeClr w14:val="tx1"/>
            </w14:solidFill>
          </w14:textFill>
        </w:rPr>
      </w:pPr>
    </w:p>
    <w:p w14:paraId="76E53A8B">
      <w:pPr>
        <w:spacing w:line="360" w:lineRule="auto"/>
        <w:jc w:val="center"/>
        <w:outlineLvl w:val="1"/>
        <w:rPr>
          <w:rFonts w:hint="default" w:ascii="Times New Roman" w:hAnsi="Times New Roman" w:eastAsia="宋体" w:cs="Times New Roman"/>
          <w:b/>
          <w:color w:val="000000" w:themeColor="text1"/>
          <w:kern w:val="0"/>
          <w:sz w:val="32"/>
          <w14:textFill>
            <w14:solidFill>
              <w14:schemeClr w14:val="tx1"/>
            </w14:solidFill>
          </w14:textFill>
        </w:rPr>
      </w:pPr>
      <w:r>
        <w:rPr>
          <w:rFonts w:hint="default" w:ascii="Times New Roman" w:hAnsi="Times New Roman" w:eastAsia="宋体" w:cs="Times New Roman"/>
          <w:b/>
          <w:color w:val="000000" w:themeColor="text1"/>
          <w:kern w:val="0"/>
          <w:sz w:val="32"/>
          <w14:textFill>
            <w14:solidFill>
              <w14:schemeClr w14:val="tx1"/>
            </w14:solidFill>
          </w14:textFill>
        </w:rPr>
        <w:t>第二章 供应商须知及其前附表</w:t>
      </w:r>
    </w:p>
    <w:p w14:paraId="1378DC5C">
      <w:pPr>
        <w:spacing w:line="360" w:lineRule="auto"/>
        <w:jc w:val="center"/>
        <w:outlineLvl w:val="1"/>
        <w:rPr>
          <w:rFonts w:hint="default" w:ascii="Times New Roman" w:hAnsi="Times New Roman" w:cs="Times New Roman"/>
          <w:b/>
          <w:color w:val="000000" w:themeColor="text1"/>
          <w:kern w:val="0"/>
          <w:sz w:val="32"/>
          <w14:textFill>
            <w14:solidFill>
              <w14:schemeClr w14:val="tx1"/>
            </w14:solidFill>
          </w14:textFill>
        </w:rPr>
      </w:pPr>
      <w:r>
        <w:rPr>
          <w:rFonts w:hint="default" w:ascii="Times New Roman" w:hAnsi="Times New Roman" w:cs="Times New Roman"/>
          <w:b/>
          <w:color w:val="000000" w:themeColor="text1"/>
          <w:kern w:val="0"/>
          <w:sz w:val="32"/>
          <w14:textFill>
            <w14:solidFill>
              <w14:schemeClr w14:val="tx1"/>
            </w14:solidFill>
          </w14:textFill>
        </w:rPr>
        <w:t>一、供应商须知前附表</w:t>
      </w:r>
    </w:p>
    <w:p w14:paraId="5F16B30A">
      <w:pPr>
        <w:pStyle w:val="2"/>
        <w:spacing w:before="0" w:after="0" w:line="360" w:lineRule="auto"/>
        <w:ind w:firstLine="1807" w:firstLineChars="500"/>
        <w:jc w:val="both"/>
        <w:rPr>
          <w:rFonts w:hint="default" w:ascii="Times New Roman" w:hAnsi="Times New Roman" w:cs="Times New Roman"/>
          <w:color w:val="000000" w:themeColor="text1"/>
          <w:sz w:val="36"/>
          <w:szCs w:val="36"/>
          <w14:textFill>
            <w14:solidFill>
              <w14:schemeClr w14:val="tx1"/>
            </w14:solidFill>
          </w14:textFill>
        </w:rPr>
      </w:pPr>
    </w:p>
    <w:bookmarkEnd w:id="37"/>
    <w:bookmarkEnd w:id="38"/>
    <w:bookmarkEnd w:id="39"/>
    <w:bookmarkEnd w:id="40"/>
    <w:bookmarkEnd w:id="41"/>
    <w:tbl>
      <w:tblPr>
        <w:tblStyle w:val="30"/>
        <w:tblW w:w="9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181"/>
        <w:gridCol w:w="6654"/>
      </w:tblGrid>
      <w:tr w14:paraId="3FD87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93" w:type="dxa"/>
            <w:shd w:val="clear" w:color="auto" w:fill="D6E3BC"/>
            <w:noWrap w:val="0"/>
            <w:vAlign w:val="center"/>
          </w:tcPr>
          <w:p w14:paraId="4E994AD8">
            <w:pPr>
              <w:spacing w:line="360" w:lineRule="auto"/>
              <w:jc w:val="center"/>
              <w:rPr>
                <w:rFonts w:hint="default" w:ascii="Times New Roman" w:hAnsi="Times New Roman" w:cs="Times New Roman"/>
                <w:b/>
                <w:color w:val="000000" w:themeColor="text1"/>
                <w14:textFill>
                  <w14:solidFill>
                    <w14:schemeClr w14:val="tx1"/>
                  </w14:solidFill>
                </w14:textFill>
              </w:rPr>
            </w:pPr>
            <w:r>
              <w:rPr>
                <w:rFonts w:hint="default" w:ascii="Times New Roman" w:hAnsi="Times New Roman" w:cs="Times New Roman"/>
                <w:b/>
                <w:color w:val="000000" w:themeColor="text1"/>
                <w14:textFill>
                  <w14:solidFill>
                    <w14:schemeClr w14:val="tx1"/>
                  </w14:solidFill>
                </w14:textFill>
              </w:rPr>
              <w:t>条款号</w:t>
            </w:r>
          </w:p>
        </w:tc>
        <w:tc>
          <w:tcPr>
            <w:tcW w:w="2181" w:type="dxa"/>
            <w:shd w:val="clear" w:color="auto" w:fill="D6E3BC"/>
            <w:noWrap w:val="0"/>
            <w:vAlign w:val="center"/>
          </w:tcPr>
          <w:p w14:paraId="482A3DE8">
            <w:pPr>
              <w:spacing w:line="360" w:lineRule="auto"/>
              <w:jc w:val="center"/>
              <w:rPr>
                <w:rFonts w:hint="default" w:ascii="Times New Roman" w:hAnsi="Times New Roman" w:cs="Times New Roman"/>
                <w:b/>
                <w:color w:val="000000" w:themeColor="text1"/>
                <w14:textFill>
                  <w14:solidFill>
                    <w14:schemeClr w14:val="tx1"/>
                  </w14:solidFill>
                </w14:textFill>
              </w:rPr>
            </w:pPr>
            <w:r>
              <w:rPr>
                <w:rFonts w:hint="default" w:ascii="Times New Roman" w:hAnsi="Times New Roman" w:cs="Times New Roman"/>
                <w:b/>
                <w:color w:val="000000" w:themeColor="text1"/>
                <w14:textFill>
                  <w14:solidFill>
                    <w14:schemeClr w14:val="tx1"/>
                  </w14:solidFill>
                </w14:textFill>
              </w:rPr>
              <w:t>条款名称</w:t>
            </w:r>
          </w:p>
        </w:tc>
        <w:tc>
          <w:tcPr>
            <w:tcW w:w="6654" w:type="dxa"/>
            <w:shd w:val="clear" w:color="auto" w:fill="D6E3BC"/>
            <w:noWrap w:val="0"/>
            <w:vAlign w:val="center"/>
          </w:tcPr>
          <w:p w14:paraId="0EA0E507">
            <w:pPr>
              <w:spacing w:line="360" w:lineRule="auto"/>
              <w:jc w:val="center"/>
              <w:rPr>
                <w:rFonts w:hint="default" w:ascii="Times New Roman" w:hAnsi="Times New Roman" w:cs="Times New Roman"/>
                <w:b/>
                <w:color w:val="000000" w:themeColor="text1"/>
                <w14:textFill>
                  <w14:solidFill>
                    <w14:schemeClr w14:val="tx1"/>
                  </w14:solidFill>
                </w14:textFill>
              </w:rPr>
            </w:pPr>
            <w:r>
              <w:rPr>
                <w:rFonts w:hint="default" w:ascii="Times New Roman" w:hAnsi="Times New Roman" w:cs="Times New Roman"/>
                <w:b/>
                <w:color w:val="000000" w:themeColor="text1"/>
                <w14:textFill>
                  <w14:solidFill>
                    <w14:schemeClr w14:val="tx1"/>
                  </w14:solidFill>
                </w14:textFill>
              </w:rPr>
              <w:t>编列内容</w:t>
            </w:r>
          </w:p>
        </w:tc>
      </w:tr>
      <w:tr w14:paraId="67716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2" w:hRule="atLeast"/>
          <w:jc w:val="center"/>
        </w:trPr>
        <w:tc>
          <w:tcPr>
            <w:tcW w:w="993" w:type="dxa"/>
            <w:noWrap w:val="0"/>
            <w:vAlign w:val="center"/>
          </w:tcPr>
          <w:p w14:paraId="4440E6B6">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1.1.2</w:t>
            </w:r>
          </w:p>
        </w:tc>
        <w:tc>
          <w:tcPr>
            <w:tcW w:w="2181" w:type="dxa"/>
            <w:noWrap w:val="0"/>
            <w:vAlign w:val="center"/>
          </w:tcPr>
          <w:p w14:paraId="511ACBCA">
            <w:pPr>
              <w:spacing w:line="360" w:lineRule="auto"/>
              <w:ind w:firstLine="420" w:firstLineChars="20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采购人</w:t>
            </w:r>
          </w:p>
        </w:tc>
        <w:tc>
          <w:tcPr>
            <w:tcW w:w="6654" w:type="dxa"/>
            <w:noWrap w:val="0"/>
            <w:vAlign w:val="center"/>
          </w:tcPr>
          <w:p w14:paraId="0596F52F">
            <w:pPr>
              <w:keepNext w:val="0"/>
              <w:keepLines w:val="0"/>
              <w:widowControl/>
              <w:suppressLineNumbers w:val="0"/>
              <w:jc w:val="left"/>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名  称：</w:t>
            </w:r>
            <w:r>
              <w:rPr>
                <w:rFonts w:ascii="????" w:hAnsi="????" w:eastAsia="????" w:cs="????"/>
                <w:color w:val="000000" w:themeColor="text1"/>
                <w:kern w:val="0"/>
                <w:sz w:val="24"/>
                <w:szCs w:val="24"/>
                <w:lang w:val="en-US" w:eastAsia="zh-CN" w:bidi="ar"/>
                <w14:textFill>
                  <w14:solidFill>
                    <w14:schemeClr w14:val="tx1"/>
                  </w14:solidFill>
                </w14:textFill>
              </w:rPr>
              <w:t>勐海县勐阿镇人民政府</w:t>
            </w:r>
          </w:p>
          <w:p w14:paraId="29167EE5">
            <w:pPr>
              <w:keepNext w:val="0"/>
              <w:keepLines w:val="0"/>
              <w:widowControl/>
              <w:suppressLineNumbers w:val="0"/>
              <w:jc w:val="left"/>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地  址：</w:t>
            </w:r>
            <w:r>
              <w:rPr>
                <w:rFonts w:ascii="????" w:hAnsi="????" w:eastAsia="????" w:cs="????"/>
                <w:color w:val="000000" w:themeColor="text1"/>
                <w:kern w:val="0"/>
                <w:sz w:val="24"/>
                <w:szCs w:val="24"/>
                <w:lang w:val="en-US" w:eastAsia="zh-CN" w:bidi="ar"/>
                <w14:textFill>
                  <w14:solidFill>
                    <w14:schemeClr w14:val="tx1"/>
                  </w14:solidFill>
                </w14:textFill>
              </w:rPr>
              <w:t>勐阿镇人民政府</w:t>
            </w:r>
          </w:p>
          <w:p w14:paraId="2CC47D71">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联 系人：</w:t>
            </w:r>
            <w:r>
              <w:rPr>
                <w:rFonts w:hint="eastAsia" w:cs="Times New Roman"/>
                <w:color w:val="000000" w:themeColor="text1"/>
                <w:sz w:val="24"/>
                <w:szCs w:val="24"/>
                <w:lang w:val="en-US" w:eastAsia="zh-CN"/>
                <w14:textFill>
                  <w14:solidFill>
                    <w14:schemeClr w14:val="tx1"/>
                  </w14:solidFill>
                </w14:textFill>
              </w:rPr>
              <w:t>陈桔</w:t>
            </w:r>
          </w:p>
          <w:p w14:paraId="2F03D594">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联系方式：</w:t>
            </w:r>
            <w:r>
              <w:rPr>
                <w:rFonts w:hint="eastAsia" w:cs="Times New Roman"/>
                <w:color w:val="000000" w:themeColor="text1"/>
                <w:sz w:val="24"/>
                <w:szCs w:val="24"/>
                <w:lang w:val="en-US" w:eastAsia="zh-CN"/>
                <w14:textFill>
                  <w14:solidFill>
                    <w14:schemeClr w14:val="tx1"/>
                  </w14:solidFill>
                </w14:textFill>
              </w:rPr>
              <w:t>18088115822</w:t>
            </w:r>
          </w:p>
        </w:tc>
      </w:tr>
      <w:tr w14:paraId="155BE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 w:type="dxa"/>
            <w:noWrap w:val="0"/>
            <w:vAlign w:val="center"/>
          </w:tcPr>
          <w:p w14:paraId="36FF41FE">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1.1.3</w:t>
            </w:r>
          </w:p>
        </w:tc>
        <w:tc>
          <w:tcPr>
            <w:tcW w:w="2181" w:type="dxa"/>
            <w:noWrap w:val="0"/>
            <w:vAlign w:val="center"/>
          </w:tcPr>
          <w:p w14:paraId="5D8734AD">
            <w:pPr>
              <w:spacing w:line="360" w:lineRule="auto"/>
              <w:ind w:firstLine="420" w:firstLineChars="20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采购代理机构</w:t>
            </w:r>
          </w:p>
        </w:tc>
        <w:tc>
          <w:tcPr>
            <w:tcW w:w="6654" w:type="dxa"/>
            <w:noWrap w:val="0"/>
            <w:vAlign w:val="center"/>
          </w:tcPr>
          <w:p w14:paraId="5F2C6974">
            <w:pPr>
              <w:spacing w:line="360" w:lineRule="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名称：勐海县海民招标代理有限公司</w:t>
            </w:r>
          </w:p>
          <w:p w14:paraId="5E3A8DC4">
            <w:pPr>
              <w:spacing w:line="360" w:lineRule="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地址：云南省西双版纳傣族自治州勐海县勐海镇双塔国际五楼F3-513</w:t>
            </w:r>
          </w:p>
          <w:p w14:paraId="09BC5E9C">
            <w:pPr>
              <w:spacing w:line="360" w:lineRule="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联系人：谢女士</w:t>
            </w:r>
          </w:p>
          <w:p w14:paraId="2D96A283">
            <w:pPr>
              <w:spacing w:line="360" w:lineRule="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 xml:space="preserve">联系方式：15287682653 </w:t>
            </w:r>
          </w:p>
        </w:tc>
      </w:tr>
      <w:tr w14:paraId="5A38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993" w:type="dxa"/>
            <w:noWrap w:val="0"/>
            <w:vAlign w:val="center"/>
          </w:tcPr>
          <w:p w14:paraId="11EB3FFD">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1.1.4</w:t>
            </w:r>
          </w:p>
        </w:tc>
        <w:tc>
          <w:tcPr>
            <w:tcW w:w="2181" w:type="dxa"/>
            <w:noWrap w:val="0"/>
            <w:vAlign w:val="center"/>
          </w:tcPr>
          <w:p w14:paraId="779AD3C2">
            <w:pPr>
              <w:spacing w:line="360" w:lineRule="auto"/>
              <w:ind w:firstLine="630" w:firstLineChars="300"/>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项目名称</w:t>
            </w:r>
          </w:p>
        </w:tc>
        <w:tc>
          <w:tcPr>
            <w:tcW w:w="6654" w:type="dxa"/>
            <w:noWrap w:val="0"/>
            <w:vAlign w:val="center"/>
          </w:tcPr>
          <w:p w14:paraId="55677C3C">
            <w:pPr>
              <w:spacing w:line="360" w:lineRule="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2026年勐海县勐阿镇南朗河村委会龙竹蓬村小组农村公益事业建设财政奖补项目（普惠）</w:t>
            </w:r>
          </w:p>
        </w:tc>
      </w:tr>
      <w:tr w14:paraId="10F21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993" w:type="dxa"/>
            <w:noWrap w:val="0"/>
            <w:vAlign w:val="center"/>
          </w:tcPr>
          <w:p w14:paraId="4985DB92">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1.1.5</w:t>
            </w:r>
          </w:p>
        </w:tc>
        <w:tc>
          <w:tcPr>
            <w:tcW w:w="2181" w:type="dxa"/>
            <w:noWrap w:val="0"/>
            <w:vAlign w:val="center"/>
          </w:tcPr>
          <w:p w14:paraId="637894F9">
            <w:pPr>
              <w:spacing w:line="360" w:lineRule="auto"/>
              <w:jc w:val="center"/>
              <w:rPr>
                <w:rFonts w:hint="default" w:ascii="Times New Roman" w:hAnsi="Times New Roman" w:cs="Times New Roman"/>
                <w:color w:val="000000" w:themeColor="text1"/>
                <w:highlight w:val="yellow"/>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项目编号</w:t>
            </w:r>
          </w:p>
        </w:tc>
        <w:tc>
          <w:tcPr>
            <w:tcW w:w="6654" w:type="dxa"/>
            <w:noWrap w:val="0"/>
            <w:vAlign w:val="center"/>
          </w:tcPr>
          <w:p w14:paraId="5C2A700D">
            <w:pPr>
              <w:spacing w:line="360" w:lineRule="auto"/>
              <w:jc w:val="both"/>
              <w:rPr>
                <w:rFonts w:hint="default" w:ascii="Times New Roman" w:hAnsi="Times New Roman" w:cs="Times New Roman"/>
                <w:color w:val="000000" w:themeColor="text1"/>
                <w:highlight w:val="yellow"/>
                <w:lang w:val="en-US"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HMZB-2026-</w:t>
            </w:r>
            <w:r>
              <w:rPr>
                <w:rFonts w:hint="eastAsia" w:cs="Times New Roman"/>
                <w:color w:val="000000" w:themeColor="text1"/>
                <w:lang w:val="en-US" w:eastAsia="zh-CN"/>
                <w14:textFill>
                  <w14:solidFill>
                    <w14:schemeClr w14:val="tx1"/>
                  </w14:solidFill>
                </w14:textFill>
              </w:rPr>
              <w:t>8</w:t>
            </w:r>
            <w:r>
              <w:rPr>
                <w:rFonts w:hint="default" w:ascii="Times New Roman" w:hAnsi="Times New Roman" w:cs="Times New Roman"/>
                <w:color w:val="000000" w:themeColor="text1"/>
                <w:lang w:val="en-US" w:eastAsia="zh-CN"/>
                <w14:textFill>
                  <w14:solidFill>
                    <w14:schemeClr w14:val="tx1"/>
                  </w14:solidFill>
                </w14:textFill>
              </w:rPr>
              <w:t>-</w:t>
            </w:r>
            <w:r>
              <w:rPr>
                <w:rFonts w:hint="eastAsia" w:cs="Times New Roman"/>
                <w:color w:val="000000" w:themeColor="text1"/>
                <w:lang w:val="en-US" w:eastAsia="zh-CN"/>
                <w14:textFill>
                  <w14:solidFill>
                    <w14:schemeClr w14:val="tx1"/>
                  </w14:solidFill>
                </w14:textFill>
              </w:rPr>
              <w:t>16</w:t>
            </w:r>
          </w:p>
        </w:tc>
      </w:tr>
      <w:tr w14:paraId="2F5B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993" w:type="dxa"/>
            <w:noWrap w:val="0"/>
            <w:vAlign w:val="center"/>
          </w:tcPr>
          <w:p w14:paraId="28E40919">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1.1.6</w:t>
            </w:r>
          </w:p>
        </w:tc>
        <w:tc>
          <w:tcPr>
            <w:tcW w:w="2181" w:type="dxa"/>
            <w:noWrap w:val="0"/>
            <w:vAlign w:val="center"/>
          </w:tcPr>
          <w:p w14:paraId="5BC1199D">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项目基本情况</w:t>
            </w:r>
          </w:p>
        </w:tc>
        <w:tc>
          <w:tcPr>
            <w:tcW w:w="6654" w:type="dxa"/>
            <w:noWrap w:val="0"/>
            <w:vAlign w:val="center"/>
          </w:tcPr>
          <w:p w14:paraId="68882F06">
            <w:pPr>
              <w:spacing w:line="360" w:lineRule="auto"/>
              <w:jc w:val="both"/>
              <w:rPr>
                <w:rFonts w:hint="default" w:ascii="Times New Roman" w:hAnsi="Times New Roman" w:cs="Times New Roman"/>
                <w:bCs/>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详见“第一章 竞争性磋商公告”</w:t>
            </w:r>
          </w:p>
        </w:tc>
      </w:tr>
      <w:tr w14:paraId="10497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993" w:type="dxa"/>
            <w:noWrap w:val="0"/>
            <w:vAlign w:val="center"/>
          </w:tcPr>
          <w:p w14:paraId="21D4A127">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1.1.7</w:t>
            </w:r>
          </w:p>
        </w:tc>
        <w:tc>
          <w:tcPr>
            <w:tcW w:w="2181" w:type="dxa"/>
            <w:noWrap w:val="0"/>
            <w:vAlign w:val="center"/>
          </w:tcPr>
          <w:p w14:paraId="4B599146">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标包划分</w:t>
            </w:r>
          </w:p>
        </w:tc>
        <w:tc>
          <w:tcPr>
            <w:tcW w:w="6654" w:type="dxa"/>
            <w:noWrap w:val="0"/>
            <w:vAlign w:val="center"/>
          </w:tcPr>
          <w:p w14:paraId="4D40FC93">
            <w:pPr>
              <w:spacing w:line="360" w:lineRule="auto"/>
              <w:jc w:val="both"/>
              <w:rPr>
                <w:rFonts w:hint="default" w:ascii="Times New Roman" w:hAnsi="Times New Roman" w:cs="Times New Roman"/>
                <w:bCs/>
                <w:color w:val="000000" w:themeColor="text1"/>
                <w14:textFill>
                  <w14:solidFill>
                    <w14:schemeClr w14:val="tx1"/>
                  </w14:solidFill>
                </w14:textFill>
              </w:rPr>
            </w:pPr>
            <w:r>
              <w:rPr>
                <w:rFonts w:hint="default" w:ascii="Times New Roman" w:hAnsi="Times New Roman" w:cs="Times New Roman"/>
                <w:bCs/>
                <w:color w:val="000000" w:themeColor="text1"/>
                <w14:textFill>
                  <w14:solidFill>
                    <w14:schemeClr w14:val="tx1"/>
                  </w14:solidFill>
                </w14:textFill>
              </w:rPr>
              <w:t>本项目不划分标包</w:t>
            </w:r>
          </w:p>
        </w:tc>
      </w:tr>
      <w:tr w14:paraId="0F426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993" w:type="dxa"/>
            <w:noWrap w:val="0"/>
            <w:vAlign w:val="center"/>
          </w:tcPr>
          <w:p w14:paraId="4E564790">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1.1.8</w:t>
            </w:r>
          </w:p>
        </w:tc>
        <w:tc>
          <w:tcPr>
            <w:tcW w:w="2181" w:type="dxa"/>
            <w:noWrap w:val="0"/>
            <w:vAlign w:val="center"/>
          </w:tcPr>
          <w:p w14:paraId="52E46C50">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资格审查方式</w:t>
            </w:r>
          </w:p>
        </w:tc>
        <w:tc>
          <w:tcPr>
            <w:tcW w:w="6654" w:type="dxa"/>
            <w:noWrap w:val="0"/>
            <w:vAlign w:val="center"/>
          </w:tcPr>
          <w:p w14:paraId="22D7A753">
            <w:pPr>
              <w:spacing w:line="360" w:lineRule="auto"/>
              <w:jc w:val="both"/>
              <w:rPr>
                <w:rFonts w:hint="default" w:ascii="Times New Roman" w:hAnsi="Times New Roman" w:cs="Times New Roman"/>
                <w:bCs/>
                <w:color w:val="000000" w:themeColor="text1"/>
                <w14:textFill>
                  <w14:solidFill>
                    <w14:schemeClr w14:val="tx1"/>
                  </w14:solidFill>
                </w14:textFill>
              </w:rPr>
            </w:pPr>
            <w:r>
              <w:rPr>
                <w:rFonts w:hint="default" w:ascii="Times New Roman" w:hAnsi="Times New Roman" w:cs="Times New Roman"/>
                <w:bCs/>
                <w:color w:val="000000" w:themeColor="text1"/>
                <w14:textFill>
                  <w14:solidFill>
                    <w14:schemeClr w14:val="tx1"/>
                  </w14:solidFill>
                </w14:textFill>
              </w:rPr>
              <w:t>资格后审</w:t>
            </w:r>
          </w:p>
        </w:tc>
      </w:tr>
      <w:tr w14:paraId="2BE59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993" w:type="dxa"/>
            <w:noWrap w:val="0"/>
            <w:vAlign w:val="center"/>
          </w:tcPr>
          <w:p w14:paraId="4BD3A771">
            <w:pPr>
              <w:spacing w:line="360" w:lineRule="auto"/>
              <w:jc w:val="center"/>
              <w:rPr>
                <w:rFonts w:hint="default" w:ascii="Times New Roman" w:hAnsi="Times New Roman" w:eastAsia="宋体" w:cs="Times New Roman"/>
                <w:bCs/>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1.2.1</w:t>
            </w:r>
          </w:p>
        </w:tc>
        <w:tc>
          <w:tcPr>
            <w:tcW w:w="2181" w:type="dxa"/>
            <w:noWrap w:val="0"/>
            <w:vAlign w:val="center"/>
          </w:tcPr>
          <w:p w14:paraId="56DEAF41">
            <w:pPr>
              <w:spacing w:line="360" w:lineRule="auto"/>
              <w:ind w:firstLine="630" w:firstLineChars="300"/>
              <w:jc w:val="both"/>
              <w:rPr>
                <w:rFonts w:hint="default" w:ascii="Times New Roman" w:hAnsi="Times New Roman" w:eastAsia="宋体" w:cs="Times New Roman"/>
                <w:bCs/>
                <w:color w:val="000000" w:themeColor="text1"/>
                <w14:textFill>
                  <w14:solidFill>
                    <w14:schemeClr w14:val="tx1"/>
                  </w14:solidFill>
                </w14:textFill>
              </w:rPr>
            </w:pPr>
            <w:r>
              <w:rPr>
                <w:rFonts w:hint="default" w:ascii="Times New Roman" w:hAnsi="Times New Roman" w:eastAsia="宋体" w:cs="Times New Roman"/>
                <w:bCs/>
                <w:color w:val="000000" w:themeColor="text1"/>
                <w14:textFill>
                  <w14:solidFill>
                    <w14:schemeClr w14:val="tx1"/>
                  </w14:solidFill>
                </w14:textFill>
              </w:rPr>
              <w:t>资金来源</w:t>
            </w:r>
          </w:p>
        </w:tc>
        <w:tc>
          <w:tcPr>
            <w:tcW w:w="6654" w:type="dxa"/>
            <w:noWrap w:val="0"/>
            <w:vAlign w:val="center"/>
          </w:tcPr>
          <w:p w14:paraId="79EF89C6">
            <w:pPr>
              <w:spacing w:line="360" w:lineRule="auto"/>
              <w:jc w:val="both"/>
              <w:rPr>
                <w:rFonts w:hint="default" w:ascii="Times New Roman" w:hAnsi="Times New Roman" w:eastAsia="宋体" w:cs="Times New Roman"/>
                <w:color w:val="000000" w:themeColor="text1"/>
                <w:lang w:eastAsia="zh-CN"/>
                <w14:textFill>
                  <w14:solidFill>
                    <w14:schemeClr w14:val="tx1"/>
                  </w14:solidFill>
                </w14:textFill>
              </w:rPr>
            </w:pPr>
            <w:r>
              <w:rPr>
                <w:rFonts w:hint="eastAsia" w:ascii="Times New Roman" w:hAnsi="Times New Roman" w:cs="Times New Roman"/>
                <w:bCs/>
                <w:color w:val="000000" w:themeColor="text1"/>
                <w:lang w:val="en-US" w:eastAsia="zh-CN"/>
                <w14:textFill>
                  <w14:solidFill>
                    <w14:schemeClr w14:val="tx1"/>
                  </w14:solidFill>
                </w14:textFill>
              </w:rPr>
              <w:t xml:space="preserve">2026 </w:t>
            </w:r>
            <w:r>
              <w:rPr>
                <w:rFonts w:hint="default" w:ascii="Times New Roman" w:hAnsi="Times New Roman" w:cs="Times New Roman"/>
                <w:bCs/>
                <w:color w:val="000000" w:themeColor="text1"/>
                <w:lang w:val="en-US" w:eastAsia="zh-CN"/>
                <w14:textFill>
                  <w14:solidFill>
                    <w14:schemeClr w14:val="tx1"/>
                  </w14:solidFill>
                </w14:textFill>
              </w:rPr>
              <w:t>年农村公益事业财政奖补资金</w:t>
            </w:r>
          </w:p>
        </w:tc>
      </w:tr>
      <w:tr w14:paraId="65FFD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93" w:type="dxa"/>
            <w:noWrap w:val="0"/>
            <w:vAlign w:val="center"/>
          </w:tcPr>
          <w:p w14:paraId="6E0C90AC">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1.2.2</w:t>
            </w:r>
          </w:p>
        </w:tc>
        <w:tc>
          <w:tcPr>
            <w:tcW w:w="2181" w:type="dxa"/>
            <w:noWrap w:val="0"/>
            <w:vAlign w:val="center"/>
          </w:tcPr>
          <w:p w14:paraId="2AA32749">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资金落实情况</w:t>
            </w:r>
          </w:p>
        </w:tc>
        <w:tc>
          <w:tcPr>
            <w:tcW w:w="6654" w:type="dxa"/>
            <w:noWrap w:val="0"/>
            <w:vAlign w:val="center"/>
          </w:tcPr>
          <w:p w14:paraId="501C0914">
            <w:pPr>
              <w:spacing w:line="360" w:lineRule="auto"/>
              <w:jc w:val="both"/>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已落实</w:t>
            </w:r>
          </w:p>
        </w:tc>
      </w:tr>
      <w:tr w14:paraId="33292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93" w:type="dxa"/>
            <w:noWrap w:val="0"/>
            <w:vAlign w:val="center"/>
          </w:tcPr>
          <w:p w14:paraId="38D5A3FC">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1.2.3</w:t>
            </w:r>
          </w:p>
        </w:tc>
        <w:tc>
          <w:tcPr>
            <w:tcW w:w="2181" w:type="dxa"/>
            <w:noWrap w:val="0"/>
            <w:vAlign w:val="center"/>
          </w:tcPr>
          <w:p w14:paraId="660A90E3">
            <w:pPr>
              <w:spacing w:line="360" w:lineRule="auto"/>
              <w:jc w:val="center"/>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最高限价</w:t>
            </w:r>
          </w:p>
        </w:tc>
        <w:tc>
          <w:tcPr>
            <w:tcW w:w="6654" w:type="dxa"/>
            <w:noWrap w:val="0"/>
            <w:vAlign w:val="center"/>
          </w:tcPr>
          <w:p w14:paraId="6861A13F">
            <w:pPr>
              <w:keepNext w:val="0"/>
              <w:keepLines w:val="0"/>
              <w:pageBreakBefore w:val="0"/>
              <w:widowControl w:val="0"/>
              <w:kinsoku/>
              <w:wordWrap/>
              <w:overflowPunct/>
              <w:topLinePunct w:val="0"/>
              <w:autoSpaceDE/>
              <w:autoSpaceDN/>
              <w:bidi w:val="0"/>
              <w:adjustRightInd w:val="0"/>
              <w:snapToGrid w:val="0"/>
              <w:spacing w:line="573" w:lineRule="exact"/>
              <w:ind w:right="0" w:rightChars="0"/>
              <w:jc w:val="both"/>
              <w:textAlignment w:val="auto"/>
              <w:outlineLvl w:val="9"/>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994679.79</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元（大写：</w:t>
            </w:r>
            <w:r>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玖拾玖万肆仟陆佰柒拾玖元柒角玖分</w:t>
            </w: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w:t>
            </w:r>
          </w:p>
        </w:tc>
      </w:tr>
      <w:tr w14:paraId="50708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93" w:type="dxa"/>
            <w:noWrap w:val="0"/>
            <w:vAlign w:val="center"/>
          </w:tcPr>
          <w:p w14:paraId="463B8AA0">
            <w:pPr>
              <w:spacing w:line="360" w:lineRule="auto"/>
              <w:jc w:val="center"/>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1.3.</w:t>
            </w:r>
            <w:r>
              <w:rPr>
                <w:rFonts w:hint="default" w:ascii="Times New Roman" w:hAnsi="Times New Roman" w:cs="Times New Roman"/>
                <w:color w:val="000000" w:themeColor="text1"/>
                <w:lang w:val="en-US" w:eastAsia="zh-CN"/>
                <w14:textFill>
                  <w14:solidFill>
                    <w14:schemeClr w14:val="tx1"/>
                  </w14:solidFill>
                </w14:textFill>
              </w:rPr>
              <w:t>1</w:t>
            </w:r>
          </w:p>
        </w:tc>
        <w:tc>
          <w:tcPr>
            <w:tcW w:w="2181" w:type="dxa"/>
            <w:noWrap w:val="0"/>
            <w:vAlign w:val="center"/>
          </w:tcPr>
          <w:p w14:paraId="0CD24B3C">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工期要求</w:t>
            </w:r>
          </w:p>
        </w:tc>
        <w:tc>
          <w:tcPr>
            <w:tcW w:w="6654" w:type="dxa"/>
            <w:noWrap w:val="0"/>
            <w:vAlign w:val="center"/>
          </w:tcPr>
          <w:p w14:paraId="58059962">
            <w:pPr>
              <w:spacing w:line="360" w:lineRule="auto"/>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22"/>
                <w:szCs w:val="22"/>
                <w:highlight w:val="none"/>
                <w:lang w:val="en-US" w:eastAsia="zh-CN"/>
                <w14:textFill>
                  <w14:solidFill>
                    <w14:schemeClr w14:val="tx1"/>
                  </w14:solidFill>
                </w14:textFill>
              </w:rPr>
              <w:t>1</w:t>
            </w:r>
            <w:r>
              <w:rPr>
                <w:rFonts w:hint="eastAsia" w:cs="Times New Roman"/>
                <w:color w:val="000000" w:themeColor="text1"/>
                <w:sz w:val="22"/>
                <w:szCs w:val="22"/>
                <w:highlight w:val="none"/>
                <w:lang w:val="en-US" w:eastAsia="zh-CN"/>
                <w14:textFill>
                  <w14:solidFill>
                    <w14:schemeClr w14:val="tx1"/>
                  </w14:solidFill>
                </w14:textFill>
              </w:rPr>
              <w:t>80</w:t>
            </w:r>
            <w:r>
              <w:rPr>
                <w:rFonts w:hint="default" w:ascii="Times New Roman" w:hAnsi="Times New Roman" w:eastAsia="宋体" w:cs="Times New Roman"/>
                <w:color w:val="000000" w:themeColor="text1"/>
                <w:sz w:val="22"/>
                <w:szCs w:val="22"/>
                <w:highlight w:val="none"/>
                <w:lang w:val="en-US" w:eastAsia="en-US"/>
                <w14:textFill>
                  <w14:solidFill>
                    <w14:schemeClr w14:val="tx1"/>
                  </w14:solidFill>
                </w14:textFill>
              </w:rPr>
              <w:t>日历天</w:t>
            </w:r>
          </w:p>
        </w:tc>
      </w:tr>
      <w:tr w14:paraId="4CA0F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993" w:type="dxa"/>
            <w:noWrap w:val="0"/>
            <w:vAlign w:val="center"/>
          </w:tcPr>
          <w:p w14:paraId="77FB8F3A">
            <w:pPr>
              <w:spacing w:line="360" w:lineRule="auto"/>
              <w:jc w:val="center"/>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1.3.</w:t>
            </w:r>
            <w:r>
              <w:rPr>
                <w:rFonts w:hint="default" w:ascii="Times New Roman" w:hAnsi="Times New Roman" w:cs="Times New Roman"/>
                <w:color w:val="000000" w:themeColor="text1"/>
                <w:lang w:val="en-US" w:eastAsia="zh-CN"/>
                <w14:textFill>
                  <w14:solidFill>
                    <w14:schemeClr w14:val="tx1"/>
                  </w14:solidFill>
                </w14:textFill>
              </w:rPr>
              <w:t>2</w:t>
            </w:r>
          </w:p>
        </w:tc>
        <w:tc>
          <w:tcPr>
            <w:tcW w:w="2181" w:type="dxa"/>
            <w:noWrap w:val="0"/>
            <w:vAlign w:val="center"/>
          </w:tcPr>
          <w:p w14:paraId="0213DBCC">
            <w:pPr>
              <w:keepNext w:val="0"/>
              <w:keepLines w:val="0"/>
              <w:pageBreakBefore w:val="0"/>
              <w:widowControl w:val="0"/>
              <w:kinsoku/>
              <w:wordWrap/>
              <w:overflowPunct/>
              <w:topLinePunct w:val="0"/>
              <w:autoSpaceDE/>
              <w:autoSpaceDN/>
              <w:bidi w:val="0"/>
              <w:adjustRightInd w:val="0"/>
              <w:snapToGrid w:val="0"/>
              <w:spacing w:line="573" w:lineRule="exact"/>
              <w:ind w:right="0" w:rightChars="0" w:firstLine="240" w:firstLineChars="100"/>
              <w:jc w:val="both"/>
              <w:textAlignment w:val="auto"/>
              <w:outlineLvl w:val="9"/>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项目实施地点</w:t>
            </w:r>
          </w:p>
        </w:tc>
        <w:tc>
          <w:tcPr>
            <w:tcW w:w="6654" w:type="dxa"/>
            <w:noWrap w:val="0"/>
            <w:vAlign w:val="center"/>
          </w:tcPr>
          <w:p w14:paraId="6C10CD55">
            <w:pPr>
              <w:keepNext w:val="0"/>
              <w:keepLines w:val="0"/>
              <w:pageBreakBefore w:val="0"/>
              <w:widowControl w:val="0"/>
              <w:kinsoku/>
              <w:wordWrap/>
              <w:overflowPunct/>
              <w:topLinePunct w:val="0"/>
              <w:autoSpaceDE/>
              <w:autoSpaceDN/>
              <w:bidi w:val="0"/>
              <w:adjustRightInd w:val="0"/>
              <w:snapToGrid w:val="0"/>
              <w:spacing w:line="573" w:lineRule="exact"/>
              <w:ind w:right="0" w:rightChars="0"/>
              <w:jc w:val="both"/>
              <w:textAlignment w:val="auto"/>
              <w:outlineLvl w:val="9"/>
              <w:rPr>
                <w:rFonts w:hint="default"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2"/>
                <w:highlight w:val="none"/>
                <w:u w:val="none"/>
                <w:lang w:val="en-US" w:eastAsia="zh-CN" w:bidi="ar-SA"/>
                <w14:textFill>
                  <w14:solidFill>
                    <w14:schemeClr w14:val="tx1"/>
                  </w14:solidFill>
                </w14:textFill>
              </w:rPr>
              <w:t>勐海县勐阿镇南朗河村委会龙竹蓬村小组</w:t>
            </w:r>
          </w:p>
        </w:tc>
      </w:tr>
      <w:tr w14:paraId="640B9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93" w:type="dxa"/>
            <w:noWrap w:val="0"/>
            <w:vAlign w:val="center"/>
          </w:tcPr>
          <w:p w14:paraId="6735F8EF">
            <w:pPr>
              <w:spacing w:line="360" w:lineRule="auto"/>
              <w:jc w:val="center"/>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1.3.</w:t>
            </w:r>
            <w:r>
              <w:rPr>
                <w:rFonts w:hint="default" w:ascii="Times New Roman" w:hAnsi="Times New Roman" w:cs="Times New Roman"/>
                <w:color w:val="000000" w:themeColor="text1"/>
                <w:lang w:val="en-US" w:eastAsia="zh-CN"/>
                <w14:textFill>
                  <w14:solidFill>
                    <w14:schemeClr w14:val="tx1"/>
                  </w14:solidFill>
                </w14:textFill>
              </w:rPr>
              <w:t>3</w:t>
            </w:r>
          </w:p>
        </w:tc>
        <w:tc>
          <w:tcPr>
            <w:tcW w:w="2181" w:type="dxa"/>
            <w:noWrap w:val="0"/>
            <w:vAlign w:val="center"/>
          </w:tcPr>
          <w:p w14:paraId="6AADFF76">
            <w:pPr>
              <w:spacing w:line="360" w:lineRule="auto"/>
              <w:jc w:val="center"/>
              <w:rPr>
                <w:rFonts w:hint="default" w:ascii="Times New Roman" w:hAnsi="Times New Roman" w:eastAsia="宋体" w:cs="Times New Roman"/>
                <w:color w:val="000000" w:themeColor="text1"/>
                <w:kern w:val="0"/>
                <w:lang w:eastAsia="zh-CN"/>
                <w14:textFill>
                  <w14:solidFill>
                    <w14:schemeClr w14:val="tx1"/>
                  </w14:solidFill>
                </w14:textFill>
              </w:rPr>
            </w:pPr>
            <w:r>
              <w:rPr>
                <w:rFonts w:hint="default" w:ascii="Times New Roman" w:hAnsi="Times New Roman" w:cs="Times New Roman"/>
                <w:bCs/>
                <w:color w:val="000000" w:themeColor="text1"/>
                <w:lang w:eastAsia="zh-CN"/>
                <w14:textFill>
                  <w14:solidFill>
                    <w14:schemeClr w14:val="tx1"/>
                  </w14:solidFill>
                </w14:textFill>
              </w:rPr>
              <w:t>质量要求</w:t>
            </w:r>
          </w:p>
        </w:tc>
        <w:tc>
          <w:tcPr>
            <w:tcW w:w="6654" w:type="dxa"/>
            <w:noWrap w:val="0"/>
            <w:vAlign w:val="center"/>
          </w:tcPr>
          <w:p w14:paraId="213FB6EC">
            <w:pPr>
              <w:spacing w:line="360" w:lineRule="auto"/>
              <w:rPr>
                <w:rFonts w:hint="default" w:ascii="Times New Roman" w:hAnsi="Times New Roman" w:cs="Times New Roman"/>
                <w:color w:val="000000" w:themeColor="text1"/>
                <w:lang w:val="en-US"/>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符合现行国家有关工程施工验收规范和标准的要求，一次性验收合格</w:t>
            </w:r>
          </w:p>
        </w:tc>
      </w:tr>
      <w:tr w14:paraId="09A23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 w:type="dxa"/>
            <w:noWrap w:val="0"/>
            <w:vAlign w:val="center"/>
          </w:tcPr>
          <w:p w14:paraId="6B6E3DDA">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1.4.1</w:t>
            </w:r>
          </w:p>
        </w:tc>
        <w:tc>
          <w:tcPr>
            <w:tcW w:w="2181" w:type="dxa"/>
            <w:noWrap w:val="0"/>
            <w:vAlign w:val="center"/>
          </w:tcPr>
          <w:p w14:paraId="4E88DBD2">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供应商资格要求</w:t>
            </w:r>
          </w:p>
        </w:tc>
        <w:tc>
          <w:tcPr>
            <w:tcW w:w="6654" w:type="dxa"/>
            <w:noWrap w:val="0"/>
            <w:vAlign w:val="center"/>
          </w:tcPr>
          <w:p w14:paraId="574FA2FC">
            <w:pPr>
              <w:spacing w:line="360" w:lineRule="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en-US"/>
                <w14:textFill>
                  <w14:solidFill>
                    <w14:schemeClr w14:val="tx1"/>
                  </w14:solidFill>
                </w14:textFill>
              </w:rPr>
              <w:t>1.满足《中华人民共和国政府采购法》</w:t>
            </w:r>
            <w:r>
              <w:rPr>
                <w:rFonts w:hint="default" w:ascii="Times New Roman" w:hAnsi="Times New Roman" w:cs="Times New Roman"/>
                <w:color w:val="000000" w:themeColor="text1"/>
                <w:lang w:val="en-US" w:eastAsia="zh-CN"/>
                <w14:textFill>
                  <w14:solidFill>
                    <w14:schemeClr w14:val="tx1"/>
                  </w14:solidFill>
                </w14:textFill>
              </w:rPr>
              <w:t>等</w:t>
            </w:r>
            <w:r>
              <w:rPr>
                <w:rFonts w:hint="default" w:ascii="Times New Roman" w:hAnsi="Times New Roman" w:eastAsia="宋体" w:cs="Times New Roman"/>
                <w:color w:val="000000" w:themeColor="text1"/>
                <w:lang w:val="en-US" w:eastAsia="zh-CN"/>
                <w14:textFill>
                  <w14:solidFill>
                    <w14:schemeClr w14:val="tx1"/>
                  </w14:solidFill>
                </w14:textFill>
              </w:rPr>
              <w:t>相关</w:t>
            </w:r>
            <w:r>
              <w:rPr>
                <w:rFonts w:hint="default" w:ascii="Times New Roman" w:hAnsi="Times New Roman" w:eastAsia="宋体" w:cs="Times New Roman"/>
                <w:color w:val="000000" w:themeColor="text1"/>
                <w:lang w:val="en-US" w:eastAsia="en-US"/>
                <w14:textFill>
                  <w14:solidFill>
                    <w14:schemeClr w14:val="tx1"/>
                  </w14:solidFill>
                </w14:textFill>
              </w:rPr>
              <w:t>规定</w:t>
            </w:r>
          </w:p>
          <w:p w14:paraId="0DD8F7AB">
            <w:pPr>
              <w:spacing w:line="360" w:lineRule="auto"/>
              <w:rPr>
                <w:rFonts w:hint="default" w:ascii="Times New Roman" w:hAnsi="Times New Roman" w:eastAsia="宋体" w:cs="Times New Roman"/>
                <w:color w:val="000000" w:themeColor="text1"/>
                <w:lang w:val="en-US" w:eastAsia="en-US"/>
                <w14:textFill>
                  <w14:solidFill>
                    <w14:schemeClr w14:val="tx1"/>
                  </w14:solidFill>
                </w14:textFill>
              </w:rPr>
            </w:pPr>
            <w:r>
              <w:rPr>
                <w:rFonts w:hint="default" w:ascii="Times New Roman" w:hAnsi="Times New Roman" w:eastAsia="宋体" w:cs="Times New Roman"/>
                <w:color w:val="000000" w:themeColor="text1"/>
                <w:lang w:val="en-US" w:eastAsia="en-US"/>
                <w14:textFill>
                  <w14:solidFill>
                    <w14:schemeClr w14:val="tx1"/>
                  </w14:solidFill>
                </w14:textFill>
              </w:rPr>
              <w:t>（一）具有独立承担民事责任能力的法人或其他组织或者自然人</w:t>
            </w:r>
          </w:p>
          <w:p w14:paraId="7EF6DA05">
            <w:pPr>
              <w:spacing w:line="360" w:lineRule="auto"/>
              <w:rPr>
                <w:rFonts w:hint="default" w:ascii="Times New Roman" w:hAnsi="Times New Roman" w:eastAsia="宋体" w:cs="Times New Roman"/>
                <w:color w:val="000000" w:themeColor="text1"/>
                <w:lang w:val="en-US" w:eastAsia="en-US"/>
                <w14:textFill>
                  <w14:solidFill>
                    <w14:schemeClr w14:val="tx1"/>
                  </w14:solidFill>
                </w14:textFill>
              </w:rPr>
            </w:pPr>
            <w:r>
              <w:rPr>
                <w:rFonts w:hint="default" w:ascii="Times New Roman" w:hAnsi="Times New Roman" w:eastAsia="宋体" w:cs="Times New Roman"/>
                <w:color w:val="000000" w:themeColor="text1"/>
                <w:lang w:val="en-US" w:eastAsia="en-US"/>
                <w14:textFill>
                  <w14:solidFill>
                    <w14:schemeClr w14:val="tx1"/>
                  </w14:solidFill>
                </w14:textFill>
              </w:rPr>
              <w:t>（二）具有履行合同所必需的设备和专业技术能力，提供书面声明</w:t>
            </w:r>
          </w:p>
          <w:p w14:paraId="5A2777ED">
            <w:pPr>
              <w:spacing w:line="360" w:lineRule="auto"/>
              <w:rPr>
                <w:rFonts w:hint="default" w:ascii="Times New Roman" w:hAnsi="Times New Roman" w:eastAsia="宋体" w:cs="Times New Roman"/>
                <w:color w:val="000000" w:themeColor="text1"/>
                <w:lang w:val="en-US" w:eastAsia="en-US"/>
                <w14:textFill>
                  <w14:solidFill>
                    <w14:schemeClr w14:val="tx1"/>
                  </w14:solidFill>
                </w14:textFill>
              </w:rPr>
            </w:pPr>
            <w:r>
              <w:rPr>
                <w:rFonts w:hint="default" w:ascii="Times New Roman" w:hAnsi="Times New Roman" w:eastAsia="宋体" w:cs="Times New Roman"/>
                <w:color w:val="000000" w:themeColor="text1"/>
                <w:lang w:val="en-US" w:eastAsia="en-US"/>
                <w14:textFill>
                  <w14:solidFill>
                    <w14:schemeClr w14:val="tx1"/>
                  </w14:solidFill>
                </w14:textFill>
              </w:rPr>
              <w:t>（三）具有良好的商业信誉和健全的财务会计制度，提供2023年至2025年（任意一年度）经审计的财务报告（扫描件）或近三个月内基本开户银行出具的资信证明（扫描件）（注：若成立时间不足一年的，可提供近三个月内基本开户银行出具的资信证明）</w:t>
            </w:r>
          </w:p>
          <w:p w14:paraId="192A675C">
            <w:pPr>
              <w:spacing w:line="360" w:lineRule="auto"/>
              <w:rPr>
                <w:rFonts w:hint="default" w:ascii="Times New Roman" w:hAnsi="Times New Roman" w:eastAsia="宋体" w:cs="Times New Roman"/>
                <w:color w:val="000000" w:themeColor="text1"/>
                <w:lang w:val="en-US" w:eastAsia="en-US"/>
                <w14:textFill>
                  <w14:solidFill>
                    <w14:schemeClr w14:val="tx1"/>
                  </w14:solidFill>
                </w14:textFill>
              </w:rPr>
            </w:pPr>
            <w:r>
              <w:rPr>
                <w:rFonts w:hint="default" w:ascii="Times New Roman" w:hAnsi="Times New Roman" w:eastAsia="宋体" w:cs="Times New Roman"/>
                <w:color w:val="000000" w:themeColor="text1"/>
                <w:lang w:val="en-US" w:eastAsia="en-US"/>
                <w14:textFill>
                  <w14:solidFill>
                    <w14:schemeClr w14:val="tx1"/>
                  </w14:solidFill>
                </w14:textFill>
              </w:rPr>
              <w:t>（四）具有依法缴纳税收和社会保障资金的良好记录；（提供202</w:t>
            </w:r>
            <w:r>
              <w:rPr>
                <w:rFonts w:hint="default" w:ascii="Times New Roman" w:hAnsi="Times New Roman" w:eastAsia="宋体" w:cs="Times New Roman"/>
                <w:color w:val="000000" w:themeColor="text1"/>
                <w:lang w:val="en-US" w:eastAsia="zh-CN"/>
                <w14:textFill>
                  <w14:solidFill>
                    <w14:schemeClr w14:val="tx1"/>
                  </w14:solidFill>
                </w14:textFill>
              </w:rPr>
              <w:t>5</w:t>
            </w:r>
            <w:r>
              <w:rPr>
                <w:rFonts w:hint="default" w:ascii="Times New Roman" w:hAnsi="Times New Roman" w:eastAsia="宋体" w:cs="Times New Roman"/>
                <w:color w:val="000000" w:themeColor="text1"/>
                <w:lang w:val="en-US" w:eastAsia="en-US"/>
                <w14:textFill>
                  <w14:solidFill>
                    <w14:schemeClr w14:val="tx1"/>
                  </w14:solidFill>
                </w14:textFill>
              </w:rPr>
              <w:t>年1月至投标文件提交截止时间（税款所属时期）任意1个月的税务局税收通用缴款书复印件或银行电子缴税（费）凭证或税务局出具纳税情况的相关证明或具有依法缴纳税收的良好记录的承诺函及提供参加招标活动前段时间202</w:t>
            </w:r>
            <w:r>
              <w:rPr>
                <w:rFonts w:hint="default" w:ascii="Times New Roman" w:hAnsi="Times New Roman" w:eastAsia="宋体" w:cs="Times New Roman"/>
                <w:color w:val="000000" w:themeColor="text1"/>
                <w:lang w:val="en-US" w:eastAsia="zh-CN"/>
                <w14:textFill>
                  <w14:solidFill>
                    <w14:schemeClr w14:val="tx1"/>
                  </w14:solidFill>
                </w14:textFill>
              </w:rPr>
              <w:t>5</w:t>
            </w:r>
            <w:r>
              <w:rPr>
                <w:rFonts w:hint="default" w:ascii="Times New Roman" w:hAnsi="Times New Roman" w:eastAsia="宋体" w:cs="Times New Roman"/>
                <w:color w:val="000000" w:themeColor="text1"/>
                <w:lang w:val="en-US" w:eastAsia="en-US"/>
                <w14:textFill>
                  <w14:solidFill>
                    <w14:schemeClr w14:val="tx1"/>
                  </w14:solidFill>
                </w14:textFill>
              </w:rPr>
              <w:t>年1月至今任意连续 1个月的社会保险费缴款书复印件或银行电子缴税（费）凭证或社保管理部门出具的有效的缴款证明或具有依法缴纳社会保障资金的良好记录承诺函；依法免税或不需要缴纳社会保障资金的投标人，应提供相应文件证明其依法免税或不需要缴纳社会保障资金，成立未满3个月</w:t>
            </w:r>
            <w:r>
              <w:rPr>
                <w:rFonts w:hint="default" w:ascii="Times New Roman" w:hAnsi="Times New Roman" w:cs="Times New Roman"/>
                <w:color w:val="000000" w:themeColor="text1"/>
                <w:lang w:val="en-US" w:eastAsia="zh-CN"/>
                <w14:textFill>
                  <w14:solidFill>
                    <w14:schemeClr w14:val="tx1"/>
                  </w14:solidFill>
                </w14:textFill>
              </w:rPr>
              <w:t>的</w:t>
            </w:r>
            <w:r>
              <w:rPr>
                <w:rFonts w:hint="default" w:ascii="Times New Roman" w:hAnsi="Times New Roman" w:eastAsia="宋体" w:cs="Times New Roman"/>
                <w:color w:val="000000" w:themeColor="text1"/>
                <w:lang w:val="en-US" w:eastAsia="en-US"/>
                <w14:textFill>
                  <w14:solidFill>
                    <w14:schemeClr w14:val="tx1"/>
                  </w14:solidFill>
                </w14:textFill>
              </w:rPr>
              <w:t>提供成立以来的税收和社会保障资金缴纳凭证或相关情况说明）</w:t>
            </w:r>
          </w:p>
          <w:p w14:paraId="1EC16FE4">
            <w:pPr>
              <w:spacing w:line="360" w:lineRule="auto"/>
              <w:rPr>
                <w:rFonts w:hint="default" w:ascii="Times New Roman" w:hAnsi="Times New Roman" w:eastAsia="宋体" w:cs="Times New Roman"/>
                <w:color w:val="000000" w:themeColor="text1"/>
                <w:lang w:val="en-US" w:eastAsia="en-US"/>
                <w14:textFill>
                  <w14:solidFill>
                    <w14:schemeClr w14:val="tx1"/>
                  </w14:solidFill>
                </w14:textFill>
              </w:rPr>
            </w:pPr>
            <w:r>
              <w:rPr>
                <w:rFonts w:hint="default" w:ascii="Times New Roman" w:hAnsi="Times New Roman" w:eastAsia="宋体" w:cs="Times New Roman"/>
                <w:color w:val="000000" w:themeColor="text1"/>
                <w:lang w:val="en-US" w:eastAsia="en-US"/>
                <w14:textFill>
                  <w14:solidFill>
                    <w14:schemeClr w14:val="tx1"/>
                  </w14:solidFill>
                </w14:textFill>
              </w:rPr>
              <w:t>（五）供应商参加政府采购活动前三年内，在经营活动中没有重大违法记录</w:t>
            </w:r>
            <w:r>
              <w:rPr>
                <w:rFonts w:hint="default" w:ascii="Times New Roman" w:hAnsi="Times New Roman" w:eastAsia="宋体" w:cs="Times New Roman"/>
                <w:color w:val="000000" w:themeColor="text1"/>
                <w:lang w:val="en-US" w:eastAsia="zh-CN"/>
                <w14:textFill>
                  <w14:solidFill>
                    <w14:schemeClr w14:val="tx1"/>
                  </w14:solidFill>
                </w14:textFill>
              </w:rPr>
              <w:t>，</w:t>
            </w:r>
            <w:r>
              <w:rPr>
                <w:rFonts w:hint="default" w:ascii="Times New Roman" w:hAnsi="Times New Roman" w:eastAsia="宋体" w:cs="Times New Roman"/>
                <w:color w:val="000000" w:themeColor="text1"/>
                <w:lang w:val="en-US" w:eastAsia="en-US"/>
                <w14:textFill>
                  <w14:solidFill>
                    <w14:schemeClr w14:val="tx1"/>
                  </w14:solidFill>
                </w14:textFill>
              </w:rPr>
              <w:t>（重大违法记录是指供应商因违法经营受到刑事处罚或者责令停产停业、吊销许可证或者执照、较大数额罚款等行政处罚）的书面声明</w:t>
            </w:r>
          </w:p>
          <w:p w14:paraId="0ACE6ACC">
            <w:pPr>
              <w:spacing w:line="360" w:lineRule="auto"/>
              <w:rPr>
                <w:rFonts w:hint="default" w:ascii="Times New Roman" w:hAnsi="Times New Roman" w:eastAsia="宋体" w:cs="Times New Roman"/>
                <w:color w:val="000000" w:themeColor="text1"/>
                <w:lang w:val="en-US" w:eastAsia="en-US"/>
                <w14:textFill>
                  <w14:solidFill>
                    <w14:schemeClr w14:val="tx1"/>
                  </w14:solidFill>
                </w14:textFill>
              </w:rPr>
            </w:pPr>
            <w:r>
              <w:rPr>
                <w:rFonts w:hint="default" w:ascii="Times New Roman" w:hAnsi="Times New Roman" w:eastAsia="宋体" w:cs="Times New Roman"/>
                <w:color w:val="000000" w:themeColor="text1"/>
                <w:lang w:val="en-US" w:eastAsia="en-US"/>
                <w14:textFill>
                  <w14:solidFill>
                    <w14:schemeClr w14:val="tx1"/>
                  </w14:solidFill>
                </w14:textFill>
              </w:rPr>
              <w:t>（六）法律、行政法规规定的其他条件（提供书面声明）</w:t>
            </w:r>
          </w:p>
          <w:p w14:paraId="6FF6FC27">
            <w:pPr>
              <w:spacing w:line="360" w:lineRule="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en-US"/>
                <w14:textFill>
                  <w14:solidFill>
                    <w14:schemeClr w14:val="tx1"/>
                  </w14:solidFill>
                </w14:textFill>
              </w:rPr>
              <w:t>（七）</w:t>
            </w:r>
            <w:r>
              <w:rPr>
                <w:rFonts w:hint="default" w:ascii="Times New Roman" w:hAnsi="Times New Roman" w:eastAsia="宋体" w:cs="Times New Roman"/>
                <w:color w:val="000000" w:themeColor="text1"/>
                <w:lang w:val="en-US" w:eastAsia="zh-CN"/>
                <w14:textFill>
                  <w14:solidFill>
                    <w14:schemeClr w14:val="tx1"/>
                  </w14:solidFill>
                </w14:textFill>
              </w:rPr>
              <w:t>供应商未被列入中国执行信息公开网（http://zxgk.court.gov.cn）失信被执行人，未被列入“信用中国”网站（https://www.creditchina.gov.cn）重大税收违法失信主体和政府采购不良行为记录，未被列入中国政府采购网（http://www.ccgp.gov.cn）政府采购严重违法失信行为记录名单，未被列入国家企业信用信息公示系统（http://www.gsxt.gov.cn）经营异常名录和严重违法失信企业名单（黑名单）（查询结果以采购人或采购代理机构查询结果为准）。</w:t>
            </w:r>
          </w:p>
          <w:p w14:paraId="1305EB8C">
            <w:pPr>
              <w:spacing w:line="360" w:lineRule="auto"/>
              <w:rPr>
                <w:rFonts w:hint="default" w:ascii="Times New Roman" w:hAnsi="Times New Roman" w:eastAsia="宋体" w:cs="Times New Roman"/>
                <w:color w:val="000000" w:themeColor="text1"/>
                <w:lang w:val="en-US" w:eastAsia="en-US"/>
                <w14:textFill>
                  <w14:solidFill>
                    <w14:schemeClr w14:val="tx1"/>
                  </w14:solidFill>
                </w14:textFill>
              </w:rPr>
            </w:pPr>
            <w:r>
              <w:rPr>
                <w:rFonts w:hint="default" w:ascii="Times New Roman" w:hAnsi="Times New Roman" w:eastAsia="宋体" w:cs="Times New Roman"/>
                <w:color w:val="000000" w:themeColor="text1"/>
                <w:lang w:val="en-US" w:eastAsia="en-US"/>
                <w14:textFill>
                  <w14:solidFill>
                    <w14:schemeClr w14:val="tx1"/>
                  </w14:solidFill>
                </w14:textFill>
              </w:rPr>
              <w:t xml:space="preserve"> </w:t>
            </w:r>
            <w:r>
              <w:rPr>
                <w:rFonts w:hint="default" w:ascii="Times New Roman" w:hAnsi="Times New Roman" w:eastAsia="宋体" w:cs="Times New Roman"/>
                <w:color w:val="000000" w:themeColor="text1"/>
                <w:lang w:val="en-US" w:eastAsia="zh-CN"/>
                <w14:textFill>
                  <w14:solidFill>
                    <w14:schemeClr w14:val="tx1"/>
                  </w14:solidFill>
                </w14:textFill>
              </w:rPr>
              <w:t>2</w:t>
            </w:r>
            <w:r>
              <w:rPr>
                <w:rFonts w:hint="default" w:ascii="Times New Roman" w:hAnsi="Times New Roman" w:eastAsia="宋体" w:cs="Times New Roman"/>
                <w:color w:val="000000" w:themeColor="text1"/>
                <w:lang w:val="en-US" w:eastAsia="en-US"/>
                <w14:textFill>
                  <w14:solidFill>
                    <w14:schemeClr w14:val="tx1"/>
                  </w14:solidFill>
                </w14:textFill>
              </w:rPr>
              <w:t>.本项目的特定资格要求：</w:t>
            </w:r>
          </w:p>
          <w:p w14:paraId="627B2739">
            <w:pPr>
              <w:spacing w:line="360" w:lineRule="auto"/>
              <w:rPr>
                <w:rFonts w:hint="default" w:ascii="Times New Roman" w:hAnsi="Times New Roman" w:eastAsia="宋体" w:cs="Times New Roman"/>
                <w:color w:val="000000" w:themeColor="text1"/>
                <w:lang w:val="en-US" w:eastAsia="en-US"/>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2</w:t>
            </w:r>
            <w:r>
              <w:rPr>
                <w:rFonts w:hint="default" w:ascii="Times New Roman" w:hAnsi="Times New Roman" w:eastAsia="宋体" w:cs="Times New Roman"/>
                <w:color w:val="000000" w:themeColor="text1"/>
                <w:lang w:val="en-US" w:eastAsia="en-US"/>
                <w14:textFill>
                  <w14:solidFill>
                    <w14:schemeClr w14:val="tx1"/>
                  </w14:solidFill>
                </w14:textFill>
              </w:rPr>
              <w:t>.1</w:t>
            </w:r>
            <w:r>
              <w:rPr>
                <w:rFonts w:hint="eastAsia" w:ascii="Times New Roman" w:hAnsi="Times New Roman" w:eastAsia="宋体" w:cs="Times New Roman"/>
                <w:color w:val="000000" w:themeColor="text1"/>
                <w:lang w:val="en-US" w:eastAsia="zh-CN"/>
                <w14:textFill>
                  <w14:solidFill>
                    <w14:schemeClr w14:val="tx1"/>
                  </w14:solidFill>
                </w14:textFill>
              </w:rPr>
              <w:t>具备市政公用工程施工总承包叁级及以上资质或</w:t>
            </w:r>
            <w:r>
              <w:rPr>
                <w:rFonts w:hint="default" w:ascii="Times New Roman" w:hAnsi="Times New Roman" w:eastAsia="宋体" w:cs="Times New Roman"/>
                <w:color w:val="000000" w:themeColor="text1"/>
                <w:lang w:val="en-US" w:eastAsia="en-US"/>
                <w14:textFill>
                  <w14:solidFill>
                    <w14:schemeClr w14:val="tx1"/>
                  </w14:solidFill>
                </w14:textFill>
              </w:rPr>
              <w:t>建筑工程施工总承包叁级及以上资质或依据《云南省住房和城乡建设厅关于做好有关建设工程企业资质证书换领和延续工作的通知》云建建</w:t>
            </w:r>
            <w:r>
              <w:rPr>
                <w:rFonts w:hint="default" w:ascii="Times New Roman" w:hAnsi="Times New Roman" w:eastAsia="宋体" w:cs="Times New Roman"/>
                <w:color w:val="000000" w:themeColor="text1"/>
                <w:lang w:val="en-US" w:eastAsia="zh-CN"/>
                <w14:textFill>
                  <w14:solidFill>
                    <w14:schemeClr w14:val="tx1"/>
                  </w14:solidFill>
                </w14:textFill>
              </w:rPr>
              <w:t>〔2024〕82号</w:t>
            </w:r>
            <w:r>
              <w:rPr>
                <w:rFonts w:hint="default" w:ascii="Times New Roman" w:hAnsi="Times New Roman" w:eastAsia="宋体" w:cs="Times New Roman"/>
                <w:color w:val="000000" w:themeColor="text1"/>
                <w:lang w:val="en-US" w:eastAsia="en-US"/>
                <w14:textFill>
                  <w14:solidFill>
                    <w14:schemeClr w14:val="tx1"/>
                  </w14:solidFill>
                </w14:textFill>
              </w:rPr>
              <w:t>文规定，办理更新的建筑工程施工总承包贰级及以上资质，并具有有效的安全生产许可证，并在人员、设备、资金等方面具有承担本工程施工的能力，具备安全生产许可证，并在有效期内；</w:t>
            </w:r>
          </w:p>
          <w:p w14:paraId="1D6B3F9F">
            <w:pPr>
              <w:spacing w:line="360" w:lineRule="auto"/>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lang w:val="en-US" w:eastAsia="zh-CN"/>
                <w14:textFill>
                  <w14:solidFill>
                    <w14:schemeClr w14:val="tx1"/>
                  </w14:solidFill>
                </w14:textFill>
              </w:rPr>
              <w:t>2.2拟任项目经理应具有有效的市政公用工程专业二级以上（含二级）建造师注册证书和安全生产考核合格证书</w:t>
            </w:r>
            <w:r>
              <w:rPr>
                <w:rFonts w:hint="eastAsia" w:cs="Times New Roman"/>
                <w:color w:val="000000" w:themeColor="text1"/>
                <w:lang w:val="en-US" w:eastAsia="zh-CN"/>
                <w14:textFill>
                  <w14:solidFill>
                    <w14:schemeClr w14:val="tx1"/>
                  </w14:solidFill>
                </w14:textFill>
              </w:rPr>
              <w:t>。</w:t>
            </w:r>
            <w:bookmarkStart w:id="1406" w:name="_GoBack"/>
            <w:bookmarkEnd w:id="1406"/>
          </w:p>
        </w:tc>
      </w:tr>
      <w:tr w14:paraId="55AC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93" w:type="dxa"/>
            <w:noWrap w:val="0"/>
            <w:vAlign w:val="center"/>
          </w:tcPr>
          <w:p w14:paraId="56D6C4D2">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1.4.2</w:t>
            </w:r>
          </w:p>
        </w:tc>
        <w:tc>
          <w:tcPr>
            <w:tcW w:w="2181" w:type="dxa"/>
            <w:noWrap w:val="0"/>
            <w:vAlign w:val="center"/>
          </w:tcPr>
          <w:p w14:paraId="0AABCC44">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是否接受联合体投标</w:t>
            </w:r>
          </w:p>
        </w:tc>
        <w:tc>
          <w:tcPr>
            <w:tcW w:w="6654" w:type="dxa"/>
            <w:noWrap w:val="0"/>
            <w:vAlign w:val="center"/>
          </w:tcPr>
          <w:p w14:paraId="6AC3B485">
            <w:pPr>
              <w:pStyle w:val="16"/>
              <w:spacing w:line="360" w:lineRule="auto"/>
              <w:ind w:left="0" w:leftChars="0" w:firstLine="0" w:firstLineChars="0"/>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t>不接受</w:t>
            </w:r>
          </w:p>
        </w:tc>
      </w:tr>
      <w:tr w14:paraId="44ADC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93" w:type="dxa"/>
            <w:noWrap w:val="0"/>
            <w:vAlign w:val="center"/>
          </w:tcPr>
          <w:p w14:paraId="59E2087F">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1.9.1</w:t>
            </w:r>
          </w:p>
        </w:tc>
        <w:tc>
          <w:tcPr>
            <w:tcW w:w="2181" w:type="dxa"/>
            <w:noWrap w:val="0"/>
            <w:vAlign w:val="center"/>
          </w:tcPr>
          <w:p w14:paraId="3F683BA7">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磋商预备会</w:t>
            </w:r>
          </w:p>
        </w:tc>
        <w:tc>
          <w:tcPr>
            <w:tcW w:w="6654" w:type="dxa"/>
            <w:noWrap w:val="0"/>
            <w:vAlign w:val="center"/>
          </w:tcPr>
          <w:p w14:paraId="57B4B0AA">
            <w:pPr>
              <w:pStyle w:val="76"/>
              <w:spacing w:line="360" w:lineRule="auto"/>
              <w:jc w:val="both"/>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t>■不召开</w:t>
            </w:r>
          </w:p>
          <w:p w14:paraId="2B8D37B8">
            <w:pPr>
              <w:pStyle w:val="76"/>
              <w:spacing w:line="360" w:lineRule="auto"/>
              <w:jc w:val="both"/>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t>□召开，召开时间：</w:t>
            </w:r>
          </w:p>
          <w:p w14:paraId="7BC5AE2A">
            <w:pPr>
              <w:pStyle w:val="76"/>
              <w:spacing w:line="360" w:lineRule="auto"/>
              <w:jc w:val="both"/>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t>召开地点：</w:t>
            </w:r>
          </w:p>
        </w:tc>
      </w:tr>
      <w:tr w14:paraId="1775C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93" w:type="dxa"/>
            <w:noWrap w:val="0"/>
            <w:vAlign w:val="center"/>
          </w:tcPr>
          <w:p w14:paraId="0FD92926">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1.9.2</w:t>
            </w:r>
          </w:p>
        </w:tc>
        <w:tc>
          <w:tcPr>
            <w:tcW w:w="2181" w:type="dxa"/>
            <w:noWrap w:val="0"/>
            <w:vAlign w:val="center"/>
          </w:tcPr>
          <w:p w14:paraId="57005D7B">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供应商询问</w:t>
            </w:r>
          </w:p>
        </w:tc>
        <w:tc>
          <w:tcPr>
            <w:tcW w:w="6654" w:type="dxa"/>
            <w:noWrap w:val="0"/>
            <w:vAlign w:val="center"/>
          </w:tcPr>
          <w:p w14:paraId="02649538">
            <w:pPr>
              <w:pStyle w:val="76"/>
              <w:spacing w:line="360" w:lineRule="auto"/>
              <w:jc w:val="both"/>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t>供应商对政府采购活动事项有疑问的，可以向采购人提出询问，采购人或者采购代理机构在接到询问后的3个工作日内对供应商依法提出的询问作出答复，但答复的内容不涉及商业秘密</w:t>
            </w:r>
          </w:p>
        </w:tc>
      </w:tr>
      <w:tr w14:paraId="28F97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93" w:type="dxa"/>
            <w:noWrap w:val="0"/>
            <w:vAlign w:val="center"/>
          </w:tcPr>
          <w:p w14:paraId="094AE451">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1.9.3</w:t>
            </w:r>
          </w:p>
        </w:tc>
        <w:tc>
          <w:tcPr>
            <w:tcW w:w="2181" w:type="dxa"/>
            <w:noWrap w:val="0"/>
            <w:vAlign w:val="center"/>
          </w:tcPr>
          <w:p w14:paraId="04173175">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采购人澄清的时间及方法</w:t>
            </w:r>
          </w:p>
        </w:tc>
        <w:tc>
          <w:tcPr>
            <w:tcW w:w="6654" w:type="dxa"/>
            <w:noWrap w:val="0"/>
            <w:vAlign w:val="center"/>
          </w:tcPr>
          <w:p w14:paraId="28C71BA1">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磋商截止时间5天之前</w:t>
            </w:r>
          </w:p>
        </w:tc>
      </w:tr>
      <w:tr w14:paraId="4D28C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93" w:type="dxa"/>
            <w:noWrap w:val="0"/>
            <w:vAlign w:val="center"/>
          </w:tcPr>
          <w:p w14:paraId="184D6948">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1.10</w:t>
            </w:r>
          </w:p>
        </w:tc>
        <w:tc>
          <w:tcPr>
            <w:tcW w:w="2181" w:type="dxa"/>
            <w:noWrap w:val="0"/>
            <w:vAlign w:val="center"/>
          </w:tcPr>
          <w:p w14:paraId="0E410F0F">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分包</w:t>
            </w:r>
          </w:p>
        </w:tc>
        <w:tc>
          <w:tcPr>
            <w:tcW w:w="6654" w:type="dxa"/>
            <w:noWrap w:val="0"/>
            <w:vAlign w:val="center"/>
          </w:tcPr>
          <w:p w14:paraId="35FD5296">
            <w:pPr>
              <w:pStyle w:val="76"/>
              <w:spacing w:line="360" w:lineRule="auto"/>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■不允许</w:t>
            </w:r>
          </w:p>
          <w:p w14:paraId="703F6665">
            <w:pPr>
              <w:pStyle w:val="76"/>
              <w:spacing w:line="360" w:lineRule="auto"/>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□允许，分包内容要求：</w:t>
            </w:r>
          </w:p>
          <w:p w14:paraId="64EDD8BE">
            <w:pPr>
              <w:pStyle w:val="76"/>
              <w:spacing w:line="360" w:lineRule="auto"/>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分包金额要求：无</w:t>
            </w:r>
          </w:p>
          <w:p w14:paraId="38576B22">
            <w:pPr>
              <w:pStyle w:val="76"/>
              <w:spacing w:line="360" w:lineRule="auto"/>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对分包人的资质要求：</w:t>
            </w:r>
            <w:r>
              <w:rPr>
                <w:rFonts w:hint="default" w:ascii="Times New Roman" w:hAnsi="Times New Roman" w:cs="Times New Roman"/>
                <w:color w:val="000000" w:themeColor="text1"/>
                <w:sz w:val="21"/>
                <w14:textFill>
                  <w14:solidFill>
                    <w14:schemeClr w14:val="tx1"/>
                  </w14:solidFill>
                </w14:textFill>
              </w:rPr>
              <w:t>无</w:t>
            </w:r>
          </w:p>
        </w:tc>
      </w:tr>
      <w:tr w14:paraId="45231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93" w:type="dxa"/>
            <w:noWrap w:val="0"/>
            <w:vAlign w:val="center"/>
          </w:tcPr>
          <w:p w14:paraId="4034568C">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1.11.1</w:t>
            </w:r>
          </w:p>
        </w:tc>
        <w:tc>
          <w:tcPr>
            <w:tcW w:w="2181" w:type="dxa"/>
            <w:noWrap w:val="0"/>
            <w:vAlign w:val="center"/>
          </w:tcPr>
          <w:p w14:paraId="1D454EB6">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实质性要求和条件</w:t>
            </w:r>
          </w:p>
        </w:tc>
        <w:tc>
          <w:tcPr>
            <w:tcW w:w="6654" w:type="dxa"/>
            <w:noWrap w:val="0"/>
            <w:vAlign w:val="center"/>
          </w:tcPr>
          <w:p w14:paraId="13A2488C">
            <w:pPr>
              <w:pStyle w:val="76"/>
              <w:spacing w:line="360" w:lineRule="auto"/>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详见竞争性磋商文件“合同条款”“技术要求”等</w:t>
            </w:r>
          </w:p>
        </w:tc>
      </w:tr>
      <w:tr w14:paraId="2BFEE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993" w:type="dxa"/>
            <w:noWrap w:val="0"/>
            <w:vAlign w:val="center"/>
          </w:tcPr>
          <w:p w14:paraId="7E62E915">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1.11.2</w:t>
            </w:r>
          </w:p>
        </w:tc>
        <w:tc>
          <w:tcPr>
            <w:tcW w:w="2181" w:type="dxa"/>
            <w:noWrap w:val="0"/>
            <w:vAlign w:val="center"/>
          </w:tcPr>
          <w:p w14:paraId="11976CCF">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其他可以被接受的技术支持资料</w:t>
            </w:r>
          </w:p>
        </w:tc>
        <w:tc>
          <w:tcPr>
            <w:tcW w:w="6654" w:type="dxa"/>
            <w:noWrap w:val="0"/>
            <w:vAlign w:val="center"/>
          </w:tcPr>
          <w:p w14:paraId="297B303D">
            <w:pPr>
              <w:pStyle w:val="76"/>
              <w:spacing w:line="360" w:lineRule="auto"/>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符合竞争性磋商文件技术要求的</w:t>
            </w:r>
          </w:p>
        </w:tc>
      </w:tr>
      <w:tr w14:paraId="7D094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93" w:type="dxa"/>
            <w:noWrap w:val="0"/>
            <w:vAlign w:val="center"/>
          </w:tcPr>
          <w:p w14:paraId="6CB4FB8A">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1.11.3</w:t>
            </w:r>
          </w:p>
        </w:tc>
        <w:tc>
          <w:tcPr>
            <w:tcW w:w="2181" w:type="dxa"/>
            <w:noWrap w:val="0"/>
            <w:vAlign w:val="center"/>
          </w:tcPr>
          <w:p w14:paraId="430D9EFB">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偏差</w:t>
            </w:r>
          </w:p>
        </w:tc>
        <w:tc>
          <w:tcPr>
            <w:tcW w:w="6654" w:type="dxa"/>
            <w:noWrap w:val="0"/>
            <w:vAlign w:val="center"/>
          </w:tcPr>
          <w:p w14:paraId="68E7752D">
            <w:pPr>
              <w:pStyle w:val="76"/>
              <w:spacing w:line="360" w:lineRule="auto"/>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■不允许</w:t>
            </w:r>
          </w:p>
          <w:p w14:paraId="7D6E0C0A">
            <w:pPr>
              <w:pStyle w:val="76"/>
              <w:spacing w:line="360" w:lineRule="auto"/>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w:t>
            </w:r>
            <w:r>
              <w:rPr>
                <w:rFonts w:hint="default" w:ascii="Times New Roman" w:hAnsi="Times New Roman" w:cs="Times New Roman"/>
                <w:color w:val="000000" w:themeColor="text1"/>
                <w:sz w:val="21"/>
                <w:szCs w:val="21"/>
                <w14:textFill>
                  <w14:solidFill>
                    <w14:schemeClr w14:val="tx1"/>
                  </w14:solidFill>
                </w14:textFill>
              </w:rPr>
              <w:t>允许</w:t>
            </w:r>
          </w:p>
          <w:p w14:paraId="6F8C415B">
            <w:pPr>
              <w:pStyle w:val="76"/>
              <w:spacing w:line="360" w:lineRule="auto"/>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最高项数：符合或优于竞争性磋商文件技术要求的，不允许负偏离</w:t>
            </w:r>
          </w:p>
        </w:tc>
      </w:tr>
      <w:tr w14:paraId="32C14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93" w:type="dxa"/>
            <w:noWrap w:val="0"/>
            <w:vAlign w:val="center"/>
          </w:tcPr>
          <w:p w14:paraId="41E1CA1B">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2.2</w:t>
            </w:r>
          </w:p>
        </w:tc>
        <w:tc>
          <w:tcPr>
            <w:tcW w:w="2181" w:type="dxa"/>
            <w:noWrap w:val="0"/>
            <w:vAlign w:val="center"/>
          </w:tcPr>
          <w:p w14:paraId="06763E51">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竞争性磋商文件的澄清</w:t>
            </w:r>
          </w:p>
        </w:tc>
        <w:tc>
          <w:tcPr>
            <w:tcW w:w="6654" w:type="dxa"/>
            <w:noWrap w:val="0"/>
            <w:vAlign w:val="center"/>
          </w:tcPr>
          <w:p w14:paraId="5C5CB731">
            <w:pPr>
              <w:pStyle w:val="18"/>
              <w:spacing w:line="360" w:lineRule="auto"/>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详见供应商须知2.2</w:t>
            </w:r>
          </w:p>
        </w:tc>
      </w:tr>
      <w:tr w14:paraId="53A61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993" w:type="dxa"/>
            <w:noWrap w:val="0"/>
            <w:vAlign w:val="center"/>
          </w:tcPr>
          <w:p w14:paraId="53F565EA">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2.3</w:t>
            </w:r>
          </w:p>
        </w:tc>
        <w:tc>
          <w:tcPr>
            <w:tcW w:w="2181" w:type="dxa"/>
            <w:noWrap w:val="0"/>
            <w:vAlign w:val="center"/>
          </w:tcPr>
          <w:p w14:paraId="7B9D134D">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竞争性磋商文件的修改</w:t>
            </w:r>
          </w:p>
        </w:tc>
        <w:tc>
          <w:tcPr>
            <w:tcW w:w="6654" w:type="dxa"/>
            <w:noWrap w:val="0"/>
            <w:vAlign w:val="center"/>
          </w:tcPr>
          <w:p w14:paraId="4AE368C6">
            <w:pPr>
              <w:pStyle w:val="18"/>
              <w:spacing w:line="360" w:lineRule="auto"/>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详见供应商须知2.3</w:t>
            </w:r>
          </w:p>
        </w:tc>
      </w:tr>
      <w:tr w14:paraId="249F1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993" w:type="dxa"/>
            <w:noWrap w:val="0"/>
            <w:vAlign w:val="center"/>
          </w:tcPr>
          <w:p w14:paraId="31D87C47">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3.2</w:t>
            </w:r>
          </w:p>
        </w:tc>
        <w:tc>
          <w:tcPr>
            <w:tcW w:w="2181" w:type="dxa"/>
            <w:noWrap w:val="0"/>
            <w:vAlign w:val="center"/>
          </w:tcPr>
          <w:p w14:paraId="2F700D4E">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磋商报价</w:t>
            </w:r>
          </w:p>
        </w:tc>
        <w:tc>
          <w:tcPr>
            <w:tcW w:w="6654" w:type="dxa"/>
            <w:noWrap w:val="0"/>
            <w:vAlign w:val="center"/>
          </w:tcPr>
          <w:p w14:paraId="2CCB3F04">
            <w:pPr>
              <w:pStyle w:val="18"/>
              <w:spacing w:line="360" w:lineRule="auto"/>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详见供应商须知3.2</w:t>
            </w:r>
          </w:p>
        </w:tc>
      </w:tr>
      <w:tr w14:paraId="11D3A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93" w:type="dxa"/>
            <w:noWrap w:val="0"/>
            <w:vAlign w:val="center"/>
          </w:tcPr>
          <w:p w14:paraId="01500463">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3.3.1</w:t>
            </w:r>
          </w:p>
        </w:tc>
        <w:tc>
          <w:tcPr>
            <w:tcW w:w="2181" w:type="dxa"/>
            <w:noWrap w:val="0"/>
            <w:vAlign w:val="center"/>
          </w:tcPr>
          <w:p w14:paraId="7F68491F">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磋商有效期</w:t>
            </w:r>
          </w:p>
        </w:tc>
        <w:tc>
          <w:tcPr>
            <w:tcW w:w="6654" w:type="dxa"/>
            <w:noWrap w:val="0"/>
            <w:vAlign w:val="center"/>
          </w:tcPr>
          <w:p w14:paraId="06027779">
            <w:pPr>
              <w:pStyle w:val="76"/>
              <w:spacing w:line="360" w:lineRule="auto"/>
              <w:jc w:val="both"/>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t>90日历天，响应文件递交截止之日算起</w:t>
            </w:r>
          </w:p>
        </w:tc>
      </w:tr>
      <w:tr w14:paraId="47D34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noWrap w:val="0"/>
            <w:vAlign w:val="center"/>
          </w:tcPr>
          <w:p w14:paraId="1C5174B0">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3.4.1</w:t>
            </w:r>
          </w:p>
        </w:tc>
        <w:tc>
          <w:tcPr>
            <w:tcW w:w="2181" w:type="dxa"/>
            <w:noWrap w:val="0"/>
            <w:vAlign w:val="center"/>
          </w:tcPr>
          <w:p w14:paraId="76D10AC3">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磋商保证金</w:t>
            </w:r>
          </w:p>
        </w:tc>
        <w:tc>
          <w:tcPr>
            <w:tcW w:w="6654" w:type="dxa"/>
            <w:noWrap w:val="0"/>
            <w:vAlign w:val="center"/>
          </w:tcPr>
          <w:p w14:paraId="6F6EC31D">
            <w:pPr>
              <w:spacing w:line="360" w:lineRule="auto"/>
              <w:jc w:val="left"/>
              <w:rPr>
                <w:rFonts w:hint="default" w:ascii="Times New Roman" w:hAnsi="Times New Roman" w:cs="Times New Roman"/>
                <w:color w:val="000000" w:themeColor="text1"/>
                <w:kern w:val="0"/>
                <w14:textFill>
                  <w14:solidFill>
                    <w14:schemeClr w14:val="tx1"/>
                  </w14:solidFill>
                </w14:textFill>
              </w:rPr>
            </w:pPr>
            <w:r>
              <w:rPr>
                <w:rFonts w:hint="default" w:ascii="Times New Roman" w:hAnsi="Times New Roman" w:cs="Times New Roman"/>
                <w:color w:val="000000" w:themeColor="text1"/>
                <w:kern w:val="0"/>
                <w14:textFill>
                  <w14:solidFill>
                    <w14:schemeClr w14:val="tx1"/>
                  </w14:solidFill>
                </w14:textFill>
              </w:rPr>
              <w:t>不收取</w:t>
            </w:r>
          </w:p>
        </w:tc>
      </w:tr>
      <w:tr w14:paraId="0C260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noWrap w:val="0"/>
            <w:vAlign w:val="center"/>
          </w:tcPr>
          <w:p w14:paraId="3696AB81">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3.5.3</w:t>
            </w:r>
          </w:p>
        </w:tc>
        <w:tc>
          <w:tcPr>
            <w:tcW w:w="2181" w:type="dxa"/>
            <w:noWrap w:val="0"/>
            <w:vAlign w:val="center"/>
          </w:tcPr>
          <w:p w14:paraId="1D63E17E">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响应文件签署</w:t>
            </w:r>
          </w:p>
        </w:tc>
        <w:tc>
          <w:tcPr>
            <w:tcW w:w="6654" w:type="dxa"/>
            <w:noWrap w:val="0"/>
            <w:vAlign w:val="center"/>
          </w:tcPr>
          <w:p w14:paraId="00EAB9D1">
            <w:pPr>
              <w:numPr>
                <w:ilvl w:val="0"/>
                <w:numId w:val="0"/>
              </w:numPr>
              <w:spacing w:line="360" w:lineRule="auto"/>
              <w:jc w:val="lef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color w:val="000000" w:themeColor="text1"/>
                <w:kern w:val="2"/>
                <w:sz w:val="21"/>
                <w:szCs w:val="21"/>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t>竞争性磋商文件编制完成后须用云南 CA 按格式进行电子签章，在所要求的位置有法定代表人使用云南 CA 按格式进行电子签章，委托代理人均签字</w:t>
            </w:r>
          </w:p>
          <w:p w14:paraId="35C7236D">
            <w:pPr>
              <w:numPr>
                <w:ilvl w:val="0"/>
                <w:numId w:val="0"/>
              </w:numPr>
              <w:spacing w:line="360" w:lineRule="auto"/>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t>2.已标价的工程量清单需二级及以上注册造价师签字或签章（可委托造价师，需附委托书）</w:t>
            </w:r>
          </w:p>
        </w:tc>
      </w:tr>
      <w:tr w14:paraId="621D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993" w:type="dxa"/>
            <w:noWrap w:val="0"/>
            <w:vAlign w:val="center"/>
          </w:tcPr>
          <w:p w14:paraId="3945BE59">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3.5.4</w:t>
            </w:r>
          </w:p>
        </w:tc>
        <w:tc>
          <w:tcPr>
            <w:tcW w:w="2181" w:type="dxa"/>
            <w:noWrap w:val="0"/>
            <w:vAlign w:val="center"/>
          </w:tcPr>
          <w:p w14:paraId="56964DF7">
            <w:pPr>
              <w:spacing w:line="360" w:lineRule="auto"/>
              <w:jc w:val="cente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t>响应文件份数</w:t>
            </w:r>
          </w:p>
        </w:tc>
        <w:tc>
          <w:tcPr>
            <w:tcW w:w="6654" w:type="dxa"/>
            <w:noWrap w:val="0"/>
            <w:vAlign w:val="center"/>
          </w:tcPr>
          <w:p w14:paraId="7498867B">
            <w:pPr>
              <w:spacing w:line="360" w:lineRule="auto"/>
              <w:jc w:val="left"/>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t>按“政采云”要求，上传电子响应文件壹份</w:t>
            </w:r>
          </w:p>
        </w:tc>
      </w:tr>
      <w:tr w14:paraId="4CA51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993" w:type="dxa"/>
            <w:noWrap w:val="0"/>
            <w:vAlign w:val="center"/>
          </w:tcPr>
          <w:p w14:paraId="75E28EE6">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3.5.5</w:t>
            </w:r>
          </w:p>
        </w:tc>
        <w:tc>
          <w:tcPr>
            <w:tcW w:w="2181" w:type="dxa"/>
            <w:noWrap w:val="0"/>
            <w:vAlign w:val="center"/>
          </w:tcPr>
          <w:p w14:paraId="58BB0D14">
            <w:pPr>
              <w:spacing w:line="360" w:lineRule="auto"/>
              <w:jc w:val="cente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t>装订要求</w:t>
            </w:r>
          </w:p>
        </w:tc>
        <w:tc>
          <w:tcPr>
            <w:tcW w:w="6654" w:type="dxa"/>
            <w:noWrap w:val="0"/>
            <w:vAlign w:val="center"/>
          </w:tcPr>
          <w:p w14:paraId="1C286B7E">
            <w:pPr>
              <w:numPr>
                <w:ilvl w:val="0"/>
                <w:numId w:val="0"/>
              </w:numPr>
              <w:spacing w:line="360" w:lineRule="auto"/>
              <w:jc w:val="left"/>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t>本项目为电子开评标，需按响应文件格式编制响应文件</w:t>
            </w:r>
          </w:p>
        </w:tc>
      </w:tr>
      <w:tr w14:paraId="30EFA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noWrap w:val="0"/>
            <w:vAlign w:val="center"/>
          </w:tcPr>
          <w:p w14:paraId="038A9051">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3.6</w:t>
            </w:r>
          </w:p>
        </w:tc>
        <w:tc>
          <w:tcPr>
            <w:tcW w:w="2181" w:type="dxa"/>
            <w:noWrap w:val="0"/>
            <w:vAlign w:val="center"/>
          </w:tcPr>
          <w:p w14:paraId="5822D7B8">
            <w:pPr>
              <w:spacing w:line="360" w:lineRule="auto"/>
              <w:jc w:val="cente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t>密封和标记</w:t>
            </w:r>
          </w:p>
        </w:tc>
        <w:tc>
          <w:tcPr>
            <w:tcW w:w="6654" w:type="dxa"/>
            <w:noWrap w:val="0"/>
            <w:vAlign w:val="center"/>
          </w:tcPr>
          <w:p w14:paraId="55B185DA">
            <w:pPr>
              <w:spacing w:line="360" w:lineRule="auto"/>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t>本项目无密封和标记的要求，只需按照“政采云”平台的要求编制、加密后在竞争性磋商文件提交截止时间前上传至“政采云”平台</w:t>
            </w:r>
          </w:p>
        </w:tc>
      </w:tr>
      <w:tr w14:paraId="1FCC3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993" w:type="dxa"/>
            <w:noWrap w:val="0"/>
            <w:vAlign w:val="center"/>
          </w:tcPr>
          <w:p w14:paraId="29601BEC">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3.7.1</w:t>
            </w:r>
          </w:p>
        </w:tc>
        <w:tc>
          <w:tcPr>
            <w:tcW w:w="2181" w:type="dxa"/>
            <w:noWrap w:val="0"/>
            <w:vAlign w:val="center"/>
          </w:tcPr>
          <w:p w14:paraId="037DF43F">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响应文件递交截止</w:t>
            </w:r>
          </w:p>
          <w:p w14:paraId="1EC7B0FE">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时间、地点</w:t>
            </w:r>
          </w:p>
        </w:tc>
        <w:tc>
          <w:tcPr>
            <w:tcW w:w="6654" w:type="dxa"/>
            <w:noWrap w:val="0"/>
            <w:vAlign w:val="center"/>
          </w:tcPr>
          <w:p w14:paraId="68BB3591">
            <w:pPr>
              <w:spacing w:line="360" w:lineRule="auto"/>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t>响应文件递交截止时间：2026年</w:t>
            </w:r>
            <w:r>
              <w:rPr>
                <w:rFonts w:hint="eastAsia" w:cs="Times New Roman"/>
                <w:color w:val="000000" w:themeColor="text1"/>
                <w:kern w:val="0"/>
                <w:sz w:val="21"/>
                <w:szCs w:val="21"/>
                <w:lang w:val="en-US" w:eastAsia="zh-CN" w:bidi="ar-SA"/>
                <w14:textFill>
                  <w14:solidFill>
                    <w14:schemeClr w14:val="tx1"/>
                  </w14:solidFill>
                </w14:textFill>
              </w:rPr>
              <w:t>9</w:t>
            </w:r>
            <w: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t>月</w:t>
            </w:r>
            <w:r>
              <w:rPr>
                <w:rFonts w:hint="eastAsia" w:ascii="Times New Roman" w:hAnsi="Times New Roman" w:eastAsia="宋体" w:cs="Times New Roman"/>
                <w:color w:val="000000" w:themeColor="text1"/>
                <w:kern w:val="0"/>
                <w:sz w:val="21"/>
                <w:szCs w:val="21"/>
                <w:lang w:val="en-US" w:eastAsia="zh-CN" w:bidi="ar-SA"/>
                <w14:textFill>
                  <w14:solidFill>
                    <w14:schemeClr w14:val="tx1"/>
                  </w14:solidFill>
                </w14:textFill>
              </w:rPr>
              <w:t>1</w:t>
            </w:r>
            <w:r>
              <w:rPr>
                <w:rFonts w:hint="eastAsia" w:cs="Times New Roman"/>
                <w:color w:val="000000" w:themeColor="text1"/>
                <w:kern w:val="0"/>
                <w:sz w:val="21"/>
                <w:szCs w:val="21"/>
                <w:lang w:val="en-US" w:eastAsia="zh-CN" w:bidi="ar-SA"/>
                <w14:textFill>
                  <w14:solidFill>
                    <w14:schemeClr w14:val="tx1"/>
                  </w14:solidFill>
                </w14:textFill>
              </w:rPr>
              <w:t>0</w:t>
            </w:r>
            <w: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t>日上午09点00分（北京时间）</w:t>
            </w:r>
          </w:p>
          <w:p w14:paraId="57A3D209">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t>递交地点：“政采云平台”</w:t>
            </w:r>
          </w:p>
        </w:tc>
      </w:tr>
      <w:tr w14:paraId="40659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3" w:type="dxa"/>
            <w:noWrap w:val="0"/>
            <w:vAlign w:val="center"/>
          </w:tcPr>
          <w:p w14:paraId="479FC6F4">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3.7.2</w:t>
            </w:r>
          </w:p>
        </w:tc>
        <w:tc>
          <w:tcPr>
            <w:tcW w:w="2181" w:type="dxa"/>
            <w:noWrap w:val="0"/>
            <w:vAlign w:val="center"/>
          </w:tcPr>
          <w:p w14:paraId="75E5EE9F">
            <w:pPr>
              <w:pStyle w:val="76"/>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是否退还磋商响应文件</w:t>
            </w:r>
          </w:p>
        </w:tc>
        <w:tc>
          <w:tcPr>
            <w:tcW w:w="6654" w:type="dxa"/>
            <w:noWrap w:val="0"/>
            <w:vAlign w:val="center"/>
          </w:tcPr>
          <w:p w14:paraId="7F601135">
            <w:pPr>
              <w:pStyle w:val="76"/>
              <w:spacing w:line="360" w:lineRule="auto"/>
              <w:jc w:val="both"/>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否</w:t>
            </w:r>
          </w:p>
        </w:tc>
      </w:tr>
      <w:tr w14:paraId="29F36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993" w:type="dxa"/>
            <w:noWrap w:val="0"/>
            <w:vAlign w:val="center"/>
          </w:tcPr>
          <w:p w14:paraId="62802273">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4.1.1</w:t>
            </w:r>
          </w:p>
        </w:tc>
        <w:tc>
          <w:tcPr>
            <w:tcW w:w="2181" w:type="dxa"/>
            <w:noWrap w:val="0"/>
            <w:vAlign w:val="center"/>
          </w:tcPr>
          <w:p w14:paraId="50D60D7A">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磋商时间及地点</w:t>
            </w:r>
          </w:p>
        </w:tc>
        <w:tc>
          <w:tcPr>
            <w:tcW w:w="6654" w:type="dxa"/>
            <w:noWrap w:val="0"/>
            <w:vAlign w:val="center"/>
          </w:tcPr>
          <w:p w14:paraId="5CC995A7">
            <w:pPr>
              <w:spacing w:line="360" w:lineRule="auto"/>
              <w:jc w:val="left"/>
              <w:rPr>
                <w:rFonts w:hint="default" w:ascii="Times New Roman" w:hAnsi="Times New Roman" w:cs="Times New Roman"/>
                <w:color w:val="000000" w:themeColor="text1"/>
                <w:kern w:val="0"/>
                <w:lang w:val="en-US" w:eastAsia="zh-CN"/>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时间：同</w:t>
            </w:r>
            <w:r>
              <w:rPr>
                <w:rFonts w:hint="default" w:ascii="Times New Roman" w:hAnsi="Times New Roman" w:cs="Times New Roman"/>
                <w:color w:val="000000" w:themeColor="text1"/>
                <w:kern w:val="0"/>
                <w14:textFill>
                  <w14:solidFill>
                    <w14:schemeClr w14:val="tx1"/>
                  </w14:solidFill>
                </w14:textFill>
              </w:rPr>
              <w:t>提交响应文件截止时间</w:t>
            </w:r>
            <w:r>
              <w:rPr>
                <w:rFonts w:hint="default" w:ascii="Times New Roman" w:hAnsi="Times New Roman" w:cs="Times New Roman"/>
                <w:color w:val="000000" w:themeColor="text1"/>
                <w:kern w:val="0"/>
                <w:lang w:val="en-US" w:eastAsia="zh-CN"/>
                <w14:textFill>
                  <w14:solidFill>
                    <w14:schemeClr w14:val="tx1"/>
                  </w14:solidFill>
                </w14:textFill>
              </w:rPr>
              <w:t xml:space="preserve">   </w:t>
            </w:r>
          </w:p>
          <w:p w14:paraId="11B285CF">
            <w:pPr>
              <w:spacing w:line="360" w:lineRule="auto"/>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磋商地点：</w:t>
            </w:r>
            <w:r>
              <w:rPr>
                <w:rFonts w:hint="default" w:ascii="Times New Roman" w:hAnsi="Times New Roman" w:cs="Times New Roman"/>
                <w:color w:val="000000" w:themeColor="text1"/>
                <w:kern w:val="0"/>
                <w14:textFill>
                  <w14:solidFill>
                    <w14:schemeClr w14:val="tx1"/>
                  </w14:solidFill>
                </w14:textFill>
              </w:rPr>
              <w:t>“政采云平台”</w:t>
            </w:r>
          </w:p>
        </w:tc>
      </w:tr>
      <w:tr w14:paraId="0103A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993" w:type="dxa"/>
            <w:noWrap w:val="0"/>
            <w:vAlign w:val="center"/>
          </w:tcPr>
          <w:p w14:paraId="185A11D4">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4.1.5</w:t>
            </w:r>
          </w:p>
        </w:tc>
        <w:tc>
          <w:tcPr>
            <w:tcW w:w="2181" w:type="dxa"/>
            <w:noWrap w:val="0"/>
            <w:vAlign w:val="center"/>
          </w:tcPr>
          <w:p w14:paraId="54467636">
            <w:pPr>
              <w:spacing w:line="360" w:lineRule="auto"/>
              <w:jc w:val="left"/>
              <w:rPr>
                <w:rFonts w:hint="default" w:ascii="Times New Roman" w:hAnsi="Times New Roman" w:eastAsia="宋体" w:cs="Times New Roman"/>
                <w:color w:val="000000" w:themeColor="text1"/>
                <w:kern w:val="0"/>
                <w14:textFill>
                  <w14:solidFill>
                    <w14:schemeClr w14:val="tx1"/>
                  </w14:solidFill>
                </w14:textFill>
              </w:rPr>
            </w:pPr>
            <w:r>
              <w:rPr>
                <w:rFonts w:hint="default" w:ascii="Times New Roman" w:hAnsi="Times New Roman" w:eastAsia="宋体" w:cs="Times New Roman"/>
                <w:color w:val="000000" w:themeColor="text1"/>
                <w:kern w:val="0"/>
                <w14:textFill>
                  <w14:solidFill>
                    <w14:schemeClr w14:val="tx1"/>
                  </w14:solidFill>
                </w14:textFill>
              </w:rPr>
              <w:t>磋商小组的组建</w:t>
            </w:r>
          </w:p>
        </w:tc>
        <w:tc>
          <w:tcPr>
            <w:tcW w:w="6654" w:type="dxa"/>
            <w:noWrap w:val="0"/>
            <w:vAlign w:val="center"/>
          </w:tcPr>
          <w:p w14:paraId="7A7DA1CC">
            <w:pPr>
              <w:spacing w:line="360" w:lineRule="auto"/>
              <w:jc w:val="left"/>
              <w:rPr>
                <w:rFonts w:hint="default" w:ascii="Times New Roman" w:hAnsi="Times New Roman" w:eastAsia="宋体" w:cs="Times New Roman"/>
                <w:color w:val="000000" w:themeColor="text1"/>
                <w:kern w:val="0"/>
                <w14:textFill>
                  <w14:solidFill>
                    <w14:schemeClr w14:val="tx1"/>
                  </w14:solidFill>
                </w14:textFill>
              </w:rPr>
            </w:pPr>
            <w:r>
              <w:rPr>
                <w:rFonts w:hint="default" w:ascii="Times New Roman" w:hAnsi="Times New Roman" w:eastAsia="宋体" w:cs="Times New Roman"/>
                <w:color w:val="000000" w:themeColor="text1"/>
                <w:kern w:val="0"/>
                <w14:textFill>
                  <w14:solidFill>
                    <w14:schemeClr w14:val="tx1"/>
                  </w14:solidFill>
                </w14:textFill>
              </w:rPr>
              <w:t>磋商小组由采购人代表和评审专家共3人组成，其中采购人代表1名，其余2名专家从“政采云”平台评审专家库中随机抽取，抽取专家为有关技术、经济方面的专业</w:t>
            </w:r>
          </w:p>
          <w:p w14:paraId="7DAA3D50">
            <w:pPr>
              <w:spacing w:line="360" w:lineRule="auto"/>
              <w:jc w:val="left"/>
              <w:rPr>
                <w:rFonts w:hint="default" w:ascii="Times New Roman" w:hAnsi="Times New Roman" w:eastAsia="宋体" w:cs="Times New Roman"/>
                <w:color w:val="000000" w:themeColor="text1"/>
                <w:kern w:val="0"/>
                <w14:textFill>
                  <w14:solidFill>
                    <w14:schemeClr w14:val="tx1"/>
                  </w14:solidFill>
                </w14:textFill>
              </w:rPr>
            </w:pPr>
            <w:r>
              <w:rPr>
                <w:rFonts w:hint="default" w:ascii="Times New Roman" w:hAnsi="Times New Roman" w:eastAsia="宋体" w:cs="Times New Roman"/>
                <w:color w:val="000000" w:themeColor="text1"/>
                <w:kern w:val="0"/>
                <w14:textFill>
                  <w14:solidFill>
                    <w14:schemeClr w14:val="tx1"/>
                  </w14:solidFill>
                </w14:textFill>
              </w:rPr>
              <w:t>评标专家确定方式：从“政采云”</w:t>
            </w:r>
            <w:r>
              <w:rPr>
                <w:rFonts w:hint="default" w:ascii="Times New Roman" w:hAnsi="Times New Roman" w:cs="Times New Roman"/>
                <w:color w:val="000000" w:themeColor="text1"/>
                <w:kern w:val="0"/>
                <w:lang w:val="en-US" w:eastAsia="zh-CN"/>
                <w14:textFill>
                  <w14:solidFill>
                    <w14:schemeClr w14:val="tx1"/>
                  </w14:solidFill>
                </w14:textFill>
              </w:rPr>
              <w:t>平</w:t>
            </w:r>
            <w:r>
              <w:rPr>
                <w:rFonts w:hint="default" w:ascii="Times New Roman" w:hAnsi="Times New Roman" w:eastAsia="宋体" w:cs="Times New Roman"/>
                <w:color w:val="000000" w:themeColor="text1"/>
                <w:kern w:val="0"/>
                <w14:textFill>
                  <w14:solidFill>
                    <w14:schemeClr w14:val="tx1"/>
                  </w14:solidFill>
                </w14:textFill>
              </w:rPr>
              <w:t>台评审专家库中随机抽取</w:t>
            </w:r>
          </w:p>
        </w:tc>
      </w:tr>
      <w:tr w14:paraId="1F7B3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7" w:hRule="atLeast"/>
          <w:jc w:val="center"/>
        </w:trPr>
        <w:tc>
          <w:tcPr>
            <w:tcW w:w="993" w:type="dxa"/>
            <w:noWrap w:val="0"/>
            <w:vAlign w:val="center"/>
          </w:tcPr>
          <w:p w14:paraId="03F620BE">
            <w:pPr>
              <w:spacing w:line="360" w:lineRule="auto"/>
              <w:jc w:val="center"/>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5</w:t>
            </w:r>
          </w:p>
        </w:tc>
        <w:tc>
          <w:tcPr>
            <w:tcW w:w="2181" w:type="dxa"/>
            <w:noWrap w:val="0"/>
            <w:vAlign w:val="center"/>
          </w:tcPr>
          <w:p w14:paraId="0075EE26">
            <w:pPr>
              <w:spacing w:line="360" w:lineRule="auto"/>
              <w:jc w:val="left"/>
              <w:rPr>
                <w:rFonts w:hint="default" w:ascii="Times New Roman" w:hAnsi="Times New Roman" w:eastAsia="宋体" w:cs="Times New Roman"/>
                <w:color w:val="000000" w:themeColor="text1"/>
                <w:kern w:val="0"/>
                <w14:textFill>
                  <w14:solidFill>
                    <w14:schemeClr w14:val="tx1"/>
                  </w14:solidFill>
                </w14:textFill>
              </w:rPr>
            </w:pPr>
            <w:r>
              <w:rPr>
                <w:rFonts w:hint="default" w:ascii="Times New Roman" w:hAnsi="Times New Roman" w:eastAsia="宋体" w:cs="Times New Roman"/>
                <w:color w:val="000000" w:themeColor="text1"/>
                <w:kern w:val="0"/>
                <w14:textFill>
                  <w14:solidFill>
                    <w14:schemeClr w14:val="tx1"/>
                  </w14:solidFill>
                </w14:textFill>
              </w:rPr>
              <w:t>招标代理服务费</w:t>
            </w:r>
          </w:p>
        </w:tc>
        <w:tc>
          <w:tcPr>
            <w:tcW w:w="6654" w:type="dxa"/>
            <w:noWrap w:val="0"/>
            <w:vAlign w:val="center"/>
          </w:tcPr>
          <w:p w14:paraId="4659840A">
            <w:pPr>
              <w:spacing w:line="360" w:lineRule="auto"/>
              <w:jc w:val="left"/>
              <w:rPr>
                <w:rFonts w:hint="default" w:ascii="Times New Roman" w:hAnsi="Times New Roman" w:eastAsia="宋体" w:cs="Times New Roman"/>
                <w:color w:val="000000" w:themeColor="text1"/>
                <w:kern w:val="0"/>
                <w:lang w:val="en-US" w:eastAsia="zh-CN"/>
                <w14:textFill>
                  <w14:solidFill>
                    <w14:schemeClr w14:val="tx1"/>
                  </w14:solidFill>
                </w14:textFill>
              </w:rPr>
            </w:pPr>
            <w:r>
              <w:rPr>
                <w:rFonts w:hint="default" w:ascii="Times New Roman" w:hAnsi="Times New Roman" w:eastAsia="宋体" w:cs="Times New Roman"/>
                <w:color w:val="000000" w:themeColor="text1"/>
                <w:kern w:val="0"/>
                <w:lang w:val="en-US" w:eastAsia="zh-CN"/>
                <w14:textFill>
                  <w14:solidFill>
                    <w14:schemeClr w14:val="tx1"/>
                  </w14:solidFill>
                </w14:textFill>
              </w:rPr>
              <w:t>代理服务费由成交供应商在领取成交通知书前一次性支付，采购代理机构参照云建招协〔2026〕11号文的收费标准，以成交价为基准价向成交供应商收取代理服务费</w:t>
            </w:r>
          </w:p>
          <w:p w14:paraId="29935D3C">
            <w:pPr>
              <w:spacing w:line="360" w:lineRule="auto"/>
              <w:jc w:val="left"/>
              <w:rPr>
                <w:rFonts w:hint="default" w:ascii="Times New Roman" w:hAnsi="Times New Roman" w:eastAsia="宋体" w:cs="Times New Roman"/>
                <w:color w:val="000000" w:themeColor="text1"/>
                <w:kern w:val="0"/>
                <w:lang w:val="en-US" w:eastAsia="zh-CN"/>
                <w14:textFill>
                  <w14:solidFill>
                    <w14:schemeClr w14:val="tx1"/>
                  </w14:solidFill>
                </w14:textFill>
              </w:rPr>
            </w:pPr>
            <w:r>
              <w:rPr>
                <w:rFonts w:hint="default" w:ascii="Times New Roman" w:hAnsi="Times New Roman" w:eastAsia="宋体" w:cs="Times New Roman"/>
                <w:color w:val="000000" w:themeColor="text1"/>
                <w:kern w:val="0"/>
                <w:lang w:val="en-US" w:eastAsia="zh-CN"/>
                <w14:textFill>
                  <w14:solidFill>
                    <w14:schemeClr w14:val="tx1"/>
                  </w14:solidFill>
                </w14:textFill>
              </w:rPr>
              <w:t>名称：勐海县海民招标代理有限公司</w:t>
            </w:r>
          </w:p>
          <w:p w14:paraId="70B3920F">
            <w:pPr>
              <w:spacing w:line="360" w:lineRule="auto"/>
              <w:jc w:val="left"/>
              <w:rPr>
                <w:rFonts w:hint="default" w:ascii="Times New Roman" w:hAnsi="Times New Roman" w:eastAsia="宋体" w:cs="Times New Roman"/>
                <w:color w:val="000000" w:themeColor="text1"/>
                <w:kern w:val="0"/>
                <w:lang w:val="en-US" w:eastAsia="zh-CN"/>
                <w14:textFill>
                  <w14:solidFill>
                    <w14:schemeClr w14:val="tx1"/>
                  </w14:solidFill>
                </w14:textFill>
              </w:rPr>
            </w:pPr>
            <w:r>
              <w:rPr>
                <w:rFonts w:hint="default" w:ascii="Times New Roman" w:hAnsi="Times New Roman" w:eastAsia="宋体" w:cs="Times New Roman"/>
                <w:color w:val="000000" w:themeColor="text1"/>
                <w:kern w:val="0"/>
                <w:lang w:val="en-US" w:eastAsia="zh-CN"/>
                <w14:textFill>
                  <w14:solidFill>
                    <w14:schemeClr w14:val="tx1"/>
                  </w14:solidFill>
                </w14:textFill>
              </w:rPr>
              <w:t>统一社会信用代码：91532822MA6PFHW53F</w:t>
            </w:r>
          </w:p>
          <w:p w14:paraId="108C3026">
            <w:pPr>
              <w:spacing w:line="360" w:lineRule="auto"/>
              <w:jc w:val="left"/>
              <w:rPr>
                <w:rFonts w:hint="default" w:ascii="Times New Roman" w:hAnsi="Times New Roman" w:eastAsia="宋体" w:cs="Times New Roman"/>
                <w:color w:val="000000" w:themeColor="text1"/>
                <w:kern w:val="0"/>
                <w:lang w:val="en-US" w:eastAsia="zh-CN"/>
                <w14:textFill>
                  <w14:solidFill>
                    <w14:schemeClr w14:val="tx1"/>
                  </w14:solidFill>
                </w14:textFill>
              </w:rPr>
            </w:pPr>
            <w:r>
              <w:rPr>
                <w:rFonts w:hint="default" w:ascii="Times New Roman" w:hAnsi="Times New Roman" w:eastAsia="宋体" w:cs="Times New Roman"/>
                <w:color w:val="000000" w:themeColor="text1"/>
                <w:kern w:val="0"/>
                <w:lang w:val="en-US" w:eastAsia="zh-CN"/>
                <w14:textFill>
                  <w14:solidFill>
                    <w14:schemeClr w14:val="tx1"/>
                  </w14:solidFill>
                </w14:textFill>
              </w:rPr>
              <w:t xml:space="preserve">单位地址：云南省西双版纳傣族自治州勐海县勐海镇双塔国际五楼F3-513  </w:t>
            </w:r>
          </w:p>
          <w:p w14:paraId="372F0D68">
            <w:pPr>
              <w:spacing w:line="360" w:lineRule="auto"/>
              <w:jc w:val="left"/>
              <w:rPr>
                <w:rFonts w:hint="eastAsia" w:cs="Times New Roman"/>
                <w:color w:val="000000" w:themeColor="text1"/>
                <w:kern w:val="0"/>
                <w:lang w:val="en-US" w:eastAsia="zh-CN"/>
                <w14:textFill>
                  <w14:solidFill>
                    <w14:schemeClr w14:val="tx1"/>
                  </w14:solidFill>
                </w14:textFill>
              </w:rPr>
            </w:pPr>
            <w:r>
              <w:rPr>
                <w:rFonts w:hint="default" w:ascii="Times New Roman" w:hAnsi="Times New Roman" w:eastAsia="宋体" w:cs="Times New Roman"/>
                <w:color w:val="000000" w:themeColor="text1"/>
                <w:kern w:val="0"/>
                <w:lang w:val="en-US" w:eastAsia="zh-CN"/>
                <w14:textFill>
                  <w14:solidFill>
                    <w14:schemeClr w14:val="tx1"/>
                  </w14:solidFill>
                </w14:textFill>
              </w:rPr>
              <w:t>联系电话：</w:t>
            </w:r>
            <w:r>
              <w:rPr>
                <w:rFonts w:hint="eastAsia" w:cs="Times New Roman"/>
                <w:color w:val="000000" w:themeColor="text1"/>
                <w:kern w:val="0"/>
                <w:lang w:val="en-US" w:eastAsia="zh-CN"/>
                <w14:textFill>
                  <w14:solidFill>
                    <w14:schemeClr w14:val="tx1"/>
                  </w14:solidFill>
                </w14:textFill>
              </w:rPr>
              <w:t>15287682653</w:t>
            </w:r>
          </w:p>
          <w:p w14:paraId="67C1EC7E">
            <w:pPr>
              <w:spacing w:line="360" w:lineRule="auto"/>
              <w:jc w:val="left"/>
              <w:rPr>
                <w:rFonts w:hint="default" w:ascii="Times New Roman" w:hAnsi="Times New Roman" w:eastAsia="宋体" w:cs="Times New Roman"/>
                <w:color w:val="000000" w:themeColor="text1"/>
                <w:kern w:val="0"/>
                <w:lang w:val="en-US" w:eastAsia="zh-CN"/>
                <w14:textFill>
                  <w14:solidFill>
                    <w14:schemeClr w14:val="tx1"/>
                  </w14:solidFill>
                </w14:textFill>
              </w:rPr>
            </w:pPr>
            <w:r>
              <w:rPr>
                <w:rFonts w:hint="default" w:ascii="Times New Roman" w:hAnsi="Times New Roman" w:eastAsia="宋体" w:cs="Times New Roman"/>
                <w:color w:val="000000" w:themeColor="text1"/>
                <w:kern w:val="0"/>
                <w:lang w:val="en-US" w:eastAsia="zh-CN"/>
                <w14:textFill>
                  <w14:solidFill>
                    <w14:schemeClr w14:val="tx1"/>
                  </w14:solidFill>
                </w14:textFill>
              </w:rPr>
              <w:t>开户银行：中国工商银行股份有限公司勐海支行</w:t>
            </w:r>
          </w:p>
          <w:p w14:paraId="13B82CB9">
            <w:pPr>
              <w:spacing w:line="360" w:lineRule="auto"/>
              <w:jc w:val="left"/>
              <w:rPr>
                <w:rFonts w:hint="default" w:ascii="Times New Roman" w:hAnsi="Times New Roman" w:eastAsia="宋体" w:cs="Times New Roman"/>
                <w:color w:val="000000" w:themeColor="text1"/>
                <w:kern w:val="0"/>
                <w:lang w:val="en-US" w:eastAsia="zh-CN"/>
                <w14:textFill>
                  <w14:solidFill>
                    <w14:schemeClr w14:val="tx1"/>
                  </w14:solidFill>
                </w14:textFill>
              </w:rPr>
            </w:pPr>
            <w:r>
              <w:rPr>
                <w:rFonts w:hint="default" w:ascii="Times New Roman" w:hAnsi="Times New Roman" w:eastAsia="宋体" w:cs="Times New Roman"/>
                <w:color w:val="000000" w:themeColor="text1"/>
                <w:kern w:val="0"/>
                <w:lang w:val="en-US" w:eastAsia="zh-CN"/>
                <w14:textFill>
                  <w14:solidFill>
                    <w14:schemeClr w14:val="tx1"/>
                  </w14:solidFill>
                </w14:textFill>
              </w:rPr>
              <w:t>银行账户：2509027509200092244</w:t>
            </w:r>
          </w:p>
        </w:tc>
      </w:tr>
      <w:tr w14:paraId="6B904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993" w:type="dxa"/>
            <w:noWrap w:val="0"/>
            <w:vAlign w:val="center"/>
          </w:tcPr>
          <w:p w14:paraId="5CBA285A">
            <w:pPr>
              <w:spacing w:line="360" w:lineRule="auto"/>
              <w:jc w:val="center"/>
              <w:rPr>
                <w:rFonts w:hint="default" w:ascii="Times New Roman" w:hAnsi="Times New Roman" w:eastAsia="宋体" w:cs="Times New Roman"/>
                <w:color w:val="000000" w:themeColor="text1"/>
                <w:lang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6</w:t>
            </w:r>
          </w:p>
        </w:tc>
        <w:tc>
          <w:tcPr>
            <w:tcW w:w="2181" w:type="dxa"/>
            <w:noWrap w:val="0"/>
            <w:vAlign w:val="center"/>
          </w:tcPr>
          <w:p w14:paraId="785DC68A">
            <w:pPr>
              <w:spacing w:line="360" w:lineRule="auto"/>
              <w:jc w:val="left"/>
              <w:rPr>
                <w:rFonts w:hint="default" w:ascii="Times New Roman" w:hAnsi="Times New Roman" w:eastAsia="宋体" w:cs="Times New Roman"/>
                <w:color w:val="000000" w:themeColor="text1"/>
                <w:kern w:val="0"/>
                <w14:textFill>
                  <w14:solidFill>
                    <w14:schemeClr w14:val="tx1"/>
                  </w14:solidFill>
                </w14:textFill>
              </w:rPr>
            </w:pPr>
            <w:r>
              <w:rPr>
                <w:rFonts w:hint="default" w:ascii="Times New Roman" w:hAnsi="Times New Roman" w:eastAsia="宋体" w:cs="Times New Roman"/>
                <w:color w:val="000000" w:themeColor="text1"/>
                <w:kern w:val="0"/>
                <w14:textFill>
                  <w14:solidFill>
                    <w14:schemeClr w14:val="tx1"/>
                  </w14:solidFill>
                </w14:textFill>
              </w:rPr>
              <w:t>采购人补充的其他内容</w:t>
            </w:r>
          </w:p>
        </w:tc>
        <w:tc>
          <w:tcPr>
            <w:tcW w:w="6654" w:type="dxa"/>
            <w:noWrap w:val="0"/>
            <w:vAlign w:val="center"/>
          </w:tcPr>
          <w:p w14:paraId="64A5EFB7">
            <w:pPr>
              <w:spacing w:line="360" w:lineRule="auto"/>
              <w:jc w:val="left"/>
              <w:rPr>
                <w:rFonts w:hint="default" w:ascii="Times New Roman" w:hAnsi="Times New Roman" w:eastAsia="宋体" w:cs="Times New Roman"/>
                <w:color w:val="000000" w:themeColor="text1"/>
                <w:kern w:val="0"/>
                <w14:textFill>
                  <w14:solidFill>
                    <w14:schemeClr w14:val="tx1"/>
                  </w14:solidFill>
                </w14:textFill>
              </w:rPr>
            </w:pPr>
            <w:r>
              <w:rPr>
                <w:rFonts w:hint="default" w:ascii="Times New Roman" w:hAnsi="Times New Roman" w:eastAsia="宋体" w:cs="Times New Roman"/>
                <w:color w:val="000000" w:themeColor="text1"/>
                <w:kern w:val="0"/>
                <w14:textFill>
                  <w14:solidFill>
                    <w14:schemeClr w14:val="tx1"/>
                  </w14:solidFill>
                </w14:textFill>
              </w:rPr>
              <w:t>见供应商须知</w:t>
            </w:r>
          </w:p>
        </w:tc>
      </w:tr>
      <w:tr w14:paraId="42C7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7" w:hRule="atLeast"/>
          <w:jc w:val="center"/>
        </w:trPr>
        <w:tc>
          <w:tcPr>
            <w:tcW w:w="3174" w:type="dxa"/>
            <w:gridSpan w:val="2"/>
            <w:noWrap w:val="0"/>
            <w:vAlign w:val="center"/>
          </w:tcPr>
          <w:p w14:paraId="13CEBD12">
            <w:pPr>
              <w:spacing w:line="360" w:lineRule="auto"/>
              <w:jc w:val="center"/>
              <w:rPr>
                <w:rFonts w:hint="default" w:ascii="Times New Roman" w:hAnsi="Times New Roman" w:cs="Times New Roman"/>
                <w:b/>
                <w:color w:val="000000" w:themeColor="text1"/>
                <w14:textFill>
                  <w14:solidFill>
                    <w14:schemeClr w14:val="tx1"/>
                  </w14:solidFill>
                </w14:textFill>
              </w:rPr>
            </w:pPr>
            <w:r>
              <w:rPr>
                <w:rFonts w:hint="default" w:ascii="Times New Roman" w:hAnsi="Times New Roman" w:cs="Times New Roman"/>
                <w:b/>
                <w:color w:val="000000" w:themeColor="text1"/>
                <w14:textFill>
                  <w14:solidFill>
                    <w14:schemeClr w14:val="tx1"/>
                  </w14:solidFill>
                </w14:textFill>
              </w:rPr>
              <w:t>注意事项</w:t>
            </w:r>
          </w:p>
        </w:tc>
        <w:tc>
          <w:tcPr>
            <w:tcW w:w="6654" w:type="dxa"/>
            <w:noWrap w:val="0"/>
            <w:vAlign w:val="center"/>
          </w:tcPr>
          <w:p w14:paraId="0D6DFDB0">
            <w:pPr>
              <w:spacing w:line="360" w:lineRule="auto"/>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以下情况视为供应商同意撤回已上传系统的响应文件或其响应文件无效： </w:t>
            </w:r>
          </w:p>
          <w:p w14:paraId="20A785E7">
            <w:pPr>
              <w:spacing w:line="360" w:lineRule="auto"/>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（1）政采云电子平台显示供应商未上传响应文件</w:t>
            </w:r>
          </w:p>
          <w:p w14:paraId="541D2CE3">
            <w:pPr>
              <w:spacing w:line="360" w:lineRule="auto"/>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（2）因供应商原因上传的响应文件在开启文件时无法解密</w:t>
            </w:r>
          </w:p>
        </w:tc>
      </w:tr>
      <w:tr w14:paraId="18D35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4" w:hRule="atLeast"/>
          <w:jc w:val="center"/>
        </w:trPr>
        <w:tc>
          <w:tcPr>
            <w:tcW w:w="3174" w:type="dxa"/>
            <w:gridSpan w:val="2"/>
            <w:noWrap w:val="0"/>
            <w:vAlign w:val="center"/>
          </w:tcPr>
          <w:p w14:paraId="60B8BBF8">
            <w:pPr>
              <w:spacing w:line="360" w:lineRule="auto"/>
              <w:jc w:val="center"/>
              <w:rPr>
                <w:rFonts w:hint="default" w:ascii="Times New Roman" w:hAnsi="Times New Roman" w:cs="Times New Roman"/>
                <w:b/>
                <w:color w:val="000000" w:themeColor="text1"/>
                <w14:textFill>
                  <w14:solidFill>
                    <w14:schemeClr w14:val="tx1"/>
                  </w14:solidFill>
                </w14:textFill>
              </w:rPr>
            </w:pPr>
            <w:bookmarkStart w:id="42" w:name="_Toc25261"/>
            <w:bookmarkStart w:id="43" w:name="_Toc23233"/>
            <w:r>
              <w:rPr>
                <w:rFonts w:hint="default" w:ascii="Times New Roman" w:hAnsi="Times New Roman" w:cs="Times New Roman"/>
                <w:b/>
                <w:color w:val="000000" w:themeColor="text1"/>
                <w14:textFill>
                  <w14:solidFill>
                    <w14:schemeClr w14:val="tx1"/>
                  </w14:solidFill>
                </w14:textFill>
              </w:rPr>
              <w:t>履约保证金</w:t>
            </w:r>
          </w:p>
        </w:tc>
        <w:tc>
          <w:tcPr>
            <w:tcW w:w="6654" w:type="dxa"/>
            <w:noWrap w:val="0"/>
            <w:vAlign w:val="center"/>
          </w:tcPr>
          <w:p w14:paraId="6BDF8C49">
            <w:pPr>
              <w:adjustRightInd w:val="0"/>
              <w:snapToGrid w:val="0"/>
              <w:spacing w:line="360" w:lineRule="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履约担保的形式：</w:t>
            </w:r>
            <w:r>
              <w:rPr>
                <w:rFonts w:hint="default" w:ascii="Times New Roman" w:hAnsi="Times New Roman" w:eastAsia="宋体" w:cs="Times New Roman"/>
                <w:color w:val="000000" w:themeColor="text1"/>
                <w:lang w:val="en-US" w:eastAsia="zh-CN"/>
                <w14:textFill>
                  <w14:solidFill>
                    <w14:schemeClr w14:val="tx1"/>
                  </w14:solidFill>
                </w14:textFill>
              </w:rPr>
              <w:fldChar w:fldCharType="begin"/>
            </w:r>
            <w:r>
              <w:rPr>
                <w:rFonts w:hint="default" w:ascii="Times New Roman" w:hAnsi="Times New Roman" w:eastAsia="宋体" w:cs="Times New Roman"/>
                <w:color w:val="000000" w:themeColor="text1"/>
                <w:lang w:val="en-US" w:eastAsia="zh-CN"/>
                <w14:textFill>
                  <w14:solidFill>
                    <w14:schemeClr w14:val="tx1"/>
                  </w14:solidFill>
                </w14:textFill>
              </w:rPr>
              <w:instrText xml:space="preserve"> AUTOTEXT  input167 \* MERGEFORMAT </w:instrText>
            </w:r>
            <w:r>
              <w:rPr>
                <w:rFonts w:hint="default" w:ascii="Times New Roman" w:hAnsi="Times New Roman" w:eastAsia="宋体" w:cs="Times New Roman"/>
                <w:color w:val="000000" w:themeColor="text1"/>
                <w:lang w:val="en-US" w:eastAsia="zh-CN"/>
                <w14:textFill>
                  <w14:solidFill>
                    <w14:schemeClr w14:val="tx1"/>
                  </w14:solidFill>
                </w14:textFill>
              </w:rPr>
              <w:fldChar w:fldCharType="separate"/>
            </w:r>
            <w:r>
              <w:rPr>
                <w:rFonts w:hint="default" w:ascii="Times New Roman" w:hAnsi="Times New Roman" w:eastAsia="宋体" w:cs="Times New Roman"/>
                <w:color w:val="000000" w:themeColor="text1"/>
                <w:lang w:val="en-US" w:eastAsia="zh-CN"/>
                <w14:textFill>
                  <w14:solidFill>
                    <w14:schemeClr w14:val="tx1"/>
                  </w14:solidFill>
                </w14:textFill>
              </w:rPr>
              <w:t>银行转账或保函或合同履约保证保险</w:t>
            </w:r>
            <w:r>
              <w:rPr>
                <w:rFonts w:hint="default" w:ascii="Times New Roman" w:hAnsi="Times New Roman" w:eastAsia="宋体" w:cs="Times New Roman"/>
                <w:color w:val="000000" w:themeColor="text1"/>
                <w:lang w:val="en-US" w:eastAsia="zh-CN"/>
                <w14:textFill>
                  <w14:solidFill>
                    <w14:schemeClr w14:val="tx1"/>
                  </w14:solidFill>
                </w14:textFill>
              </w:rPr>
              <w:fldChar w:fldCharType="end"/>
            </w:r>
          </w:p>
          <w:p w14:paraId="4EACE4DB">
            <w:pPr>
              <w:spacing w:line="360" w:lineRule="auto"/>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履约担保的金额：①中标人需向</w:t>
            </w:r>
            <w:r>
              <w:rPr>
                <w:rFonts w:hint="eastAsia" w:ascii="Times New Roman" w:hAnsi="Times New Roman" w:cs="Times New Roman"/>
                <w:color w:val="000000" w:themeColor="text1"/>
                <w:lang w:val="en-US" w:eastAsia="zh-CN"/>
                <w14:textFill>
                  <w14:solidFill>
                    <w14:schemeClr w14:val="tx1"/>
                  </w14:solidFill>
                </w14:textFill>
              </w:rPr>
              <w:t>采购人</w:t>
            </w:r>
            <w:r>
              <w:rPr>
                <w:rFonts w:hint="default" w:ascii="Times New Roman" w:hAnsi="Times New Roman" w:cs="Times New Roman"/>
                <w:color w:val="000000" w:themeColor="text1"/>
                <w:lang w:val="en-US" w:eastAsia="zh-CN"/>
                <w14:textFill>
                  <w14:solidFill>
                    <w14:schemeClr w14:val="tx1"/>
                  </w14:solidFill>
                </w14:textFill>
              </w:rPr>
              <w:t>提交中标合同金额的5%的保函作为履约担保；②履约担保函的退还：项目验收后退还。</w:t>
            </w:r>
          </w:p>
        </w:tc>
      </w:tr>
      <w:tr w14:paraId="069DB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3174" w:type="dxa"/>
            <w:gridSpan w:val="2"/>
            <w:shd w:val="clear" w:color="auto" w:fill="auto"/>
            <w:noWrap w:val="0"/>
            <w:vAlign w:val="center"/>
          </w:tcPr>
          <w:p w14:paraId="7E537240">
            <w:pPr>
              <w:spacing w:line="360" w:lineRule="auto"/>
              <w:jc w:val="center"/>
              <w:rPr>
                <w:rFonts w:hint="default" w:ascii="Times New Roman" w:hAnsi="Times New Roman" w:eastAsia="宋体" w:cs="Times New Roman"/>
                <w:b/>
                <w:color w:val="000000" w:themeColor="text1"/>
                <w:lang w:val="en-US" w:eastAsia="zh-CN"/>
                <w14:textFill>
                  <w14:solidFill>
                    <w14:schemeClr w14:val="tx1"/>
                  </w14:solidFill>
                </w14:textFill>
              </w:rPr>
            </w:pPr>
            <w:r>
              <w:rPr>
                <w:rFonts w:hint="default" w:ascii="Times New Roman" w:hAnsi="Times New Roman" w:eastAsia="宋体" w:cs="Times New Roman"/>
                <w:b/>
                <w:color w:val="000000" w:themeColor="text1"/>
                <w:lang w:val="en-US" w:eastAsia="zh-CN"/>
                <w14:textFill>
                  <w14:solidFill>
                    <w14:schemeClr w14:val="tx1"/>
                  </w14:solidFill>
                </w14:textFill>
              </w:rPr>
              <w:t>知识产权</w:t>
            </w:r>
          </w:p>
        </w:tc>
        <w:tc>
          <w:tcPr>
            <w:tcW w:w="6654" w:type="dxa"/>
            <w:shd w:val="clear" w:color="auto" w:fill="auto"/>
            <w:noWrap w:val="0"/>
            <w:vAlign w:val="center"/>
          </w:tcPr>
          <w:p w14:paraId="76EABF99">
            <w:pPr>
              <w:spacing w:line="360" w:lineRule="auto"/>
              <w:jc w:val="left"/>
              <w:rPr>
                <w:rFonts w:hint="default" w:ascii="Times New Roman" w:hAnsi="Times New Roman"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构成本招标文件各个组成部分的文件，未经采购人书面同意，投标人不得擅自复印和用于非本招标项目所需的其他目的。采购人全部或部分使用未中标人投标文件中的技术成果或技术方案时，需征得其书面同意，并不得擅自复印或提供给第三人。</w:t>
            </w:r>
          </w:p>
        </w:tc>
      </w:tr>
      <w:tr w14:paraId="2100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3174" w:type="dxa"/>
            <w:gridSpan w:val="2"/>
            <w:shd w:val="clear" w:color="auto" w:fill="auto"/>
            <w:noWrap w:val="0"/>
            <w:vAlign w:val="center"/>
          </w:tcPr>
          <w:p w14:paraId="462A24E4">
            <w:pPr>
              <w:spacing w:line="360" w:lineRule="auto"/>
              <w:jc w:val="center"/>
              <w:rPr>
                <w:rFonts w:hint="default" w:ascii="Times New Roman" w:hAnsi="Times New Roman" w:eastAsia="宋体" w:cs="Times New Roman"/>
                <w:b/>
                <w:color w:val="000000" w:themeColor="text1"/>
                <w:lang w:val="en-US" w:eastAsia="zh-CN"/>
                <w14:textFill>
                  <w14:solidFill>
                    <w14:schemeClr w14:val="tx1"/>
                  </w14:solidFill>
                </w14:textFill>
              </w:rPr>
            </w:pPr>
            <w:r>
              <w:rPr>
                <w:rFonts w:hint="default" w:ascii="Times New Roman" w:hAnsi="Times New Roman" w:eastAsia="宋体" w:cs="Times New Roman"/>
                <w:b/>
                <w:color w:val="000000" w:themeColor="text1"/>
                <w:lang w:val="en-US" w:eastAsia="zh-CN"/>
                <w14:textFill>
                  <w14:solidFill>
                    <w14:schemeClr w14:val="tx1"/>
                  </w14:solidFill>
                </w14:textFill>
              </w:rPr>
              <w:t>监督</w:t>
            </w:r>
          </w:p>
        </w:tc>
        <w:tc>
          <w:tcPr>
            <w:tcW w:w="6654" w:type="dxa"/>
            <w:shd w:val="clear" w:color="auto" w:fill="auto"/>
            <w:noWrap w:val="0"/>
            <w:vAlign w:val="center"/>
          </w:tcPr>
          <w:p w14:paraId="376F3489">
            <w:pPr>
              <w:spacing w:line="360" w:lineRule="auto"/>
              <w:jc w:val="left"/>
              <w:rPr>
                <w:rFonts w:hint="default" w:ascii="Times New Roman" w:hAnsi="Times New Roman"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本项目的招标投标活动及其相关当事人应当接受有管辖权的建设工程招标投标行政监督部门依法实施的监督。</w:t>
            </w:r>
          </w:p>
        </w:tc>
      </w:tr>
      <w:tr w14:paraId="53D72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3174" w:type="dxa"/>
            <w:gridSpan w:val="2"/>
            <w:shd w:val="clear" w:color="auto" w:fill="auto"/>
            <w:noWrap w:val="0"/>
            <w:vAlign w:val="center"/>
          </w:tcPr>
          <w:p w14:paraId="5102A15C">
            <w:pPr>
              <w:spacing w:line="360" w:lineRule="auto"/>
              <w:jc w:val="center"/>
              <w:rPr>
                <w:rFonts w:hint="default" w:ascii="Times New Roman" w:hAnsi="Times New Roman" w:eastAsia="宋体" w:cs="Times New Roman"/>
                <w:b/>
                <w:color w:val="000000" w:themeColor="text1"/>
                <w:lang w:val="en-US" w:eastAsia="zh-CN"/>
                <w14:textFill>
                  <w14:solidFill>
                    <w14:schemeClr w14:val="tx1"/>
                  </w14:solidFill>
                </w14:textFill>
              </w:rPr>
            </w:pPr>
            <w:r>
              <w:rPr>
                <w:rFonts w:hint="default" w:ascii="Times New Roman" w:hAnsi="Times New Roman" w:eastAsia="宋体" w:cs="Times New Roman"/>
                <w:b/>
                <w:color w:val="000000" w:themeColor="text1"/>
                <w:lang w:val="en-US" w:eastAsia="zh-CN"/>
                <w14:textFill>
                  <w14:solidFill>
                    <w14:schemeClr w14:val="tx1"/>
                  </w14:solidFill>
                </w14:textFill>
              </w:rPr>
              <w:t>解释权</w:t>
            </w:r>
          </w:p>
        </w:tc>
        <w:tc>
          <w:tcPr>
            <w:tcW w:w="6654" w:type="dxa"/>
            <w:shd w:val="clear" w:color="auto" w:fill="auto"/>
            <w:noWrap w:val="0"/>
            <w:vAlign w:val="center"/>
          </w:tcPr>
          <w:p w14:paraId="37B63C4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lang w:val="zh-CN" w:eastAsia="zh-CN"/>
                <w14:textFill>
                  <w14:solidFill>
                    <w14:schemeClr w14:val="tx1"/>
                  </w14:solidFill>
                </w14:textFill>
              </w:rPr>
              <w:t>构成本</w:t>
            </w:r>
            <w:r>
              <w:rPr>
                <w:rFonts w:hint="default" w:ascii="Times New Roman" w:hAnsi="Times New Roman" w:eastAsia="宋体" w:cs="Times New Roman"/>
                <w:color w:val="000000" w:themeColor="text1"/>
                <w:highlight w:val="none"/>
                <w:lang w:val="en-US" w:eastAsia="zh-CN"/>
                <w14:textFill>
                  <w14:solidFill>
                    <w14:schemeClr w14:val="tx1"/>
                  </w14:solidFill>
                </w14:textFill>
              </w:rPr>
              <w:t>招标</w:t>
            </w:r>
            <w:r>
              <w:rPr>
                <w:rFonts w:hint="default" w:ascii="Times New Roman" w:hAnsi="Times New Roman" w:eastAsia="宋体" w:cs="Times New Roman"/>
                <w:color w:val="000000" w:themeColor="text1"/>
                <w:highlight w:val="none"/>
                <w:lang w:val="zh-CN" w:eastAsia="zh-CN"/>
                <w14:textFill>
                  <w14:solidFill>
                    <w14:schemeClr w14:val="tx1"/>
                  </w14:solidFill>
                </w14:textFill>
              </w:rPr>
              <w:t>文件的各个组成文件应互为解释，互为说明；如有不明确或不一致，构成合同文件组成内容的，以合同文件约定内容为准，且以专用合同条款约定的合同文件优先顺序解释；除</w:t>
            </w:r>
            <w:r>
              <w:rPr>
                <w:rFonts w:hint="default" w:ascii="Times New Roman" w:hAnsi="Times New Roman" w:eastAsia="宋体" w:cs="Times New Roman"/>
                <w:color w:val="000000" w:themeColor="text1"/>
                <w:highlight w:val="none"/>
                <w:lang w:val="en-US" w:eastAsia="zh-CN"/>
                <w14:textFill>
                  <w14:solidFill>
                    <w14:schemeClr w14:val="tx1"/>
                  </w14:solidFill>
                </w14:textFill>
              </w:rPr>
              <w:t>招标</w:t>
            </w:r>
            <w:r>
              <w:rPr>
                <w:rFonts w:hint="default" w:ascii="Times New Roman" w:hAnsi="Times New Roman" w:eastAsia="宋体" w:cs="Times New Roman"/>
                <w:color w:val="000000" w:themeColor="text1"/>
                <w:highlight w:val="none"/>
                <w:lang w:val="zh-CN" w:eastAsia="zh-CN"/>
                <w14:textFill>
                  <w14:solidFill>
                    <w14:schemeClr w14:val="tx1"/>
                  </w14:solidFill>
                </w14:textFill>
              </w:rPr>
              <w:t>文件中有特别规定外，仅适用于招标文件阶段的规定，按</w:t>
            </w:r>
            <w:r>
              <w:rPr>
                <w:rFonts w:hint="default" w:ascii="Times New Roman" w:hAnsi="Times New Roman" w:eastAsia="宋体" w:cs="Times New Roman"/>
                <w:color w:val="000000" w:themeColor="text1"/>
                <w:highlight w:val="none"/>
                <w:lang w:val="en-US" w:eastAsia="zh-CN"/>
                <w14:textFill>
                  <w14:solidFill>
                    <w14:schemeClr w14:val="tx1"/>
                  </w14:solidFill>
                </w14:textFill>
              </w:rPr>
              <w:t>招标</w:t>
            </w:r>
            <w:r>
              <w:rPr>
                <w:rFonts w:hint="default" w:ascii="Times New Roman" w:hAnsi="Times New Roman" w:eastAsia="宋体" w:cs="Times New Roman"/>
                <w:color w:val="000000" w:themeColor="text1"/>
                <w:highlight w:val="none"/>
                <w:lang w:val="zh-CN" w:eastAsia="zh-CN"/>
                <w14:textFill>
                  <w14:solidFill>
                    <w14:schemeClr w14:val="tx1"/>
                  </w14:solidFill>
                </w14:textFill>
              </w:rPr>
              <w:t>公告、供应商须知、</w:t>
            </w:r>
            <w:r>
              <w:rPr>
                <w:rFonts w:hint="default" w:ascii="Times New Roman" w:hAnsi="Times New Roman" w:eastAsia="宋体" w:cs="Times New Roman"/>
                <w:color w:val="000000" w:themeColor="text1"/>
                <w:highlight w:val="none"/>
                <w:lang w:val="en-US" w:eastAsia="zh-CN"/>
                <w14:textFill>
                  <w14:solidFill>
                    <w14:schemeClr w14:val="tx1"/>
                  </w14:solidFill>
                </w14:textFill>
              </w:rPr>
              <w:t>招标</w:t>
            </w:r>
            <w:r>
              <w:rPr>
                <w:rFonts w:hint="default" w:ascii="Times New Roman" w:hAnsi="Times New Roman" w:eastAsia="宋体" w:cs="Times New Roman"/>
                <w:color w:val="000000" w:themeColor="text1"/>
                <w:highlight w:val="none"/>
                <w:lang w:val="zh-CN" w:eastAsia="zh-CN"/>
                <w14:textFill>
                  <w14:solidFill>
                    <w14:schemeClr w14:val="tx1"/>
                  </w14:solidFill>
                </w14:textFill>
              </w:rPr>
              <w:t>办法、</w:t>
            </w:r>
            <w:r>
              <w:rPr>
                <w:rFonts w:hint="default" w:ascii="Times New Roman" w:hAnsi="Times New Roman" w:eastAsia="宋体" w:cs="Times New Roman"/>
                <w:color w:val="000000" w:themeColor="text1"/>
                <w:highlight w:val="none"/>
                <w:lang w:val="en-US" w:eastAsia="zh-CN"/>
                <w14:textFill>
                  <w14:solidFill>
                    <w14:schemeClr w14:val="tx1"/>
                  </w14:solidFill>
                </w14:textFill>
              </w:rPr>
              <w:t>投标</w:t>
            </w:r>
            <w:r>
              <w:rPr>
                <w:rFonts w:hint="default" w:ascii="Times New Roman" w:hAnsi="Times New Roman" w:eastAsia="宋体" w:cs="Times New Roman"/>
                <w:color w:val="000000" w:themeColor="text1"/>
                <w:highlight w:val="none"/>
                <w:lang w:val="zh-CN" w:eastAsia="zh-CN"/>
                <w14:textFill>
                  <w14:solidFill>
                    <w14:schemeClr w14:val="tx1"/>
                  </w14:solidFill>
                </w14:textFill>
              </w:rPr>
              <w:t>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cs="Times New Roman"/>
                <w:color w:val="000000" w:themeColor="text1"/>
                <w:highlight w:val="none"/>
                <w:lang w:val="en-US" w:eastAsia="zh-CN"/>
                <w14:textFill>
                  <w14:solidFill>
                    <w14:schemeClr w14:val="tx1"/>
                  </w14:solidFill>
                </w14:textFill>
              </w:rPr>
              <w:t>采购人或采购</w:t>
            </w:r>
            <w:r>
              <w:rPr>
                <w:rFonts w:hint="default" w:ascii="Times New Roman" w:hAnsi="Times New Roman" w:eastAsia="宋体" w:cs="Times New Roman"/>
                <w:color w:val="000000" w:themeColor="text1"/>
                <w:highlight w:val="none"/>
                <w:lang w:val="en-US" w:eastAsia="zh-CN"/>
                <w14:textFill>
                  <w14:solidFill>
                    <w14:schemeClr w14:val="tx1"/>
                  </w14:solidFill>
                </w14:textFill>
              </w:rPr>
              <w:t>代理公司</w:t>
            </w:r>
            <w:r>
              <w:rPr>
                <w:rFonts w:hint="default" w:ascii="Times New Roman" w:hAnsi="Times New Roman" w:eastAsia="宋体" w:cs="Times New Roman"/>
                <w:color w:val="000000" w:themeColor="text1"/>
                <w:highlight w:val="none"/>
                <w:lang w:val="zh-CN" w:eastAsia="zh-CN"/>
                <w14:textFill>
                  <w14:solidFill>
                    <w14:schemeClr w14:val="tx1"/>
                  </w14:solidFill>
                </w14:textFill>
              </w:rPr>
              <w:t>负责解释。</w:t>
            </w:r>
          </w:p>
        </w:tc>
      </w:tr>
      <w:tr w14:paraId="7FB52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8" w:hRule="atLeast"/>
          <w:jc w:val="center"/>
        </w:trPr>
        <w:tc>
          <w:tcPr>
            <w:tcW w:w="3174" w:type="dxa"/>
            <w:gridSpan w:val="2"/>
            <w:shd w:val="clear" w:color="auto" w:fill="auto"/>
            <w:noWrap w:val="0"/>
            <w:vAlign w:val="center"/>
          </w:tcPr>
          <w:p w14:paraId="15B83CF2">
            <w:pPr>
              <w:spacing w:line="360" w:lineRule="auto"/>
              <w:jc w:val="center"/>
              <w:rPr>
                <w:rFonts w:hint="default" w:ascii="Times New Roman" w:hAnsi="Times New Roman" w:eastAsia="宋体" w:cs="Times New Roman"/>
                <w:b/>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color w:val="000000" w:themeColor="text1"/>
                <w:lang w:val="en-US" w:eastAsia="zh-CN"/>
                <w14:textFill>
                  <w14:solidFill>
                    <w14:schemeClr w14:val="tx1"/>
                  </w14:solidFill>
                </w14:textFill>
              </w:rPr>
              <w:t>投标人报价异常过低的情形及处理办法</w:t>
            </w:r>
          </w:p>
        </w:tc>
        <w:tc>
          <w:tcPr>
            <w:tcW w:w="6654" w:type="dxa"/>
            <w:shd w:val="clear" w:color="auto" w:fill="auto"/>
            <w:noWrap w:val="0"/>
            <w:vAlign w:val="center"/>
          </w:tcPr>
          <w:p w14:paraId="36858EB2">
            <w:pPr>
              <w:spacing w:line="360" w:lineRule="auto"/>
              <w:jc w:val="left"/>
              <w:rPr>
                <w:rFonts w:hint="default" w:ascii="Times New Roman" w:hAnsi="Times New Roman" w:eastAsia="宋体" w:cs="Times New Roman"/>
                <w:color w:val="000000" w:themeColor="text1"/>
                <w:highlight w:val="none"/>
                <w:lang w:val="zh-CN" w:eastAsia="zh-CN"/>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根据</w:t>
            </w:r>
            <w:r>
              <w:rPr>
                <w:rFonts w:hint="default" w:ascii="Times New Roman" w:hAnsi="Times New Roman" w:eastAsia="宋体" w:cs="Times New Roman"/>
                <w:color w:val="000000" w:themeColor="text1"/>
                <w:highlight w:val="none"/>
                <w:lang w:val="zh-CN" w:eastAsia="zh-CN"/>
                <w14:textFill>
                  <w14:solidFill>
                    <w14:schemeClr w14:val="tx1"/>
                  </w14:solidFill>
                </w14:textFill>
              </w:rPr>
              <w:t>财政部印发《关于推动解决政府采购异常低价问题的通知》财库〔2026〕2号</w:t>
            </w:r>
            <w:r>
              <w:rPr>
                <w:rFonts w:hint="default" w:ascii="Times New Roman" w:hAnsi="Times New Roman" w:eastAsia="宋体" w:cs="Times New Roman"/>
                <w:color w:val="000000" w:themeColor="text1"/>
                <w:highlight w:val="none"/>
                <w:lang w:val="en-US" w:eastAsia="zh-CN"/>
                <w14:textFill>
                  <w14:solidFill>
                    <w14:schemeClr w14:val="tx1"/>
                  </w14:solidFill>
                </w14:textFill>
              </w:rPr>
              <w:t>文件内容，</w:t>
            </w:r>
            <w:r>
              <w:rPr>
                <w:rFonts w:hint="default" w:ascii="Times New Roman" w:hAnsi="Times New Roman" w:eastAsia="宋体" w:cs="Times New Roman"/>
                <w:color w:val="000000" w:themeColor="text1"/>
                <w:highlight w:val="none"/>
                <w:lang w:val="zh-CN" w:eastAsia="zh-CN"/>
                <w14:textFill>
                  <w14:solidFill>
                    <w14:schemeClr w14:val="tx1"/>
                  </w14:solidFill>
                </w14:textFill>
              </w:rPr>
              <w:t>政府采购评审中出现下列情形之一的，评审委员会应当启动异常低价投标（响应）审查程序：</w:t>
            </w:r>
          </w:p>
          <w:p w14:paraId="5A1218BB">
            <w:pPr>
              <w:spacing w:line="360" w:lineRule="auto"/>
              <w:jc w:val="left"/>
              <w:rPr>
                <w:rFonts w:hint="default" w:ascii="Times New Roman" w:hAnsi="Times New Roman" w:eastAsia="宋体" w:cs="Times New Roman"/>
                <w:color w:val="000000" w:themeColor="text1"/>
                <w:highlight w:val="none"/>
                <w:lang w:val="zh-CN" w:eastAsia="zh-CN"/>
                <w14:textFill>
                  <w14:solidFill>
                    <w14:schemeClr w14:val="tx1"/>
                  </w14:solidFill>
                </w14:textFill>
              </w:rPr>
            </w:pPr>
            <w:r>
              <w:rPr>
                <w:rFonts w:hint="default" w:ascii="Times New Roman" w:hAnsi="Times New Roman" w:eastAsia="宋体" w:cs="Times New Roman"/>
                <w:color w:val="000000" w:themeColor="text1"/>
                <w:highlight w:val="none"/>
                <w:lang w:val="zh-CN" w:eastAsia="zh-CN"/>
                <w14:textFill>
                  <w14:solidFill>
                    <w14:schemeClr w14:val="tx1"/>
                  </w14:solidFill>
                </w14:textFill>
              </w:rPr>
              <w:t>1.投标（响应）报价低于全部通过符合性审查供应商投标（响应）报价平均值50%的，即投标（响应）报价〈全部通过符合性审查供应商投标（响应）报价平均值×50%；</w:t>
            </w:r>
          </w:p>
          <w:p w14:paraId="2CF35159">
            <w:pPr>
              <w:spacing w:line="360" w:lineRule="auto"/>
              <w:jc w:val="left"/>
              <w:rPr>
                <w:rFonts w:hint="default" w:ascii="Times New Roman" w:hAnsi="Times New Roman" w:eastAsia="宋体" w:cs="Times New Roman"/>
                <w:color w:val="000000" w:themeColor="text1"/>
                <w:highlight w:val="none"/>
                <w:lang w:val="zh-CN" w:eastAsia="zh-CN"/>
                <w14:textFill>
                  <w14:solidFill>
                    <w14:schemeClr w14:val="tx1"/>
                  </w14:solidFill>
                </w14:textFill>
              </w:rPr>
            </w:pPr>
            <w:r>
              <w:rPr>
                <w:rFonts w:hint="default" w:ascii="Times New Roman" w:hAnsi="Times New Roman" w:eastAsia="宋体" w:cs="Times New Roman"/>
                <w:color w:val="000000" w:themeColor="text1"/>
                <w:highlight w:val="none"/>
                <w:lang w:val="zh-CN" w:eastAsia="zh-CN"/>
                <w14:textFill>
                  <w14:solidFill>
                    <w14:schemeClr w14:val="tx1"/>
                  </w14:solidFill>
                </w14:textFill>
              </w:rPr>
              <w:t>2.投标（响应）报价低于通过符合性审查的次低报价供应商投标（响应）报价50%的，即投标（响应）报价〈通过符合性审查的次低报价供应商投标（响应）报价×50%；</w:t>
            </w:r>
          </w:p>
          <w:p w14:paraId="4D9764B7">
            <w:pPr>
              <w:spacing w:line="360" w:lineRule="auto"/>
              <w:jc w:val="left"/>
              <w:rPr>
                <w:rFonts w:hint="default" w:ascii="Times New Roman" w:hAnsi="Times New Roman" w:eastAsia="宋体" w:cs="Times New Roman"/>
                <w:color w:val="000000" w:themeColor="text1"/>
                <w:highlight w:val="none"/>
                <w:lang w:val="zh-CN" w:eastAsia="zh-CN"/>
                <w14:textFill>
                  <w14:solidFill>
                    <w14:schemeClr w14:val="tx1"/>
                  </w14:solidFill>
                </w14:textFill>
              </w:rPr>
            </w:pPr>
            <w:r>
              <w:rPr>
                <w:rFonts w:hint="default" w:ascii="Times New Roman" w:hAnsi="Times New Roman" w:eastAsia="宋体" w:cs="Times New Roman"/>
                <w:color w:val="000000" w:themeColor="text1"/>
                <w:highlight w:val="none"/>
                <w:lang w:val="zh-CN" w:eastAsia="zh-CN"/>
                <w14:textFill>
                  <w14:solidFill>
                    <w14:schemeClr w14:val="tx1"/>
                  </w14:solidFill>
                </w14:textFill>
              </w:rPr>
              <w:t>3.投标（响应）报价低于采购项目最高限价45%的，即投标（响应）报价〈采购项目最高限价x45%；</w:t>
            </w:r>
          </w:p>
          <w:p w14:paraId="57F5BD64">
            <w:pPr>
              <w:spacing w:line="360" w:lineRule="auto"/>
              <w:jc w:val="left"/>
              <w:rPr>
                <w:rFonts w:hint="default" w:ascii="Times New Roman" w:hAnsi="Times New Roman" w:eastAsia="宋体" w:cs="Times New Roman"/>
                <w:color w:val="000000" w:themeColor="text1"/>
                <w:highlight w:val="none"/>
                <w:lang w:val="zh-CN" w:eastAsia="zh-CN"/>
                <w14:textFill>
                  <w14:solidFill>
                    <w14:schemeClr w14:val="tx1"/>
                  </w14:solidFill>
                </w14:textFill>
              </w:rPr>
            </w:pPr>
            <w:r>
              <w:rPr>
                <w:rFonts w:hint="default" w:ascii="Times New Roman" w:hAnsi="Times New Roman" w:eastAsia="宋体" w:cs="Times New Roman"/>
                <w:color w:val="000000" w:themeColor="text1"/>
                <w:highlight w:val="none"/>
                <w:lang w:val="zh-CN" w:eastAsia="zh-CN"/>
                <w14:textFill>
                  <w14:solidFill>
                    <w14:schemeClr w14:val="tx1"/>
                  </w14:solidFill>
                </w14:textFill>
              </w:rPr>
              <w:t>4.评审委员会基于专业判断，认为供应商报价过低，有可能影响产品质量或者不能诚信履约的其他情形。</w:t>
            </w:r>
          </w:p>
          <w:p w14:paraId="7F56EECB">
            <w:pPr>
              <w:spacing w:line="360" w:lineRule="auto"/>
              <w:jc w:val="left"/>
              <w:rPr>
                <w:rFonts w:hint="default" w:ascii="Times New Roman" w:hAnsi="Times New Roman" w:eastAsia="宋体" w:cs="Times New Roman"/>
                <w:color w:val="000000" w:themeColor="text1"/>
                <w:highlight w:val="none"/>
                <w:lang w:val="zh-CN" w:eastAsia="zh-CN"/>
                <w14:textFill>
                  <w14:solidFill>
                    <w14:schemeClr w14:val="tx1"/>
                  </w14:solidFill>
                </w14:textFill>
              </w:rPr>
            </w:pPr>
            <w:r>
              <w:rPr>
                <w:rFonts w:hint="default" w:ascii="Times New Roman" w:hAnsi="Times New Roman" w:eastAsia="宋体" w:cs="Times New Roman"/>
                <w:color w:val="000000" w:themeColor="text1"/>
                <w:highlight w:val="none"/>
                <w:lang w:val="zh-CN" w:eastAsia="zh-CN"/>
                <w14:textFill>
                  <w14:solidFill>
                    <w14:schemeClr w14:val="tx1"/>
                  </w14:solidFill>
                </w14:textFill>
              </w:rPr>
              <w:t>供应商</w:t>
            </w:r>
            <w:r>
              <w:rPr>
                <w:rFonts w:hint="default" w:ascii="Times New Roman" w:hAnsi="Times New Roman" w:eastAsia="宋体" w:cs="Times New Roman"/>
                <w:color w:val="000000" w:themeColor="text1"/>
                <w:highlight w:val="none"/>
                <w:lang w:val="en-US" w:eastAsia="zh-CN"/>
                <w14:textFill>
                  <w14:solidFill>
                    <w14:schemeClr w14:val="tx1"/>
                  </w14:solidFill>
                </w14:textFill>
              </w:rPr>
              <w:t>应</w:t>
            </w:r>
            <w:r>
              <w:rPr>
                <w:rFonts w:hint="default" w:ascii="Times New Roman" w:hAnsi="Times New Roman" w:eastAsia="宋体" w:cs="Times New Roman"/>
                <w:color w:val="000000" w:themeColor="text1"/>
                <w:highlight w:val="none"/>
                <w:lang w:val="zh-CN" w:eastAsia="zh-CN"/>
                <w14:textFill>
                  <w14:solidFill>
                    <w14:schemeClr w14:val="tx1"/>
                  </w14:solidFill>
                </w14:textFill>
              </w:rPr>
              <w:t>在评审现场合理的时间（</w:t>
            </w:r>
            <w:r>
              <w:rPr>
                <w:rFonts w:hint="default" w:ascii="Times New Roman" w:hAnsi="Times New Roman" w:eastAsia="宋体" w:cs="Times New Roman"/>
                <w:color w:val="000000" w:themeColor="text1"/>
                <w:highlight w:val="none"/>
                <w:lang w:val="en-US" w:eastAsia="zh-CN"/>
                <w14:textFill>
                  <w14:solidFill>
                    <w14:schemeClr w14:val="tx1"/>
                  </w14:solidFill>
                </w14:textFill>
              </w:rPr>
              <w:t>不少于30分钟</w:t>
            </w:r>
            <w:r>
              <w:rPr>
                <w:rFonts w:hint="default" w:ascii="Times New Roman" w:hAnsi="Times New Roman" w:eastAsia="宋体" w:cs="Times New Roman"/>
                <w:color w:val="000000" w:themeColor="text1"/>
                <w:highlight w:val="none"/>
                <w:lang w:val="zh-CN" w:eastAsia="zh-CN"/>
                <w14:textFill>
                  <w14:solidFill>
                    <w14:schemeClr w14:val="tx1"/>
                  </w14:solidFill>
                </w14:textFill>
              </w:rPr>
              <w:t>）内，对投标（响应）价格作出解释，提供项目具体成本测算等与报价合理性相关的书面说明及必要的证明材料，包括但不限于原材料成本、人工成本、制造费用等。</w:t>
            </w:r>
          </w:p>
          <w:p w14:paraId="7E2BD257">
            <w:pPr>
              <w:spacing w:line="360" w:lineRule="auto"/>
              <w:jc w:val="left"/>
              <w:rPr>
                <w:rFonts w:hint="default" w:ascii="Times New Roman" w:hAnsi="Times New Roman" w:eastAsia="宋体" w:cs="Times New Roman"/>
                <w:color w:val="000000" w:themeColor="text1"/>
                <w:highlight w:val="none"/>
                <w:lang w:val="zh-CN" w:eastAsia="zh-CN"/>
                <w14:textFill>
                  <w14:solidFill>
                    <w14:schemeClr w14:val="tx1"/>
                  </w14:solidFill>
                </w14:textFill>
              </w:rPr>
            </w:pPr>
            <w:r>
              <w:rPr>
                <w:rFonts w:hint="default" w:ascii="Times New Roman" w:hAnsi="Times New Roman" w:eastAsia="宋体" w:cs="Times New Roman"/>
                <w:color w:val="000000" w:themeColor="text1"/>
                <w:highlight w:val="none"/>
                <w:lang w:val="zh-CN"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D9C3FF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lang w:val="zh-CN"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tc>
      </w:tr>
    </w:tbl>
    <w:p w14:paraId="3E18C934">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br w:type="page"/>
      </w:r>
    </w:p>
    <w:p w14:paraId="57B84430">
      <w:pPr>
        <w:spacing w:line="360" w:lineRule="auto"/>
        <w:jc w:val="center"/>
        <w:outlineLvl w:val="1"/>
        <w:rPr>
          <w:rFonts w:hint="default" w:ascii="Times New Roman" w:hAnsi="Times New Roman" w:cs="Times New Roman"/>
          <w:color w:val="000000" w:themeColor="text1"/>
          <w14:textFill>
            <w14:solidFill>
              <w14:schemeClr w14:val="tx1"/>
            </w14:solidFill>
          </w14:textFill>
        </w:rPr>
      </w:pPr>
      <w:bookmarkStart w:id="44" w:name="_Toc12204"/>
      <w:bookmarkStart w:id="45" w:name="_Toc11319"/>
      <w:bookmarkStart w:id="46" w:name="_Toc16860"/>
      <w:bookmarkStart w:id="47" w:name="_Toc12995"/>
      <w:r>
        <w:rPr>
          <w:rFonts w:hint="default" w:ascii="Times New Roman" w:hAnsi="Times New Roman" w:cs="Times New Roman"/>
          <w:b/>
          <w:color w:val="000000" w:themeColor="text1"/>
          <w:kern w:val="0"/>
          <w:sz w:val="32"/>
          <w14:textFill>
            <w14:solidFill>
              <w14:schemeClr w14:val="tx1"/>
            </w14:solidFill>
          </w14:textFill>
        </w:rPr>
        <w:t>二、供应商须知</w:t>
      </w:r>
      <w:bookmarkEnd w:id="42"/>
      <w:bookmarkEnd w:id="43"/>
      <w:bookmarkEnd w:id="44"/>
      <w:bookmarkEnd w:id="45"/>
      <w:bookmarkEnd w:id="46"/>
      <w:bookmarkEnd w:id="47"/>
    </w:p>
    <w:p w14:paraId="199D84CD">
      <w:pPr>
        <w:spacing w:line="360" w:lineRule="auto"/>
        <w:jc w:val="center"/>
        <w:outlineLvl w:val="2"/>
        <w:rPr>
          <w:rFonts w:hint="default" w:ascii="Times New Roman" w:hAnsi="Times New Roman" w:cs="Times New Roman"/>
          <w:color w:val="000000" w:themeColor="text1"/>
          <w14:textFill>
            <w14:solidFill>
              <w14:schemeClr w14:val="tx1"/>
            </w14:solidFill>
          </w14:textFill>
        </w:rPr>
      </w:pPr>
      <w:bookmarkStart w:id="48" w:name="_Toc10734"/>
      <w:bookmarkStart w:id="49" w:name="_Toc18246"/>
      <w:bookmarkStart w:id="50" w:name="_Toc8628"/>
      <w:bookmarkStart w:id="51" w:name="_Toc7143"/>
      <w:bookmarkStart w:id="52" w:name="_Toc17448"/>
      <w:r>
        <w:rPr>
          <w:rFonts w:hint="default" w:ascii="Times New Roman" w:hAnsi="Times New Roman" w:cs="Times New Roman"/>
          <w:b/>
          <w:color w:val="000000" w:themeColor="text1"/>
          <w:kern w:val="0"/>
          <w:sz w:val="32"/>
          <w:szCs w:val="32"/>
          <w14:textFill>
            <w14:solidFill>
              <w14:schemeClr w14:val="tx1"/>
            </w14:solidFill>
          </w14:textFill>
        </w:rPr>
        <w:t>1.总则</w:t>
      </w:r>
      <w:bookmarkEnd w:id="48"/>
      <w:bookmarkEnd w:id="49"/>
      <w:bookmarkEnd w:id="50"/>
      <w:bookmarkEnd w:id="51"/>
      <w:bookmarkEnd w:id="52"/>
    </w:p>
    <w:p w14:paraId="2D724DD2">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53" w:name="_Toc500402880"/>
      <w:bookmarkStart w:id="54" w:name="_Toc184283911"/>
      <w:bookmarkStart w:id="55" w:name="_Toc20929"/>
      <w:bookmarkStart w:id="56" w:name="_Toc1832"/>
      <w:bookmarkStart w:id="57" w:name="_Toc25071"/>
      <w:bookmarkStart w:id="58" w:name="_Toc18308"/>
      <w:bookmarkStart w:id="59" w:name="_Toc11007"/>
      <w:r>
        <w:rPr>
          <w:rFonts w:hint="default" w:ascii="Times New Roman" w:hAnsi="Times New Roman" w:cs="Times New Roman"/>
          <w:b/>
          <w:bCs/>
          <w:color w:val="000000" w:themeColor="text1"/>
          <w14:textFill>
            <w14:solidFill>
              <w14:schemeClr w14:val="tx1"/>
            </w14:solidFill>
          </w14:textFill>
        </w:rPr>
        <w:t>1.1 项目</w:t>
      </w:r>
      <w:bookmarkEnd w:id="53"/>
      <w:bookmarkEnd w:id="54"/>
      <w:r>
        <w:rPr>
          <w:rFonts w:hint="default" w:ascii="Times New Roman" w:hAnsi="Times New Roman" w:cs="Times New Roman"/>
          <w:b/>
          <w:bCs/>
          <w:color w:val="000000" w:themeColor="text1"/>
          <w14:textFill>
            <w14:solidFill>
              <w14:schemeClr w14:val="tx1"/>
            </w14:solidFill>
          </w14:textFill>
        </w:rPr>
        <w:t>概况</w:t>
      </w:r>
      <w:bookmarkEnd w:id="55"/>
      <w:bookmarkEnd w:id="56"/>
      <w:bookmarkEnd w:id="57"/>
      <w:bookmarkEnd w:id="58"/>
      <w:bookmarkEnd w:id="59"/>
    </w:p>
    <w:p w14:paraId="40E6A12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1.1.1根据</w:t>
      </w:r>
      <w:r>
        <w:rPr>
          <w:rFonts w:hint="default" w:ascii="Times New Roman" w:hAnsi="Times New Roman" w:eastAsia="宋体" w:cs="Times New Roman"/>
          <w:color w:val="000000" w:themeColor="text1"/>
          <w:lang w:val="en-US" w:eastAsia="zh-CN"/>
          <w14:textFill>
            <w14:solidFill>
              <w14:schemeClr w14:val="tx1"/>
            </w14:solidFill>
          </w14:textFill>
        </w:rPr>
        <w:t>《中华人民共和国民法典</w:t>
      </w:r>
      <w:r>
        <w:rPr>
          <w:rFonts w:hint="default" w:ascii="Times New Roman" w:hAnsi="Times New Roman" w:cs="Times New Roman"/>
          <w:color w:val="000000" w:themeColor="text1"/>
          <w:lang w:val="en-US"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中华人民共和国政府采购法</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中华人民共和国政府采购法实施条例</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政府采购竞争性磋商采购方式管理暂行办法》等有关</w:t>
      </w:r>
      <w:r>
        <w:rPr>
          <w:rFonts w:hint="default" w:ascii="Times New Roman" w:hAnsi="Times New Roman" w:cs="Times New Roman"/>
          <w:color w:val="000000" w:themeColor="text1"/>
          <w:lang w:eastAsia="zh-CN"/>
          <w14:textFill>
            <w14:solidFill>
              <w14:schemeClr w14:val="tx1"/>
            </w14:solidFill>
          </w14:textFill>
        </w:rPr>
        <w:t>法律法规</w:t>
      </w:r>
      <w:r>
        <w:rPr>
          <w:rFonts w:hint="default" w:ascii="Times New Roman" w:hAnsi="Times New Roman" w:cs="Times New Roman"/>
          <w:color w:val="000000" w:themeColor="text1"/>
          <w14:textFill>
            <w14:solidFill>
              <w14:schemeClr w14:val="tx1"/>
            </w14:solidFill>
          </w14:textFill>
        </w:rPr>
        <w:t>、规章的规定，本项目采用竞争性磋商方式进行，欢迎具有合法有效资格及合同履行能力的供应商参加磋商。</w:t>
      </w:r>
    </w:p>
    <w:p w14:paraId="0992B11D">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1.1.2 项目采购人：见供应商须知前附表。</w:t>
      </w:r>
    </w:p>
    <w:p w14:paraId="672931DA">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1.1.3 采购代理机构：见供应商须知前附表。</w:t>
      </w:r>
    </w:p>
    <w:p w14:paraId="27ED9396">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1.1.4 项目名称：见供应商须知前附表。</w:t>
      </w:r>
    </w:p>
    <w:p w14:paraId="4F27D187">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1.1.5 项目编号：见供应商须知前附表。</w:t>
      </w:r>
    </w:p>
    <w:p w14:paraId="0E0964F8">
      <w:pPr>
        <w:pStyle w:val="16"/>
        <w:spacing w:line="360" w:lineRule="auto"/>
        <w:ind w:left="0" w:leftChars="0" w:firstLineChars="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1.1.6 项目基本情况：见供应商须知前附表。</w:t>
      </w:r>
    </w:p>
    <w:p w14:paraId="692962A6">
      <w:pPr>
        <w:pStyle w:val="16"/>
        <w:spacing w:line="360" w:lineRule="auto"/>
        <w:ind w:left="0" w:leftChars="0" w:firstLineChars="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1.1.7 标包划分：见供应商须知前附表。</w:t>
      </w:r>
    </w:p>
    <w:p w14:paraId="7CC897DF">
      <w:pPr>
        <w:pStyle w:val="16"/>
        <w:spacing w:line="360" w:lineRule="auto"/>
        <w:ind w:left="0" w:leftChars="0" w:firstLineChars="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1.1.8 资格审查方式：见供应商须知前附表。</w:t>
      </w:r>
    </w:p>
    <w:p w14:paraId="49F367DE">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60" w:name="_Toc500402881"/>
      <w:bookmarkStart w:id="61" w:name="_Toc8111"/>
      <w:bookmarkStart w:id="62" w:name="_Toc184283912"/>
      <w:bookmarkStart w:id="63" w:name="_Toc14007"/>
      <w:bookmarkStart w:id="64" w:name="_Toc16969"/>
      <w:bookmarkStart w:id="65" w:name="_Toc307"/>
      <w:bookmarkStart w:id="66" w:name="_Toc5711"/>
      <w:r>
        <w:rPr>
          <w:rFonts w:hint="default" w:ascii="Times New Roman" w:hAnsi="Times New Roman" w:cs="Times New Roman"/>
          <w:b/>
          <w:bCs/>
          <w:color w:val="000000" w:themeColor="text1"/>
          <w14:textFill>
            <w14:solidFill>
              <w14:schemeClr w14:val="tx1"/>
            </w14:solidFill>
          </w14:textFill>
        </w:rPr>
        <w:t>1.2 资金来源和落实情况</w:t>
      </w:r>
      <w:bookmarkEnd w:id="60"/>
      <w:bookmarkEnd w:id="61"/>
      <w:bookmarkEnd w:id="62"/>
      <w:bookmarkEnd w:id="63"/>
      <w:bookmarkEnd w:id="64"/>
      <w:bookmarkEnd w:id="65"/>
      <w:bookmarkEnd w:id="66"/>
    </w:p>
    <w:p w14:paraId="19447DA1">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1.2.1 资金来源：见供应商须知前附表。</w:t>
      </w:r>
    </w:p>
    <w:p w14:paraId="4F1034CC">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1.2.2 资金落实情况：见供应商须知前附表。</w:t>
      </w:r>
    </w:p>
    <w:p w14:paraId="60B6C6E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1.2.3 采购预算：见供应商须知前附表。</w:t>
      </w:r>
    </w:p>
    <w:p w14:paraId="712D087D">
      <w:pPr>
        <w:spacing w:line="360" w:lineRule="auto"/>
        <w:outlineLvl w:val="3"/>
        <w:rPr>
          <w:rFonts w:hint="default" w:ascii="Times New Roman" w:hAnsi="Times New Roman" w:cs="Times New Roman"/>
          <w:b/>
          <w:bCs/>
          <w:color w:val="000000" w:themeColor="text1"/>
          <w14:textFill>
            <w14:solidFill>
              <w14:schemeClr w14:val="tx1"/>
            </w14:solidFill>
          </w14:textFill>
        </w:rPr>
      </w:pPr>
      <w:bookmarkStart w:id="67" w:name="_Toc500402882"/>
      <w:bookmarkStart w:id="68" w:name="_Toc184283913"/>
      <w:bookmarkStart w:id="69" w:name="_Toc27171"/>
      <w:bookmarkStart w:id="70" w:name="_Toc14543"/>
      <w:bookmarkStart w:id="71" w:name="_Toc19653"/>
      <w:bookmarkStart w:id="72" w:name="_Toc27796"/>
      <w:bookmarkStart w:id="73" w:name="_Toc2266"/>
      <w:r>
        <w:rPr>
          <w:rFonts w:hint="default" w:ascii="Times New Roman" w:hAnsi="Times New Roman" w:cs="Times New Roman"/>
          <w:b/>
          <w:bCs/>
          <w:color w:val="000000" w:themeColor="text1"/>
          <w14:textFill>
            <w14:solidFill>
              <w14:schemeClr w14:val="tx1"/>
            </w14:solidFill>
          </w14:textFill>
        </w:rPr>
        <w:t xml:space="preserve">1.3 </w:t>
      </w:r>
      <w:bookmarkEnd w:id="67"/>
      <w:bookmarkEnd w:id="68"/>
      <w:r>
        <w:rPr>
          <w:rFonts w:hint="default" w:ascii="Times New Roman" w:hAnsi="Times New Roman" w:cs="Times New Roman"/>
          <w:b/>
          <w:bCs/>
          <w:color w:val="000000" w:themeColor="text1"/>
          <w14:textFill>
            <w14:solidFill>
              <w14:schemeClr w14:val="tx1"/>
            </w14:solidFill>
          </w14:textFill>
        </w:rPr>
        <w:t>工期要求、服务地点、</w:t>
      </w:r>
      <w:bookmarkEnd w:id="69"/>
      <w:r>
        <w:rPr>
          <w:rFonts w:hint="default" w:ascii="Times New Roman" w:hAnsi="Times New Roman" w:cs="Times New Roman"/>
          <w:b/>
          <w:bCs/>
          <w:color w:val="000000" w:themeColor="text1"/>
          <w:lang w:eastAsia="zh-CN"/>
          <w14:textFill>
            <w14:solidFill>
              <w14:schemeClr w14:val="tx1"/>
            </w14:solidFill>
          </w14:textFill>
        </w:rPr>
        <w:t>质量要求</w:t>
      </w:r>
      <w:r>
        <w:rPr>
          <w:rFonts w:hint="default" w:ascii="Times New Roman" w:hAnsi="Times New Roman" w:cs="Times New Roman"/>
          <w:b/>
          <w:bCs/>
          <w:color w:val="000000" w:themeColor="text1"/>
          <w14:textFill>
            <w14:solidFill>
              <w14:schemeClr w14:val="tx1"/>
            </w14:solidFill>
          </w14:textFill>
        </w:rPr>
        <w:t>。</w:t>
      </w:r>
      <w:bookmarkEnd w:id="70"/>
      <w:bookmarkEnd w:id="71"/>
      <w:bookmarkEnd w:id="72"/>
      <w:bookmarkEnd w:id="73"/>
    </w:p>
    <w:p w14:paraId="71EA7473">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1.3.</w:t>
      </w:r>
      <w:r>
        <w:rPr>
          <w:rFonts w:hint="default" w:ascii="Times New Roman" w:hAnsi="Times New Roman" w:cs="Times New Roman"/>
          <w:color w:val="000000" w:themeColor="text1"/>
          <w:lang w:val="en-US" w:eastAsia="zh-CN"/>
          <w14:textFill>
            <w14:solidFill>
              <w14:schemeClr w14:val="tx1"/>
            </w14:solidFill>
          </w14:textFill>
        </w:rPr>
        <w:t>1</w:t>
      </w:r>
      <w:r>
        <w:rPr>
          <w:rFonts w:hint="default" w:ascii="Times New Roman" w:hAnsi="Times New Roman" w:cs="Times New Roman"/>
          <w:color w:val="000000" w:themeColor="text1"/>
          <w14:textFill>
            <w14:solidFill>
              <w14:schemeClr w14:val="tx1"/>
            </w14:solidFill>
          </w14:textFill>
        </w:rPr>
        <w:t xml:space="preserve"> 工期要求：见供应商须知前附表。</w:t>
      </w:r>
    </w:p>
    <w:p w14:paraId="3AB702B3">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1.3.</w:t>
      </w:r>
      <w:r>
        <w:rPr>
          <w:rFonts w:hint="default" w:ascii="Times New Roman" w:hAnsi="Times New Roman" w:cs="Times New Roman"/>
          <w:color w:val="000000" w:themeColor="text1"/>
          <w:lang w:val="en-US" w:eastAsia="zh-CN"/>
          <w14:textFill>
            <w14:solidFill>
              <w14:schemeClr w14:val="tx1"/>
            </w14:solidFill>
          </w14:textFill>
        </w:rPr>
        <w:t>2</w:t>
      </w:r>
      <w:r>
        <w:rPr>
          <w:rFonts w:hint="default" w:ascii="Times New Roman" w:hAnsi="Times New Roman" w:cs="Times New Roman"/>
          <w:color w:val="000000" w:themeColor="text1"/>
          <w14:textFill>
            <w14:solidFill>
              <w14:schemeClr w14:val="tx1"/>
            </w14:solidFill>
          </w14:textFill>
        </w:rPr>
        <w:t xml:space="preserve"> 项目实施地点：见供应商须知前附表。</w:t>
      </w:r>
    </w:p>
    <w:p w14:paraId="38F34D12">
      <w:pPr>
        <w:spacing w:line="360" w:lineRule="auto"/>
        <w:ind w:firstLine="420" w:firstLineChars="200"/>
        <w:rPr>
          <w:rFonts w:hint="default" w:ascii="Times New Roman" w:hAnsi="Times New Roman" w:cs="Times New Roman"/>
          <w:color w:val="000000" w:themeColor="text1"/>
          <w:szCs w:val="22"/>
          <w14:textFill>
            <w14:solidFill>
              <w14:schemeClr w14:val="tx1"/>
            </w14:solidFill>
          </w14:textFill>
        </w:rPr>
      </w:pPr>
      <w:r>
        <w:rPr>
          <w:rFonts w:hint="default" w:ascii="Times New Roman" w:hAnsi="Times New Roman" w:cs="Times New Roman"/>
          <w:color w:val="000000" w:themeColor="text1"/>
          <w:szCs w:val="22"/>
          <w14:textFill>
            <w14:solidFill>
              <w14:schemeClr w14:val="tx1"/>
            </w14:solidFill>
          </w14:textFill>
        </w:rPr>
        <w:t>1.3.</w:t>
      </w:r>
      <w:r>
        <w:rPr>
          <w:rFonts w:hint="default" w:ascii="Times New Roman" w:hAnsi="Times New Roman" w:cs="Times New Roman"/>
          <w:color w:val="000000" w:themeColor="text1"/>
          <w:szCs w:val="22"/>
          <w:lang w:val="en-US" w:eastAsia="zh-CN"/>
          <w14:textFill>
            <w14:solidFill>
              <w14:schemeClr w14:val="tx1"/>
            </w14:solidFill>
          </w14:textFill>
        </w:rPr>
        <w:t>3</w:t>
      </w:r>
      <w:r>
        <w:rPr>
          <w:rFonts w:hint="default" w:ascii="Times New Roman" w:hAnsi="Times New Roman" w:cs="Times New Roman"/>
          <w:color w:val="000000" w:themeColor="text1"/>
          <w:szCs w:val="22"/>
          <w14:textFill>
            <w14:solidFill>
              <w14:schemeClr w14:val="tx1"/>
            </w14:solidFill>
          </w14:textFill>
        </w:rPr>
        <w:t xml:space="preserve"> </w:t>
      </w:r>
      <w:r>
        <w:rPr>
          <w:rFonts w:hint="default" w:ascii="Times New Roman" w:hAnsi="Times New Roman" w:cs="Times New Roman"/>
          <w:color w:val="000000" w:themeColor="text1"/>
          <w:szCs w:val="22"/>
          <w:lang w:eastAsia="zh-CN"/>
          <w14:textFill>
            <w14:solidFill>
              <w14:schemeClr w14:val="tx1"/>
            </w14:solidFill>
          </w14:textFill>
        </w:rPr>
        <w:t>质量要求</w:t>
      </w:r>
      <w:r>
        <w:rPr>
          <w:rFonts w:hint="default" w:ascii="Times New Roman" w:hAnsi="Times New Roman" w:cs="Times New Roman"/>
          <w:color w:val="000000" w:themeColor="text1"/>
          <w:szCs w:val="22"/>
          <w14:textFill>
            <w14:solidFill>
              <w14:schemeClr w14:val="tx1"/>
            </w14:solidFill>
          </w14:textFill>
        </w:rPr>
        <w:t>：见供应商须知前附表。</w:t>
      </w:r>
    </w:p>
    <w:p w14:paraId="2209231A">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74" w:name="_Toc1759"/>
      <w:bookmarkStart w:id="75" w:name="_Toc500402884"/>
      <w:bookmarkStart w:id="76" w:name="_Toc11011"/>
      <w:bookmarkStart w:id="77" w:name="_Toc14772"/>
      <w:bookmarkStart w:id="78" w:name="_Toc184283915"/>
      <w:bookmarkStart w:id="79" w:name="_Toc2447"/>
      <w:bookmarkStart w:id="80" w:name="_Toc22749"/>
      <w:r>
        <w:rPr>
          <w:rFonts w:hint="default" w:ascii="Times New Roman" w:hAnsi="Times New Roman" w:cs="Times New Roman"/>
          <w:b/>
          <w:bCs/>
          <w:color w:val="000000" w:themeColor="text1"/>
          <w:szCs w:val="22"/>
          <w14:textFill>
            <w14:solidFill>
              <w14:schemeClr w14:val="tx1"/>
            </w14:solidFill>
          </w14:textFill>
        </w:rPr>
        <w:t>1.4 供应商资格</w:t>
      </w:r>
      <w:bookmarkEnd w:id="74"/>
      <w:bookmarkEnd w:id="75"/>
      <w:bookmarkEnd w:id="76"/>
      <w:bookmarkEnd w:id="77"/>
      <w:bookmarkEnd w:id="78"/>
      <w:bookmarkEnd w:id="79"/>
      <w:bookmarkEnd w:id="80"/>
    </w:p>
    <w:p w14:paraId="3D61318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1.4.1 供应商资格要求：见供应商须知前附表。</w:t>
      </w:r>
    </w:p>
    <w:p w14:paraId="234D4653">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1.4.2联合体投标：见供应商须知前附表。</w:t>
      </w:r>
    </w:p>
    <w:p w14:paraId="3D9788A1">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1.4.3 供应商不得存在下列情形之一：</w:t>
      </w:r>
    </w:p>
    <w:p w14:paraId="1AC0E4CF">
      <w:pPr>
        <w:pStyle w:val="13"/>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（1）与采购人存在利害关系且可能影响磋商公正性；</w:t>
      </w:r>
    </w:p>
    <w:p w14:paraId="1D5914F3">
      <w:pPr>
        <w:pStyle w:val="13"/>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（2）与本磋商项目的其他供应商为同一个单位负责人；</w:t>
      </w:r>
    </w:p>
    <w:p w14:paraId="4C097C66">
      <w:pPr>
        <w:pStyle w:val="13"/>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（3）与本磋商项目的其他供应商存在控股、管理关系；</w:t>
      </w:r>
    </w:p>
    <w:p w14:paraId="20BC5484">
      <w:pPr>
        <w:pStyle w:val="13"/>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（4）为本磋商项目提供过设计、编制技术规范和其他文件的咨询服务；</w:t>
      </w:r>
    </w:p>
    <w:p w14:paraId="486307A6">
      <w:pPr>
        <w:pStyle w:val="13"/>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（5）为本项目的相关监理人，或者与本项目的相关监理人存在隶属关系或者其他利害关系；</w:t>
      </w:r>
    </w:p>
    <w:p w14:paraId="581B3CB3">
      <w:pPr>
        <w:pStyle w:val="13"/>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（6）为本磋商项目的采购代理机构；</w:t>
      </w:r>
    </w:p>
    <w:p w14:paraId="0129E928">
      <w:pPr>
        <w:pStyle w:val="13"/>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（7）与本磋商项目的采购代理机构同为一个法定代表人（企业负责人）；</w:t>
      </w:r>
    </w:p>
    <w:p w14:paraId="58D3405F">
      <w:pPr>
        <w:pStyle w:val="13"/>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（8）与本磋商项目的采购代理机构存在控股或参股关系；</w:t>
      </w:r>
    </w:p>
    <w:p w14:paraId="6C28F22F">
      <w:pPr>
        <w:pStyle w:val="13"/>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（9）被依法暂停或者取消磋商资格；</w:t>
      </w:r>
    </w:p>
    <w:p w14:paraId="20F3361D">
      <w:pPr>
        <w:pStyle w:val="13"/>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（10）被责令停产停业、暂扣或者吊销许可证、暂扣或者吊销执照；</w:t>
      </w:r>
    </w:p>
    <w:p w14:paraId="050F949A">
      <w:pPr>
        <w:pStyle w:val="13"/>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（11）进入清算程序，或被宣告破产，或其他丧失履约能力的情形；</w:t>
      </w:r>
    </w:p>
    <w:p w14:paraId="65C6C014">
      <w:pPr>
        <w:pStyle w:val="13"/>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（12）在最近三年内发生重大服务事故及质量问题（以相关行业主管部门的行政处罚决定或司法机关出具的有关法律文书为准）；</w:t>
      </w:r>
    </w:p>
    <w:p w14:paraId="156A06DB">
      <w:pPr>
        <w:pStyle w:val="13"/>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（13）法律法规或供应商须知前附表规定的其他情形。</w:t>
      </w:r>
    </w:p>
    <w:p w14:paraId="189CF308">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81" w:name="_Toc500402885"/>
      <w:bookmarkStart w:id="82" w:name="_Toc21205"/>
      <w:bookmarkStart w:id="83" w:name="_Toc28554"/>
      <w:bookmarkStart w:id="84" w:name="_Toc184283916"/>
      <w:bookmarkStart w:id="85" w:name="_Toc15941"/>
      <w:bookmarkStart w:id="86" w:name="_Toc11233"/>
      <w:bookmarkStart w:id="87" w:name="_Toc7354"/>
      <w:r>
        <w:rPr>
          <w:rFonts w:hint="default" w:ascii="Times New Roman" w:hAnsi="Times New Roman" w:cs="Times New Roman"/>
          <w:b/>
          <w:bCs/>
          <w:color w:val="000000" w:themeColor="text1"/>
          <w:szCs w:val="22"/>
          <w14:textFill>
            <w14:solidFill>
              <w14:schemeClr w14:val="tx1"/>
            </w14:solidFill>
          </w14:textFill>
        </w:rPr>
        <w:t>1.5 费用承担</w:t>
      </w:r>
      <w:bookmarkEnd w:id="81"/>
      <w:bookmarkEnd w:id="82"/>
      <w:bookmarkEnd w:id="83"/>
      <w:bookmarkEnd w:id="84"/>
      <w:bookmarkEnd w:id="85"/>
      <w:bookmarkEnd w:id="86"/>
      <w:bookmarkEnd w:id="87"/>
    </w:p>
    <w:p w14:paraId="41D55A1B">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bookmarkStart w:id="88" w:name="_Toc500402886"/>
      <w:bookmarkStart w:id="89" w:name="_Toc184283917"/>
      <w:r>
        <w:rPr>
          <w:rFonts w:hint="default" w:ascii="Times New Roman" w:hAnsi="Times New Roman" w:cs="Times New Roman"/>
          <w:color w:val="000000" w:themeColor="text1"/>
          <w14:textFill>
            <w14:solidFill>
              <w14:schemeClr w14:val="tx1"/>
            </w14:solidFill>
          </w14:textFill>
        </w:rPr>
        <w:t>1.5.1 无论磋商过程和结果如何，供应商应自行承担磋商过程的全部费用，采购人和采购代理机构不承担任何费用。</w:t>
      </w:r>
    </w:p>
    <w:p w14:paraId="3F91B373">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1.5.2招标代理服务费：</w:t>
      </w:r>
      <w:r>
        <w:rPr>
          <w:rFonts w:hint="default" w:ascii="Times New Roman" w:hAnsi="Times New Roman" w:cs="Times New Roman"/>
          <w:color w:val="000000" w:themeColor="text1"/>
          <w:lang w:val="en-US" w:eastAsia="zh-CN"/>
          <w14:textFill>
            <w14:solidFill>
              <w14:schemeClr w14:val="tx1"/>
            </w14:solidFill>
          </w14:textFill>
        </w:rPr>
        <w:t>代理服务费由成交供应商在领取成交通知书前一次性支付，采购代理机构参照</w:t>
      </w:r>
      <w:r>
        <w:rPr>
          <w:rFonts w:hint="default" w:ascii="Times New Roman" w:hAnsi="Times New Roman" w:cs="Times New Roman"/>
          <w:color w:val="000000" w:themeColor="text1"/>
          <w:lang w:val="en-US" w:eastAsia="zh-CN"/>
          <w14:textFill>
            <w14:solidFill>
              <w14:schemeClr w14:val="tx1"/>
            </w14:solidFill>
          </w14:textFill>
        </w:rPr>
        <w:fldChar w:fldCharType="begin"/>
      </w:r>
      <w:r>
        <w:rPr>
          <w:rFonts w:hint="default" w:ascii="Times New Roman" w:hAnsi="Times New Roman" w:cs="Times New Roman"/>
          <w:color w:val="000000" w:themeColor="text1"/>
          <w:lang w:val="en-US" w:eastAsia="zh-CN"/>
          <w14:textFill>
            <w14:solidFill>
              <w14:schemeClr w14:val="tx1"/>
            </w14:solidFill>
          </w14:textFill>
        </w:rPr>
        <w:instrText xml:space="preserve"> HYPERLINK "http://www.ynzbxh.com/party-work-detail/2338/2/%E9%80%9A%E7%9F%A5%E5%85%AC%E5%91%8A" \t "http://asfc.ynzbxh.com/_blank" </w:instrText>
      </w:r>
      <w:r>
        <w:rPr>
          <w:rFonts w:hint="default" w:ascii="Times New Roman" w:hAnsi="Times New Roman" w:cs="Times New Roman"/>
          <w:color w:val="000000" w:themeColor="text1"/>
          <w:lang w:val="en-US" w:eastAsia="zh-CN"/>
          <w14:textFill>
            <w14:solidFill>
              <w14:schemeClr w14:val="tx1"/>
            </w14:solidFill>
          </w14:textFill>
        </w:rPr>
        <w:fldChar w:fldCharType="separate"/>
      </w:r>
      <w:r>
        <w:rPr>
          <w:rFonts w:hint="default" w:ascii="Times New Roman" w:hAnsi="Times New Roman" w:cs="Times New Roman"/>
          <w:color w:val="000000" w:themeColor="text1"/>
          <w:lang w:val="en-US" w:eastAsia="zh-CN"/>
          <w14:textFill>
            <w14:solidFill>
              <w14:schemeClr w14:val="tx1"/>
            </w14:solidFill>
          </w14:textFill>
        </w:rPr>
        <w:t>云建招协〔2026〕11号文</w:t>
      </w:r>
      <w:r>
        <w:rPr>
          <w:rFonts w:hint="default" w:ascii="Times New Roman" w:hAnsi="Times New Roman" w:cs="Times New Roman"/>
          <w:color w:val="000000" w:themeColor="text1"/>
          <w:lang w:val="en-US" w:eastAsia="zh-CN"/>
          <w14:textFill>
            <w14:solidFill>
              <w14:schemeClr w14:val="tx1"/>
            </w14:solidFill>
          </w14:textFill>
        </w:rPr>
        <w:fldChar w:fldCharType="end"/>
      </w:r>
      <w:r>
        <w:rPr>
          <w:rFonts w:hint="default" w:ascii="Times New Roman" w:hAnsi="Times New Roman" w:cs="Times New Roman"/>
          <w:color w:val="000000" w:themeColor="text1"/>
          <w:lang w:val="en-US" w:eastAsia="zh-CN"/>
          <w14:textFill>
            <w14:solidFill>
              <w14:schemeClr w14:val="tx1"/>
            </w14:solidFill>
          </w14:textFill>
        </w:rPr>
        <w:t>的收费标准，以成交价为基准价向成交供应商收取代理服务费。</w:t>
      </w:r>
    </w:p>
    <w:p w14:paraId="0ED98162">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1.5.3其他费用按国家、省、市相关规定收取。</w:t>
      </w:r>
    </w:p>
    <w:p w14:paraId="553D74A7">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90" w:name="_Toc26533"/>
      <w:bookmarkStart w:id="91" w:name="_Toc11420"/>
      <w:bookmarkStart w:id="92" w:name="_Toc11122"/>
      <w:bookmarkStart w:id="93" w:name="_Toc16934"/>
      <w:bookmarkStart w:id="94" w:name="_Toc3411"/>
      <w:r>
        <w:rPr>
          <w:rFonts w:hint="default" w:ascii="Times New Roman" w:hAnsi="Times New Roman" w:cs="Times New Roman"/>
          <w:b/>
          <w:bCs/>
          <w:color w:val="000000" w:themeColor="text1"/>
          <w:szCs w:val="22"/>
          <w14:textFill>
            <w14:solidFill>
              <w14:schemeClr w14:val="tx1"/>
            </w14:solidFill>
          </w14:textFill>
        </w:rPr>
        <w:t>1.6 保密</w:t>
      </w:r>
      <w:bookmarkEnd w:id="88"/>
      <w:bookmarkEnd w:id="89"/>
      <w:bookmarkEnd w:id="90"/>
      <w:bookmarkEnd w:id="91"/>
      <w:bookmarkEnd w:id="92"/>
      <w:bookmarkEnd w:id="93"/>
      <w:bookmarkEnd w:id="94"/>
    </w:p>
    <w:p w14:paraId="1CA1D5B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参与本次竞争性磋商活动的各方应对竞争性磋商文件和响应文件中的商业和技术等秘密保密，违者应对由此造成的后果承担法律责任。</w:t>
      </w:r>
    </w:p>
    <w:p w14:paraId="57B50EC8">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95" w:name="_Toc29003"/>
      <w:bookmarkStart w:id="96" w:name="_Toc32684"/>
      <w:bookmarkStart w:id="97" w:name="_Toc500402887"/>
      <w:bookmarkStart w:id="98" w:name="_Toc24092"/>
      <w:bookmarkStart w:id="99" w:name="_Toc184283918"/>
      <w:bookmarkStart w:id="100" w:name="_Toc20062"/>
      <w:bookmarkStart w:id="101" w:name="_Toc9658"/>
      <w:r>
        <w:rPr>
          <w:rFonts w:hint="default" w:ascii="Times New Roman" w:hAnsi="Times New Roman" w:cs="Times New Roman"/>
          <w:b/>
          <w:bCs/>
          <w:color w:val="000000" w:themeColor="text1"/>
          <w:szCs w:val="22"/>
          <w14:textFill>
            <w14:solidFill>
              <w14:schemeClr w14:val="tx1"/>
            </w14:solidFill>
          </w14:textFill>
        </w:rPr>
        <w:t>1.7 语言文字</w:t>
      </w:r>
      <w:bookmarkEnd w:id="95"/>
      <w:bookmarkEnd w:id="96"/>
      <w:bookmarkEnd w:id="97"/>
      <w:bookmarkEnd w:id="98"/>
      <w:bookmarkEnd w:id="99"/>
      <w:bookmarkEnd w:id="100"/>
      <w:bookmarkEnd w:id="101"/>
    </w:p>
    <w:p w14:paraId="6221ADF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除专用术语外，与本次磋商有关的语言均使用中文。必要时专用术语应附有中文注释。</w:t>
      </w:r>
    </w:p>
    <w:p w14:paraId="2D4BF4D8">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102" w:name="_Toc16952"/>
      <w:bookmarkStart w:id="103" w:name="_Toc10207"/>
      <w:bookmarkStart w:id="104" w:name="_Toc184283919"/>
      <w:bookmarkStart w:id="105" w:name="_Toc7691"/>
      <w:bookmarkStart w:id="106" w:name="_Toc18513"/>
      <w:bookmarkStart w:id="107" w:name="_Toc500402888"/>
      <w:bookmarkStart w:id="108" w:name="_Toc32601"/>
      <w:r>
        <w:rPr>
          <w:rFonts w:hint="default" w:ascii="Times New Roman" w:hAnsi="Times New Roman" w:cs="Times New Roman"/>
          <w:b/>
          <w:bCs/>
          <w:color w:val="000000" w:themeColor="text1"/>
          <w:szCs w:val="22"/>
          <w14:textFill>
            <w14:solidFill>
              <w14:schemeClr w14:val="tx1"/>
            </w14:solidFill>
          </w14:textFill>
        </w:rPr>
        <w:t>1.8 计量单位</w:t>
      </w:r>
      <w:bookmarkEnd w:id="102"/>
      <w:bookmarkEnd w:id="103"/>
      <w:bookmarkEnd w:id="104"/>
      <w:bookmarkEnd w:id="105"/>
      <w:bookmarkEnd w:id="106"/>
      <w:bookmarkEnd w:id="107"/>
      <w:bookmarkEnd w:id="108"/>
    </w:p>
    <w:p w14:paraId="6578F3EC">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所有计量均采用中华人民共和国法定计量单位。</w:t>
      </w:r>
    </w:p>
    <w:p w14:paraId="00DE3014">
      <w:pPr>
        <w:spacing w:line="360" w:lineRule="auto"/>
        <w:outlineLvl w:val="3"/>
        <w:rPr>
          <w:rFonts w:hint="default" w:ascii="Times New Roman" w:hAnsi="Times New Roman" w:cs="Times New Roman"/>
          <w:b/>
          <w:bCs/>
          <w:color w:val="000000" w:themeColor="text1"/>
          <w:szCs w:val="22"/>
          <w14:textFill>
            <w14:solidFill>
              <w14:schemeClr w14:val="tx1"/>
            </w14:solidFill>
          </w14:textFill>
        </w:rPr>
      </w:pPr>
      <w:r>
        <w:rPr>
          <w:rFonts w:hint="default" w:ascii="Times New Roman" w:hAnsi="Times New Roman" w:cs="Times New Roman"/>
          <w:b/>
          <w:bCs/>
          <w:color w:val="000000" w:themeColor="text1"/>
          <w:szCs w:val="22"/>
          <w14:textFill>
            <w14:solidFill>
              <w14:schemeClr w14:val="tx1"/>
            </w14:solidFill>
          </w14:textFill>
        </w:rPr>
        <w:t>1.9 磋商预备会</w:t>
      </w:r>
    </w:p>
    <w:p w14:paraId="3293BB47">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1.9.1 供应商须知前附表规定召开磋商预备会的，采购人按供应商须知前附表规定的时间和地点召开磋商预备会，澄清供应商提出的问题。</w:t>
      </w:r>
    </w:p>
    <w:p w14:paraId="4EF7EA7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1.9.2 供应商应按供应商须知前附表规定的时间和形式将提出的问题送达采购人，以便采购人在会议期间澄清。</w:t>
      </w:r>
    </w:p>
    <w:p w14:paraId="3DC86678">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1.9.3 磋商预备会后，采购人将对供应商所提问题的澄清，以供应商须知前附表规定的形式通知所有获取竞争性磋商文件的供应商。该澄清内容为竞争性磋商文件的组成部分。</w:t>
      </w:r>
    </w:p>
    <w:p w14:paraId="7EA6B000">
      <w:pPr>
        <w:spacing w:line="360" w:lineRule="auto"/>
        <w:outlineLvl w:val="3"/>
        <w:rPr>
          <w:rFonts w:hint="default" w:ascii="Times New Roman" w:hAnsi="Times New Roman" w:cs="Times New Roman"/>
          <w:b/>
          <w:bCs/>
          <w:color w:val="000000" w:themeColor="text1"/>
          <w:szCs w:val="22"/>
          <w14:textFill>
            <w14:solidFill>
              <w14:schemeClr w14:val="tx1"/>
            </w14:solidFill>
          </w14:textFill>
        </w:rPr>
      </w:pPr>
      <w:r>
        <w:rPr>
          <w:rFonts w:hint="default" w:ascii="Times New Roman" w:hAnsi="Times New Roman" w:cs="Times New Roman"/>
          <w:b/>
          <w:bCs/>
          <w:color w:val="000000" w:themeColor="text1"/>
          <w:szCs w:val="22"/>
          <w14:textFill>
            <w14:solidFill>
              <w14:schemeClr w14:val="tx1"/>
            </w14:solidFill>
          </w14:textFill>
        </w:rPr>
        <w:t xml:space="preserve">1.10 </w:t>
      </w:r>
      <w:r>
        <w:rPr>
          <w:rFonts w:hint="default" w:ascii="Times New Roman" w:hAnsi="Times New Roman" w:cs="Times New Roman"/>
          <w:b/>
          <w:bCs/>
          <w:color w:val="000000" w:themeColor="text1"/>
          <w:szCs w:val="22"/>
          <w:lang w:eastAsia="zh-CN"/>
          <w14:textFill>
            <w14:solidFill>
              <w14:schemeClr w14:val="tx1"/>
            </w14:solidFill>
          </w14:textFill>
        </w:rPr>
        <w:t>分钟</w:t>
      </w:r>
    </w:p>
    <w:p w14:paraId="575C6FF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本项目不允许分包。</w:t>
      </w:r>
    </w:p>
    <w:p w14:paraId="58E77D77">
      <w:pPr>
        <w:spacing w:line="360" w:lineRule="auto"/>
        <w:outlineLvl w:val="3"/>
        <w:rPr>
          <w:rFonts w:hint="default" w:ascii="Times New Roman" w:hAnsi="Times New Roman" w:cs="Times New Roman"/>
          <w:b/>
          <w:color w:val="000000" w:themeColor="text1"/>
          <w14:textFill>
            <w14:solidFill>
              <w14:schemeClr w14:val="tx1"/>
            </w14:solidFill>
          </w14:textFill>
        </w:rPr>
      </w:pPr>
      <w:r>
        <w:rPr>
          <w:rFonts w:hint="default" w:ascii="Times New Roman" w:hAnsi="Times New Roman" w:cs="Times New Roman"/>
          <w:b/>
          <w:color w:val="000000" w:themeColor="text1"/>
          <w14:textFill>
            <w14:solidFill>
              <w14:schemeClr w14:val="tx1"/>
            </w14:solidFill>
          </w14:textFill>
        </w:rPr>
        <w:t>1.11 响应和偏差</w:t>
      </w:r>
    </w:p>
    <w:p w14:paraId="24205B25">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1.11.1 磋商响应文件应当对竞争性磋商文件的实质性要求和条件做出满足性或更有利于采购人的响应，否则，供应商的磋商响应将被否决。实质性要求和条件见供应商须知前附表。</w:t>
      </w:r>
    </w:p>
    <w:p w14:paraId="17B2636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1.11.2 供应商应根据竞争性磋商文件的要求提供的服务需求详细描述等内容以对竞争性磋商文件作出响应。</w:t>
      </w:r>
    </w:p>
    <w:p w14:paraId="027136F3">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1.11.3供应商须知前附表规定了可以偏差的范围和最高偏差项数的，偏差应当符合供应商须知前附表规定的偏差范围和最高项数，超出偏差范围和最高偏差项数的响应将被否决。</w:t>
      </w:r>
    </w:p>
    <w:p w14:paraId="35C34F03">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1.11.4磋商响应文件对竞争性磋商文件的全部偏差，均应在磋商响应文件的商务和技术偏差表中列明，除列明的内容外，视为供应商响应竞争性磋商文件的全部要求。</w:t>
      </w:r>
    </w:p>
    <w:p w14:paraId="3C05118B">
      <w:pPr>
        <w:spacing w:line="360" w:lineRule="auto"/>
        <w:jc w:val="center"/>
        <w:outlineLvl w:val="2"/>
        <w:rPr>
          <w:rFonts w:hint="default" w:ascii="Times New Roman" w:hAnsi="Times New Roman" w:cs="Times New Roman"/>
          <w:color w:val="000000" w:themeColor="text1"/>
          <w14:textFill>
            <w14:solidFill>
              <w14:schemeClr w14:val="tx1"/>
            </w14:solidFill>
          </w14:textFill>
        </w:rPr>
      </w:pPr>
      <w:bookmarkStart w:id="109" w:name="_Toc411522047"/>
      <w:bookmarkStart w:id="110" w:name="_Toc27294"/>
      <w:bookmarkStart w:id="111" w:name="_Toc16876"/>
      <w:bookmarkStart w:id="112" w:name="_Toc6863"/>
      <w:bookmarkStart w:id="113" w:name="_Toc184274917"/>
      <w:bookmarkStart w:id="114" w:name="_Toc414014529"/>
      <w:bookmarkStart w:id="115" w:name="_Toc184283924"/>
      <w:bookmarkStart w:id="116" w:name="_Toc689"/>
      <w:bookmarkStart w:id="117" w:name="_Toc411522333"/>
      <w:bookmarkStart w:id="118" w:name="_Toc11839"/>
      <w:bookmarkStart w:id="119" w:name="_Toc500402893"/>
      <w:r>
        <w:rPr>
          <w:rFonts w:hint="default" w:ascii="Times New Roman" w:hAnsi="Times New Roman" w:cs="Times New Roman"/>
          <w:b/>
          <w:color w:val="000000" w:themeColor="text1"/>
          <w:kern w:val="0"/>
          <w:sz w:val="32"/>
          <w:szCs w:val="32"/>
          <w14:textFill>
            <w14:solidFill>
              <w14:schemeClr w14:val="tx1"/>
            </w14:solidFill>
          </w14:textFill>
        </w:rPr>
        <w:t>2.竞争性磋商文件</w:t>
      </w:r>
      <w:bookmarkEnd w:id="109"/>
      <w:bookmarkEnd w:id="110"/>
      <w:bookmarkEnd w:id="111"/>
      <w:bookmarkEnd w:id="112"/>
      <w:bookmarkEnd w:id="113"/>
      <w:bookmarkEnd w:id="114"/>
      <w:bookmarkEnd w:id="115"/>
      <w:bookmarkEnd w:id="116"/>
      <w:bookmarkEnd w:id="117"/>
      <w:bookmarkEnd w:id="118"/>
      <w:bookmarkEnd w:id="119"/>
    </w:p>
    <w:p w14:paraId="1E33E083">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120" w:name="_Toc500402894"/>
      <w:bookmarkStart w:id="121" w:name="_Toc8450"/>
      <w:bookmarkStart w:id="122" w:name="_Toc27478"/>
      <w:bookmarkStart w:id="123" w:name="_Toc184283925"/>
      <w:bookmarkStart w:id="124" w:name="_Toc22463"/>
      <w:bookmarkStart w:id="125" w:name="_Toc13470"/>
      <w:bookmarkStart w:id="126" w:name="_Toc28902"/>
      <w:r>
        <w:rPr>
          <w:rFonts w:hint="default" w:ascii="Times New Roman" w:hAnsi="Times New Roman" w:cs="Times New Roman"/>
          <w:b/>
          <w:bCs/>
          <w:color w:val="000000" w:themeColor="text1"/>
          <w14:textFill>
            <w14:solidFill>
              <w14:schemeClr w14:val="tx1"/>
            </w14:solidFill>
          </w14:textFill>
        </w:rPr>
        <w:t>2.1 竞争性磋商文件的组成</w:t>
      </w:r>
      <w:bookmarkEnd w:id="120"/>
      <w:bookmarkEnd w:id="121"/>
      <w:bookmarkEnd w:id="122"/>
      <w:bookmarkEnd w:id="123"/>
      <w:bookmarkEnd w:id="124"/>
      <w:bookmarkEnd w:id="125"/>
      <w:bookmarkEnd w:id="126"/>
    </w:p>
    <w:p w14:paraId="6A15B3FC">
      <w:pPr>
        <w:spacing w:line="360" w:lineRule="auto"/>
        <w:ind w:firstLine="420" w:firstLineChars="200"/>
        <w:contextualSpacing/>
        <w:jc w:val="left"/>
        <w:rPr>
          <w:rFonts w:hint="default" w:ascii="Times New Roman" w:hAnsi="Times New Roman" w:cs="Times New Roman"/>
          <w:snapToGrid w:val="0"/>
          <w:color w:val="000000" w:themeColor="text1"/>
          <w:kern w:val="0"/>
          <w:sz w:val="21"/>
          <w:szCs w:val="21"/>
          <w14:textFill>
            <w14:solidFill>
              <w14:schemeClr w14:val="tx1"/>
            </w14:solidFill>
          </w14:textFill>
        </w:rPr>
      </w:pPr>
      <w:bookmarkStart w:id="127" w:name="_Toc9847"/>
      <w:bookmarkStart w:id="128" w:name="_Toc500402895"/>
      <w:bookmarkStart w:id="129" w:name="_Toc184283926"/>
      <w:bookmarkStart w:id="130" w:name="_Toc17772"/>
      <w:bookmarkStart w:id="131" w:name="_Toc20040"/>
      <w:bookmarkStart w:id="132" w:name="_Toc6227"/>
      <w:bookmarkStart w:id="133" w:name="_Toc25604"/>
      <w:r>
        <w:rPr>
          <w:rFonts w:hint="default" w:ascii="Times New Roman" w:hAnsi="Times New Roman" w:cs="Times New Roman"/>
          <w:snapToGrid w:val="0"/>
          <w:color w:val="000000" w:themeColor="text1"/>
          <w:kern w:val="0"/>
          <w:sz w:val="21"/>
          <w:szCs w:val="21"/>
          <w14:textFill>
            <w14:solidFill>
              <w14:schemeClr w14:val="tx1"/>
            </w14:solidFill>
          </w14:textFill>
        </w:rPr>
        <w:t>本竞争性磋商文件包括：</w:t>
      </w:r>
    </w:p>
    <w:p w14:paraId="3343D8CD">
      <w:pPr>
        <w:spacing w:line="360" w:lineRule="auto"/>
        <w:ind w:firstLine="420" w:firstLineChars="200"/>
        <w:contextualSpacing/>
        <w:jc w:val="left"/>
        <w:rPr>
          <w:rFonts w:hint="default" w:ascii="Times New Roman" w:hAnsi="Times New Roman" w:cs="Times New Roman"/>
          <w:snapToGrid w:val="0"/>
          <w:color w:val="000000" w:themeColor="text1"/>
          <w:kern w:val="0"/>
          <w:sz w:val="21"/>
          <w:szCs w:val="21"/>
          <w14:textFill>
            <w14:solidFill>
              <w14:schemeClr w14:val="tx1"/>
            </w14:solidFill>
          </w14:textFill>
        </w:rPr>
      </w:pPr>
      <w:r>
        <w:rPr>
          <w:rFonts w:hint="default" w:ascii="Times New Roman" w:hAnsi="Times New Roman" w:cs="Times New Roman"/>
          <w:snapToGrid w:val="0"/>
          <w:color w:val="000000" w:themeColor="text1"/>
          <w:kern w:val="0"/>
          <w:sz w:val="21"/>
          <w:szCs w:val="21"/>
          <w:lang w:eastAsia="zh-CN"/>
          <w14:textFill>
            <w14:solidFill>
              <w14:schemeClr w14:val="tx1"/>
            </w14:solidFill>
          </w14:textFill>
        </w:rPr>
        <w:t>（1）</w:t>
      </w:r>
      <w:r>
        <w:rPr>
          <w:rFonts w:hint="default" w:ascii="Times New Roman" w:hAnsi="Times New Roman" w:cs="Times New Roman"/>
          <w:snapToGrid w:val="0"/>
          <w:color w:val="000000" w:themeColor="text1"/>
          <w:kern w:val="0"/>
          <w:sz w:val="21"/>
          <w:szCs w:val="21"/>
          <w14:textFill>
            <w14:solidFill>
              <w14:schemeClr w14:val="tx1"/>
            </w14:solidFill>
          </w14:textFill>
        </w:rPr>
        <w:t>竞争性磋商文件包含</w:t>
      </w:r>
      <w:r>
        <w:rPr>
          <w:rFonts w:hint="default" w:ascii="Times New Roman" w:hAnsi="Times New Roman" w:cs="Times New Roman"/>
          <w:snapToGrid w:val="0"/>
          <w:color w:val="000000" w:themeColor="text1"/>
          <w:kern w:val="0"/>
          <w:sz w:val="21"/>
          <w:szCs w:val="21"/>
          <w:lang w:eastAsia="zh-CN"/>
          <w14:textFill>
            <w14:solidFill>
              <w14:schemeClr w14:val="tx1"/>
            </w14:solidFill>
          </w14:textFill>
        </w:rPr>
        <w:t>：竞争性磋商</w:t>
      </w:r>
      <w:r>
        <w:rPr>
          <w:rFonts w:hint="default" w:ascii="Times New Roman" w:hAnsi="Times New Roman" w:cs="Times New Roman"/>
          <w:snapToGrid w:val="0"/>
          <w:color w:val="000000" w:themeColor="text1"/>
          <w:kern w:val="0"/>
          <w:sz w:val="21"/>
          <w:szCs w:val="21"/>
          <w14:textFill>
            <w14:solidFill>
              <w14:schemeClr w14:val="tx1"/>
            </w14:solidFill>
          </w14:textFill>
        </w:rPr>
        <w:t>公告、</w:t>
      </w:r>
      <w:r>
        <w:rPr>
          <w:rFonts w:hint="default" w:ascii="Times New Roman" w:hAnsi="Times New Roman" w:cs="Times New Roman"/>
          <w:snapToGrid w:val="0"/>
          <w:color w:val="000000" w:themeColor="text1"/>
          <w:kern w:val="0"/>
          <w:sz w:val="21"/>
          <w:szCs w:val="21"/>
          <w:lang w:eastAsia="zh-CN"/>
          <w14:textFill>
            <w14:solidFill>
              <w14:schemeClr w14:val="tx1"/>
            </w14:solidFill>
          </w14:textFill>
        </w:rPr>
        <w:t>供应商</w:t>
      </w:r>
      <w:r>
        <w:rPr>
          <w:rFonts w:hint="default" w:ascii="Times New Roman" w:hAnsi="Times New Roman" w:cs="Times New Roman"/>
          <w:snapToGrid w:val="0"/>
          <w:color w:val="000000" w:themeColor="text1"/>
          <w:kern w:val="0"/>
          <w:sz w:val="21"/>
          <w:szCs w:val="21"/>
          <w14:textFill>
            <w14:solidFill>
              <w14:schemeClr w14:val="tx1"/>
            </w14:solidFill>
          </w14:textFill>
        </w:rPr>
        <w:t>须知、评标办法、合同条款及格式、</w:t>
      </w:r>
      <w:r>
        <w:rPr>
          <w:rFonts w:hint="default" w:ascii="Times New Roman" w:hAnsi="Times New Roman" w:cs="Times New Roman"/>
          <w:snapToGrid w:val="0"/>
          <w:color w:val="000000" w:themeColor="text1"/>
          <w:kern w:val="0"/>
          <w:sz w:val="21"/>
          <w:szCs w:val="21"/>
          <w:lang w:eastAsia="zh-CN"/>
          <w14:textFill>
            <w14:solidFill>
              <w14:schemeClr w14:val="tx1"/>
            </w14:solidFill>
          </w14:textFill>
        </w:rPr>
        <w:t>响应文件</w:t>
      </w:r>
      <w:r>
        <w:rPr>
          <w:rFonts w:hint="default" w:ascii="Times New Roman" w:hAnsi="Times New Roman" w:cs="Times New Roman"/>
          <w:snapToGrid w:val="0"/>
          <w:color w:val="000000" w:themeColor="text1"/>
          <w:kern w:val="0"/>
          <w:sz w:val="21"/>
          <w:szCs w:val="21"/>
          <w14:textFill>
            <w14:solidFill>
              <w14:schemeClr w14:val="tx1"/>
            </w14:solidFill>
          </w14:textFill>
        </w:rPr>
        <w:t>格式；</w:t>
      </w:r>
    </w:p>
    <w:p w14:paraId="1CE5FE68">
      <w:pPr>
        <w:spacing w:line="360" w:lineRule="auto"/>
        <w:ind w:firstLine="420" w:firstLineChars="200"/>
        <w:contextualSpacing/>
        <w:jc w:val="left"/>
        <w:rPr>
          <w:rFonts w:hint="default" w:ascii="Times New Roman" w:hAnsi="Times New Roman" w:cs="Times New Roman"/>
          <w:snapToGrid w:val="0"/>
          <w:color w:val="000000" w:themeColor="text1"/>
          <w:kern w:val="0"/>
          <w:sz w:val="21"/>
          <w:szCs w:val="21"/>
          <w14:textFill>
            <w14:solidFill>
              <w14:schemeClr w14:val="tx1"/>
            </w14:solidFill>
          </w14:textFill>
        </w:rPr>
      </w:pPr>
      <w:r>
        <w:rPr>
          <w:rFonts w:hint="default" w:ascii="Times New Roman" w:hAnsi="Times New Roman" w:cs="Times New Roman"/>
          <w:snapToGrid w:val="0"/>
          <w:color w:val="000000" w:themeColor="text1"/>
          <w:kern w:val="0"/>
          <w:sz w:val="21"/>
          <w:szCs w:val="21"/>
          <w:lang w:eastAsia="zh-CN"/>
          <w14:textFill>
            <w14:solidFill>
              <w14:schemeClr w14:val="tx1"/>
            </w14:solidFill>
          </w14:textFill>
        </w:rPr>
        <w:t>（2）</w:t>
      </w:r>
      <w:r>
        <w:rPr>
          <w:rFonts w:hint="default" w:ascii="Times New Roman" w:hAnsi="Times New Roman" w:cs="Times New Roman"/>
          <w:snapToGrid w:val="0"/>
          <w:color w:val="000000" w:themeColor="text1"/>
          <w:kern w:val="0"/>
          <w:sz w:val="21"/>
          <w:szCs w:val="21"/>
          <w14:textFill>
            <w14:solidFill>
              <w14:schemeClr w14:val="tx1"/>
            </w14:solidFill>
          </w14:textFill>
        </w:rPr>
        <w:t>其他附件。</w:t>
      </w:r>
    </w:p>
    <w:p w14:paraId="4AD2E8FA">
      <w:pPr>
        <w:spacing w:line="360" w:lineRule="auto"/>
        <w:ind w:firstLine="420" w:firstLineChars="200"/>
        <w:contextualSpacing/>
        <w:jc w:val="left"/>
        <w:rPr>
          <w:rFonts w:hint="default" w:ascii="Times New Roman" w:hAnsi="Times New Roman" w:cs="Times New Roman"/>
          <w:snapToGrid w:val="0"/>
          <w:color w:val="000000" w:themeColor="text1"/>
          <w:kern w:val="0"/>
          <w:sz w:val="21"/>
          <w:szCs w:val="21"/>
          <w14:textFill>
            <w14:solidFill>
              <w14:schemeClr w14:val="tx1"/>
            </w14:solidFill>
          </w14:textFill>
        </w:rPr>
      </w:pPr>
      <w:r>
        <w:rPr>
          <w:rFonts w:hint="default" w:ascii="Times New Roman" w:hAnsi="Times New Roman" w:cs="Times New Roman"/>
          <w:snapToGrid w:val="0"/>
          <w:color w:val="000000" w:themeColor="text1"/>
          <w:kern w:val="0"/>
          <w:sz w:val="21"/>
          <w:szCs w:val="21"/>
          <w14:textFill>
            <w14:solidFill>
              <w14:schemeClr w14:val="tx1"/>
            </w14:solidFill>
          </w14:textFill>
        </w:rPr>
        <w:t>2.1.2构成竞争性磋商文件的其他材料</w:t>
      </w:r>
      <w:r>
        <w:rPr>
          <w:rFonts w:hint="default" w:ascii="Times New Roman" w:hAnsi="Times New Roman" w:cs="Times New Roman"/>
          <w:snapToGrid w:val="0"/>
          <w:color w:val="000000" w:themeColor="text1"/>
          <w:kern w:val="0"/>
          <w:sz w:val="21"/>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 w:val="21"/>
          <w:szCs w:val="21"/>
          <w14:textFill>
            <w14:solidFill>
              <w14:schemeClr w14:val="tx1"/>
            </w14:solidFill>
          </w14:textFill>
        </w:rPr>
        <w:t xml:space="preserve"> </w:t>
      </w:r>
      <w:r>
        <w:rPr>
          <w:rFonts w:hint="eastAsia" w:cs="Times New Roman"/>
          <w:snapToGrid w:val="0"/>
          <w:color w:val="000000" w:themeColor="text1"/>
          <w:kern w:val="0"/>
          <w:sz w:val="21"/>
          <w:szCs w:val="21"/>
          <w:lang w:val="en-US" w:eastAsia="zh-CN"/>
          <w14:textFill>
            <w14:solidFill>
              <w14:schemeClr w14:val="tx1"/>
            </w14:solidFill>
          </w14:textFill>
        </w:rPr>
        <w:t>采购人</w:t>
      </w:r>
      <w:r>
        <w:rPr>
          <w:rFonts w:hint="default" w:ascii="Times New Roman" w:hAnsi="Times New Roman" w:cs="Times New Roman"/>
          <w:snapToGrid w:val="0"/>
          <w:color w:val="000000" w:themeColor="text1"/>
          <w:kern w:val="0"/>
          <w:sz w:val="21"/>
          <w:szCs w:val="21"/>
          <w14:textFill>
            <w14:solidFill>
              <w14:schemeClr w14:val="tx1"/>
            </w14:solidFill>
          </w14:textFill>
        </w:rPr>
        <w:t>以书面形式发出的答疑通知、补遗通知等。</w:t>
      </w:r>
    </w:p>
    <w:p w14:paraId="0FE53316">
      <w:pPr>
        <w:spacing w:line="360" w:lineRule="auto"/>
        <w:outlineLvl w:val="3"/>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b/>
          <w:bCs/>
          <w:color w:val="000000" w:themeColor="text1"/>
          <w:szCs w:val="22"/>
          <w14:textFill>
            <w14:solidFill>
              <w14:schemeClr w14:val="tx1"/>
            </w14:solidFill>
          </w14:textFill>
        </w:rPr>
        <w:t>2.2 竞争性磋商文件的澄清</w:t>
      </w:r>
      <w:bookmarkEnd w:id="127"/>
      <w:bookmarkEnd w:id="128"/>
      <w:bookmarkEnd w:id="129"/>
      <w:bookmarkEnd w:id="130"/>
      <w:bookmarkEnd w:id="131"/>
      <w:bookmarkEnd w:id="132"/>
      <w:bookmarkEnd w:id="133"/>
    </w:p>
    <w:p w14:paraId="545EF40E">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2.2.1 供应商应仔细阅读和检查竞争性磋商文件的全部内容。如有疑问的，供应商可以向采购人或采购代理机构提出询问或者凭企业数字证书（CA）登录政采云，通过在线方式提出询问（不署名），采购人或者采购代理机构在接到询问后的3个工作日内对供应商依法提出的询问作出答复，但答复的内容不涉及商业秘密。</w:t>
      </w:r>
    </w:p>
    <w:p w14:paraId="47CF58E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2.2.2 提交响应文件截止之日前，采购人、采购代理机构可以对已发出的竞争性磋商文件进行必要的澄清，澄清的内容作为竞争性磋商文件的组成部分。澄清的内容可能影响竞争性磋商文件编制，采购人、采购代理机构应在提交响应文件截止之日5日前，在政采云平台通知所有接收竞争性磋商文件的供应商，但不指明澄清问题的来源。不足5日的，应当顺延提交响应文件截止之日。</w:t>
      </w:r>
    </w:p>
    <w:p w14:paraId="4DA78583">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134" w:name="_Toc22890"/>
      <w:bookmarkStart w:id="135" w:name="_Toc4"/>
      <w:bookmarkStart w:id="136" w:name="_Toc184283927"/>
      <w:bookmarkStart w:id="137" w:name="_Toc7756"/>
      <w:bookmarkStart w:id="138" w:name="_Toc27221"/>
      <w:bookmarkStart w:id="139" w:name="_Toc16339"/>
      <w:bookmarkStart w:id="140" w:name="_Toc500402896"/>
      <w:r>
        <w:rPr>
          <w:rFonts w:hint="default" w:ascii="Times New Roman" w:hAnsi="Times New Roman" w:cs="Times New Roman"/>
          <w:b/>
          <w:bCs/>
          <w:color w:val="000000" w:themeColor="text1"/>
          <w:szCs w:val="22"/>
          <w14:textFill>
            <w14:solidFill>
              <w14:schemeClr w14:val="tx1"/>
            </w14:solidFill>
          </w14:textFill>
        </w:rPr>
        <w:t>2.3 竞争性磋商文件的修改</w:t>
      </w:r>
      <w:bookmarkEnd w:id="134"/>
      <w:bookmarkEnd w:id="135"/>
      <w:bookmarkEnd w:id="136"/>
      <w:bookmarkEnd w:id="137"/>
      <w:bookmarkEnd w:id="138"/>
      <w:bookmarkEnd w:id="139"/>
      <w:bookmarkEnd w:id="140"/>
    </w:p>
    <w:p w14:paraId="5ADDCE0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2.3.1 在提交响应文件截止时间5日前，采购人、采购代理机构确实需要变更竞争性磋商文件内容的，采购人、采购代理机构可主动或在解答供应商提出的澄清问题时对竞争性磋商文件进行修改。修改的内容可能影响响应文件编制，采购人、采购代理机构应在提交响应文件截止之日5日前，通知所有接收竞争性磋商文件的供应商。不足5日的，应当顺延提交响应文件截止之日。</w:t>
      </w:r>
    </w:p>
    <w:p w14:paraId="4DAEC0BF">
      <w:pPr>
        <w:spacing w:line="360" w:lineRule="auto"/>
        <w:jc w:val="center"/>
        <w:outlineLvl w:val="2"/>
        <w:rPr>
          <w:rFonts w:hint="default" w:ascii="Times New Roman" w:hAnsi="Times New Roman" w:cs="Times New Roman"/>
          <w:color w:val="000000" w:themeColor="text1"/>
          <w14:textFill>
            <w14:solidFill>
              <w14:schemeClr w14:val="tx1"/>
            </w14:solidFill>
          </w14:textFill>
        </w:rPr>
      </w:pPr>
      <w:bookmarkStart w:id="141" w:name="_Toc184274918"/>
      <w:bookmarkStart w:id="142" w:name="_Toc3574"/>
      <w:bookmarkStart w:id="143" w:name="_Toc411522048"/>
      <w:bookmarkStart w:id="144" w:name="_Toc184283928"/>
      <w:bookmarkStart w:id="145" w:name="_Toc500402897"/>
      <w:bookmarkStart w:id="146" w:name="_Toc411522334"/>
      <w:bookmarkStart w:id="147" w:name="_Toc414014530"/>
      <w:bookmarkStart w:id="148" w:name="_Toc6553"/>
      <w:bookmarkStart w:id="149" w:name="_Toc5184"/>
      <w:bookmarkStart w:id="150" w:name="_Toc1772"/>
      <w:bookmarkStart w:id="151" w:name="_Toc18608"/>
      <w:r>
        <w:rPr>
          <w:rFonts w:hint="default" w:ascii="Times New Roman" w:hAnsi="Times New Roman" w:cs="Times New Roman"/>
          <w:b/>
          <w:color w:val="000000" w:themeColor="text1"/>
          <w:kern w:val="0"/>
          <w:sz w:val="32"/>
          <w:szCs w:val="32"/>
          <w14:textFill>
            <w14:solidFill>
              <w14:schemeClr w14:val="tx1"/>
            </w14:solidFill>
          </w14:textFill>
        </w:rPr>
        <w:t>3</w:t>
      </w:r>
      <w:bookmarkEnd w:id="141"/>
      <w:bookmarkEnd w:id="142"/>
      <w:bookmarkEnd w:id="143"/>
      <w:bookmarkEnd w:id="144"/>
      <w:bookmarkEnd w:id="145"/>
      <w:bookmarkEnd w:id="146"/>
      <w:bookmarkEnd w:id="147"/>
      <w:r>
        <w:rPr>
          <w:rFonts w:hint="default" w:ascii="Times New Roman" w:hAnsi="Times New Roman" w:cs="Times New Roman"/>
          <w:b/>
          <w:color w:val="000000" w:themeColor="text1"/>
          <w:kern w:val="0"/>
          <w:sz w:val="32"/>
          <w:szCs w:val="32"/>
          <w14:textFill>
            <w14:solidFill>
              <w14:schemeClr w14:val="tx1"/>
            </w14:solidFill>
          </w14:textFill>
        </w:rPr>
        <w:t>.响应文件</w:t>
      </w:r>
      <w:bookmarkEnd w:id="148"/>
      <w:bookmarkEnd w:id="149"/>
      <w:bookmarkEnd w:id="150"/>
      <w:bookmarkEnd w:id="151"/>
    </w:p>
    <w:p w14:paraId="2AC34210">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152" w:name="_Toc29500"/>
      <w:bookmarkStart w:id="153" w:name="_Toc184283929"/>
      <w:bookmarkStart w:id="154" w:name="_Toc14948"/>
      <w:bookmarkStart w:id="155" w:name="_Toc10086"/>
      <w:bookmarkStart w:id="156" w:name="_Toc500402898"/>
      <w:bookmarkStart w:id="157" w:name="_Toc1761"/>
      <w:bookmarkStart w:id="158" w:name="_Toc10787"/>
      <w:r>
        <w:rPr>
          <w:rFonts w:hint="default" w:ascii="Times New Roman" w:hAnsi="Times New Roman" w:cs="Times New Roman"/>
          <w:b/>
          <w:bCs/>
          <w:color w:val="000000" w:themeColor="text1"/>
          <w14:textFill>
            <w14:solidFill>
              <w14:schemeClr w14:val="tx1"/>
            </w14:solidFill>
          </w14:textFill>
        </w:rPr>
        <w:t>3.1 响应文件的组成</w:t>
      </w:r>
      <w:bookmarkEnd w:id="152"/>
      <w:bookmarkEnd w:id="153"/>
      <w:bookmarkEnd w:id="154"/>
      <w:bookmarkEnd w:id="155"/>
      <w:bookmarkEnd w:id="156"/>
      <w:bookmarkEnd w:id="157"/>
      <w:bookmarkEnd w:id="158"/>
    </w:p>
    <w:p w14:paraId="7AC525A4">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响应文件包括以下内容：</w:t>
      </w:r>
    </w:p>
    <w:p w14:paraId="44C05FA1">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bookmarkStart w:id="159" w:name="_Toc184283930"/>
      <w:bookmarkStart w:id="160" w:name="_Toc500402899"/>
      <w:r>
        <w:rPr>
          <w:rFonts w:hint="default" w:ascii="Times New Roman" w:hAnsi="Times New Roman" w:cs="Times New Roman"/>
          <w:color w:val="000000" w:themeColor="text1"/>
          <w14:textFill>
            <w14:solidFill>
              <w14:schemeClr w14:val="tx1"/>
            </w14:solidFill>
          </w14:textFill>
        </w:rPr>
        <w:t>（一）资格部分</w:t>
      </w:r>
    </w:p>
    <w:p w14:paraId="5831A1A7">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（二）商务部分</w:t>
      </w:r>
    </w:p>
    <w:p w14:paraId="51508E8D">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（三）技术部分</w:t>
      </w:r>
    </w:p>
    <w:p w14:paraId="5B55008A">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以上三个部分包括的内容和供应商须知或附表</w:t>
      </w:r>
      <w:r>
        <w:rPr>
          <w:rFonts w:hint="default" w:ascii="Times New Roman" w:hAnsi="Times New Roman" w:cs="Times New Roman"/>
          <w:color w:val="000000" w:themeColor="text1"/>
          <w:lang w:eastAsia="zh-CN"/>
          <w14:textFill>
            <w14:solidFill>
              <w14:schemeClr w14:val="tx1"/>
            </w14:solidFill>
          </w14:textFill>
        </w:rPr>
        <w:t>中</w:t>
      </w:r>
      <w:r>
        <w:rPr>
          <w:rFonts w:hint="default" w:ascii="Times New Roman" w:hAnsi="Times New Roman" w:cs="Times New Roman"/>
          <w:color w:val="000000" w:themeColor="text1"/>
          <w14:textFill>
            <w14:solidFill>
              <w14:schemeClr w14:val="tx1"/>
            </w14:solidFill>
          </w14:textFill>
        </w:rPr>
        <w:t>规定的部分（若有），详见响应文件格式。</w:t>
      </w:r>
    </w:p>
    <w:p w14:paraId="62E4C428">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161" w:name="_Toc31536"/>
      <w:bookmarkStart w:id="162" w:name="_Toc15"/>
      <w:bookmarkStart w:id="163" w:name="_Toc32102"/>
      <w:bookmarkStart w:id="164" w:name="_Toc23207"/>
      <w:bookmarkStart w:id="165" w:name="_Toc11953"/>
      <w:r>
        <w:rPr>
          <w:rFonts w:hint="default" w:ascii="Times New Roman" w:hAnsi="Times New Roman" w:cs="Times New Roman"/>
          <w:b/>
          <w:bCs/>
          <w:color w:val="000000" w:themeColor="text1"/>
          <w:szCs w:val="22"/>
          <w14:textFill>
            <w14:solidFill>
              <w14:schemeClr w14:val="tx1"/>
            </w14:solidFill>
          </w14:textFill>
        </w:rPr>
        <w:t xml:space="preserve">3.2 </w:t>
      </w:r>
      <w:bookmarkEnd w:id="159"/>
      <w:bookmarkEnd w:id="160"/>
      <w:bookmarkEnd w:id="161"/>
      <w:bookmarkEnd w:id="162"/>
      <w:bookmarkEnd w:id="163"/>
      <w:bookmarkEnd w:id="164"/>
      <w:bookmarkEnd w:id="165"/>
      <w:r>
        <w:rPr>
          <w:rFonts w:hint="default" w:ascii="Times New Roman" w:hAnsi="Times New Roman" w:cs="Times New Roman"/>
          <w:b/>
          <w:bCs/>
          <w:color w:val="000000" w:themeColor="text1"/>
          <w:szCs w:val="22"/>
          <w14:textFill>
            <w14:solidFill>
              <w14:schemeClr w14:val="tx1"/>
            </w14:solidFill>
          </w14:textFill>
        </w:rPr>
        <w:t>磋商报价</w:t>
      </w:r>
    </w:p>
    <w:p w14:paraId="0223F2B0">
      <w:pPr>
        <w:keepNext w:val="0"/>
        <w:keepLines w:val="0"/>
        <w:pageBreakBefore w:val="0"/>
        <w:widowControl w:val="0"/>
        <w:kinsoku/>
        <w:wordWrap/>
        <w:overflowPunct/>
        <w:topLinePunct w:val="0"/>
        <w:autoSpaceDE/>
        <w:autoSpaceDN/>
        <w:bidi w:val="0"/>
        <w:adjustRightInd w:val="0"/>
        <w:snapToGrid w:val="0"/>
        <w:spacing w:line="573" w:lineRule="exact"/>
        <w:ind w:left="0" w:leftChars="0" w:right="0" w:rightChars="0" w:firstLine="420" w:firstLineChars="200"/>
        <w:jc w:val="both"/>
        <w:textAlignment w:val="auto"/>
        <w:outlineLvl w:val="9"/>
        <w:rPr>
          <w:rFonts w:hint="default" w:ascii="Times New Roman" w:hAnsi="Times New Roman" w:eastAsia="宋体" w:cs="Times New Roman"/>
          <w:color w:val="000000" w:themeColor="text1"/>
          <w14:textFill>
            <w14:solidFill>
              <w14:schemeClr w14:val="tx1"/>
            </w14:solidFill>
          </w14:textFill>
        </w:rPr>
      </w:pPr>
      <w:bookmarkStart w:id="166" w:name="_Toc500402900"/>
      <w:bookmarkStart w:id="167" w:name="_Toc184283931"/>
      <w:r>
        <w:rPr>
          <w:rFonts w:hint="default" w:ascii="Times New Roman" w:hAnsi="Times New Roman" w:cs="Times New Roman"/>
          <w:color w:val="000000" w:themeColor="text1"/>
          <w14:textFill>
            <w14:solidFill>
              <w14:schemeClr w14:val="tx1"/>
            </w14:solidFill>
          </w14:textFill>
        </w:rPr>
        <w:t>3.2.1 最高限价：</w:t>
      </w:r>
      <w:r>
        <w:rPr>
          <w:rFonts w:hint="eastAsia" w:ascii="Times New Roman" w:hAnsi="Times New Roman" w:cs="Times New Roman"/>
          <w:color w:val="000000" w:themeColor="text1"/>
          <w:lang w:val="en-US" w:eastAsia="zh-CN"/>
          <w14:textFill>
            <w14:solidFill>
              <w14:schemeClr w14:val="tx1"/>
            </w14:solidFill>
          </w14:textFill>
        </w:rPr>
        <w:t>994679.79</w:t>
      </w:r>
      <w:r>
        <w:rPr>
          <w:rFonts w:hint="default" w:ascii="Times New Roman" w:hAnsi="Times New Roman" w:cs="Times New Roman"/>
          <w:color w:val="000000" w:themeColor="text1"/>
          <w:lang w:val="en-US" w:eastAsia="zh-CN"/>
          <w14:textFill>
            <w14:solidFill>
              <w14:schemeClr w14:val="tx1"/>
            </w14:solidFill>
          </w14:textFill>
        </w:rPr>
        <w:t>元（大写：</w:t>
      </w:r>
      <w:r>
        <w:rPr>
          <w:rFonts w:hint="eastAsia" w:ascii="Times New Roman" w:hAnsi="Times New Roman" w:cs="Times New Roman"/>
          <w:color w:val="000000" w:themeColor="text1"/>
          <w:lang w:val="en-US" w:eastAsia="zh-CN"/>
          <w14:textFill>
            <w14:solidFill>
              <w14:schemeClr w14:val="tx1"/>
            </w14:solidFill>
          </w14:textFill>
        </w:rPr>
        <w:t>玖拾玖万肆仟陆佰柒拾玖元柒角玖分</w:t>
      </w:r>
      <w:r>
        <w:rPr>
          <w:rFonts w:hint="default" w:ascii="Times New Roman" w:hAnsi="Times New Roman" w:cs="Times New Roman"/>
          <w:color w:val="000000" w:themeColor="text1"/>
          <w:lang w:val="en-US"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磋商报价超过最高限价的响应文件将被否决投标。</w:t>
      </w:r>
    </w:p>
    <w:p w14:paraId="633FBE6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3.2.2供应商的磋商报价应依据竞争性磋商文件的要求及有关资料，执行国家规定的现行技术、经济标准及规范，为完成本项目采购范围的所有工作，由供应商自行测算，并能保证供应商完成采购内容需求和履行合同所需的一切工作，在合同实施期间，合同价格原则上不作调整，供应商应充分考虑此风险。</w:t>
      </w:r>
    </w:p>
    <w:p w14:paraId="483A2F5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3.2.3磋商报价组成</w:t>
      </w:r>
    </w:p>
    <w:p w14:paraId="1DEA6902">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采购人设有最高投标限价的，供应商的磋商报价不得超过最高投标限价，最高投标限价在供应商须知前附表中载明。供应商应充分了解该项目的总体情况以及影响磋商报价的其他要素，报价为人民币（含税价），合同总价包含但不限于完成本项目的设计相关成果编制、深化、修正和审批工作及后续服务，为实施和完成合同工程所需人工、材料、机械、质检（自检）、材料试验、措施、施工排水、雨季排水、交通疏解、安装、缺陷修复、废弃物处置、夜间施工、冬季施工、安全文明施工、环境保护、管理费、规费、利润、税金、保险，并综合考虑风险费及配合费等全部费用，以及合同明示或暗示的所有责任、义务和一般风险。</w:t>
      </w:r>
    </w:p>
    <w:p w14:paraId="0CC5734A">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3.2.4供应商须通过资格评审、符合性评审标准后才能进入磋商阶段，并进行最后报价。最后报价是供应商的响应文件的有效组成部分。</w:t>
      </w:r>
    </w:p>
    <w:p w14:paraId="6C6677D0">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3.2.5供应商不得哄抬报价，不得超过最高限价，也不应低于成本价报价。磋商小组认为供应商的最低报价或者某些分项报价明显不合理或低于成本价，有可能影响质量和不能诚信履约的，将要求在规定期限内提供书面文件予以解释说明，并提交相关证明材料。供应商不能证明其报价合理性的，磋商小组应当将其响应文件作为无效处理。</w:t>
      </w:r>
    </w:p>
    <w:p w14:paraId="51E5C8F5">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3.2.6报价的大写金额和小写金额不一致的，以大写金额为准；总价金额与按单价汇总金额不一致的，以单价金额计算结果为准；单价金额小数点有明显错位的，应</w:t>
      </w:r>
      <w:r>
        <w:rPr>
          <w:rFonts w:hint="default" w:ascii="Times New Roman" w:hAnsi="Times New Roman" w:cs="Times New Roman"/>
          <w:color w:val="000000" w:themeColor="text1"/>
          <w:lang w:eastAsia="zh-CN"/>
          <w14:textFill>
            <w14:solidFill>
              <w14:schemeClr w14:val="tx1"/>
            </w14:solidFill>
          </w14:textFill>
        </w:rPr>
        <w:t>以</w:t>
      </w:r>
      <w:r>
        <w:rPr>
          <w:rFonts w:hint="default" w:ascii="Times New Roman" w:hAnsi="Times New Roman" w:cs="Times New Roman"/>
          <w:color w:val="000000" w:themeColor="text1"/>
          <w14:textFill>
            <w14:solidFill>
              <w14:schemeClr w14:val="tx1"/>
            </w14:solidFill>
          </w14:textFill>
        </w:rPr>
        <w:t>总价为准，并修改单价；对修改单价；对不同文字文本竞争性磋商文件的解释发生异议的，以中文解释文本为准。</w:t>
      </w:r>
    </w:p>
    <w:p w14:paraId="021B3394">
      <w:pPr>
        <w:pStyle w:val="13"/>
        <w:spacing w:line="360" w:lineRule="auto"/>
        <w:rPr>
          <w:rFonts w:hint="default" w:ascii="Times New Roman" w:hAnsi="Times New Roman" w:cs="Times New Roman"/>
          <w:b/>
          <w:bCs/>
          <w:color w:val="000000" w:themeColor="text1"/>
          <w:szCs w:val="22"/>
          <w14:textFill>
            <w14:solidFill>
              <w14:schemeClr w14:val="tx1"/>
            </w14:solidFill>
          </w14:textFill>
        </w:rPr>
      </w:pPr>
      <w:r>
        <w:rPr>
          <w:rFonts w:hint="default" w:ascii="Times New Roman" w:hAnsi="Times New Roman" w:cs="Times New Roman"/>
          <w:b/>
          <w:bCs/>
          <w:color w:val="000000" w:themeColor="text1"/>
          <w:szCs w:val="22"/>
          <w14:textFill>
            <w14:solidFill>
              <w14:schemeClr w14:val="tx1"/>
            </w14:solidFill>
          </w14:textFill>
        </w:rPr>
        <w:t>3.3 磋商有效期</w:t>
      </w:r>
    </w:p>
    <w:p w14:paraId="5B1AE1B5">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3.3.1除供应商须知前附表另有规定外，磋商有效期为90天。</w:t>
      </w:r>
    </w:p>
    <w:p w14:paraId="4F2D8CE1">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3.3.2在磋商有效期内，供应商撤销磋商响应文件的，应承担竞争性磋商文件和法律规定的责任。</w:t>
      </w:r>
    </w:p>
    <w:p w14:paraId="5D6BA943">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3.3.3出现特殊情况需要延长磋商有效期的，采购人以书面形式通知所有供应商延长磋商有效期。供应商应予以书面答复，同意延长的，不得要求或被允许修改其磋商响应文件；供应商拒绝延长的，其响应失效。</w:t>
      </w:r>
    </w:p>
    <w:bookmarkEnd w:id="166"/>
    <w:bookmarkEnd w:id="167"/>
    <w:p w14:paraId="4F85217B">
      <w:pPr>
        <w:pStyle w:val="13"/>
        <w:spacing w:line="360" w:lineRule="auto"/>
        <w:rPr>
          <w:rFonts w:hint="default" w:ascii="Times New Roman" w:hAnsi="Times New Roman" w:cs="Times New Roman"/>
          <w:color w:val="000000" w:themeColor="text1"/>
          <w14:textFill>
            <w14:solidFill>
              <w14:schemeClr w14:val="tx1"/>
            </w14:solidFill>
          </w14:textFill>
        </w:rPr>
      </w:pPr>
      <w:bookmarkStart w:id="168" w:name="_Toc5061"/>
      <w:bookmarkStart w:id="169" w:name="_Toc500402901"/>
      <w:bookmarkStart w:id="170" w:name="_Toc184283932"/>
      <w:bookmarkStart w:id="171" w:name="_Toc31527"/>
      <w:bookmarkStart w:id="172" w:name="_Toc22911"/>
      <w:bookmarkStart w:id="173" w:name="_Toc26223"/>
      <w:bookmarkStart w:id="174" w:name="_Toc1930"/>
      <w:r>
        <w:rPr>
          <w:rFonts w:hint="default" w:ascii="Times New Roman" w:hAnsi="Times New Roman" w:cs="Times New Roman"/>
          <w:b/>
          <w:bCs/>
          <w:color w:val="000000" w:themeColor="text1"/>
          <w:szCs w:val="22"/>
          <w14:textFill>
            <w14:solidFill>
              <w14:schemeClr w14:val="tx1"/>
            </w14:solidFill>
          </w14:textFill>
        </w:rPr>
        <w:t>3.4 磋商保证金</w:t>
      </w:r>
      <w:bookmarkEnd w:id="168"/>
      <w:bookmarkEnd w:id="169"/>
      <w:bookmarkEnd w:id="170"/>
      <w:bookmarkEnd w:id="171"/>
      <w:bookmarkEnd w:id="172"/>
      <w:bookmarkEnd w:id="173"/>
      <w:bookmarkEnd w:id="174"/>
    </w:p>
    <w:p w14:paraId="7EF44C93">
      <w:pPr>
        <w:pStyle w:val="16"/>
        <w:spacing w:line="360" w:lineRule="auto"/>
        <w:ind w:left="0" w:leftChars="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不收取。</w:t>
      </w:r>
    </w:p>
    <w:p w14:paraId="1C3B1BB5">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175" w:name="_Toc24250"/>
      <w:bookmarkStart w:id="176" w:name="_Toc500402905"/>
      <w:bookmarkStart w:id="177" w:name="_Toc184283936"/>
      <w:bookmarkStart w:id="178" w:name="_Toc19818"/>
      <w:bookmarkStart w:id="179" w:name="_Toc32005"/>
      <w:bookmarkStart w:id="180" w:name="_Toc31992"/>
      <w:bookmarkStart w:id="181" w:name="_Toc30520"/>
      <w:r>
        <w:rPr>
          <w:rFonts w:hint="default" w:ascii="Times New Roman" w:hAnsi="Times New Roman" w:cs="Times New Roman"/>
          <w:b/>
          <w:bCs/>
          <w:color w:val="000000" w:themeColor="text1"/>
          <w:szCs w:val="22"/>
          <w14:textFill>
            <w14:solidFill>
              <w14:schemeClr w14:val="tx1"/>
            </w14:solidFill>
          </w14:textFill>
        </w:rPr>
        <w:t>3.5 响应文件的编制</w:t>
      </w:r>
      <w:bookmarkEnd w:id="175"/>
      <w:bookmarkEnd w:id="176"/>
      <w:bookmarkEnd w:id="177"/>
      <w:bookmarkEnd w:id="178"/>
      <w:bookmarkEnd w:id="179"/>
      <w:bookmarkEnd w:id="180"/>
      <w:bookmarkEnd w:id="181"/>
    </w:p>
    <w:p w14:paraId="266C91C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3.5.1 响应文件应按第六章“响应文件格式”进行编写，如有必要，可以增加附页，作为响应文件的组成部分。其中，在满足竞争性磋商文件实质性要求的基础上，可以提出比响应文件要求更有利于采购人的承诺。</w:t>
      </w:r>
    </w:p>
    <w:p w14:paraId="3527C50C">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3.5.2 响应文件应当对竞争性磋商文件有关工期要求、采购需求、质量等实质性内容作出响应。</w:t>
      </w:r>
    </w:p>
    <w:p w14:paraId="7102C2D5">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3.5.3 </w:t>
      </w:r>
      <w:bookmarkStart w:id="182" w:name="_Toc500402907"/>
      <w:bookmarkStart w:id="183" w:name="_Toc17265"/>
      <w:bookmarkStart w:id="184" w:name="_Toc4894"/>
      <w:bookmarkStart w:id="185" w:name="_Toc184283938"/>
      <w:bookmarkStart w:id="186" w:name="_Toc7214"/>
      <w:bookmarkStart w:id="187" w:name="_Toc31495"/>
      <w:bookmarkStart w:id="188" w:name="_Toc30575"/>
      <w:r>
        <w:rPr>
          <w:rFonts w:hint="default" w:ascii="Times New Roman" w:hAnsi="Times New Roman" w:cs="Times New Roman"/>
          <w:color w:val="000000" w:themeColor="text1"/>
          <w14:textFill>
            <w14:solidFill>
              <w14:schemeClr w14:val="tx1"/>
            </w14:solidFill>
          </w14:textFill>
        </w:rPr>
        <w:t>供应商应安装“政采云”投标客户端，根据采购文件格式编制响应文件，生成加密标书后进行上传（详见公告附件供应商操作指南及申领云南CA操作手册）。</w:t>
      </w:r>
    </w:p>
    <w:p w14:paraId="1F517801">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3.5.4响应文件份数：见供应商须知前附表。</w:t>
      </w:r>
    </w:p>
    <w:p w14:paraId="480A3F8B">
      <w:pPr>
        <w:spacing w:line="360" w:lineRule="auto"/>
        <w:outlineLvl w:val="3"/>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b/>
          <w:bCs/>
          <w:color w:val="000000" w:themeColor="text1"/>
          <w:szCs w:val="22"/>
          <w14:textFill>
            <w14:solidFill>
              <w14:schemeClr w14:val="tx1"/>
            </w14:solidFill>
          </w14:textFill>
        </w:rPr>
        <w:t>3.6 响应文件的密封和标记</w:t>
      </w:r>
      <w:bookmarkEnd w:id="182"/>
      <w:bookmarkEnd w:id="183"/>
      <w:bookmarkEnd w:id="184"/>
      <w:bookmarkEnd w:id="185"/>
      <w:bookmarkEnd w:id="186"/>
      <w:bookmarkEnd w:id="187"/>
      <w:bookmarkEnd w:id="188"/>
    </w:p>
    <w:p w14:paraId="09A72A26">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本项目无密封和标记的要求，只需按照“政采云”平台的要求编制、加密后在响应文件提交截止时间前上传至“政采云”平台，响应文件提交截止时间前未完成响应文件上传的，视为撤回响应文件。</w:t>
      </w:r>
    </w:p>
    <w:p w14:paraId="5E732D9B">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189" w:name="_Toc32650"/>
      <w:bookmarkStart w:id="190" w:name="_Toc14423"/>
      <w:bookmarkStart w:id="191" w:name="_Toc184283939"/>
      <w:bookmarkStart w:id="192" w:name="_Toc500402908"/>
      <w:bookmarkStart w:id="193" w:name="_Toc27827"/>
      <w:bookmarkStart w:id="194" w:name="_Toc29320"/>
      <w:bookmarkStart w:id="195" w:name="_Toc9426"/>
      <w:r>
        <w:rPr>
          <w:rFonts w:hint="default" w:ascii="Times New Roman" w:hAnsi="Times New Roman" w:cs="Times New Roman"/>
          <w:b/>
          <w:bCs/>
          <w:color w:val="000000" w:themeColor="text1"/>
          <w:szCs w:val="22"/>
          <w14:textFill>
            <w14:solidFill>
              <w14:schemeClr w14:val="tx1"/>
            </w14:solidFill>
          </w14:textFill>
        </w:rPr>
        <w:t>3.7 响应文件的递交</w:t>
      </w:r>
      <w:bookmarkEnd w:id="189"/>
      <w:bookmarkEnd w:id="190"/>
      <w:bookmarkEnd w:id="191"/>
      <w:bookmarkEnd w:id="192"/>
      <w:bookmarkEnd w:id="193"/>
      <w:bookmarkEnd w:id="194"/>
      <w:bookmarkEnd w:id="195"/>
    </w:p>
    <w:p w14:paraId="5A9D0071">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3.7.1 供应商应在磋商人须知前附表规定的递交响应文件截止时间前和地点递交响应文件。</w:t>
      </w:r>
    </w:p>
    <w:p w14:paraId="71873345">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3.7.2 除供应商须知前附表另有规定外，供应商所递交的响应文件不予退还。</w:t>
      </w:r>
    </w:p>
    <w:p w14:paraId="53E5F40E">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3.7.3</w:t>
      </w:r>
      <w:bookmarkStart w:id="196" w:name="_Toc26797"/>
      <w:bookmarkStart w:id="197" w:name="_Toc21221"/>
      <w:bookmarkStart w:id="198" w:name="_Toc13315"/>
      <w:bookmarkStart w:id="199" w:name="_Toc25369"/>
      <w:bookmarkStart w:id="200" w:name="_Toc184283940"/>
      <w:bookmarkStart w:id="201" w:name="_Toc3290"/>
      <w:bookmarkStart w:id="202" w:name="_Toc500402909"/>
      <w:r>
        <w:rPr>
          <w:rFonts w:hint="default" w:ascii="Times New Roman" w:hAnsi="Times New Roman" w:cs="Times New Roman"/>
          <w:color w:val="000000" w:themeColor="text1"/>
          <w14:textFill>
            <w14:solidFill>
              <w14:schemeClr w14:val="tx1"/>
            </w14:solidFill>
          </w14:textFill>
        </w:rPr>
        <w:t xml:space="preserve"> 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4C1FA7B7">
      <w:pPr>
        <w:spacing w:line="360" w:lineRule="auto"/>
        <w:outlineLvl w:val="3"/>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b/>
          <w:bCs/>
          <w:color w:val="000000" w:themeColor="text1"/>
          <w:szCs w:val="22"/>
          <w14:textFill>
            <w14:solidFill>
              <w14:schemeClr w14:val="tx1"/>
            </w14:solidFill>
          </w14:textFill>
        </w:rPr>
        <w:t>3.8 响应文件的修改或撤回</w:t>
      </w:r>
      <w:bookmarkEnd w:id="196"/>
      <w:bookmarkEnd w:id="197"/>
      <w:bookmarkEnd w:id="198"/>
      <w:bookmarkEnd w:id="199"/>
      <w:bookmarkEnd w:id="200"/>
      <w:bookmarkEnd w:id="201"/>
      <w:bookmarkEnd w:id="202"/>
    </w:p>
    <w:p w14:paraId="1B8ADF2E">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3.8.1 在磋商人须知前附表3.7.1规定的递交响应文件截止时间前，供应商可以修改或撤回已递交的响应文件。</w:t>
      </w:r>
    </w:p>
    <w:p w14:paraId="36FE5BC2">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3.8.2 供应商递交修改或撤回的文件，应按照本项目采购文件和“政采云”平台的要求编制、加密后在响应文件提交截止时间前重新上传至“政采云”平台，响应文件提交截止时间前未完成响应文件上传的，视为撤回响应文件。</w:t>
      </w:r>
    </w:p>
    <w:p w14:paraId="323792E2">
      <w:pPr>
        <w:spacing w:line="360" w:lineRule="auto"/>
        <w:outlineLvl w:val="3"/>
        <w:rPr>
          <w:rFonts w:hint="default" w:ascii="Times New Roman" w:hAnsi="Times New Roman" w:cs="Times New Roman"/>
          <w:b/>
          <w:bCs/>
          <w:color w:val="000000" w:themeColor="text1"/>
          <w:szCs w:val="22"/>
          <w14:textFill>
            <w14:solidFill>
              <w14:schemeClr w14:val="tx1"/>
            </w14:solidFill>
          </w14:textFill>
        </w:rPr>
      </w:pPr>
      <w:r>
        <w:rPr>
          <w:rFonts w:hint="default" w:ascii="Times New Roman" w:hAnsi="Times New Roman" w:cs="Times New Roman"/>
          <w:b/>
          <w:bCs/>
          <w:color w:val="000000" w:themeColor="text1"/>
          <w:szCs w:val="22"/>
          <w14:textFill>
            <w14:solidFill>
              <w14:schemeClr w14:val="tx1"/>
            </w14:solidFill>
          </w14:textFill>
        </w:rPr>
        <w:t>3.9 备选的磋商申请方案</w:t>
      </w:r>
    </w:p>
    <w:p w14:paraId="7C844F15">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bookmarkStart w:id="203" w:name="_Toc133"/>
      <w:r>
        <w:rPr>
          <w:rFonts w:hint="default" w:ascii="Times New Roman" w:hAnsi="Times New Roman" w:cs="Times New Roman"/>
          <w:color w:val="000000" w:themeColor="text1"/>
          <w14:textFill>
            <w14:solidFill>
              <w14:schemeClr w14:val="tx1"/>
            </w14:solidFill>
          </w14:textFill>
        </w:rPr>
        <w:t>本项目不接受备选的磋商申请方案</w:t>
      </w:r>
      <w:bookmarkEnd w:id="203"/>
    </w:p>
    <w:p w14:paraId="38FE3FF0">
      <w:pPr>
        <w:widowControl/>
        <w:spacing w:line="360" w:lineRule="auto"/>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b/>
          <w:bCs/>
          <w:color w:val="000000" w:themeColor="text1"/>
          <w:kern w:val="0"/>
          <w:sz w:val="20"/>
          <w:szCs w:val="20"/>
          <w:lang w:bidi="ar"/>
          <w14:textFill>
            <w14:solidFill>
              <w14:schemeClr w14:val="tx1"/>
            </w14:solidFill>
          </w14:textFill>
        </w:rPr>
        <w:t xml:space="preserve">3.10 磋商、承诺及最后报价 </w:t>
      </w:r>
    </w:p>
    <w:p w14:paraId="3F564CD4">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提交响应文件的供应商，随机抽取磋商顺序，供应商按照“政采云”平台的顺序进行磋商、承诺及最后报价，操作流程详见公告附件供应商操作指南。供应商如果未进行最后报价的，则按照第一次报价进行评审。</w:t>
      </w:r>
    </w:p>
    <w:p w14:paraId="4EDEF2C9">
      <w:pPr>
        <w:spacing w:line="360" w:lineRule="auto"/>
        <w:jc w:val="center"/>
        <w:outlineLvl w:val="2"/>
        <w:rPr>
          <w:rFonts w:hint="default" w:ascii="Times New Roman" w:hAnsi="Times New Roman" w:cs="Times New Roman"/>
          <w:color w:val="000000" w:themeColor="text1"/>
          <w14:textFill>
            <w14:solidFill>
              <w14:schemeClr w14:val="tx1"/>
            </w14:solidFill>
          </w14:textFill>
        </w:rPr>
      </w:pPr>
      <w:bookmarkStart w:id="204" w:name="_Toc24720"/>
      <w:bookmarkStart w:id="205" w:name="_Toc24273"/>
      <w:bookmarkStart w:id="206" w:name="_Toc25577"/>
      <w:bookmarkStart w:id="207" w:name="_Toc11808"/>
      <w:bookmarkStart w:id="208" w:name="_Toc414014531"/>
      <w:bookmarkStart w:id="209" w:name="_Toc14152"/>
      <w:r>
        <w:rPr>
          <w:rFonts w:hint="default" w:ascii="Times New Roman" w:hAnsi="Times New Roman" w:cs="Times New Roman"/>
          <w:b/>
          <w:color w:val="000000" w:themeColor="text1"/>
          <w:kern w:val="0"/>
          <w:sz w:val="32"/>
          <w:szCs w:val="32"/>
          <w14:textFill>
            <w14:solidFill>
              <w14:schemeClr w14:val="tx1"/>
            </w14:solidFill>
          </w14:textFill>
        </w:rPr>
        <w:t>4.竞争性磋商</w:t>
      </w:r>
      <w:bookmarkEnd w:id="204"/>
      <w:bookmarkEnd w:id="205"/>
      <w:bookmarkEnd w:id="206"/>
      <w:bookmarkEnd w:id="207"/>
      <w:bookmarkEnd w:id="208"/>
      <w:bookmarkEnd w:id="209"/>
    </w:p>
    <w:p w14:paraId="35CE1CF8">
      <w:pPr>
        <w:spacing w:line="360" w:lineRule="auto"/>
        <w:rPr>
          <w:rFonts w:hint="default" w:ascii="Times New Roman" w:hAnsi="Times New Roman" w:cs="Times New Roman"/>
          <w:color w:val="000000" w:themeColor="text1"/>
          <w14:textFill>
            <w14:solidFill>
              <w14:schemeClr w14:val="tx1"/>
            </w14:solidFill>
          </w14:textFill>
        </w:rPr>
      </w:pPr>
    </w:p>
    <w:p w14:paraId="1201BCDB">
      <w:pPr>
        <w:spacing w:line="360" w:lineRule="auto"/>
        <w:outlineLvl w:val="3"/>
        <w:rPr>
          <w:rFonts w:hint="default" w:ascii="Times New Roman" w:hAnsi="Times New Roman" w:cs="Times New Roman"/>
          <w:b/>
          <w:bCs/>
          <w:color w:val="000000" w:themeColor="text1"/>
          <w14:textFill>
            <w14:solidFill>
              <w14:schemeClr w14:val="tx1"/>
            </w14:solidFill>
          </w14:textFill>
        </w:rPr>
      </w:pPr>
      <w:bookmarkStart w:id="210" w:name="_Toc2794"/>
      <w:bookmarkStart w:id="211" w:name="_Toc29867"/>
      <w:bookmarkStart w:id="212" w:name="_Toc22110"/>
      <w:bookmarkStart w:id="213" w:name="_Toc32534"/>
      <w:bookmarkStart w:id="214" w:name="_Toc23652"/>
      <w:r>
        <w:rPr>
          <w:rFonts w:hint="default" w:ascii="Times New Roman" w:hAnsi="Times New Roman" w:cs="Times New Roman"/>
          <w:b/>
          <w:bCs/>
          <w:color w:val="000000" w:themeColor="text1"/>
          <w14:textFill>
            <w14:solidFill>
              <w14:schemeClr w14:val="tx1"/>
            </w14:solidFill>
          </w14:textFill>
        </w:rPr>
        <w:t>4.1 磋商及评审</w:t>
      </w:r>
      <w:bookmarkEnd w:id="210"/>
      <w:bookmarkEnd w:id="211"/>
      <w:bookmarkEnd w:id="212"/>
      <w:bookmarkEnd w:id="213"/>
      <w:bookmarkEnd w:id="214"/>
    </w:p>
    <w:p w14:paraId="597D975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4.1.1 磋商时间及地点：见供应商须知前附表。</w:t>
      </w:r>
    </w:p>
    <w:p w14:paraId="31E0A2BD">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4.1.2 磋商及评审程序：</w:t>
      </w:r>
    </w:p>
    <w:p w14:paraId="2170C9E2">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（1）主持人主持会议；</w:t>
      </w:r>
    </w:p>
    <w:p w14:paraId="50637BA2">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（2）开启，本项目为竞争性磋商不进行唱标；</w:t>
      </w:r>
    </w:p>
    <w:p w14:paraId="23D264C3">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（3）资格评审、符合性评审；</w:t>
      </w:r>
    </w:p>
    <w:p w14:paraId="40C94C7B">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（4）商务、技术评审；</w:t>
      </w:r>
    </w:p>
    <w:p w14:paraId="7F2C31AC">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（5）最后磋商报价及最后磋商报价符合性审查；</w:t>
      </w:r>
    </w:p>
    <w:p w14:paraId="260D3FA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（6）宣布磋商结果；</w:t>
      </w:r>
    </w:p>
    <w:p w14:paraId="611A1400">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（7）提交评审报告。</w:t>
      </w:r>
    </w:p>
    <w:p w14:paraId="6CD48126">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4.1.3磋商原则：依照“</w:t>
      </w:r>
      <w:r>
        <w:rPr>
          <w:rFonts w:hint="default" w:ascii="Times New Roman" w:hAnsi="Times New Roman" w:cs="Times New Roman"/>
          <w:color w:val="000000" w:themeColor="text1"/>
          <w:kern w:val="0"/>
          <w14:textFill>
            <w14:solidFill>
              <w14:schemeClr w14:val="tx1"/>
            </w14:solidFill>
          </w14:textFill>
        </w:rPr>
        <w:t>客观、公正、审慎</w:t>
      </w:r>
      <w:r>
        <w:rPr>
          <w:rFonts w:hint="default" w:ascii="Times New Roman" w:hAnsi="Times New Roman" w:cs="Times New Roman"/>
          <w:color w:val="000000" w:themeColor="text1"/>
          <w14:textFill>
            <w14:solidFill>
              <w14:schemeClr w14:val="tx1"/>
            </w14:solidFill>
          </w14:textFill>
        </w:rPr>
        <w:t>”的原则。</w:t>
      </w:r>
    </w:p>
    <w:p w14:paraId="682E86CA">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4.1.4本项目将邀请相关部门进行现场监督，并按有关规定依法组建磋商小组进行评判。</w:t>
      </w:r>
    </w:p>
    <w:p w14:paraId="17FCB9E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4.1.5磋商小组的组建：见供应商须知前附表。</w:t>
      </w:r>
    </w:p>
    <w:p w14:paraId="119F4715">
      <w:pPr>
        <w:pStyle w:val="16"/>
        <w:spacing w:line="360" w:lineRule="auto"/>
        <w:ind w:left="0" w:leftChars="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4.1.5.1磋商小组成员有下列情形之一的，应当回避：</w:t>
      </w:r>
    </w:p>
    <w:p w14:paraId="57408A01">
      <w:pPr>
        <w:pStyle w:val="16"/>
        <w:spacing w:line="360" w:lineRule="auto"/>
        <w:ind w:left="0" w:leftChars="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（1）采购人或供应商的主要负责人的近亲属；</w:t>
      </w:r>
    </w:p>
    <w:p w14:paraId="3556138F">
      <w:pPr>
        <w:pStyle w:val="16"/>
        <w:spacing w:line="360" w:lineRule="auto"/>
        <w:ind w:left="0" w:leftChars="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（2）项目主管部门或者行政监督部门的人员；</w:t>
      </w:r>
    </w:p>
    <w:p w14:paraId="16A5ECB8">
      <w:pPr>
        <w:pStyle w:val="16"/>
        <w:spacing w:line="360" w:lineRule="auto"/>
        <w:ind w:left="0" w:leftChars="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（3）与供应商有经济利益关系，可能影响公正评审的；</w:t>
      </w:r>
    </w:p>
    <w:p w14:paraId="6A1C4C93">
      <w:pPr>
        <w:pStyle w:val="16"/>
        <w:spacing w:line="360" w:lineRule="auto"/>
        <w:ind w:left="0" w:leftChars="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（4）曾因在招标、评标以及其他与招标投标有关活动中从事违法行为而受过行政处罚或刑事处罚的。</w:t>
      </w:r>
    </w:p>
    <w:p w14:paraId="47B9E61C">
      <w:pPr>
        <w:spacing w:line="360" w:lineRule="auto"/>
        <w:outlineLvl w:val="3"/>
        <w:rPr>
          <w:rFonts w:hint="default" w:ascii="Times New Roman" w:hAnsi="Times New Roman" w:cs="Times New Roman"/>
          <w:b/>
          <w:bCs/>
          <w:color w:val="000000" w:themeColor="text1"/>
          <w14:textFill>
            <w14:solidFill>
              <w14:schemeClr w14:val="tx1"/>
            </w14:solidFill>
          </w14:textFill>
        </w:rPr>
      </w:pPr>
      <w:bookmarkStart w:id="215" w:name="_Toc4986"/>
      <w:bookmarkStart w:id="216" w:name="_Toc1003"/>
      <w:bookmarkStart w:id="217" w:name="_Toc28871"/>
      <w:bookmarkStart w:id="218" w:name="_Toc27792"/>
      <w:bookmarkStart w:id="219" w:name="_Toc3093"/>
      <w:r>
        <w:rPr>
          <w:rFonts w:hint="default" w:ascii="Times New Roman" w:hAnsi="Times New Roman" w:cs="Times New Roman"/>
          <w:b/>
          <w:bCs/>
          <w:color w:val="000000" w:themeColor="text1"/>
          <w14:textFill>
            <w14:solidFill>
              <w14:schemeClr w14:val="tx1"/>
            </w14:solidFill>
          </w14:textFill>
        </w:rPr>
        <w:t>4.2 竞争性磋商评审办法</w:t>
      </w:r>
      <w:bookmarkEnd w:id="215"/>
      <w:bookmarkEnd w:id="216"/>
      <w:bookmarkEnd w:id="217"/>
      <w:bookmarkEnd w:id="218"/>
      <w:bookmarkEnd w:id="219"/>
    </w:p>
    <w:p w14:paraId="12CA7825">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详见第三章评审办法。</w:t>
      </w:r>
    </w:p>
    <w:p w14:paraId="0BEF71E4">
      <w:pPr>
        <w:spacing w:line="360" w:lineRule="auto"/>
        <w:jc w:val="center"/>
        <w:outlineLvl w:val="2"/>
        <w:rPr>
          <w:rFonts w:hint="default" w:ascii="Times New Roman" w:hAnsi="Times New Roman" w:cs="Times New Roman"/>
          <w:color w:val="000000" w:themeColor="text1"/>
          <w14:textFill>
            <w14:solidFill>
              <w14:schemeClr w14:val="tx1"/>
            </w14:solidFill>
          </w14:textFill>
        </w:rPr>
      </w:pPr>
      <w:bookmarkStart w:id="220" w:name="_Toc18678"/>
      <w:bookmarkStart w:id="221" w:name="_Toc4008"/>
      <w:bookmarkStart w:id="222" w:name="_Toc5441"/>
      <w:bookmarkStart w:id="223" w:name="_Toc11326363"/>
      <w:bookmarkStart w:id="224" w:name="_Toc9488"/>
      <w:bookmarkStart w:id="225" w:name="_Toc17384"/>
      <w:r>
        <w:rPr>
          <w:rFonts w:hint="default" w:ascii="Times New Roman" w:hAnsi="Times New Roman" w:cs="Times New Roman"/>
          <w:b/>
          <w:color w:val="000000" w:themeColor="text1"/>
          <w:kern w:val="0"/>
          <w:sz w:val="32"/>
          <w:szCs w:val="32"/>
          <w14:textFill>
            <w14:solidFill>
              <w14:schemeClr w14:val="tx1"/>
            </w14:solidFill>
          </w14:textFill>
        </w:rPr>
        <w:t>5.质疑和投诉</w:t>
      </w:r>
      <w:bookmarkEnd w:id="220"/>
      <w:bookmarkEnd w:id="221"/>
      <w:bookmarkEnd w:id="222"/>
      <w:bookmarkEnd w:id="223"/>
      <w:bookmarkEnd w:id="224"/>
      <w:bookmarkEnd w:id="225"/>
    </w:p>
    <w:p w14:paraId="4598AB70">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供应商和其他利害关系人认为本次采购活动违反</w:t>
      </w:r>
      <w:r>
        <w:rPr>
          <w:rFonts w:hint="default" w:ascii="Times New Roman" w:hAnsi="Times New Roman" w:cs="Times New Roman"/>
          <w:color w:val="000000" w:themeColor="text1"/>
          <w:lang w:eastAsia="zh-CN"/>
          <w14:textFill>
            <w14:solidFill>
              <w14:schemeClr w14:val="tx1"/>
            </w14:solidFill>
          </w14:textFill>
        </w:rPr>
        <w:t>法律法规</w:t>
      </w:r>
      <w:r>
        <w:rPr>
          <w:rFonts w:hint="default" w:ascii="Times New Roman" w:hAnsi="Times New Roman" w:cs="Times New Roman"/>
          <w:color w:val="000000" w:themeColor="text1"/>
          <w14:textFill>
            <w14:solidFill>
              <w14:schemeClr w14:val="tx1"/>
            </w14:solidFill>
          </w14:textFill>
        </w:rPr>
        <w:t>和规章规定的，有权向有关行政监督部门投诉。</w:t>
      </w:r>
    </w:p>
    <w:p w14:paraId="7AC0BEAE">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226" w:name="_Toc32488"/>
      <w:bookmarkStart w:id="227" w:name="_Toc29557"/>
      <w:bookmarkStart w:id="228" w:name="_Toc4116"/>
      <w:bookmarkStart w:id="229" w:name="_Toc25660"/>
      <w:bookmarkStart w:id="230" w:name="_Toc32428"/>
      <w:r>
        <w:rPr>
          <w:rFonts w:hint="default" w:ascii="Times New Roman" w:hAnsi="Times New Roman" w:cs="Times New Roman"/>
          <w:b/>
          <w:bCs/>
          <w:color w:val="000000" w:themeColor="text1"/>
          <w14:textFill>
            <w14:solidFill>
              <w14:schemeClr w14:val="tx1"/>
            </w14:solidFill>
          </w14:textFill>
        </w:rPr>
        <w:t>5.1 质疑</w:t>
      </w:r>
      <w:bookmarkEnd w:id="226"/>
      <w:bookmarkEnd w:id="227"/>
      <w:bookmarkEnd w:id="228"/>
      <w:bookmarkEnd w:id="229"/>
      <w:bookmarkEnd w:id="230"/>
    </w:p>
    <w:p w14:paraId="5582531C">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供应商认为竞争性磋商文件、采购过程和成交结果使自己的权益受到损害的，应当在知道或者应知其权益受到损害之日起七个工作日内，以书面形式向采购人或采购代理机构提出质疑。质疑内容不得含有虚假、恶意成分。当事人对自己提出的主张，有责任提供证据，提出质疑时应同时提交相关证据材料和注明事实的确切来源。不得以假设、揣测、据说、听说等缺乏事实依据的理由</w:t>
      </w:r>
      <w:r>
        <w:rPr>
          <w:rFonts w:hint="default" w:ascii="Times New Roman" w:hAnsi="Times New Roman" w:cs="Times New Roman"/>
          <w:color w:val="000000" w:themeColor="text1"/>
          <w:lang w:eastAsia="zh-CN"/>
          <w14:textFill>
            <w14:solidFill>
              <w14:schemeClr w14:val="tx1"/>
            </w14:solidFill>
          </w14:textFill>
        </w:rPr>
        <w:t>质疑</w:t>
      </w:r>
      <w:r>
        <w:rPr>
          <w:rFonts w:hint="default" w:ascii="Times New Roman" w:hAnsi="Times New Roman" w:cs="Times New Roman"/>
          <w:color w:val="000000" w:themeColor="text1"/>
          <w14:textFill>
            <w14:solidFill>
              <w14:schemeClr w14:val="tx1"/>
            </w14:solidFill>
          </w14:textFill>
        </w:rPr>
        <w:t>。</w:t>
      </w:r>
    </w:p>
    <w:p w14:paraId="397B9F7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（2）供应商提供的质疑书（如材料中有外文资料应同时附上中文译本）应当包括以下主要内容：</w:t>
      </w:r>
    </w:p>
    <w:p w14:paraId="7B45D20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① 质疑项目名称；</w:t>
      </w:r>
    </w:p>
    <w:p w14:paraId="62F875AE">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② 质疑理由及事实依据；</w:t>
      </w:r>
    </w:p>
    <w:p w14:paraId="25413A9E">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③ 质疑对象；</w:t>
      </w:r>
    </w:p>
    <w:p w14:paraId="4141763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④ 联系电话和地址；</w:t>
      </w:r>
    </w:p>
    <w:p w14:paraId="79CEA3FD">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⑤ 质疑的日期；</w:t>
      </w:r>
    </w:p>
    <w:p w14:paraId="2D8EA63C">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⑥ 质疑人署名。</w:t>
      </w:r>
    </w:p>
    <w:p w14:paraId="4FA59019">
      <w:pPr>
        <w:spacing w:line="360" w:lineRule="auto"/>
        <w:ind w:firstLine="420" w:firstLineChars="200"/>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质疑书实行实名制，并提交由法定代表人或其委托代理人签字或盖章且盖单位章的原件</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lang w:val="en-US" w:eastAsia="zh-CN"/>
          <w14:textFill>
            <w14:solidFill>
              <w14:schemeClr w14:val="tx1"/>
            </w14:solidFill>
          </w14:textFill>
        </w:rPr>
        <w:t>如遗漏签字、盖章的视为无效质疑</w:t>
      </w:r>
      <w:r>
        <w:rPr>
          <w:rFonts w:hint="eastAsia" w:ascii="Times New Roman" w:hAnsi="Times New Roman" w:cs="Times New Roman"/>
          <w:color w:val="000000" w:themeColor="text1"/>
          <w:lang w:val="en-US" w:eastAsia="zh-CN"/>
          <w14:textFill>
            <w14:solidFill>
              <w14:schemeClr w14:val="tx1"/>
            </w14:solidFill>
          </w14:textFill>
        </w:rPr>
        <w:t>。</w:t>
      </w:r>
    </w:p>
    <w:p w14:paraId="1B9D93CF">
      <w:pPr>
        <w:pStyle w:val="18"/>
        <w:keepLines w:val="0"/>
        <w:pageBreakBefore w:val="0"/>
        <w:widowControl w:val="0"/>
        <w:kinsoku/>
        <w:wordWrap w:val="0"/>
        <w:overflowPunct/>
        <w:topLinePunct w:val="0"/>
        <w:autoSpaceDE/>
        <w:autoSpaceDN/>
        <w:bidi w:val="0"/>
        <w:snapToGrid/>
        <w:spacing w:line="560" w:lineRule="exact"/>
        <w:ind w:firstLine="420" w:firstLineChars="200"/>
        <w:jc w:val="lef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lang w:val="zh-CN" w:eastAsia="zh-CN" w:bidi="ar-SA"/>
          <w14:textFill>
            <w14:solidFill>
              <w14:schemeClr w14:val="tx1"/>
            </w14:solidFill>
          </w14:textFill>
        </w:rPr>
        <w:t>联系</w:t>
      </w:r>
      <w: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t>人：谢女士</w:t>
      </w:r>
    </w:p>
    <w:p w14:paraId="2F6995B4">
      <w:pPr>
        <w:pStyle w:val="18"/>
        <w:keepLines w:val="0"/>
        <w:pageBreakBefore w:val="0"/>
        <w:widowControl w:val="0"/>
        <w:kinsoku/>
        <w:wordWrap w:val="0"/>
        <w:overflowPunct/>
        <w:topLinePunct w:val="0"/>
        <w:autoSpaceDE/>
        <w:autoSpaceDN/>
        <w:bidi w:val="0"/>
        <w:snapToGrid/>
        <w:spacing w:line="560" w:lineRule="exact"/>
        <w:ind w:firstLine="420" w:firstLineChars="200"/>
        <w:jc w:val="lef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lang w:val="zh-CN" w:eastAsia="zh-CN" w:bidi="ar-SA"/>
          <w14:textFill>
            <w14:solidFill>
              <w14:schemeClr w14:val="tx1"/>
            </w14:solidFill>
          </w14:textFill>
        </w:rPr>
        <w:t>联系电话：</w:t>
      </w:r>
      <w: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t>15287682653</w:t>
      </w:r>
    </w:p>
    <w:p w14:paraId="2BAD5B4E">
      <w:pPr>
        <w:pStyle w:val="18"/>
        <w:keepLines w:val="0"/>
        <w:pageBreakBefore w:val="0"/>
        <w:widowControl w:val="0"/>
        <w:kinsoku/>
        <w:wordWrap w:val="0"/>
        <w:overflowPunct/>
        <w:topLinePunct w:val="0"/>
        <w:autoSpaceDE/>
        <w:autoSpaceDN/>
        <w:bidi w:val="0"/>
        <w:snapToGrid/>
        <w:spacing w:line="560" w:lineRule="exact"/>
        <w:ind w:firstLine="420" w:firstLineChars="200"/>
        <w:jc w:val="left"/>
        <w:rPr>
          <w:rFonts w:hint="default" w:ascii="Times New Roman" w:hAnsi="Times New Roman" w:eastAsia="宋体" w:cs="Times New Roman"/>
          <w:color w:val="000000" w:themeColor="text1"/>
          <w:kern w:val="2"/>
          <w:sz w:val="21"/>
          <w:szCs w:val="21"/>
          <w:lang w:val="zh-CN"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lang w:val="zh-CN" w:eastAsia="zh-CN" w:bidi="ar-SA"/>
          <w14:textFill>
            <w14:solidFill>
              <w14:schemeClr w14:val="tx1"/>
            </w14:solidFill>
          </w14:textFill>
        </w:rPr>
        <w:t>通讯地址：勐海县海民招标代理有限公司（云南省西双版纳傣族自治州勐海县勐海镇双塔国际</w:t>
      </w:r>
    </w:p>
    <w:p w14:paraId="6EED1540">
      <w:pPr>
        <w:pStyle w:val="18"/>
        <w:keepLines w:val="0"/>
        <w:pageBreakBefore w:val="0"/>
        <w:widowControl w:val="0"/>
        <w:kinsoku/>
        <w:wordWrap w:val="0"/>
        <w:overflowPunct/>
        <w:topLinePunct w:val="0"/>
        <w:autoSpaceDE/>
        <w:autoSpaceDN/>
        <w:bidi w:val="0"/>
        <w:snapToGrid/>
        <w:spacing w:line="560" w:lineRule="exact"/>
        <w:ind w:firstLine="420" w:firstLineChars="200"/>
        <w:jc w:val="lef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lang w:val="zh-CN" w:eastAsia="zh-CN" w:bidi="ar-SA"/>
          <w14:textFill>
            <w14:solidFill>
              <w14:schemeClr w14:val="tx1"/>
            </w14:solidFill>
          </w14:textFill>
        </w:rPr>
        <w:t>五楼F3-513号）</w:t>
      </w:r>
    </w:p>
    <w:p w14:paraId="43D0D74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（3）采购人、采购代理机构将在收到供应商的书面质疑后七个工作日内作出答复，但答复的内容不涉及商业秘密。</w:t>
      </w:r>
    </w:p>
    <w:p w14:paraId="5FBAA831">
      <w:pPr>
        <w:spacing w:line="360" w:lineRule="auto"/>
        <w:ind w:firstLine="420" w:firstLineChars="200"/>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（4）参与采购活动的供应商对评审过程或者结果提出质疑的，采购人或采购代理机构可以</w:t>
      </w:r>
      <w:r>
        <w:rPr>
          <w:rFonts w:hint="default" w:ascii="Times New Roman" w:hAnsi="Times New Roman" w:cs="Times New Roman"/>
          <w:color w:val="000000" w:themeColor="text1"/>
          <w:lang w:eastAsia="zh-CN"/>
          <w14:textFill>
            <w14:solidFill>
              <w14:schemeClr w14:val="tx1"/>
            </w14:solidFill>
          </w14:textFill>
        </w:rPr>
        <w:t>组织</w:t>
      </w:r>
      <w:r>
        <w:rPr>
          <w:rFonts w:hint="default" w:ascii="Times New Roman" w:hAnsi="Times New Roman" w:cs="Times New Roman"/>
          <w:color w:val="000000" w:themeColor="text1"/>
          <w14:textFill>
            <w14:solidFill>
              <w14:schemeClr w14:val="tx1"/>
            </w14:solidFill>
          </w14:textFill>
        </w:rPr>
        <w:t>磋商小组协助处理质疑事项，并依据磋商小组出具的意见进行答复。质疑答复导致成交结果改变的，采购人或采购代理机构应当将相关情</w:t>
      </w:r>
      <w:r>
        <w:rPr>
          <w:rFonts w:hint="default" w:ascii="Times New Roman" w:hAnsi="Times New Roman" w:cs="Times New Roman"/>
          <w:color w:val="000000" w:themeColor="text1"/>
          <w:lang w:eastAsia="zh-CN"/>
          <w14:textFill>
            <w14:solidFill>
              <w14:schemeClr w14:val="tx1"/>
            </w14:solidFill>
          </w14:textFill>
        </w:rPr>
        <w:t>况向</w:t>
      </w:r>
      <w:r>
        <w:rPr>
          <w:rFonts w:hint="default" w:ascii="Times New Roman" w:hAnsi="Times New Roman" w:cs="Times New Roman"/>
          <w:color w:val="000000" w:themeColor="text1"/>
          <w14:textFill>
            <w14:solidFill>
              <w14:schemeClr w14:val="tx1"/>
            </w14:solidFill>
          </w14:textFill>
        </w:rPr>
        <w:t>有关主管部门备案。</w:t>
      </w:r>
    </w:p>
    <w:p w14:paraId="1F43F74A">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231" w:name="_Toc321836357"/>
      <w:bookmarkStart w:id="232" w:name="_Toc27542"/>
      <w:bookmarkStart w:id="233" w:name="_Toc2709"/>
      <w:bookmarkStart w:id="234" w:name="_Toc18201"/>
      <w:bookmarkStart w:id="235" w:name="_Toc21581"/>
      <w:bookmarkStart w:id="236" w:name="_Toc7942"/>
      <w:r>
        <w:rPr>
          <w:rFonts w:hint="default" w:ascii="Times New Roman" w:hAnsi="Times New Roman" w:cs="Times New Roman"/>
          <w:b/>
          <w:bCs/>
          <w:color w:val="000000" w:themeColor="text1"/>
          <w14:textFill>
            <w14:solidFill>
              <w14:schemeClr w14:val="tx1"/>
            </w14:solidFill>
          </w14:textFill>
        </w:rPr>
        <w:t>5.2 投诉</w:t>
      </w:r>
      <w:bookmarkEnd w:id="231"/>
      <w:bookmarkEnd w:id="232"/>
      <w:bookmarkEnd w:id="233"/>
      <w:bookmarkEnd w:id="234"/>
      <w:bookmarkEnd w:id="235"/>
      <w:bookmarkEnd w:id="236"/>
    </w:p>
    <w:p w14:paraId="5FEE3096">
      <w:pPr>
        <w:spacing w:line="360" w:lineRule="auto"/>
        <w:ind w:firstLine="420" w:firstLineChars="200"/>
        <w:rPr>
          <w:rFonts w:hint="default" w:ascii="Times New Roman" w:hAnsi="Times New Roman" w:cs="Times New Roman"/>
          <w:b/>
          <w:bCs/>
          <w:color w:val="000000" w:themeColor="text1"/>
          <w:sz w:val="32"/>
          <w:szCs w:val="32"/>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投诉必须首先经过质疑程序。质疑人对采购人、采购代理机构的答复不满意，或者采购人、采购代理机构未在规定的时间内</w:t>
      </w:r>
      <w:r>
        <w:rPr>
          <w:rFonts w:hint="default" w:ascii="Times New Roman" w:hAnsi="Times New Roman" w:cs="Times New Roman"/>
          <w:color w:val="000000" w:themeColor="text1"/>
          <w:lang w:eastAsia="zh-CN"/>
          <w14:textFill>
            <w14:solidFill>
              <w14:schemeClr w14:val="tx1"/>
            </w14:solidFill>
          </w14:textFill>
        </w:rPr>
        <w:t>作出</w:t>
      </w:r>
      <w:r>
        <w:rPr>
          <w:rFonts w:hint="default" w:ascii="Times New Roman" w:hAnsi="Times New Roman" w:cs="Times New Roman"/>
          <w:color w:val="000000" w:themeColor="text1"/>
          <w14:textFill>
            <w14:solidFill>
              <w14:schemeClr w14:val="tx1"/>
            </w14:solidFill>
          </w14:textFill>
        </w:rPr>
        <w:t>答复的，可以在答复期满后十五个工作日内书面向有关监管部门提出投诉。</w:t>
      </w:r>
      <w:bookmarkStart w:id="237" w:name="_Toc414014532"/>
      <w:bookmarkStart w:id="238" w:name="_Toc28634"/>
      <w:bookmarkStart w:id="239" w:name="_Toc122530390"/>
      <w:bookmarkStart w:id="240" w:name="_Toc19169"/>
      <w:bookmarkStart w:id="241" w:name="_Toc25841"/>
      <w:bookmarkStart w:id="242" w:name="_Toc9352"/>
      <w:bookmarkStart w:id="243" w:name="_Toc11326361"/>
      <w:bookmarkStart w:id="244" w:name="_Toc370201281"/>
      <w:bookmarkStart w:id="245" w:name="_Toc330589215"/>
      <w:bookmarkStart w:id="246" w:name="_Toc27921"/>
    </w:p>
    <w:p w14:paraId="50EEB07D">
      <w:pPr>
        <w:spacing w:line="360" w:lineRule="auto"/>
        <w:jc w:val="center"/>
        <w:outlineLvl w:val="2"/>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6.成交通知和合同授予</w:t>
      </w:r>
      <w:bookmarkEnd w:id="237"/>
      <w:bookmarkEnd w:id="238"/>
      <w:bookmarkEnd w:id="239"/>
      <w:bookmarkEnd w:id="240"/>
      <w:bookmarkEnd w:id="241"/>
      <w:bookmarkEnd w:id="242"/>
      <w:bookmarkEnd w:id="243"/>
      <w:bookmarkEnd w:id="244"/>
      <w:bookmarkEnd w:id="245"/>
      <w:bookmarkEnd w:id="246"/>
    </w:p>
    <w:p w14:paraId="60FC442F">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247" w:name="_Toc22244"/>
      <w:bookmarkStart w:id="248" w:name="_Toc17592"/>
      <w:bookmarkStart w:id="249" w:name="_Toc5895"/>
      <w:bookmarkStart w:id="250" w:name="_Toc4785"/>
      <w:bookmarkStart w:id="251" w:name="_Toc11929"/>
      <w:bookmarkStart w:id="252" w:name="_Toc122530392"/>
      <w:r>
        <w:rPr>
          <w:rFonts w:hint="default" w:ascii="Times New Roman" w:hAnsi="Times New Roman" w:cs="Times New Roman"/>
          <w:b/>
          <w:bCs/>
          <w:color w:val="000000" w:themeColor="text1"/>
          <w14:textFill>
            <w14:solidFill>
              <w14:schemeClr w14:val="tx1"/>
            </w14:solidFill>
          </w14:textFill>
        </w:rPr>
        <w:t>6.1 成交通知</w:t>
      </w:r>
      <w:bookmarkEnd w:id="247"/>
      <w:bookmarkEnd w:id="248"/>
      <w:bookmarkEnd w:id="249"/>
      <w:bookmarkEnd w:id="250"/>
      <w:bookmarkEnd w:id="251"/>
      <w:bookmarkEnd w:id="252"/>
    </w:p>
    <w:p w14:paraId="669C6C4C">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6.1.1 采购代理机构应当在评审结束后2个工作日内将评审报告送采购人确认。</w:t>
      </w:r>
    </w:p>
    <w:p w14:paraId="0EBEF842">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6.1.2 采购人应当在收到评审报告后5个工作日内，从评审报告提出的成交候选人中，采购人依据磋商小组推荐的成交候选人确定成交人。</w:t>
      </w:r>
    </w:p>
    <w:p w14:paraId="1630B6D2">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6.1.3采购人应当确定排名第一的成交候选人为成交人。排名第一的成交候选人放弃成交采购人可以确定排名第二的成交候选人为成交人。</w:t>
      </w:r>
    </w:p>
    <w:p w14:paraId="1A4C39B0">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排名第二的成交候选人因前款规定的同样原因不能签订合同的，采购人可以确定排名第三的成交候选人为成交人。</w:t>
      </w:r>
    </w:p>
    <w:p w14:paraId="20CA9946">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6.1.4采购人或者采购代理机构应当在成交供应商确定后，在省级以上财政部门指定的政府采购信息发布媒体上公告成交结果，同时向成交供应商发出成交通知书，并将磋商文件随成交结果同时公告，公示期为1个工作日。</w:t>
      </w:r>
    </w:p>
    <w:p w14:paraId="04ABBB7A">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6.1.5 成交通知书是合同的一个组成部分。</w:t>
      </w:r>
    </w:p>
    <w:p w14:paraId="4B8A6D24">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6.1.6 除不可抗力等因素外，成交通知书发出后，采购人改变成交结果，或者成交供应商拒绝签订采购合同的，应当承担相应的法律责任。</w:t>
      </w:r>
    </w:p>
    <w:p w14:paraId="46EB02BB">
      <w:pPr>
        <w:spacing w:line="360" w:lineRule="auto"/>
        <w:outlineLvl w:val="3"/>
        <w:rPr>
          <w:rFonts w:hint="default" w:ascii="Times New Roman" w:hAnsi="Times New Roman" w:cs="Times New Roman"/>
          <w:b/>
          <w:bCs/>
          <w:color w:val="000000" w:themeColor="text1"/>
          <w14:textFill>
            <w14:solidFill>
              <w14:schemeClr w14:val="tx1"/>
            </w14:solidFill>
          </w14:textFill>
        </w:rPr>
      </w:pPr>
      <w:bookmarkStart w:id="253" w:name="_Toc122530393"/>
      <w:r>
        <w:rPr>
          <w:rFonts w:hint="default" w:ascii="Times New Roman" w:hAnsi="Times New Roman" w:cs="Times New Roman"/>
          <w:b/>
          <w:bCs/>
          <w:color w:val="000000" w:themeColor="text1"/>
          <w14:textFill>
            <w14:solidFill>
              <w14:schemeClr w14:val="tx1"/>
            </w14:solidFill>
          </w14:textFill>
        </w:rPr>
        <w:t>6.2 签订合同</w:t>
      </w:r>
      <w:bookmarkEnd w:id="253"/>
    </w:p>
    <w:p w14:paraId="1D458D80">
      <w:pPr>
        <w:keepNext w:val="0"/>
        <w:keepLines w:val="0"/>
        <w:pageBreakBefore w:val="0"/>
        <w:widowControl w:val="0"/>
        <w:kinsoku/>
        <w:wordWrap/>
        <w:overflowPunct/>
        <w:topLinePunct w:val="0"/>
        <w:autoSpaceDE/>
        <w:autoSpaceDN/>
        <w:bidi w:val="0"/>
        <w:adjustRightInd/>
        <w:snapToGrid/>
        <w:spacing w:line="408" w:lineRule="auto"/>
        <w:ind w:firstLine="420" w:firstLineChars="200"/>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6.2.1 成交人按《成交通知书》规定的事项与采购人签订合同。</w:t>
      </w:r>
    </w:p>
    <w:p w14:paraId="743D4BC7">
      <w:pPr>
        <w:keepNext w:val="0"/>
        <w:keepLines w:val="0"/>
        <w:pageBreakBefore w:val="0"/>
        <w:widowControl w:val="0"/>
        <w:kinsoku/>
        <w:wordWrap/>
        <w:overflowPunct/>
        <w:topLinePunct w:val="0"/>
        <w:autoSpaceDE/>
        <w:autoSpaceDN/>
        <w:bidi w:val="0"/>
        <w:adjustRightInd/>
        <w:snapToGrid/>
        <w:spacing w:line="408" w:lineRule="auto"/>
        <w:ind w:firstLine="420" w:firstLineChars="200"/>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6.2.2 竞争性磋商文件、成交供应商的磋商文件及其磋商承诺、成交通知书，均作为签订合同内容的依据。</w:t>
      </w:r>
    </w:p>
    <w:p w14:paraId="2C5BBF3D">
      <w:pPr>
        <w:keepNext w:val="0"/>
        <w:keepLines w:val="0"/>
        <w:pageBreakBefore w:val="0"/>
        <w:widowControl w:val="0"/>
        <w:kinsoku/>
        <w:wordWrap/>
        <w:overflowPunct/>
        <w:topLinePunct w:val="0"/>
        <w:autoSpaceDE/>
        <w:autoSpaceDN/>
        <w:bidi w:val="0"/>
        <w:adjustRightInd/>
        <w:snapToGrid/>
        <w:spacing w:line="408" w:lineRule="auto"/>
        <w:ind w:firstLine="420" w:firstLineChars="200"/>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6.2.3 采购人与成交供应商应当在成交通知书发出之日起30日内，按照竞争性磋商文件确定的合同文本以及采购标的、规格型号、采购金额、采购数量、采购需求等事项签订采购合同。</w:t>
      </w:r>
    </w:p>
    <w:p w14:paraId="060D3406">
      <w:pPr>
        <w:keepNext w:val="0"/>
        <w:keepLines w:val="0"/>
        <w:pageBreakBefore w:val="0"/>
        <w:widowControl w:val="0"/>
        <w:kinsoku/>
        <w:wordWrap/>
        <w:overflowPunct/>
        <w:topLinePunct w:val="0"/>
        <w:autoSpaceDE/>
        <w:autoSpaceDN/>
        <w:bidi w:val="0"/>
        <w:adjustRightInd/>
        <w:snapToGrid/>
        <w:spacing w:line="408" w:lineRule="auto"/>
        <w:ind w:firstLine="420" w:firstLineChars="200"/>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6.2.4 第一成交人拒绝签订采购合同的，按6.1.3规定的方式确定成交人并签订采购合同，也可以重新开展采购活动。拒绝签订采购合同的成交人不得参加对该项目重新开展的采购活动。</w:t>
      </w:r>
    </w:p>
    <w:p w14:paraId="2152C8C6">
      <w:pPr>
        <w:keepNext w:val="0"/>
        <w:keepLines w:val="0"/>
        <w:pageBreakBefore w:val="0"/>
        <w:widowControl w:val="0"/>
        <w:kinsoku/>
        <w:wordWrap/>
        <w:overflowPunct/>
        <w:topLinePunct w:val="0"/>
        <w:autoSpaceDE/>
        <w:autoSpaceDN/>
        <w:bidi w:val="0"/>
        <w:adjustRightInd/>
        <w:snapToGrid/>
        <w:spacing w:line="408" w:lineRule="auto"/>
        <w:ind w:firstLine="420" w:firstLineChars="200"/>
        <w:textAlignment w:val="auto"/>
        <w:rPr>
          <w:rFonts w:hint="default" w:ascii="Times New Roman" w:hAnsi="Times New Roman" w:cs="Times New Roman"/>
          <w:color w:val="000000" w:themeColor="text1"/>
          <w:kern w:val="0"/>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6.2.5采购合同履行中，采购人需追加与合同标的相同的货物、工程或服务的，在不改变合同其他条款的前提下，可以与供应商签订补充合同，但所有补充合同的采购金额不得超过原合同采购金额的百分之十。</w:t>
      </w:r>
      <w:bookmarkStart w:id="254" w:name="_Toc17580"/>
      <w:bookmarkStart w:id="255" w:name="_Toc27203"/>
      <w:bookmarkStart w:id="256" w:name="_Toc14790"/>
      <w:bookmarkStart w:id="257" w:name="_Toc22696"/>
    </w:p>
    <w:p w14:paraId="0FCC658C">
      <w:pPr>
        <w:pStyle w:val="4"/>
        <w:spacing w:before="0" w:after="0"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14:textFill>
            <w14:solidFill>
              <w14:schemeClr w14:val="tx1"/>
            </w14:solidFill>
          </w14:textFill>
        </w:rPr>
        <w:t>7.采购活动需要落实的政策</w:t>
      </w:r>
      <w:bookmarkEnd w:id="254"/>
      <w:bookmarkEnd w:id="255"/>
      <w:bookmarkEnd w:id="256"/>
      <w:bookmarkEnd w:id="257"/>
    </w:p>
    <w:p w14:paraId="6ABE3126">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7.1.1中小微企业执行《关于印发〈政府采购促进中小企业发展管理办法〉的通知》（财库〔2020〕46号）。</w:t>
      </w:r>
    </w:p>
    <w:p w14:paraId="76E766A8">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w:t>
      </w:r>
    </w:p>
    <w:p w14:paraId="1CB76593">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7.1.2符合中小企业划分标准的个体工商户，在政府采购活动中视同中小企业。</w:t>
      </w:r>
    </w:p>
    <w:p w14:paraId="59A3BC3C">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在货物采购项目中，供应商提供的货物既有中小企业制造货物，也有大型企业制造货物的，在本项目不</w:t>
      </w:r>
      <w:r>
        <w:rPr>
          <w:rFonts w:hint="default" w:ascii="Times New Roman" w:hAnsi="Times New Roman" w:cs="Times New Roman"/>
          <w:color w:val="000000" w:themeColor="text1"/>
          <w:szCs w:val="21"/>
          <w:lang w:eastAsia="zh-CN"/>
          <w14:textFill>
            <w14:solidFill>
              <w14:schemeClr w14:val="tx1"/>
            </w14:solidFill>
          </w14:textFill>
        </w:rPr>
        <w:t>享受</w:t>
      </w:r>
      <w:r>
        <w:rPr>
          <w:rFonts w:hint="default" w:ascii="Times New Roman" w:hAnsi="Times New Roman" w:cs="Times New Roman"/>
          <w:color w:val="000000" w:themeColor="text1"/>
          <w:szCs w:val="21"/>
          <w14:textFill>
            <w14:solidFill>
              <w14:schemeClr w14:val="tx1"/>
            </w14:solidFill>
          </w14:textFill>
        </w:rPr>
        <w:t>扶持政策。</w:t>
      </w:r>
    </w:p>
    <w:p w14:paraId="6B4EC1F2">
      <w:pPr>
        <w:pStyle w:val="16"/>
        <w:spacing w:line="360" w:lineRule="auto"/>
        <w:ind w:left="0" w:leftChars="0" w:firstLine="0" w:firstLineChars="0"/>
        <w:jc w:val="left"/>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 7.1.3本项目不属于专门面向中小企业采购的项目。本项目针对小型和微型企业的价格给予3%的扣除，用扣除后的价格参与评审。监狱企业、残疾人福利性单位等同于小微企业。</w:t>
      </w:r>
    </w:p>
    <w:p w14:paraId="29DE3233">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依据财库〔2020〕46号规定享受扶持政策获得政府采购合同的，小微企业不得将合同分包给大中型企业，中型企业不得将合同分包给大型企业。</w:t>
      </w:r>
    </w:p>
    <w:p w14:paraId="7BF46733">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根据《关于印发中小企业划型标准规定的通知》（工信部联企业〔2011〕300号）精神，各行业划型标准为：</w:t>
      </w:r>
    </w:p>
    <w:p w14:paraId="65FC324F">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（一）农、林、牧、渔业营业收入20000万元以下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中小微型企业。其中，营业收入500万元及以上的为中型企业，营业收入50万元及以上的为小型企业，营业收入50万元以下的为微型企业。</w:t>
      </w:r>
    </w:p>
    <w:p w14:paraId="36860470">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（二）工业从业人员1000人以下或营业收入40000万元以下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中小微型企业。其中，从业人员300人及以上，且营业收入2000万元及以上的为中型企业；从业人员20人及以上，且营业收入300万元及以上的为小型企业；从业人员20人以下或营业收入300万元以下的为微型企业。</w:t>
      </w:r>
    </w:p>
    <w:p w14:paraId="256D6B83">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（三）建筑业营业收入80000万元以下或资产总额80000万元以下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BE3F361">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（四）批发业从业人员200人以下或营业收入40000万元以下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中小微型企业。其中，从业人员20人及以上，且营业收入5000万元及以上的为中型企业；从业人员5人及以上，且营业收入1000万元及以上的为小型企业；从业人员5人以下或营业收入1000万元以下的为微型企业。</w:t>
      </w:r>
    </w:p>
    <w:p w14:paraId="642A3419">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（五）零售业从业人员300人以下或营业收入20000万元以下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中小微型企业。其中，从业人员50人及以上，且营业收入500万元及以上的为中型企业；从业人员10人及以上，且营业收入100万元及以上的为小型企业；从业人员10人以下或营业收入100万元以下的为微型企业。</w:t>
      </w:r>
    </w:p>
    <w:p w14:paraId="2DE9B7B4">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（六）交通运输业从业人员1000人以下或营业收入30000万元以下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中小微型企业。其中，从业人员300人及以上，且营业收入3000万元及以上的为中型企业；从业人员20人及以上，且营业收入200万元及以上的为小型企业；从业人员20人以下或营业收入200万元以下的为微型企业。</w:t>
      </w:r>
    </w:p>
    <w:p w14:paraId="54D7282B">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（七）仓储业从业人员200人以下或营业收入30000万元以下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中小微型企业。其中，从业人员100人及以上，且营业收入1000万元及以上的为中型企业；从业人员20人及以上，且营业收入100万元及以上的为小型企业；从业人员20人以下或营业收入100万元以下的为微型企业。</w:t>
      </w:r>
    </w:p>
    <w:p w14:paraId="1F716469">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（八）邮政业从业人员1000人以下或营业收入30000万元以下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中小微型企业。其中，从业人员300人及以上，且营业收入2000万元及以上的为中型企业；从业人员20人及以上，且营业收入100万元及以上的为小型企业；从业人员20人以下或营业收入100万元以下的为微型企业。</w:t>
      </w:r>
    </w:p>
    <w:p w14:paraId="7D33B198">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（九）住宿业从业人员300人以下或营业收入10000万元以下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中小微型企业。其中，从业人员100人及以上，且营业收入2000万元及以上的为中型企业；从业人员10人及以上，且营业收入100万元及以上的为小型企业；从业人员10人以下或营业收入100万元以下的为微型企业。</w:t>
      </w:r>
    </w:p>
    <w:p w14:paraId="4049C687">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（十）餐饮业从业人员300人以下或营业收入10000万元以下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中小微型企业。其中，从业人员100人及以上，且营业收入2000万元及以上的为中型企业；从业人员10人及以上，且营业收入100万元及以上的为小型企业；从业人员10人以下或营业收入100万元以下的为微型企业。</w:t>
      </w:r>
    </w:p>
    <w:p w14:paraId="2E372A81">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（十一）信息传输业从业人员2000人以下或营业收入100000万元以下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中小微型企业。其中，从业人员100人及以上，且营业收入1000万元及以上的为中型企业；从业人员10人及以上，且营业收入100万元及以上的为小型企业；从业人员10人以下或营业收入100万元以下的为微型企业。</w:t>
      </w:r>
    </w:p>
    <w:p w14:paraId="64570DEC">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（十二）软件和信息技术服务业从业人员300人以下或营业收入10000万元以下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中小微型企业。其中，从业人员100人及以上，且营业收入1000万元及以上的为中型企业；从业人员10人及以上，且营业收入50万元及以上的为小型企业；从业人员10人以下或营业收入50万元以下的为微型企业。</w:t>
      </w:r>
    </w:p>
    <w:p w14:paraId="25223634">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（十三）房地产开发经营营业收入200000万元以下或资产总额10000万元以下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476C3DD">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（十四）物业管理从业人员1000人以下或营业收入5000万元以下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中小微型企业。其中，从业人员300人及以上，且营业收入1000万元及以上的为中型企业；从业人员100人及以上，且营业收入500万元及以上的为小型企业；从业人员100人以下或营业收入500万元以下的为微型企业。</w:t>
      </w:r>
    </w:p>
    <w:p w14:paraId="39712565">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（十五）租赁和商务服务业从业人员300人以下或资产总额120000万元以下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中小微型企业。其中，从业人员100人及以上，且资产总额8000万元及以上的为中型企业；从业人员10人及以上，且资产总额100万元及以上的为小型企业；从业人员10人以下或资产总额100万元以下的为微型企业。</w:t>
      </w:r>
    </w:p>
    <w:p w14:paraId="58C2686A">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（十六）其他未列明行业从业人员300人以下</w:t>
      </w:r>
      <w:r>
        <w:rPr>
          <w:rFonts w:hint="default" w:ascii="Times New Roman" w:hAnsi="Times New Roman" w:cs="Times New Roman"/>
          <w:color w:val="000000" w:themeColor="text1"/>
          <w:szCs w:val="21"/>
          <w:lang w:eastAsia="zh-CN"/>
          <w14:textFill>
            <w14:solidFill>
              <w14:schemeClr w14:val="tx1"/>
            </w14:solidFill>
          </w14:textFill>
        </w:rPr>
        <w:t>的</w:t>
      </w:r>
      <w:r>
        <w:rPr>
          <w:rFonts w:hint="default" w:ascii="Times New Roman" w:hAnsi="Times New Roman" w:cs="Times New Roman"/>
          <w:color w:val="000000" w:themeColor="text1"/>
          <w:szCs w:val="21"/>
          <w14:textFill>
            <w14:solidFill>
              <w14:schemeClr w14:val="tx1"/>
            </w14:solidFill>
          </w14:textFill>
        </w:rPr>
        <w:t>中小微型企业。其中，从业人员100人及以上的为中型企业；从业人员10人及以上的为小型企业；从业人员10人以下的为微型企业。</w:t>
      </w:r>
    </w:p>
    <w:p w14:paraId="10F44817">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以上行业供</w:t>
      </w:r>
      <w:r>
        <w:rPr>
          <w:rFonts w:hint="default" w:ascii="Times New Roman" w:hAnsi="Times New Roman" w:cs="Times New Roman"/>
          <w:color w:val="000000" w:themeColor="text1"/>
          <w:szCs w:val="21"/>
          <w:lang w:eastAsia="zh-CN"/>
          <w14:textFill>
            <w14:solidFill>
              <w14:schemeClr w14:val="tx1"/>
            </w14:solidFill>
          </w14:textFill>
        </w:rPr>
        <w:t>应商</w:t>
      </w:r>
      <w:r>
        <w:rPr>
          <w:rFonts w:hint="default" w:ascii="Times New Roman" w:hAnsi="Times New Roman" w:cs="Times New Roman"/>
          <w:color w:val="000000" w:themeColor="text1"/>
          <w:szCs w:val="21"/>
          <w14:textFill>
            <w14:solidFill>
              <w14:schemeClr w14:val="tx1"/>
            </w14:solidFill>
          </w14:textFill>
        </w:rPr>
        <w:t>填写《中小企业声明函》时参考，行业标准划分，以有关部门</w:t>
      </w:r>
      <w:r>
        <w:rPr>
          <w:rFonts w:hint="default" w:ascii="Times New Roman" w:hAnsi="Times New Roman" w:cs="Times New Roman"/>
          <w:color w:val="000000" w:themeColor="text1"/>
          <w:szCs w:val="21"/>
          <w:lang w:eastAsia="zh-CN"/>
          <w14:textFill>
            <w14:solidFill>
              <w14:schemeClr w14:val="tx1"/>
            </w14:solidFill>
          </w14:textFill>
        </w:rPr>
        <w:t>及时</w:t>
      </w:r>
      <w:r>
        <w:rPr>
          <w:rFonts w:hint="default" w:ascii="Times New Roman" w:hAnsi="Times New Roman" w:cs="Times New Roman"/>
          <w:color w:val="000000" w:themeColor="text1"/>
          <w:szCs w:val="21"/>
          <w14:textFill>
            <w14:solidFill>
              <w14:schemeClr w14:val="tx1"/>
            </w14:solidFill>
          </w14:textFill>
        </w:rPr>
        <w:t>发布的最新标准为准。</w:t>
      </w:r>
    </w:p>
    <w:p w14:paraId="0D0FBF9B">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7.1.3中、小、微型企业的须提供《中小企业声明函》，如不为中、小、微型企业的可不需填写。</w:t>
      </w:r>
    </w:p>
    <w:p w14:paraId="41663E0C">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7.1.</w:t>
      </w:r>
      <w:r>
        <w:rPr>
          <w:rFonts w:hint="default" w:ascii="Times New Roman" w:hAnsi="Times New Roman" w:cs="Times New Roman"/>
          <w:color w:val="000000" w:themeColor="text1"/>
          <w:szCs w:val="21"/>
          <w:lang w:val="en-US" w:eastAsia="zh-CN"/>
          <w14:textFill>
            <w14:solidFill>
              <w14:schemeClr w14:val="tx1"/>
            </w14:solidFill>
          </w14:textFill>
        </w:rPr>
        <w:t>4</w:t>
      </w:r>
      <w:r>
        <w:rPr>
          <w:rFonts w:hint="default" w:ascii="Times New Roman" w:hAnsi="Times New Roman" w:cs="Times New Roman"/>
          <w:color w:val="000000" w:themeColor="text1"/>
          <w:szCs w:val="21"/>
          <w14:textFill>
            <w14:solidFill>
              <w14:schemeClr w14:val="tx1"/>
            </w14:solidFill>
          </w14:textFill>
        </w:rPr>
        <w:t>本项目所属行业类别：建筑业。</w:t>
      </w:r>
    </w:p>
    <w:p w14:paraId="6DFBD95C">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7.1.</w:t>
      </w:r>
      <w:r>
        <w:rPr>
          <w:rFonts w:hint="default" w:ascii="Times New Roman" w:hAnsi="Times New Roman" w:cs="Times New Roman"/>
          <w:color w:val="000000" w:themeColor="text1"/>
          <w:szCs w:val="21"/>
          <w:lang w:val="en-US" w:eastAsia="zh-CN"/>
          <w14:textFill>
            <w14:solidFill>
              <w14:schemeClr w14:val="tx1"/>
            </w14:solidFill>
          </w14:textFill>
        </w:rPr>
        <w:t>5</w:t>
      </w:r>
      <w:r>
        <w:rPr>
          <w:rFonts w:hint="default" w:ascii="Times New Roman" w:hAnsi="Times New Roman" w:cs="Times New Roman"/>
          <w:color w:val="000000" w:themeColor="text1"/>
          <w:szCs w:val="21"/>
          <w14:textFill>
            <w14:solidFill>
              <w14:schemeClr w14:val="tx1"/>
            </w14:solidFill>
          </w14:textFill>
        </w:rPr>
        <w:t>以联合体形式参加政府采购活动，联合体各方均为中小企业的，联合体视同中小企业。其中，联合体各方均为小微企业的，联合体视同小微企业。</w:t>
      </w:r>
    </w:p>
    <w:p w14:paraId="6372CC8F">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7.2关于监狱企业</w:t>
      </w:r>
    </w:p>
    <w:p w14:paraId="1891678A">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F4C2C13">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7.2.2监狱企业参加政府采购活动时，应当提供由省级以上监狱管理局、戒毒管理局（含新疆生产建设兵团）出具的属于监狱企业的证明文件。</w:t>
      </w:r>
    </w:p>
    <w:p w14:paraId="66DF3B02">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7.2.3在政府采购活动中，监狱企业视同小型、微型企业，享受预留份额、</w:t>
      </w:r>
      <w:r>
        <w:rPr>
          <w:rFonts w:hint="default" w:ascii="Times New Roman" w:hAnsi="Times New Roman" w:cs="Times New Roman"/>
          <w:color w:val="000000" w:themeColor="text1"/>
          <w:szCs w:val="21"/>
          <w:lang w:eastAsia="zh-CN"/>
          <w14:textFill>
            <w14:solidFill>
              <w14:schemeClr w14:val="tx1"/>
            </w14:solidFill>
          </w14:textFill>
        </w:rPr>
        <w:t>评审</w:t>
      </w:r>
      <w:r>
        <w:rPr>
          <w:rFonts w:hint="default" w:ascii="Times New Roman" w:hAnsi="Times New Roman" w:cs="Times New Roman"/>
          <w:color w:val="000000" w:themeColor="text1"/>
          <w:szCs w:val="21"/>
          <w14:textFill>
            <w14:solidFill>
              <w14:schemeClr w14:val="tx1"/>
            </w14:solidFill>
          </w14:textFill>
        </w:rPr>
        <w:t>价格扣除等政府采购促进中小企业发展的政府采购政策。</w:t>
      </w:r>
    </w:p>
    <w:p w14:paraId="5173C198">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7.3关于残疾人福利性单位</w:t>
      </w:r>
    </w:p>
    <w:p w14:paraId="18561FB0">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7.3.1根据《三部门联合发布关于促进残疾人就业政府采购政策的通知》（财库〔2017〕141号）的规定，享受政府采购支持政策的残疾人福利性单位应当同时满足以下条件：</w:t>
      </w:r>
    </w:p>
    <w:p w14:paraId="36357A6D">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（一）安置的残疾人占本单位在职职工人数的比例不低于25%（含25%），并且安置的残疾人人数不少于10人（含10人）；</w:t>
      </w:r>
    </w:p>
    <w:p w14:paraId="1017CF80">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（二）依法与安置的每位残疾人签订了一年以上（含一年）的劳动合同或服务协议；</w:t>
      </w:r>
    </w:p>
    <w:p w14:paraId="55C4EB41">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（三）为安置的每位残疾人按月足额缴纳了基本养老保险、基本医疗保险、失业保险、工伤保险和生育保险等社会保险费；</w:t>
      </w:r>
    </w:p>
    <w:p w14:paraId="0BDB94B6">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（四）通过银行等金融机构向安置的每位残疾人，按月支付了不低于单位所在区县适用的经省级人民政府批准的月最低工资标准的工资；</w:t>
      </w:r>
    </w:p>
    <w:p w14:paraId="0ACF830F">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14:paraId="494E48D0">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F63320A">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7.3.2符合条件的残疾人福利性单位在参加政府采购活动时，应当按《三部门联合发布关于促进残疾人就业政府采购政策的通知》（财库〔2017〕141号）提供规定的《残疾人福利性单位声明函》，并对声明的真实性负责，若提供的《残疾人福利性单位声明函》与事实不符的，依照《</w:t>
      </w:r>
      <w:r>
        <w:rPr>
          <w:rFonts w:hint="default" w:ascii="Times New Roman" w:hAnsi="Times New Roman" w:cs="Times New Roman"/>
          <w:color w:val="000000" w:themeColor="text1"/>
          <w:szCs w:val="21"/>
          <w:lang w:eastAsia="zh-CN"/>
          <w14:textFill>
            <w14:solidFill>
              <w14:schemeClr w14:val="tx1"/>
            </w14:solidFill>
          </w14:textFill>
        </w:rPr>
        <w:t>中华人民共和国政府采购法</w:t>
      </w:r>
      <w:r>
        <w:rPr>
          <w:rFonts w:hint="default" w:ascii="Times New Roman" w:hAnsi="Times New Roman" w:cs="Times New Roman"/>
          <w:color w:val="000000" w:themeColor="text1"/>
          <w:szCs w:val="21"/>
          <w14:textFill>
            <w14:solidFill>
              <w14:schemeClr w14:val="tx1"/>
            </w14:solidFill>
          </w14:textFill>
        </w:rPr>
        <w:t>》第七十七条第一款的规定追究法律责任。</w:t>
      </w:r>
    </w:p>
    <w:p w14:paraId="786804FD">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7.3.3本项目针对残疾人福利性单位产品或</w:t>
      </w:r>
      <w:r>
        <w:rPr>
          <w:rFonts w:hint="default" w:ascii="Times New Roman" w:hAnsi="Times New Roman" w:cs="Times New Roman"/>
          <w:color w:val="000000" w:themeColor="text1"/>
          <w:szCs w:val="21"/>
          <w:lang w:eastAsia="zh-CN"/>
          <w14:textFill>
            <w14:solidFill>
              <w14:schemeClr w14:val="tx1"/>
            </w14:solidFill>
          </w14:textFill>
        </w:rPr>
        <w:t>服务</w:t>
      </w:r>
      <w:r>
        <w:rPr>
          <w:rFonts w:hint="default" w:ascii="Times New Roman" w:hAnsi="Times New Roman" w:cs="Times New Roman"/>
          <w:color w:val="000000" w:themeColor="text1"/>
          <w:szCs w:val="21"/>
          <w14:textFill>
            <w14:solidFill>
              <w14:schemeClr w14:val="tx1"/>
            </w14:solidFill>
          </w14:textFill>
        </w:rPr>
        <w:t>视同小微企业享受政府采购扶持政策。</w:t>
      </w:r>
    </w:p>
    <w:p w14:paraId="5AAC16C5">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7.4关于节能产品及环境标志产品</w:t>
      </w:r>
    </w:p>
    <w:p w14:paraId="3063D9E7">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7.4.1根据《财政部发展改革委生态环境部市场监管总局关于调整优化节能产品、环境标志产品政府采购执行机制的通知》（财库〔2019〕9号）和《市场监管总局关于发布参与实施政府采购节能产品、环境标志产品认证机构名录的公告规定》（2019年第16号），提供国家确定的认证机构出具的、处于有效期之内的节能产品、环境标志产品认证证书等证明材料证明。</w:t>
      </w:r>
    </w:p>
    <w:p w14:paraId="452CCAD7">
      <w:pPr>
        <w:pStyle w:val="16"/>
        <w:spacing w:line="360" w:lineRule="auto"/>
        <w:ind w:left="0" w:leftChars="0" w:firstLine="0" w:firstLineChars="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节能产品和环境标志产品清单详见《关于印发节能产品政府采购品目清单的通知》（财库〔2019〕19号）和《关于印发环境标志产品政府采购品目清单的通知》（财库〔2019〕18号）。</w:t>
      </w:r>
    </w:p>
    <w:p w14:paraId="30BCA073">
      <w:pPr>
        <w:pStyle w:val="16"/>
        <w:spacing w:line="360" w:lineRule="auto"/>
        <w:ind w:left="0" w:leftChars="0"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7.5 </w:t>
      </w:r>
      <w:r>
        <w:rPr>
          <w:rFonts w:hint="default" w:ascii="Times New Roman" w:hAnsi="Times New Roman" w:cs="Times New Roman"/>
          <w:color w:val="000000" w:themeColor="text1"/>
          <w:szCs w:val="21"/>
          <w:lang w:eastAsia="zh-CN"/>
          <w14:textFill>
            <w14:solidFill>
              <w14:schemeClr w14:val="tx1"/>
            </w14:solidFill>
          </w14:textFill>
        </w:rPr>
        <w:t>其他</w:t>
      </w:r>
      <w:r>
        <w:rPr>
          <w:rFonts w:hint="default" w:ascii="Times New Roman" w:hAnsi="Times New Roman" w:cs="Times New Roman"/>
          <w:color w:val="000000" w:themeColor="text1"/>
          <w:szCs w:val="21"/>
          <w14:textFill>
            <w14:solidFill>
              <w14:schemeClr w14:val="tx1"/>
            </w14:solidFill>
          </w14:textFill>
        </w:rPr>
        <w:t>需要补充的其他内容：详见《供应商须知前附表》。</w:t>
      </w:r>
    </w:p>
    <w:p w14:paraId="443043EF">
      <w:pPr>
        <w:pStyle w:val="16"/>
        <w:spacing w:line="360" w:lineRule="auto"/>
        <w:ind w:left="0" w:leftChars="0" w:firstLine="0" w:firstLineChars="0"/>
        <w:jc w:val="both"/>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kern w:val="0"/>
          <w:sz w:val="32"/>
          <w:szCs w:val="32"/>
          <w14:textFill>
            <w14:solidFill>
              <w14:schemeClr w14:val="tx1"/>
            </w14:solidFill>
          </w14:textFill>
        </w:rPr>
        <w:t>8.采购人补充的其他内容</w:t>
      </w:r>
    </w:p>
    <w:p w14:paraId="758E7054">
      <w:pPr>
        <w:pStyle w:val="16"/>
        <w:spacing w:line="360" w:lineRule="auto"/>
        <w:ind w:left="0" w:leftChars="0" w:firstLine="0" w:firstLineChars="0"/>
        <w:jc w:val="left"/>
        <w:rPr>
          <w:rFonts w:hint="default" w:ascii="Times New Roman" w:hAnsi="Times New Roman" w:eastAsia="宋体" w:cs="Times New Roman"/>
          <w:color w:val="000000" w:themeColor="text1"/>
          <w:szCs w:val="21"/>
          <w:lang w:eastAsia="zh-CN"/>
          <w14:textFill>
            <w14:solidFill>
              <w14:schemeClr w14:val="tx1"/>
            </w14:solidFill>
          </w14:textFill>
        </w:rPr>
        <w:sectPr>
          <w:footerReference r:id="rId6" w:type="default"/>
          <w:pgSz w:w="11906" w:h="16838"/>
          <w:pgMar w:top="1440" w:right="1080" w:bottom="1440" w:left="1080" w:header="851" w:footer="992" w:gutter="0"/>
          <w:pgNumType w:fmt="decimal" w:start="1"/>
          <w:cols w:space="720" w:num="1"/>
          <w:docGrid w:type="lines" w:linePitch="312" w:charSpace="0"/>
        </w:sectPr>
      </w:pPr>
      <w:bookmarkStart w:id="258" w:name="_Toc29570"/>
      <w:bookmarkStart w:id="259" w:name="_Toc9139"/>
      <w:bookmarkStart w:id="260" w:name="_Toc23181"/>
      <w:bookmarkStart w:id="261" w:name="_Toc11460"/>
      <w:bookmarkStart w:id="262" w:name="_Toc18494"/>
      <w:bookmarkStart w:id="263" w:name="_Toc482695876"/>
      <w:bookmarkStart w:id="264" w:name="_Toc512247414"/>
      <w:bookmarkStart w:id="265" w:name="_Toc16477"/>
      <w:r>
        <w:rPr>
          <w:rFonts w:hint="default" w:ascii="Times New Roman" w:hAnsi="Times New Roman" w:cs="Times New Roman"/>
          <w:color w:val="000000" w:themeColor="text1"/>
          <w:szCs w:val="21"/>
          <w:lang w:val="en-US" w:eastAsia="zh-CN"/>
          <w14:textFill>
            <w14:solidFill>
              <w14:schemeClr w14:val="tx1"/>
            </w14:solidFill>
          </w14:textFill>
        </w:rPr>
        <w:t>无。</w:t>
      </w:r>
    </w:p>
    <w:p w14:paraId="4C0B1DF9">
      <w:pPr>
        <w:pStyle w:val="2"/>
        <w:spacing w:before="0" w:after="0" w:line="360" w:lineRule="auto"/>
        <w:jc w:val="center"/>
        <w:rPr>
          <w:rFonts w:hint="default" w:ascii="Times New Roman" w:hAnsi="Times New Roman" w:cs="Times New Roman"/>
          <w:color w:val="000000" w:themeColor="text1"/>
          <w:sz w:val="36"/>
          <w:szCs w:val="36"/>
          <w14:textFill>
            <w14:solidFill>
              <w14:schemeClr w14:val="tx1"/>
            </w14:solidFill>
          </w14:textFill>
        </w:rPr>
      </w:pPr>
      <w:bookmarkStart w:id="266" w:name="_Toc7712"/>
      <w:r>
        <w:rPr>
          <w:rFonts w:hint="default" w:ascii="Times New Roman" w:hAnsi="Times New Roman" w:cs="Times New Roman"/>
          <w:color w:val="000000" w:themeColor="text1"/>
          <w:sz w:val="36"/>
          <w:szCs w:val="36"/>
          <w14:textFill>
            <w14:solidFill>
              <w14:schemeClr w14:val="tx1"/>
            </w14:solidFill>
          </w14:textFill>
        </w:rPr>
        <w:t>第三章 评审办法</w:t>
      </w:r>
      <w:bookmarkEnd w:id="258"/>
      <w:bookmarkEnd w:id="259"/>
      <w:bookmarkEnd w:id="260"/>
      <w:bookmarkEnd w:id="261"/>
      <w:bookmarkEnd w:id="262"/>
      <w:bookmarkEnd w:id="263"/>
      <w:bookmarkEnd w:id="264"/>
      <w:bookmarkEnd w:id="265"/>
      <w:bookmarkEnd w:id="266"/>
      <w:bookmarkStart w:id="267" w:name="_Toc482695877"/>
      <w:bookmarkStart w:id="268" w:name="_Toc5337"/>
      <w:bookmarkStart w:id="269" w:name="_Toc23459"/>
      <w:bookmarkStart w:id="270" w:name="_Toc366144088"/>
      <w:bookmarkStart w:id="271" w:name="_Toc425171836"/>
      <w:bookmarkStart w:id="272" w:name="_Toc11063"/>
      <w:bookmarkStart w:id="273" w:name="_Toc306524550"/>
    </w:p>
    <w:p w14:paraId="19E5C186">
      <w:pPr>
        <w:spacing w:line="360" w:lineRule="auto"/>
        <w:jc w:val="center"/>
        <w:outlineLvl w:val="1"/>
        <w:rPr>
          <w:rFonts w:hint="default" w:ascii="Times New Roman" w:hAnsi="Times New Roman" w:cs="Times New Roman"/>
          <w:b/>
          <w:color w:val="000000" w:themeColor="text1"/>
          <w:kern w:val="0"/>
          <w:sz w:val="32"/>
          <w14:textFill>
            <w14:solidFill>
              <w14:schemeClr w14:val="tx1"/>
            </w14:solidFill>
          </w14:textFill>
        </w:rPr>
      </w:pPr>
      <w:bookmarkStart w:id="274" w:name="_Toc11740"/>
      <w:bookmarkStart w:id="275" w:name="_Toc28774"/>
      <w:bookmarkStart w:id="276" w:name="_Toc8801"/>
      <w:bookmarkStart w:id="277" w:name="_Toc28494"/>
      <w:r>
        <w:rPr>
          <w:rFonts w:hint="default" w:ascii="Times New Roman" w:hAnsi="Times New Roman" w:cs="Times New Roman"/>
          <w:b/>
          <w:color w:val="000000" w:themeColor="text1"/>
          <w:kern w:val="0"/>
          <w:sz w:val="32"/>
          <w14:textFill>
            <w14:solidFill>
              <w14:schemeClr w14:val="tx1"/>
            </w14:solidFill>
          </w14:textFill>
        </w:rPr>
        <w:t>一、竞争性磋商评审办法前附表</w:t>
      </w:r>
      <w:bookmarkEnd w:id="267"/>
      <w:bookmarkEnd w:id="268"/>
      <w:bookmarkEnd w:id="269"/>
      <w:bookmarkEnd w:id="270"/>
      <w:bookmarkEnd w:id="271"/>
      <w:bookmarkEnd w:id="272"/>
      <w:bookmarkEnd w:id="273"/>
      <w:bookmarkEnd w:id="274"/>
      <w:bookmarkEnd w:id="275"/>
      <w:bookmarkEnd w:id="276"/>
      <w:bookmarkEnd w:id="277"/>
    </w:p>
    <w:tbl>
      <w:tblPr>
        <w:tblStyle w:val="30"/>
        <w:tblW w:w="10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661"/>
        <w:gridCol w:w="594"/>
        <w:gridCol w:w="997"/>
        <w:gridCol w:w="1422"/>
        <w:gridCol w:w="5882"/>
      </w:tblGrid>
      <w:tr w14:paraId="409E8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9" w:type="dxa"/>
            <w:gridSpan w:val="2"/>
            <w:tcBorders>
              <w:top w:val="single" w:color="auto" w:sz="4" w:space="0"/>
              <w:left w:val="single" w:color="auto" w:sz="4" w:space="0"/>
              <w:bottom w:val="single" w:color="auto" w:sz="4" w:space="0"/>
              <w:right w:val="single" w:color="auto" w:sz="4" w:space="0"/>
            </w:tcBorders>
            <w:noWrap w:val="0"/>
            <w:vAlign w:val="center"/>
          </w:tcPr>
          <w:p w14:paraId="02631421">
            <w:pPr>
              <w:pStyle w:val="16"/>
              <w:spacing w:line="360" w:lineRule="auto"/>
              <w:ind w:left="0" w:leftChars="0" w:firstLine="0" w:firstLineChars="0"/>
              <w:jc w:val="center"/>
              <w:rPr>
                <w:rFonts w:hint="default" w:ascii="Times New Roman" w:hAnsi="Times New Roman" w:cs="Times New Roman"/>
                <w:b/>
                <w:bCs/>
                <w:color w:val="000000" w:themeColor="text1"/>
                <w:sz w:val="30"/>
                <w:szCs w:val="30"/>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br w:type="page"/>
            </w:r>
            <w:r>
              <w:rPr>
                <w:rFonts w:hint="default" w:ascii="Times New Roman" w:hAnsi="Times New Roman" w:cs="Times New Roman"/>
                <w:color w:val="000000" w:themeColor="text1"/>
                <w:szCs w:val="21"/>
                <w14:textFill>
                  <w14:solidFill>
                    <w14:schemeClr w14:val="tx1"/>
                  </w14:solidFill>
                </w14:textFill>
              </w:rPr>
              <w:t>条款号</w:t>
            </w:r>
          </w:p>
        </w:tc>
        <w:tc>
          <w:tcPr>
            <w:tcW w:w="3013" w:type="dxa"/>
            <w:gridSpan w:val="3"/>
            <w:tcBorders>
              <w:top w:val="single" w:color="auto" w:sz="4" w:space="0"/>
              <w:left w:val="single" w:color="auto" w:sz="4" w:space="0"/>
              <w:bottom w:val="single" w:color="auto" w:sz="4" w:space="0"/>
              <w:right w:val="single" w:color="auto" w:sz="4" w:space="0"/>
            </w:tcBorders>
            <w:noWrap w:val="0"/>
            <w:vAlign w:val="center"/>
          </w:tcPr>
          <w:p w14:paraId="1B0BCAB5">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评审因素</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4CC9BA0A">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评审标准</w:t>
            </w:r>
          </w:p>
        </w:tc>
      </w:tr>
      <w:tr w14:paraId="16E5B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8" w:type="dxa"/>
            <w:vMerge w:val="restart"/>
            <w:tcBorders>
              <w:top w:val="single" w:color="auto" w:sz="4" w:space="0"/>
              <w:left w:val="single" w:color="auto" w:sz="4" w:space="0"/>
              <w:right w:val="single" w:color="auto" w:sz="4" w:space="0"/>
            </w:tcBorders>
            <w:noWrap w:val="0"/>
            <w:vAlign w:val="center"/>
          </w:tcPr>
          <w:p w14:paraId="27DDDBFE">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2.1.1</w:t>
            </w:r>
          </w:p>
        </w:tc>
        <w:tc>
          <w:tcPr>
            <w:tcW w:w="661" w:type="dxa"/>
            <w:vMerge w:val="restart"/>
            <w:tcBorders>
              <w:top w:val="single" w:color="auto" w:sz="4" w:space="0"/>
              <w:left w:val="single" w:color="auto" w:sz="4" w:space="0"/>
              <w:right w:val="single" w:color="auto" w:sz="4" w:space="0"/>
            </w:tcBorders>
            <w:noWrap w:val="0"/>
            <w:vAlign w:val="center"/>
          </w:tcPr>
          <w:p w14:paraId="3AE508A6">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资格评审标准</w:t>
            </w:r>
          </w:p>
        </w:tc>
        <w:tc>
          <w:tcPr>
            <w:tcW w:w="3013" w:type="dxa"/>
            <w:gridSpan w:val="3"/>
            <w:tcBorders>
              <w:top w:val="single" w:color="auto" w:sz="4" w:space="0"/>
              <w:left w:val="single" w:color="auto" w:sz="4" w:space="0"/>
              <w:right w:val="single" w:color="auto" w:sz="4" w:space="0"/>
            </w:tcBorders>
            <w:noWrap w:val="0"/>
            <w:vAlign w:val="center"/>
          </w:tcPr>
          <w:p w14:paraId="0996340E">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lang w:val="en-US" w:eastAsia="en-US"/>
                <w14:textFill>
                  <w14:solidFill>
                    <w14:schemeClr w14:val="tx1"/>
                  </w14:solidFill>
                </w14:textFill>
              </w:rPr>
              <w:t>满足《中华人民共和国政府采购法》</w:t>
            </w:r>
            <w:r>
              <w:rPr>
                <w:rFonts w:hint="default" w:ascii="Times New Roman" w:hAnsi="Times New Roman" w:cs="Times New Roman"/>
                <w:color w:val="000000" w:themeColor="text1"/>
                <w:lang w:val="en-US" w:eastAsia="zh-CN"/>
                <w14:textFill>
                  <w14:solidFill>
                    <w14:schemeClr w14:val="tx1"/>
                  </w14:solidFill>
                </w14:textFill>
              </w:rPr>
              <w:t>等</w:t>
            </w:r>
            <w:r>
              <w:rPr>
                <w:rFonts w:hint="default" w:ascii="Times New Roman" w:hAnsi="Times New Roman" w:eastAsia="宋体" w:cs="Times New Roman"/>
                <w:color w:val="000000" w:themeColor="text1"/>
                <w:lang w:val="en-US" w:eastAsia="zh-CN"/>
                <w14:textFill>
                  <w14:solidFill>
                    <w14:schemeClr w14:val="tx1"/>
                  </w14:solidFill>
                </w14:textFill>
              </w:rPr>
              <w:t>相关</w:t>
            </w:r>
            <w:r>
              <w:rPr>
                <w:rFonts w:hint="default" w:ascii="Times New Roman" w:hAnsi="Times New Roman" w:eastAsia="宋体" w:cs="Times New Roman"/>
                <w:color w:val="000000" w:themeColor="text1"/>
                <w:lang w:val="en-US" w:eastAsia="en-US"/>
                <w14:textFill>
                  <w14:solidFill>
                    <w14:schemeClr w14:val="tx1"/>
                  </w14:solidFill>
                </w14:textFill>
              </w:rPr>
              <w:t>规定</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0356E890">
            <w:pPr>
              <w:spacing w:line="360" w:lineRule="auto"/>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按格式“承诺书（供应商）”签署</w:t>
            </w:r>
          </w:p>
        </w:tc>
      </w:tr>
      <w:tr w14:paraId="3AF39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jc w:val="center"/>
        </w:trPr>
        <w:tc>
          <w:tcPr>
            <w:tcW w:w="618" w:type="dxa"/>
            <w:vMerge w:val="continue"/>
            <w:tcBorders>
              <w:left w:val="single" w:color="auto" w:sz="4" w:space="0"/>
              <w:right w:val="single" w:color="auto" w:sz="4" w:space="0"/>
            </w:tcBorders>
            <w:noWrap w:val="0"/>
            <w:vAlign w:val="top"/>
          </w:tcPr>
          <w:p w14:paraId="3774CF15">
            <w:pPr>
              <w:spacing w:line="360" w:lineRule="auto"/>
              <w:rPr>
                <w:rFonts w:hint="default" w:ascii="Times New Roman" w:hAnsi="Times New Roman" w:cs="Times New Roman"/>
                <w:color w:val="000000" w:themeColor="text1"/>
                <w14:textFill>
                  <w14:solidFill>
                    <w14:schemeClr w14:val="tx1"/>
                  </w14:solidFill>
                </w14:textFill>
              </w:rPr>
            </w:pPr>
          </w:p>
        </w:tc>
        <w:tc>
          <w:tcPr>
            <w:tcW w:w="661" w:type="dxa"/>
            <w:vMerge w:val="continue"/>
            <w:tcBorders>
              <w:left w:val="single" w:color="auto" w:sz="4" w:space="0"/>
              <w:right w:val="single" w:color="auto" w:sz="4" w:space="0"/>
            </w:tcBorders>
            <w:noWrap w:val="0"/>
            <w:vAlign w:val="center"/>
          </w:tcPr>
          <w:p w14:paraId="7E4883FF">
            <w:pPr>
              <w:spacing w:line="360" w:lineRule="auto"/>
              <w:rPr>
                <w:rFonts w:hint="default" w:ascii="Times New Roman" w:hAnsi="Times New Roman" w:cs="Times New Roman"/>
                <w:color w:val="000000" w:themeColor="text1"/>
                <w14:textFill>
                  <w14:solidFill>
                    <w14:schemeClr w14:val="tx1"/>
                  </w14:solidFill>
                </w14:textFill>
              </w:rPr>
            </w:pPr>
          </w:p>
        </w:tc>
        <w:tc>
          <w:tcPr>
            <w:tcW w:w="594" w:type="dxa"/>
            <w:vMerge w:val="restart"/>
            <w:tcBorders>
              <w:top w:val="single" w:color="auto" w:sz="4" w:space="0"/>
              <w:left w:val="single" w:color="auto" w:sz="4" w:space="0"/>
              <w:right w:val="single" w:color="auto" w:sz="4" w:space="0"/>
            </w:tcBorders>
            <w:noWrap w:val="0"/>
            <w:vAlign w:val="center"/>
          </w:tcPr>
          <w:p w14:paraId="2E74205D">
            <w:pPr>
              <w:spacing w:line="360" w:lineRule="auto"/>
              <w:jc w:val="left"/>
              <w:rPr>
                <w:rFonts w:hint="default" w:ascii="Times New Roman" w:hAnsi="Times New Roman" w:cs="Times New Roman"/>
                <w:color w:val="000000" w:themeColor="text1"/>
                <w14:textFill>
                  <w14:solidFill>
                    <w14:schemeClr w14:val="tx1"/>
                  </w14:solidFill>
                </w14:textFill>
              </w:rPr>
            </w:pPr>
          </w:p>
        </w:tc>
        <w:tc>
          <w:tcPr>
            <w:tcW w:w="2419" w:type="dxa"/>
            <w:gridSpan w:val="2"/>
            <w:tcBorders>
              <w:top w:val="single" w:color="auto" w:sz="4" w:space="0"/>
              <w:left w:val="single" w:color="auto" w:sz="4" w:space="0"/>
              <w:right w:val="single" w:color="auto" w:sz="4" w:space="0"/>
            </w:tcBorders>
            <w:shd w:val="clear" w:color="auto" w:fill="auto"/>
            <w:noWrap w:val="0"/>
            <w:vAlign w:val="center"/>
          </w:tcPr>
          <w:p w14:paraId="19DC105A">
            <w:pPr>
              <w:spacing w:line="360" w:lineRule="auto"/>
              <w:jc w:val="lef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en-US"/>
                <w14:textFill>
                  <w14:solidFill>
                    <w14:schemeClr w14:val="tx1"/>
                  </w14:solidFill>
                </w14:textFill>
              </w:rPr>
              <w:t>具有独立承担民事责任能力的法人或其他组织或者自然人</w:t>
            </w:r>
          </w:p>
        </w:tc>
        <w:tc>
          <w:tcPr>
            <w:tcW w:w="58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CEAA80">
            <w:pPr>
              <w:spacing w:line="360" w:lineRule="auto"/>
              <w:jc w:val="lef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具有独立承担民事责任能力的法人或其他组织或者自然人</w:t>
            </w:r>
            <w:r>
              <w:rPr>
                <w:rFonts w:hint="default" w:ascii="Times New Roman" w:hAnsi="Times New Roman" w:cs="Times New Roman"/>
                <w:color w:val="000000" w:themeColor="text1"/>
                <w:sz w:val="22"/>
                <w:szCs w:val="22"/>
                <w:lang w:val="en-US" w:eastAsia="zh-CN"/>
                <w14:textFill>
                  <w14:solidFill>
                    <w14:schemeClr w14:val="tx1"/>
                  </w14:solidFill>
                </w14:textFill>
              </w:rPr>
              <w:t>证明材料</w:t>
            </w:r>
          </w:p>
        </w:tc>
      </w:tr>
      <w:tr w14:paraId="7BCCF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jc w:val="center"/>
        </w:trPr>
        <w:tc>
          <w:tcPr>
            <w:tcW w:w="618" w:type="dxa"/>
            <w:vMerge w:val="continue"/>
            <w:tcBorders>
              <w:left w:val="single" w:color="auto" w:sz="4" w:space="0"/>
              <w:right w:val="single" w:color="auto" w:sz="4" w:space="0"/>
            </w:tcBorders>
            <w:noWrap w:val="0"/>
            <w:vAlign w:val="top"/>
          </w:tcPr>
          <w:p w14:paraId="30757023">
            <w:pPr>
              <w:spacing w:line="360" w:lineRule="auto"/>
              <w:rPr>
                <w:rFonts w:hint="default" w:ascii="Times New Roman" w:hAnsi="Times New Roman" w:cs="Times New Roman"/>
                <w:color w:val="000000" w:themeColor="text1"/>
                <w14:textFill>
                  <w14:solidFill>
                    <w14:schemeClr w14:val="tx1"/>
                  </w14:solidFill>
                </w14:textFill>
              </w:rPr>
            </w:pPr>
          </w:p>
        </w:tc>
        <w:tc>
          <w:tcPr>
            <w:tcW w:w="661" w:type="dxa"/>
            <w:vMerge w:val="continue"/>
            <w:tcBorders>
              <w:left w:val="single" w:color="auto" w:sz="4" w:space="0"/>
              <w:right w:val="single" w:color="auto" w:sz="4" w:space="0"/>
            </w:tcBorders>
            <w:noWrap w:val="0"/>
            <w:vAlign w:val="center"/>
          </w:tcPr>
          <w:p w14:paraId="76816A1C">
            <w:pPr>
              <w:spacing w:line="360" w:lineRule="auto"/>
              <w:rPr>
                <w:rFonts w:hint="default" w:ascii="Times New Roman" w:hAnsi="Times New Roman" w:cs="Times New Roman"/>
                <w:color w:val="000000" w:themeColor="text1"/>
                <w14:textFill>
                  <w14:solidFill>
                    <w14:schemeClr w14:val="tx1"/>
                  </w14:solidFill>
                </w14:textFill>
              </w:rPr>
            </w:pPr>
          </w:p>
        </w:tc>
        <w:tc>
          <w:tcPr>
            <w:tcW w:w="594" w:type="dxa"/>
            <w:vMerge w:val="continue"/>
            <w:tcBorders>
              <w:left w:val="single" w:color="auto" w:sz="4" w:space="0"/>
              <w:right w:val="single" w:color="auto" w:sz="4" w:space="0"/>
            </w:tcBorders>
            <w:noWrap w:val="0"/>
            <w:vAlign w:val="center"/>
          </w:tcPr>
          <w:p w14:paraId="02656D19">
            <w:pPr>
              <w:spacing w:line="360" w:lineRule="auto"/>
              <w:jc w:val="left"/>
              <w:rPr>
                <w:rFonts w:hint="default" w:ascii="Times New Roman" w:hAnsi="Times New Roman" w:cs="Times New Roman"/>
                <w:color w:val="000000" w:themeColor="text1"/>
                <w14:textFill>
                  <w14:solidFill>
                    <w14:schemeClr w14:val="tx1"/>
                  </w14:solidFill>
                </w14:textFill>
              </w:rPr>
            </w:pPr>
          </w:p>
        </w:tc>
        <w:tc>
          <w:tcPr>
            <w:tcW w:w="2419" w:type="dxa"/>
            <w:gridSpan w:val="2"/>
            <w:tcBorders>
              <w:top w:val="single" w:color="auto" w:sz="4" w:space="0"/>
              <w:left w:val="single" w:color="auto" w:sz="4" w:space="0"/>
              <w:right w:val="single" w:color="auto" w:sz="4" w:space="0"/>
            </w:tcBorders>
            <w:shd w:val="clear" w:color="auto" w:fill="auto"/>
            <w:noWrap w:val="0"/>
            <w:vAlign w:val="center"/>
          </w:tcPr>
          <w:p w14:paraId="430783C7">
            <w:pPr>
              <w:spacing w:line="360" w:lineRule="auto"/>
              <w:jc w:val="lef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具有履行合同所必需的设备和专业技术能力</w:t>
            </w:r>
          </w:p>
        </w:tc>
        <w:tc>
          <w:tcPr>
            <w:tcW w:w="58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C7875C">
            <w:pPr>
              <w:spacing w:line="360" w:lineRule="auto"/>
              <w:jc w:val="lef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具有履行合同所必需的设备和专业技术能力</w:t>
            </w:r>
            <w:r>
              <w:rPr>
                <w:rFonts w:hint="default" w:ascii="Times New Roman" w:hAnsi="Times New Roman" w:cs="Times New Roman"/>
                <w:color w:val="000000" w:themeColor="text1"/>
                <w:sz w:val="22"/>
                <w:szCs w:val="22"/>
                <w:lang w:eastAsia="zh-CN"/>
                <w14:textFill>
                  <w14:solidFill>
                    <w14:schemeClr w14:val="tx1"/>
                  </w14:solidFill>
                </w14:textFill>
              </w:rPr>
              <w:t>，并</w:t>
            </w:r>
            <w:r>
              <w:rPr>
                <w:rFonts w:hint="default" w:ascii="Times New Roman" w:hAnsi="Times New Roman" w:cs="Times New Roman"/>
                <w:color w:val="000000" w:themeColor="text1"/>
                <w:sz w:val="22"/>
                <w:szCs w:val="22"/>
                <w14:textFill>
                  <w14:solidFill>
                    <w14:schemeClr w14:val="tx1"/>
                  </w14:solidFill>
                </w14:textFill>
              </w:rPr>
              <w:t>提供书面声</w:t>
            </w:r>
            <w:r>
              <w:rPr>
                <w:rFonts w:hint="default" w:ascii="Times New Roman" w:hAnsi="Times New Roman" w:eastAsia="宋体" w:cs="Times New Roman"/>
                <w:color w:val="000000" w:themeColor="text1"/>
                <w:sz w:val="22"/>
                <w:szCs w:val="21"/>
                <w:lang w:val="en-US" w:eastAsia="zh-CN"/>
                <w14:textFill>
                  <w14:solidFill>
                    <w14:schemeClr w14:val="tx1"/>
                  </w14:solidFill>
                </w14:textFill>
              </w:rPr>
              <w:t>明</w:t>
            </w:r>
          </w:p>
        </w:tc>
      </w:tr>
      <w:tr w14:paraId="3D749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618" w:type="dxa"/>
            <w:vMerge w:val="continue"/>
            <w:tcBorders>
              <w:left w:val="single" w:color="auto" w:sz="4" w:space="0"/>
              <w:right w:val="single" w:color="auto" w:sz="4" w:space="0"/>
            </w:tcBorders>
            <w:noWrap w:val="0"/>
            <w:vAlign w:val="top"/>
          </w:tcPr>
          <w:p w14:paraId="7D8491B4">
            <w:pPr>
              <w:spacing w:line="360" w:lineRule="auto"/>
              <w:rPr>
                <w:rFonts w:hint="default" w:ascii="Times New Roman" w:hAnsi="Times New Roman" w:cs="Times New Roman"/>
                <w:color w:val="000000" w:themeColor="text1"/>
                <w14:textFill>
                  <w14:solidFill>
                    <w14:schemeClr w14:val="tx1"/>
                  </w14:solidFill>
                </w14:textFill>
              </w:rPr>
            </w:pPr>
          </w:p>
        </w:tc>
        <w:tc>
          <w:tcPr>
            <w:tcW w:w="661" w:type="dxa"/>
            <w:vMerge w:val="continue"/>
            <w:tcBorders>
              <w:left w:val="single" w:color="auto" w:sz="4" w:space="0"/>
              <w:right w:val="single" w:color="auto" w:sz="4" w:space="0"/>
            </w:tcBorders>
            <w:noWrap w:val="0"/>
            <w:vAlign w:val="center"/>
          </w:tcPr>
          <w:p w14:paraId="512EB2F7">
            <w:pPr>
              <w:spacing w:line="360" w:lineRule="auto"/>
              <w:rPr>
                <w:rFonts w:hint="default" w:ascii="Times New Roman" w:hAnsi="Times New Roman" w:cs="Times New Roman"/>
                <w:color w:val="000000" w:themeColor="text1"/>
                <w14:textFill>
                  <w14:solidFill>
                    <w14:schemeClr w14:val="tx1"/>
                  </w14:solidFill>
                </w14:textFill>
              </w:rPr>
            </w:pPr>
          </w:p>
        </w:tc>
        <w:tc>
          <w:tcPr>
            <w:tcW w:w="594" w:type="dxa"/>
            <w:vMerge w:val="continue"/>
            <w:tcBorders>
              <w:left w:val="single" w:color="auto" w:sz="4" w:space="0"/>
              <w:right w:val="single" w:color="auto" w:sz="4" w:space="0"/>
            </w:tcBorders>
            <w:noWrap w:val="0"/>
            <w:vAlign w:val="center"/>
          </w:tcPr>
          <w:p w14:paraId="336D4F6B">
            <w:pPr>
              <w:spacing w:line="360" w:lineRule="auto"/>
              <w:jc w:val="left"/>
              <w:rPr>
                <w:rFonts w:hint="default" w:ascii="Times New Roman" w:hAnsi="Times New Roman" w:cs="Times New Roman"/>
                <w:color w:val="000000" w:themeColor="text1"/>
                <w14:textFill>
                  <w14:solidFill>
                    <w14:schemeClr w14:val="tx1"/>
                  </w14:solidFill>
                </w14:textFill>
              </w:rPr>
            </w:pPr>
          </w:p>
        </w:tc>
        <w:tc>
          <w:tcPr>
            <w:tcW w:w="2419" w:type="dxa"/>
            <w:gridSpan w:val="2"/>
            <w:tcBorders>
              <w:top w:val="single" w:color="auto" w:sz="4" w:space="0"/>
              <w:left w:val="single" w:color="auto" w:sz="4" w:space="0"/>
              <w:right w:val="single" w:color="auto" w:sz="4" w:space="0"/>
            </w:tcBorders>
            <w:shd w:val="clear" w:color="auto" w:fill="auto"/>
            <w:noWrap w:val="0"/>
            <w:vAlign w:val="center"/>
          </w:tcPr>
          <w:p w14:paraId="5926DC09">
            <w:pPr>
              <w:spacing w:line="360" w:lineRule="auto"/>
              <w:jc w:val="left"/>
              <w:rPr>
                <w:rFonts w:hint="default" w:ascii="Times New Roman" w:hAnsi="Times New Roman" w:eastAsia="宋体" w:cs="Times New Roman"/>
                <w:color w:val="000000" w:themeColor="text1"/>
                <w:sz w:val="22"/>
                <w:szCs w:val="22"/>
                <w:lang w:val="en-US" w:eastAsia="zh-CN"/>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具有良好的商业信誉和健全的财务会计制度</w:t>
            </w:r>
          </w:p>
        </w:tc>
        <w:tc>
          <w:tcPr>
            <w:tcW w:w="58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081651">
            <w:pPr>
              <w:spacing w:line="360" w:lineRule="auto"/>
              <w:jc w:val="left"/>
              <w:rPr>
                <w:rFonts w:hint="default" w:ascii="Times New Roman" w:hAnsi="Times New Roman" w:eastAsia="宋体" w:cs="Times New Roman"/>
                <w:color w:val="000000" w:themeColor="text1"/>
                <w:sz w:val="22"/>
                <w:szCs w:val="22"/>
                <w:lang w:val="en-US" w:eastAsia="zh-CN"/>
                <w14:textFill>
                  <w14:solidFill>
                    <w14:schemeClr w14:val="tx1"/>
                  </w14:solidFill>
                </w14:textFill>
              </w:rPr>
            </w:pPr>
            <w:r>
              <w:rPr>
                <w:rFonts w:hint="default" w:ascii="Times New Roman" w:hAnsi="Times New Roman" w:eastAsia="宋体" w:cs="Times New Roman"/>
                <w:color w:val="000000" w:themeColor="text1"/>
                <w:sz w:val="22"/>
                <w:szCs w:val="22"/>
                <w:lang w:val="en-US" w:eastAsia="en-US"/>
                <w14:textFill>
                  <w14:solidFill>
                    <w14:schemeClr w14:val="tx1"/>
                  </w14:solidFill>
                </w14:textFill>
              </w:rPr>
              <w:t>具有良好的商业信誉和健全的财务会计制度，提供2023年至2025年（任意一年度）经审计的财务报告（扫描件）或近三个月内基本开户银行出具的资信证明（扫描件）（注：若成立时间不足一年的，可提供近三个月内基本开户银行出具的资信证明）</w:t>
            </w:r>
          </w:p>
        </w:tc>
      </w:tr>
      <w:tr w14:paraId="6C05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5" w:hRule="atLeast"/>
          <w:jc w:val="center"/>
        </w:trPr>
        <w:tc>
          <w:tcPr>
            <w:tcW w:w="618" w:type="dxa"/>
            <w:vMerge w:val="continue"/>
            <w:tcBorders>
              <w:left w:val="single" w:color="auto" w:sz="4" w:space="0"/>
              <w:right w:val="single" w:color="auto" w:sz="4" w:space="0"/>
            </w:tcBorders>
            <w:noWrap w:val="0"/>
            <w:vAlign w:val="top"/>
          </w:tcPr>
          <w:p w14:paraId="6758043C">
            <w:pPr>
              <w:spacing w:line="360" w:lineRule="auto"/>
              <w:rPr>
                <w:rFonts w:hint="default" w:ascii="Times New Roman" w:hAnsi="Times New Roman" w:cs="Times New Roman"/>
                <w:color w:val="000000" w:themeColor="text1"/>
                <w14:textFill>
                  <w14:solidFill>
                    <w14:schemeClr w14:val="tx1"/>
                  </w14:solidFill>
                </w14:textFill>
              </w:rPr>
            </w:pPr>
          </w:p>
        </w:tc>
        <w:tc>
          <w:tcPr>
            <w:tcW w:w="661" w:type="dxa"/>
            <w:vMerge w:val="continue"/>
            <w:tcBorders>
              <w:left w:val="single" w:color="auto" w:sz="4" w:space="0"/>
              <w:right w:val="single" w:color="auto" w:sz="4" w:space="0"/>
            </w:tcBorders>
            <w:noWrap w:val="0"/>
            <w:vAlign w:val="center"/>
          </w:tcPr>
          <w:p w14:paraId="7764075E">
            <w:pPr>
              <w:spacing w:line="360" w:lineRule="auto"/>
              <w:rPr>
                <w:rFonts w:hint="default" w:ascii="Times New Roman" w:hAnsi="Times New Roman" w:cs="Times New Roman"/>
                <w:color w:val="000000" w:themeColor="text1"/>
                <w14:textFill>
                  <w14:solidFill>
                    <w14:schemeClr w14:val="tx1"/>
                  </w14:solidFill>
                </w14:textFill>
              </w:rPr>
            </w:pPr>
          </w:p>
        </w:tc>
        <w:tc>
          <w:tcPr>
            <w:tcW w:w="594" w:type="dxa"/>
            <w:vMerge w:val="continue"/>
            <w:tcBorders>
              <w:left w:val="single" w:color="auto" w:sz="4" w:space="0"/>
              <w:right w:val="single" w:color="auto" w:sz="4" w:space="0"/>
            </w:tcBorders>
            <w:noWrap w:val="0"/>
            <w:vAlign w:val="center"/>
          </w:tcPr>
          <w:p w14:paraId="071BAA50">
            <w:pPr>
              <w:spacing w:line="360" w:lineRule="auto"/>
              <w:jc w:val="left"/>
              <w:rPr>
                <w:rFonts w:hint="default" w:ascii="Times New Roman" w:hAnsi="Times New Roman" w:cs="Times New Roman"/>
                <w:color w:val="000000" w:themeColor="text1"/>
                <w14:textFill>
                  <w14:solidFill>
                    <w14:schemeClr w14:val="tx1"/>
                  </w14:solidFill>
                </w14:textFill>
              </w:rPr>
            </w:pPr>
          </w:p>
        </w:tc>
        <w:tc>
          <w:tcPr>
            <w:tcW w:w="2419" w:type="dxa"/>
            <w:gridSpan w:val="2"/>
            <w:tcBorders>
              <w:top w:val="single" w:color="auto" w:sz="4" w:space="0"/>
              <w:left w:val="single" w:color="auto" w:sz="4" w:space="0"/>
              <w:right w:val="single" w:color="auto" w:sz="4" w:space="0"/>
            </w:tcBorders>
            <w:shd w:val="clear" w:color="auto" w:fill="auto"/>
            <w:noWrap w:val="0"/>
            <w:vAlign w:val="center"/>
          </w:tcPr>
          <w:p w14:paraId="51B7C4F2">
            <w:pPr>
              <w:spacing w:line="360" w:lineRule="auto"/>
              <w:jc w:val="lef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具有依法缴纳税收和社会保障资金的良好记录</w:t>
            </w:r>
          </w:p>
        </w:tc>
        <w:tc>
          <w:tcPr>
            <w:tcW w:w="58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2AFE90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2"/>
                <w:szCs w:val="22"/>
                <w:lang w:val="en-US" w:eastAsia="zh-CN"/>
                <w14:textFill>
                  <w14:solidFill>
                    <w14:schemeClr w14:val="tx1"/>
                  </w14:solidFill>
                </w14:textFill>
              </w:rPr>
              <w:t>具有依法缴纳税收和社会保障资金的良好记录；（提供2025年1月至投标文件提交截止时间（税款所属时期）任意1个月的税务局税收通用缴款书复印件或银行电子缴税（费）凭证或税务局出具纳税情况的相关证明或具有依法缴纳税收的良好记录的承诺函及提供参加招标活动前段时间2025年1月至今任意连续 1个月的社会保险费缴款书复印件或银行电子缴税（费）凭证或社保管理部门出具的有效的缴款证明或具有依法缴纳社会保障资金的良好记录承诺函；依法免税或不需要缴纳社会保障资金的投标人，应提供相应文件证明其依法免税或不需要缴纳社会保障资金，成立未满3个月的提供成立以来的税收和社会保障资金缴纳凭证或相关情况说明）</w:t>
            </w:r>
          </w:p>
        </w:tc>
      </w:tr>
      <w:tr w14:paraId="0CD1D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618" w:type="dxa"/>
            <w:vMerge w:val="continue"/>
            <w:tcBorders>
              <w:left w:val="single" w:color="auto" w:sz="4" w:space="0"/>
              <w:right w:val="single" w:color="auto" w:sz="4" w:space="0"/>
            </w:tcBorders>
            <w:noWrap w:val="0"/>
            <w:vAlign w:val="center"/>
          </w:tcPr>
          <w:p w14:paraId="6FF161F5">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661" w:type="dxa"/>
            <w:vMerge w:val="continue"/>
            <w:tcBorders>
              <w:left w:val="single" w:color="auto" w:sz="4" w:space="0"/>
              <w:right w:val="single" w:color="auto" w:sz="4" w:space="0"/>
            </w:tcBorders>
            <w:noWrap w:val="0"/>
            <w:vAlign w:val="center"/>
          </w:tcPr>
          <w:p w14:paraId="5C9D7AF6">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594" w:type="dxa"/>
            <w:vMerge w:val="continue"/>
            <w:tcBorders>
              <w:left w:val="single" w:color="auto" w:sz="4" w:space="0"/>
              <w:right w:val="single" w:color="auto" w:sz="4" w:space="0"/>
            </w:tcBorders>
            <w:noWrap w:val="0"/>
            <w:vAlign w:val="center"/>
          </w:tcPr>
          <w:p w14:paraId="3C0E0971">
            <w:pPr>
              <w:spacing w:line="360" w:lineRule="auto"/>
              <w:jc w:val="left"/>
              <w:rPr>
                <w:rFonts w:hint="default" w:ascii="Times New Roman" w:hAnsi="Times New Roman" w:cs="Times New Roman"/>
                <w:color w:val="000000" w:themeColor="text1"/>
                <w14:textFill>
                  <w14:solidFill>
                    <w14:schemeClr w14:val="tx1"/>
                  </w14:solidFill>
                </w14:textFill>
              </w:rPr>
            </w:pPr>
          </w:p>
        </w:tc>
        <w:tc>
          <w:tcPr>
            <w:tcW w:w="241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248458A1">
            <w:pPr>
              <w:spacing w:line="360" w:lineRule="auto"/>
              <w:jc w:val="lef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近三年经营活动中没有重大违法记录</w:t>
            </w:r>
          </w:p>
        </w:tc>
        <w:tc>
          <w:tcPr>
            <w:tcW w:w="58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547455">
            <w:pPr>
              <w:spacing w:line="360" w:lineRule="auto"/>
              <w:jc w:val="lef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2"/>
                <w:szCs w:val="21"/>
                <w:lang w:val="en-US" w:eastAsia="zh-CN"/>
                <w14:textFill>
                  <w14:solidFill>
                    <w14:schemeClr w14:val="tx1"/>
                  </w14:solidFill>
                </w14:textFill>
              </w:rPr>
              <w:t>参加政府采购活动前三年内，在经营活动中没有重大违法记录</w:t>
            </w:r>
            <w:r>
              <w:rPr>
                <w:rFonts w:hint="default" w:ascii="Times New Roman" w:hAnsi="Times New Roman" w:cs="Times New Roman"/>
                <w:color w:val="000000" w:themeColor="text1"/>
                <w:sz w:val="22"/>
                <w:szCs w:val="21"/>
                <w:lang w:val="en-US" w:eastAsia="zh-CN"/>
                <w14:textFill>
                  <w14:solidFill>
                    <w14:schemeClr w14:val="tx1"/>
                  </w14:solidFill>
                </w14:textFill>
              </w:rPr>
              <w:t>，</w:t>
            </w:r>
            <w:r>
              <w:rPr>
                <w:rFonts w:hint="default" w:ascii="Times New Roman" w:hAnsi="Times New Roman" w:eastAsia="宋体" w:cs="Times New Roman"/>
                <w:color w:val="000000" w:themeColor="text1"/>
                <w:sz w:val="22"/>
                <w:szCs w:val="21"/>
                <w:lang w:val="en-US" w:eastAsia="zh-CN"/>
                <w14:textFill>
                  <w14:solidFill>
                    <w14:schemeClr w14:val="tx1"/>
                  </w14:solidFill>
                </w14:textFill>
              </w:rPr>
              <w:t>提供书面声明</w:t>
            </w:r>
            <w:r>
              <w:rPr>
                <w:rFonts w:hint="default" w:ascii="Times New Roman" w:hAnsi="Times New Roman" w:cs="Times New Roman"/>
                <w:color w:val="000000" w:themeColor="text1"/>
                <w:sz w:val="22"/>
                <w:szCs w:val="21"/>
                <w:lang w:val="en-US" w:eastAsia="zh-CN"/>
                <w14:textFill>
                  <w14:solidFill>
                    <w14:schemeClr w14:val="tx1"/>
                  </w14:solidFill>
                </w14:textFill>
              </w:rPr>
              <w:t>书</w:t>
            </w:r>
          </w:p>
        </w:tc>
      </w:tr>
      <w:tr w14:paraId="7A23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618" w:type="dxa"/>
            <w:vMerge w:val="continue"/>
            <w:tcBorders>
              <w:left w:val="single" w:color="auto" w:sz="4" w:space="0"/>
              <w:right w:val="single" w:color="auto" w:sz="4" w:space="0"/>
            </w:tcBorders>
            <w:noWrap w:val="0"/>
            <w:vAlign w:val="center"/>
          </w:tcPr>
          <w:p w14:paraId="78869C42">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661" w:type="dxa"/>
            <w:vMerge w:val="continue"/>
            <w:tcBorders>
              <w:left w:val="single" w:color="auto" w:sz="4" w:space="0"/>
              <w:right w:val="single" w:color="auto" w:sz="4" w:space="0"/>
            </w:tcBorders>
            <w:noWrap w:val="0"/>
            <w:vAlign w:val="center"/>
          </w:tcPr>
          <w:p w14:paraId="61A4AE48">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594" w:type="dxa"/>
            <w:vMerge w:val="continue"/>
            <w:tcBorders>
              <w:left w:val="single" w:color="auto" w:sz="4" w:space="0"/>
              <w:right w:val="single" w:color="auto" w:sz="4" w:space="0"/>
            </w:tcBorders>
            <w:noWrap w:val="0"/>
            <w:vAlign w:val="center"/>
          </w:tcPr>
          <w:p w14:paraId="51DE11FF">
            <w:pPr>
              <w:spacing w:line="360" w:lineRule="auto"/>
              <w:jc w:val="left"/>
              <w:rPr>
                <w:rFonts w:hint="default" w:ascii="Times New Roman" w:hAnsi="Times New Roman" w:cs="Times New Roman"/>
                <w:color w:val="000000" w:themeColor="text1"/>
                <w14:textFill>
                  <w14:solidFill>
                    <w14:schemeClr w14:val="tx1"/>
                  </w14:solidFill>
                </w14:textFill>
              </w:rPr>
            </w:pPr>
          </w:p>
        </w:tc>
        <w:tc>
          <w:tcPr>
            <w:tcW w:w="2419"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62E47866">
            <w:pPr>
              <w:spacing w:line="360" w:lineRule="auto"/>
              <w:jc w:val="lef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法律、行政法规规定的其他条件</w:t>
            </w:r>
          </w:p>
        </w:tc>
        <w:tc>
          <w:tcPr>
            <w:tcW w:w="58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F835E1">
            <w:pPr>
              <w:spacing w:line="360" w:lineRule="auto"/>
              <w:jc w:val="lef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法律、行政法规规定的其他条件提供书面声明</w:t>
            </w:r>
          </w:p>
        </w:tc>
      </w:tr>
      <w:tr w14:paraId="5F1DB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8" w:hRule="atLeast"/>
          <w:jc w:val="center"/>
        </w:trPr>
        <w:tc>
          <w:tcPr>
            <w:tcW w:w="618" w:type="dxa"/>
            <w:vMerge w:val="continue"/>
            <w:tcBorders>
              <w:left w:val="single" w:color="auto" w:sz="4" w:space="0"/>
              <w:right w:val="single" w:color="auto" w:sz="4" w:space="0"/>
            </w:tcBorders>
            <w:noWrap w:val="0"/>
            <w:vAlign w:val="center"/>
          </w:tcPr>
          <w:p w14:paraId="3DA262E8">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661" w:type="dxa"/>
            <w:vMerge w:val="continue"/>
            <w:tcBorders>
              <w:left w:val="single" w:color="auto" w:sz="4" w:space="0"/>
              <w:right w:val="single" w:color="auto" w:sz="4" w:space="0"/>
            </w:tcBorders>
            <w:noWrap w:val="0"/>
            <w:vAlign w:val="center"/>
          </w:tcPr>
          <w:p w14:paraId="2B953E5F">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3013" w:type="dxa"/>
            <w:gridSpan w:val="3"/>
            <w:vMerge w:val="restart"/>
            <w:tcBorders>
              <w:top w:val="single" w:color="auto" w:sz="4" w:space="0"/>
              <w:left w:val="single" w:color="auto" w:sz="4" w:space="0"/>
              <w:right w:val="single" w:color="auto" w:sz="4" w:space="0"/>
            </w:tcBorders>
            <w:noWrap w:val="0"/>
            <w:vAlign w:val="center"/>
          </w:tcPr>
          <w:p w14:paraId="31DB3533">
            <w:pPr>
              <w:spacing w:line="360" w:lineRule="auto"/>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本项目的特定资格要求</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0B637C76">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color w:val="000000" w:themeColor="text1"/>
                <w:szCs w:val="24"/>
                <w14:textFill>
                  <w14:solidFill>
                    <w14:schemeClr w14:val="tx1"/>
                  </w14:solidFill>
                </w14:textFill>
              </w:rPr>
            </w:pP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1</w:t>
            </w:r>
            <w:r>
              <w:rPr>
                <w:rFonts w:hint="eastAsia" w:ascii="Times New Roman" w:hAnsi="Times New Roman" w:eastAsia="新宋体" w:cs="Times New Roman"/>
                <w:color w:val="000000" w:themeColor="text1"/>
                <w:kern w:val="2"/>
                <w:sz w:val="24"/>
                <w:szCs w:val="24"/>
                <w:lang w:val="en-US" w:eastAsia="zh-CN" w:bidi="ar-SA"/>
                <w14:textFill>
                  <w14:solidFill>
                    <w14:schemeClr w14:val="tx1"/>
                  </w14:solidFill>
                </w14:textFill>
              </w:rPr>
              <w:t>.具备市政公用工程施工总承包叁级及以上资质或</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建筑工程施工总承包叁级及以上资质或依据《云南省住房和城乡建设厅关于做好有关建设工程企业资质证书换领和延续工作的通知》云建建</w:t>
            </w:r>
            <w:r>
              <w:rPr>
                <w:rFonts w:hint="default" w:ascii="Times New Roman" w:hAnsi="Times New Roman" w:eastAsia="新宋体" w:cs="Times New Roman"/>
                <w:color w:val="000000" w:themeColor="text1"/>
                <w:kern w:val="2"/>
                <w:sz w:val="24"/>
                <w:szCs w:val="24"/>
                <w:lang w:val="en-US" w:eastAsia="zh-CN" w:bidi="ar-SA"/>
                <w14:textFill>
                  <w14:solidFill>
                    <w14:schemeClr w14:val="tx1"/>
                  </w14:solidFill>
                </w14:textFill>
              </w:rPr>
              <w:t>〔2024〕82号</w:t>
            </w: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文规定，办理更新的建筑工程施工总承包贰级及以上资质，并具有有效的安全生产许可证，并在人员、设备、资金等方面具有承担本工程施工的能力，具备安全生产许可证，并在有效期内</w:t>
            </w:r>
          </w:p>
        </w:tc>
      </w:tr>
      <w:tr w14:paraId="09D79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4" w:hRule="atLeast"/>
          <w:jc w:val="center"/>
        </w:trPr>
        <w:tc>
          <w:tcPr>
            <w:tcW w:w="618" w:type="dxa"/>
            <w:vMerge w:val="continue"/>
            <w:tcBorders>
              <w:left w:val="single" w:color="auto" w:sz="4" w:space="0"/>
              <w:right w:val="single" w:color="auto" w:sz="4" w:space="0"/>
            </w:tcBorders>
            <w:noWrap w:val="0"/>
            <w:vAlign w:val="center"/>
          </w:tcPr>
          <w:p w14:paraId="4C017B9B">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661" w:type="dxa"/>
            <w:vMerge w:val="continue"/>
            <w:tcBorders>
              <w:left w:val="single" w:color="auto" w:sz="4" w:space="0"/>
              <w:right w:val="single" w:color="auto" w:sz="4" w:space="0"/>
            </w:tcBorders>
            <w:noWrap w:val="0"/>
            <w:vAlign w:val="center"/>
          </w:tcPr>
          <w:p w14:paraId="38178E82">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3013" w:type="dxa"/>
            <w:gridSpan w:val="3"/>
            <w:vMerge w:val="continue"/>
            <w:tcBorders>
              <w:left w:val="single" w:color="auto" w:sz="4" w:space="0"/>
              <w:right w:val="single" w:color="auto" w:sz="4" w:space="0"/>
            </w:tcBorders>
            <w:noWrap w:val="0"/>
            <w:vAlign w:val="center"/>
          </w:tcPr>
          <w:p w14:paraId="058DB432">
            <w:pPr>
              <w:spacing w:line="360" w:lineRule="auto"/>
              <w:jc w:val="left"/>
              <w:rPr>
                <w:rFonts w:hint="default" w:ascii="Times New Roman" w:hAnsi="Times New Roman" w:cs="Times New Roman"/>
                <w:color w:val="000000" w:themeColor="text1"/>
                <w14:textFill>
                  <w14:solidFill>
                    <w14:schemeClr w14:val="tx1"/>
                  </w14:solidFill>
                </w14:textFill>
              </w:rPr>
            </w:pPr>
          </w:p>
        </w:tc>
        <w:tc>
          <w:tcPr>
            <w:tcW w:w="5882" w:type="dxa"/>
            <w:tcBorders>
              <w:top w:val="single" w:color="auto" w:sz="4" w:space="0"/>
              <w:left w:val="single" w:color="auto" w:sz="4" w:space="0"/>
              <w:bottom w:val="single" w:color="auto" w:sz="4" w:space="0"/>
              <w:right w:val="single" w:color="auto" w:sz="4" w:space="0"/>
            </w:tcBorders>
            <w:noWrap w:val="0"/>
            <w:vAlign w:val="center"/>
          </w:tcPr>
          <w:p w14:paraId="216E54F1">
            <w:pPr>
              <w:keepNext w:val="0"/>
              <w:keepLines w:val="0"/>
              <w:pageBreakBefore w:val="0"/>
              <w:widowControl w:val="0"/>
              <w:kinsoku/>
              <w:wordWrap/>
              <w:overflowPunct/>
              <w:topLinePunct w:val="0"/>
              <w:autoSpaceDE/>
              <w:autoSpaceDN/>
              <w:bidi w:val="0"/>
              <w:spacing w:line="500" w:lineRule="exact"/>
              <w:jc w:val="lef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2.</w:t>
            </w:r>
            <w:r>
              <w:rPr>
                <w:rFonts w:hint="eastAsia" w:ascii="Times New Roman" w:hAnsi="Times New Roman" w:eastAsia="新宋体" w:cs="Times New Roman"/>
                <w:color w:val="000000" w:themeColor="text1"/>
                <w:kern w:val="2"/>
                <w:sz w:val="24"/>
                <w:szCs w:val="24"/>
                <w:lang w:val="en-US" w:eastAsia="zh-CN" w:bidi="ar-SA"/>
                <w14:textFill>
                  <w14:solidFill>
                    <w14:schemeClr w14:val="tx1"/>
                  </w14:solidFill>
                </w14:textFill>
              </w:rPr>
              <w:t>拟任项目经理应具有有效的市政公用工程专业二级以上（含二级）建造师注册证书和安全生产考核合格证书</w:t>
            </w:r>
          </w:p>
        </w:tc>
      </w:tr>
      <w:tr w14:paraId="6E98E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jc w:val="center"/>
        </w:trPr>
        <w:tc>
          <w:tcPr>
            <w:tcW w:w="618" w:type="dxa"/>
            <w:vMerge w:val="restart"/>
            <w:tcBorders>
              <w:left w:val="single" w:color="auto" w:sz="4" w:space="0"/>
              <w:right w:val="single" w:color="auto" w:sz="4" w:space="0"/>
            </w:tcBorders>
            <w:noWrap w:val="0"/>
            <w:vAlign w:val="center"/>
          </w:tcPr>
          <w:p w14:paraId="6900411C">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2.1.2</w:t>
            </w:r>
          </w:p>
        </w:tc>
        <w:tc>
          <w:tcPr>
            <w:tcW w:w="661" w:type="dxa"/>
            <w:vMerge w:val="restart"/>
            <w:tcBorders>
              <w:left w:val="single" w:color="auto" w:sz="4" w:space="0"/>
              <w:right w:val="single" w:color="auto" w:sz="4" w:space="0"/>
            </w:tcBorders>
            <w:noWrap w:val="0"/>
            <w:vAlign w:val="center"/>
          </w:tcPr>
          <w:p w14:paraId="28212DEB">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符合性评审标准</w:t>
            </w:r>
          </w:p>
        </w:tc>
        <w:tc>
          <w:tcPr>
            <w:tcW w:w="3013" w:type="dxa"/>
            <w:gridSpan w:val="3"/>
            <w:tcBorders>
              <w:top w:val="single" w:color="auto" w:sz="4" w:space="0"/>
              <w:left w:val="single" w:color="auto" w:sz="4" w:space="0"/>
              <w:right w:val="single" w:color="auto" w:sz="4" w:space="0"/>
            </w:tcBorders>
            <w:noWrap w:val="0"/>
            <w:vAlign w:val="center"/>
          </w:tcPr>
          <w:p w14:paraId="33A9688E">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法定代表人身份证明或法定代表人授权委托书</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212B12F0">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按规定格式填写</w:t>
            </w:r>
          </w:p>
        </w:tc>
      </w:tr>
      <w:tr w14:paraId="283D7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jc w:val="center"/>
        </w:trPr>
        <w:tc>
          <w:tcPr>
            <w:tcW w:w="618" w:type="dxa"/>
            <w:vMerge w:val="continue"/>
            <w:tcBorders>
              <w:left w:val="single" w:color="auto" w:sz="4" w:space="0"/>
              <w:right w:val="single" w:color="auto" w:sz="4" w:space="0"/>
            </w:tcBorders>
            <w:noWrap w:val="0"/>
            <w:vAlign w:val="center"/>
          </w:tcPr>
          <w:p w14:paraId="212EFD30">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661" w:type="dxa"/>
            <w:vMerge w:val="continue"/>
            <w:tcBorders>
              <w:left w:val="single" w:color="auto" w:sz="4" w:space="0"/>
              <w:right w:val="single" w:color="auto" w:sz="4" w:space="0"/>
            </w:tcBorders>
            <w:noWrap w:val="0"/>
            <w:vAlign w:val="center"/>
          </w:tcPr>
          <w:p w14:paraId="5CA17608">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3013" w:type="dxa"/>
            <w:gridSpan w:val="3"/>
            <w:tcBorders>
              <w:top w:val="single" w:color="auto" w:sz="4" w:space="0"/>
              <w:left w:val="single" w:color="auto" w:sz="4" w:space="0"/>
              <w:right w:val="single" w:color="auto" w:sz="4" w:space="0"/>
            </w:tcBorders>
            <w:noWrap w:val="0"/>
            <w:vAlign w:val="center"/>
          </w:tcPr>
          <w:p w14:paraId="25B57DFD">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响应文件的签署、盖章</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53D660A5">
            <w:pPr>
              <w:spacing w:line="360" w:lineRule="auto"/>
              <w:rPr>
                <w:rFonts w:hint="default" w:ascii="Times New Roman" w:hAnsi="Times New Roman" w:cs="Times New Roman" w:eastAsiaTheme="minorEastAsia"/>
                <w:color w:val="000000" w:themeColor="text1"/>
                <w:kern w:val="2"/>
                <w:sz w:val="21"/>
                <w:szCs w:val="21"/>
                <w:lang w:val="en-US" w:eastAsia="en-US" w:bidi="ar"/>
                <w14:textFill>
                  <w14:solidFill>
                    <w14:schemeClr w14:val="tx1"/>
                  </w14:solidFill>
                </w14:textFill>
              </w:rPr>
            </w:pPr>
            <w:r>
              <w:rPr>
                <w:rFonts w:hint="default" w:ascii="Times New Roman" w:hAnsi="Times New Roman" w:cs="Times New Roman" w:eastAsiaTheme="minorEastAsia"/>
                <w:color w:val="000000" w:themeColor="text1"/>
                <w:kern w:val="2"/>
                <w:sz w:val="21"/>
                <w:szCs w:val="21"/>
                <w:lang w:val="en-US" w:eastAsia="en-US" w:bidi="ar"/>
                <w14:textFill>
                  <w14:solidFill>
                    <w14:schemeClr w14:val="tx1"/>
                  </w14:solidFill>
                </w14:textFill>
              </w:rPr>
              <w:t>按</w:t>
            </w:r>
            <w:r>
              <w:rPr>
                <w:rFonts w:hint="default" w:ascii="Times New Roman" w:hAnsi="Times New Roman" w:cs="Times New Roman" w:eastAsiaTheme="minorEastAsia"/>
                <w:color w:val="000000" w:themeColor="text1"/>
                <w:kern w:val="2"/>
                <w:sz w:val="21"/>
                <w:szCs w:val="21"/>
                <w:lang w:val="en-US" w:eastAsia="zh-CN" w:bidi="ar"/>
                <w14:textFill>
                  <w14:solidFill>
                    <w14:schemeClr w14:val="tx1"/>
                  </w14:solidFill>
                </w14:textFill>
              </w:rPr>
              <w:t>磋商</w:t>
            </w:r>
            <w:r>
              <w:rPr>
                <w:rFonts w:hint="default" w:ascii="Times New Roman" w:hAnsi="Times New Roman" w:cs="Times New Roman" w:eastAsiaTheme="minorEastAsia"/>
                <w:color w:val="000000" w:themeColor="text1"/>
                <w:kern w:val="2"/>
                <w:sz w:val="21"/>
                <w:szCs w:val="21"/>
                <w:lang w:val="en-US" w:eastAsia="en-US" w:bidi="ar"/>
                <w14:textFill>
                  <w14:solidFill>
                    <w14:schemeClr w14:val="tx1"/>
                  </w14:solidFill>
                </w14:textFill>
              </w:rPr>
              <w:t>文件规定加盖公章，</w:t>
            </w:r>
            <w:r>
              <w:rPr>
                <w:rFonts w:hint="default" w:ascii="Times New Roman" w:hAnsi="Times New Roman" w:cs="Times New Roman" w:eastAsiaTheme="minorEastAsia"/>
                <w:color w:val="000000" w:themeColor="text1"/>
                <w:kern w:val="2"/>
                <w:sz w:val="21"/>
                <w:szCs w:val="21"/>
                <w:lang w:val="en-US" w:eastAsia="zh-CN" w:bidi="ar"/>
                <w14:textFill>
                  <w14:solidFill>
                    <w14:schemeClr w14:val="tx1"/>
                  </w14:solidFill>
                </w14:textFill>
              </w:rPr>
              <w:t>由</w:t>
            </w:r>
            <w:r>
              <w:rPr>
                <w:rFonts w:hint="default" w:ascii="Times New Roman" w:hAnsi="Times New Roman" w:cs="Times New Roman" w:eastAsiaTheme="minorEastAsia"/>
                <w:color w:val="000000" w:themeColor="text1"/>
                <w:kern w:val="2"/>
                <w:sz w:val="21"/>
                <w:szCs w:val="21"/>
                <w:lang w:val="en-US" w:eastAsia="en-US" w:bidi="ar"/>
                <w14:textFill>
                  <w14:solidFill>
                    <w14:schemeClr w14:val="tx1"/>
                  </w14:solidFill>
                </w14:textFill>
              </w:rPr>
              <w:t>法定代表人或委托代理人签字或盖章</w:t>
            </w:r>
          </w:p>
        </w:tc>
      </w:tr>
      <w:tr w14:paraId="0575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618" w:type="dxa"/>
            <w:vMerge w:val="continue"/>
            <w:tcBorders>
              <w:left w:val="single" w:color="auto" w:sz="4" w:space="0"/>
              <w:right w:val="single" w:color="auto" w:sz="4" w:space="0"/>
            </w:tcBorders>
            <w:noWrap w:val="0"/>
            <w:vAlign w:val="center"/>
          </w:tcPr>
          <w:p w14:paraId="04A0EDAE">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661" w:type="dxa"/>
            <w:vMerge w:val="continue"/>
            <w:tcBorders>
              <w:left w:val="single" w:color="auto" w:sz="4" w:space="0"/>
              <w:right w:val="single" w:color="auto" w:sz="4" w:space="0"/>
            </w:tcBorders>
            <w:noWrap w:val="0"/>
            <w:vAlign w:val="center"/>
          </w:tcPr>
          <w:p w14:paraId="46796DAD">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3013" w:type="dxa"/>
            <w:gridSpan w:val="3"/>
            <w:tcBorders>
              <w:top w:val="single" w:color="auto" w:sz="4" w:space="0"/>
              <w:left w:val="single" w:color="auto" w:sz="4" w:space="0"/>
              <w:right w:val="single" w:color="auto" w:sz="4" w:space="0"/>
            </w:tcBorders>
            <w:noWrap w:val="0"/>
            <w:vAlign w:val="center"/>
          </w:tcPr>
          <w:p w14:paraId="2379FCC6">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响应文件格式</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5B2494B5">
            <w:pPr>
              <w:spacing w:line="360" w:lineRule="auto"/>
              <w:rPr>
                <w:rFonts w:hint="default" w:ascii="Times New Roman" w:hAnsi="Times New Roman" w:cs="Times New Roman" w:eastAsiaTheme="minorEastAsia"/>
                <w:color w:val="000000" w:themeColor="text1"/>
                <w:kern w:val="2"/>
                <w:sz w:val="21"/>
                <w:szCs w:val="21"/>
                <w:lang w:val="en-US" w:eastAsia="en-US" w:bidi="ar"/>
                <w14:textFill>
                  <w14:solidFill>
                    <w14:schemeClr w14:val="tx1"/>
                  </w14:solidFill>
                </w14:textFill>
              </w:rPr>
            </w:pPr>
            <w:r>
              <w:rPr>
                <w:rFonts w:hint="default" w:ascii="Times New Roman" w:hAnsi="Times New Roman" w:cs="Times New Roman" w:eastAsiaTheme="minorEastAsia"/>
                <w:color w:val="000000" w:themeColor="text1"/>
                <w:kern w:val="2"/>
                <w:sz w:val="21"/>
                <w:szCs w:val="21"/>
                <w:lang w:val="en-US" w:eastAsia="en-US" w:bidi="ar"/>
                <w14:textFill>
                  <w14:solidFill>
                    <w14:schemeClr w14:val="tx1"/>
                  </w14:solidFill>
                </w14:textFill>
              </w:rPr>
              <w:t>符合竞争性磋商文件“第</w:t>
            </w:r>
            <w:r>
              <w:rPr>
                <w:rFonts w:hint="default" w:ascii="Times New Roman" w:hAnsi="Times New Roman" w:cs="Times New Roman" w:eastAsiaTheme="minorEastAsia"/>
                <w:color w:val="000000" w:themeColor="text1"/>
                <w:kern w:val="2"/>
                <w:sz w:val="21"/>
                <w:szCs w:val="21"/>
                <w:lang w:val="en-US" w:eastAsia="zh-CN" w:bidi="ar"/>
                <w14:textFill>
                  <w14:solidFill>
                    <w14:schemeClr w14:val="tx1"/>
                  </w14:solidFill>
                </w14:textFill>
              </w:rPr>
              <w:t>六</w:t>
            </w:r>
            <w:r>
              <w:rPr>
                <w:rFonts w:hint="default" w:ascii="Times New Roman" w:hAnsi="Times New Roman" w:cs="Times New Roman" w:eastAsiaTheme="minorEastAsia"/>
                <w:color w:val="000000" w:themeColor="text1"/>
                <w:kern w:val="2"/>
                <w:sz w:val="21"/>
                <w:szCs w:val="21"/>
                <w:lang w:val="en-US" w:eastAsia="en-US" w:bidi="ar"/>
                <w14:textFill>
                  <w14:solidFill>
                    <w14:schemeClr w14:val="tx1"/>
                  </w14:solidFill>
                </w14:textFill>
              </w:rPr>
              <w:t>章 响应文件格式”</w:t>
            </w:r>
          </w:p>
        </w:tc>
      </w:tr>
      <w:tr w14:paraId="62D2E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18" w:type="dxa"/>
            <w:vMerge w:val="continue"/>
            <w:tcBorders>
              <w:left w:val="single" w:color="auto" w:sz="4" w:space="0"/>
              <w:right w:val="single" w:color="auto" w:sz="4" w:space="0"/>
            </w:tcBorders>
            <w:noWrap w:val="0"/>
            <w:vAlign w:val="center"/>
          </w:tcPr>
          <w:p w14:paraId="4B97009B">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661" w:type="dxa"/>
            <w:vMerge w:val="continue"/>
            <w:tcBorders>
              <w:left w:val="single" w:color="auto" w:sz="4" w:space="0"/>
              <w:right w:val="single" w:color="auto" w:sz="4" w:space="0"/>
            </w:tcBorders>
            <w:noWrap w:val="0"/>
            <w:vAlign w:val="center"/>
          </w:tcPr>
          <w:p w14:paraId="05A2D30B">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3013" w:type="dxa"/>
            <w:gridSpan w:val="3"/>
            <w:tcBorders>
              <w:top w:val="single" w:color="auto" w:sz="4" w:space="0"/>
              <w:left w:val="single" w:color="auto" w:sz="4" w:space="0"/>
              <w:right w:val="single" w:color="auto" w:sz="4" w:space="0"/>
            </w:tcBorders>
            <w:noWrap w:val="0"/>
            <w:vAlign w:val="center"/>
          </w:tcPr>
          <w:p w14:paraId="6206EC6C">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eastAsiaTheme="minorEastAsia"/>
                <w:color w:val="000000" w:themeColor="text1"/>
                <w:kern w:val="2"/>
                <w:sz w:val="21"/>
                <w:szCs w:val="21"/>
                <w:lang w:val="en-US" w:eastAsia="zh-CN" w:bidi="ar"/>
                <w14:textFill>
                  <w14:solidFill>
                    <w14:schemeClr w14:val="tx1"/>
                  </w14:solidFill>
                </w14:textFill>
              </w:rPr>
              <w:t>磋商</w:t>
            </w:r>
            <w:r>
              <w:rPr>
                <w:rFonts w:hint="default" w:ascii="Times New Roman" w:hAnsi="Times New Roman" w:cs="Times New Roman" w:eastAsiaTheme="minorEastAsia"/>
                <w:color w:val="000000" w:themeColor="text1"/>
                <w:kern w:val="2"/>
                <w:sz w:val="21"/>
                <w:szCs w:val="21"/>
                <w:lang w:val="en-US" w:eastAsia="en-US" w:bidi="ar"/>
                <w14:textFill>
                  <w14:solidFill>
                    <w14:schemeClr w14:val="tx1"/>
                  </w14:solidFill>
                </w14:textFill>
              </w:rPr>
              <w:t>报价</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330F8EED">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eastAsiaTheme="minorEastAsia"/>
                <w:color w:val="000000" w:themeColor="text1"/>
                <w:kern w:val="2"/>
                <w:sz w:val="21"/>
                <w:szCs w:val="21"/>
                <w:lang w:val="en-US" w:eastAsia="zh-CN" w:bidi="ar"/>
                <w14:textFill>
                  <w14:solidFill>
                    <w14:schemeClr w14:val="tx1"/>
                  </w14:solidFill>
                </w14:textFill>
              </w:rPr>
              <w:t>磋商</w:t>
            </w:r>
            <w:r>
              <w:rPr>
                <w:rFonts w:hint="default" w:ascii="Times New Roman" w:hAnsi="Times New Roman" w:cs="Times New Roman" w:eastAsiaTheme="minorEastAsia"/>
                <w:color w:val="000000" w:themeColor="text1"/>
                <w:kern w:val="2"/>
                <w:sz w:val="21"/>
                <w:szCs w:val="21"/>
                <w:lang w:val="en-US" w:eastAsia="en-US" w:bidi="ar"/>
                <w14:textFill>
                  <w14:solidFill>
                    <w14:schemeClr w14:val="tx1"/>
                  </w14:solidFill>
                </w14:textFill>
              </w:rPr>
              <w:t>报价超过招标文件中规定的预算金额或者最高限价的</w:t>
            </w:r>
          </w:p>
        </w:tc>
      </w:tr>
      <w:tr w14:paraId="124B8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618" w:type="dxa"/>
            <w:vMerge w:val="continue"/>
            <w:tcBorders>
              <w:left w:val="single" w:color="auto" w:sz="4" w:space="0"/>
              <w:right w:val="single" w:color="auto" w:sz="4" w:space="0"/>
            </w:tcBorders>
            <w:noWrap w:val="0"/>
            <w:vAlign w:val="center"/>
          </w:tcPr>
          <w:p w14:paraId="1B4BC1E0">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661" w:type="dxa"/>
            <w:vMerge w:val="continue"/>
            <w:tcBorders>
              <w:left w:val="single" w:color="auto" w:sz="4" w:space="0"/>
              <w:right w:val="single" w:color="auto" w:sz="4" w:space="0"/>
            </w:tcBorders>
            <w:noWrap w:val="0"/>
            <w:vAlign w:val="center"/>
          </w:tcPr>
          <w:p w14:paraId="6249BF8D">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3013" w:type="dxa"/>
            <w:gridSpan w:val="3"/>
            <w:tcBorders>
              <w:top w:val="single" w:color="auto" w:sz="4" w:space="0"/>
              <w:left w:val="single" w:color="auto" w:sz="4" w:space="0"/>
              <w:right w:val="single" w:color="auto" w:sz="4" w:space="0"/>
            </w:tcBorders>
            <w:noWrap w:val="0"/>
            <w:vAlign w:val="center"/>
          </w:tcPr>
          <w:p w14:paraId="3BC2A064">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Cs w:val="21"/>
                <w:lang w:val="zh-CN" w:eastAsia="zh-CN"/>
                <w14:textFill>
                  <w14:solidFill>
                    <w14:schemeClr w14:val="tx1"/>
                  </w14:solidFill>
                </w14:textFill>
              </w:rPr>
              <w:t>其他无效情形</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30A87D51">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Cs w:val="21"/>
                <w:lang w:val="zh-CN" w:eastAsia="zh-CN"/>
                <w14:textFill>
                  <w14:solidFill>
                    <w14:schemeClr w14:val="tx1"/>
                  </w14:solidFill>
                </w14:textFill>
              </w:rPr>
              <w:t>法律法规</w:t>
            </w:r>
            <w:r>
              <w:rPr>
                <w:rFonts w:hint="default" w:ascii="Times New Roman" w:hAnsi="Times New Roman" w:eastAsia="宋体" w:cs="Times New Roman"/>
                <w:color w:val="000000" w:themeColor="text1"/>
                <w:szCs w:val="21"/>
                <w:lang w:val="zh-CN" w:eastAsia="zh-CN"/>
                <w14:textFill>
                  <w14:solidFill>
                    <w14:schemeClr w14:val="tx1"/>
                  </w14:solidFill>
                </w14:textFill>
              </w:rPr>
              <w:t>和</w:t>
            </w:r>
            <w:r>
              <w:rPr>
                <w:rFonts w:hint="default" w:ascii="Times New Roman" w:hAnsi="Times New Roman" w:cs="Times New Roman"/>
                <w:color w:val="000000" w:themeColor="text1"/>
                <w:szCs w:val="21"/>
                <w:lang w:val="en-US" w:eastAsia="zh-CN"/>
                <w14:textFill>
                  <w14:solidFill>
                    <w14:schemeClr w14:val="tx1"/>
                  </w14:solidFill>
                </w14:textFill>
              </w:rPr>
              <w:t>磋商</w:t>
            </w:r>
            <w:r>
              <w:rPr>
                <w:rFonts w:hint="default" w:ascii="Times New Roman" w:hAnsi="Times New Roman" w:eastAsia="宋体" w:cs="Times New Roman"/>
                <w:color w:val="000000" w:themeColor="text1"/>
                <w:szCs w:val="21"/>
                <w:lang w:val="zh-CN" w:eastAsia="zh-CN"/>
                <w14:textFill>
                  <w14:solidFill>
                    <w14:schemeClr w14:val="tx1"/>
                  </w14:solidFill>
                </w14:textFill>
              </w:rPr>
              <w:t>文件规定的其他无效情形</w:t>
            </w:r>
            <w:r>
              <w:rPr>
                <w:rFonts w:hint="default" w:ascii="Times New Roman" w:hAnsi="Times New Roman" w:cs="Times New Roman"/>
                <w:color w:val="000000" w:themeColor="text1"/>
                <w:szCs w:val="21"/>
                <w:lang w:val="zh-CN" w:eastAsia="zh-CN"/>
                <w14:textFill>
                  <w14:solidFill>
                    <w14:schemeClr w14:val="tx1"/>
                  </w14:solidFill>
                </w14:textFill>
              </w:rPr>
              <w:t>；采购人</w:t>
            </w:r>
            <w:r>
              <w:rPr>
                <w:rFonts w:hint="default" w:ascii="Times New Roman" w:hAnsi="Times New Roman" w:cs="Times New Roman"/>
                <w:color w:val="000000" w:themeColor="text1"/>
                <w:szCs w:val="21"/>
                <w:lang w:val="en-US" w:eastAsia="zh-CN"/>
                <w14:textFill>
                  <w14:solidFill>
                    <w14:schemeClr w14:val="tx1"/>
                  </w14:solidFill>
                </w14:textFill>
              </w:rPr>
              <w:t>不能接受的其他条件</w:t>
            </w:r>
          </w:p>
        </w:tc>
      </w:tr>
      <w:tr w14:paraId="68A66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279" w:type="dxa"/>
            <w:gridSpan w:val="2"/>
            <w:tcBorders>
              <w:top w:val="single" w:color="auto" w:sz="4" w:space="0"/>
              <w:left w:val="single" w:color="auto" w:sz="4" w:space="0"/>
              <w:bottom w:val="single" w:color="auto" w:sz="4" w:space="0"/>
              <w:right w:val="single" w:color="auto" w:sz="4" w:space="0"/>
            </w:tcBorders>
            <w:noWrap w:val="0"/>
            <w:vAlign w:val="top"/>
          </w:tcPr>
          <w:p w14:paraId="281DB6A9">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条款号</w:t>
            </w:r>
          </w:p>
        </w:tc>
        <w:tc>
          <w:tcPr>
            <w:tcW w:w="3013" w:type="dxa"/>
            <w:gridSpan w:val="3"/>
            <w:tcBorders>
              <w:top w:val="single" w:color="auto" w:sz="4" w:space="0"/>
              <w:left w:val="single" w:color="auto" w:sz="4" w:space="0"/>
              <w:bottom w:val="single" w:color="auto" w:sz="4" w:space="0"/>
              <w:right w:val="single" w:color="auto" w:sz="4" w:space="0"/>
            </w:tcBorders>
            <w:noWrap w:val="0"/>
            <w:vAlign w:val="center"/>
          </w:tcPr>
          <w:p w14:paraId="379640C4">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条款内容</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109BA808">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评审标准</w:t>
            </w:r>
          </w:p>
        </w:tc>
      </w:tr>
      <w:tr w14:paraId="61808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0" w:hRule="atLeast"/>
          <w:jc w:val="center"/>
        </w:trPr>
        <w:tc>
          <w:tcPr>
            <w:tcW w:w="1279" w:type="dxa"/>
            <w:gridSpan w:val="2"/>
            <w:tcBorders>
              <w:top w:val="single" w:color="auto" w:sz="4" w:space="0"/>
              <w:left w:val="single" w:color="auto" w:sz="4" w:space="0"/>
              <w:bottom w:val="single" w:color="auto" w:sz="4" w:space="0"/>
              <w:right w:val="single" w:color="auto" w:sz="4" w:space="0"/>
            </w:tcBorders>
            <w:noWrap w:val="0"/>
            <w:vAlign w:val="top"/>
          </w:tcPr>
          <w:p w14:paraId="484AB0E7">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2.2.1</w:t>
            </w:r>
          </w:p>
        </w:tc>
        <w:tc>
          <w:tcPr>
            <w:tcW w:w="3013" w:type="dxa"/>
            <w:gridSpan w:val="3"/>
            <w:tcBorders>
              <w:top w:val="single" w:color="auto" w:sz="4" w:space="0"/>
              <w:left w:val="single" w:color="auto" w:sz="4" w:space="0"/>
              <w:bottom w:val="single" w:color="auto" w:sz="4" w:space="0"/>
              <w:right w:val="single" w:color="auto" w:sz="4" w:space="0"/>
            </w:tcBorders>
            <w:noWrap w:val="0"/>
            <w:vAlign w:val="center"/>
          </w:tcPr>
          <w:p w14:paraId="38FC4F50">
            <w:pPr>
              <w:spacing w:line="360" w:lineRule="auto"/>
              <w:jc w:val="center"/>
              <w:rPr>
                <w:rFonts w:hint="default" w:ascii="Times New Roman" w:hAnsi="Times New Roman" w:cs="Times New Roman"/>
                <w:color w:val="000000" w:themeColor="text1"/>
                <w:sz w:val="22"/>
                <w:szCs w:val="28"/>
                <w14:textFill>
                  <w14:solidFill>
                    <w14:schemeClr w14:val="tx1"/>
                  </w14:solidFill>
                </w14:textFill>
              </w:rPr>
            </w:pPr>
            <w:r>
              <w:rPr>
                <w:rFonts w:hint="default" w:ascii="Times New Roman" w:hAnsi="Times New Roman" w:cs="Times New Roman"/>
                <w:color w:val="000000" w:themeColor="text1"/>
                <w:sz w:val="22"/>
                <w:szCs w:val="28"/>
                <w14:textFill>
                  <w14:solidFill>
                    <w14:schemeClr w14:val="tx1"/>
                  </w14:solidFill>
                </w14:textFill>
              </w:rPr>
              <w:t>分值构成</w:t>
            </w:r>
          </w:p>
          <w:p w14:paraId="557E83AA">
            <w:pPr>
              <w:spacing w:line="360" w:lineRule="auto"/>
              <w:rPr>
                <w:rFonts w:hint="default" w:ascii="Times New Roman" w:hAnsi="Times New Roman" w:cs="Times New Roman"/>
                <w:color w:val="000000" w:themeColor="text1"/>
                <w:sz w:val="22"/>
                <w:szCs w:val="28"/>
                <w14:textFill>
                  <w14:solidFill>
                    <w14:schemeClr w14:val="tx1"/>
                  </w14:solidFill>
                </w14:textFill>
              </w:rPr>
            </w:pPr>
            <w:r>
              <w:rPr>
                <w:rFonts w:hint="default" w:ascii="Times New Roman" w:hAnsi="Times New Roman" w:cs="Times New Roman"/>
                <w:color w:val="000000" w:themeColor="text1"/>
                <w:sz w:val="22"/>
                <w:szCs w:val="28"/>
                <w:lang w:val="en-US" w:eastAsia="zh-CN"/>
                <w14:textFill>
                  <w14:solidFill>
                    <w14:schemeClr w14:val="tx1"/>
                  </w14:solidFill>
                </w14:textFill>
              </w:rPr>
              <w:t>报价</w:t>
            </w:r>
            <w:r>
              <w:rPr>
                <w:rFonts w:hint="default" w:ascii="Times New Roman" w:hAnsi="Times New Roman" w:cs="Times New Roman"/>
                <w:color w:val="000000" w:themeColor="text1"/>
                <w:sz w:val="22"/>
                <w:szCs w:val="28"/>
                <w14:textFill>
                  <w14:solidFill>
                    <w14:schemeClr w14:val="tx1"/>
                  </w14:solidFill>
                </w14:textFill>
              </w:rPr>
              <w:t>部分分值为</w:t>
            </w:r>
            <w:r>
              <w:rPr>
                <w:rFonts w:hint="default" w:ascii="Times New Roman" w:hAnsi="Times New Roman" w:cs="Times New Roman"/>
                <w:color w:val="000000" w:themeColor="text1"/>
                <w:sz w:val="22"/>
                <w:szCs w:val="28"/>
                <w:lang w:val="en-US" w:eastAsia="zh-CN"/>
                <w14:textFill>
                  <w14:solidFill>
                    <w14:schemeClr w14:val="tx1"/>
                  </w14:solidFill>
                </w14:textFill>
              </w:rPr>
              <w:t>20</w:t>
            </w:r>
            <w:r>
              <w:rPr>
                <w:rFonts w:hint="default" w:ascii="Times New Roman" w:hAnsi="Times New Roman" w:cs="Times New Roman"/>
                <w:color w:val="000000" w:themeColor="text1"/>
                <w:sz w:val="22"/>
                <w:szCs w:val="28"/>
                <w14:textFill>
                  <w14:solidFill>
                    <w14:schemeClr w14:val="tx1"/>
                  </w14:solidFill>
                </w14:textFill>
              </w:rPr>
              <w:t>分</w:t>
            </w:r>
          </w:p>
          <w:p w14:paraId="17BCB7A3">
            <w:pPr>
              <w:spacing w:line="360" w:lineRule="auto"/>
              <w:rPr>
                <w:rFonts w:hint="default" w:ascii="Times New Roman" w:hAnsi="Times New Roman" w:cs="Times New Roman"/>
                <w:color w:val="000000" w:themeColor="text1"/>
                <w:sz w:val="22"/>
                <w:szCs w:val="28"/>
                <w14:textFill>
                  <w14:solidFill>
                    <w14:schemeClr w14:val="tx1"/>
                  </w14:solidFill>
                </w14:textFill>
              </w:rPr>
            </w:pPr>
            <w:r>
              <w:rPr>
                <w:rFonts w:hint="default" w:ascii="Times New Roman" w:hAnsi="Times New Roman" w:cs="Times New Roman"/>
                <w:color w:val="000000" w:themeColor="text1"/>
                <w:sz w:val="22"/>
                <w:szCs w:val="28"/>
                <w14:textFill>
                  <w14:solidFill>
                    <w14:schemeClr w14:val="tx1"/>
                  </w14:solidFill>
                </w14:textFill>
              </w:rPr>
              <w:t>技术部分分值为</w:t>
            </w:r>
            <w:r>
              <w:rPr>
                <w:rFonts w:hint="default" w:ascii="Times New Roman" w:hAnsi="Times New Roman" w:cs="Times New Roman"/>
                <w:color w:val="000000" w:themeColor="text1"/>
                <w:sz w:val="22"/>
                <w:szCs w:val="28"/>
                <w:lang w:val="en-US" w:eastAsia="zh-CN"/>
                <w14:textFill>
                  <w14:solidFill>
                    <w14:schemeClr w14:val="tx1"/>
                  </w14:solidFill>
                </w14:textFill>
              </w:rPr>
              <w:t>75</w:t>
            </w:r>
            <w:r>
              <w:rPr>
                <w:rFonts w:hint="default" w:ascii="Times New Roman" w:hAnsi="Times New Roman" w:cs="Times New Roman"/>
                <w:color w:val="000000" w:themeColor="text1"/>
                <w:sz w:val="22"/>
                <w:szCs w:val="28"/>
                <w14:textFill>
                  <w14:solidFill>
                    <w14:schemeClr w14:val="tx1"/>
                  </w14:solidFill>
                </w14:textFill>
              </w:rPr>
              <w:t>分</w:t>
            </w:r>
          </w:p>
          <w:p w14:paraId="2943ACDE">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22"/>
                <w:szCs w:val="28"/>
                <w:lang w:val="en-US" w:eastAsia="zh-CN"/>
                <w14:textFill>
                  <w14:solidFill>
                    <w14:schemeClr w14:val="tx1"/>
                  </w14:solidFill>
                </w14:textFill>
              </w:rPr>
              <w:t>商务部分分值为5分</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04031E7A">
            <w:pPr>
              <w:spacing w:line="360" w:lineRule="auto"/>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本项目采用综合评估法，第一阶段磋商小组对响应文件进行资格评审、符合性评审，供应商只有全部满足才能通过并进入第二阶段评审。第二阶段对通过第一阶段评审的供应商进行最后磋商报价。第三阶段对供应商分别进行技术商务打分，第四阶段对供应商的最后磋商报价进行符合性审查并打分。最终按供应商最后得分由高到低推荐成交候选人。Z=S+J</w:t>
            </w:r>
          </w:p>
          <w:p w14:paraId="66DDF48E">
            <w:pPr>
              <w:spacing w:line="360" w:lineRule="auto"/>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其中：</w:t>
            </w:r>
          </w:p>
          <w:p w14:paraId="2528D560">
            <w:pPr>
              <w:spacing w:line="360" w:lineRule="auto"/>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指供应商的最终得分</w:t>
            </w:r>
          </w:p>
          <w:p w14:paraId="1BE1043E">
            <w:pPr>
              <w:spacing w:line="360" w:lineRule="auto"/>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Z：指供应商的</w:t>
            </w:r>
            <w:r>
              <w:rPr>
                <w:rFonts w:hint="eastAsia" w:cs="Times New Roman"/>
                <w:color w:val="000000" w:themeColor="text1"/>
                <w:sz w:val="22"/>
                <w:szCs w:val="22"/>
                <w:lang w:val="en-US" w:eastAsia="zh-CN"/>
                <w14:textFill>
                  <w14:solidFill>
                    <w14:schemeClr w14:val="tx1"/>
                  </w14:solidFill>
                </w14:textFill>
              </w:rPr>
              <w:t>报价</w:t>
            </w:r>
            <w:r>
              <w:rPr>
                <w:rFonts w:hint="default" w:ascii="Times New Roman" w:hAnsi="Times New Roman" w:cs="Times New Roman"/>
                <w:color w:val="000000" w:themeColor="text1"/>
                <w:sz w:val="22"/>
                <w:szCs w:val="22"/>
                <w14:textFill>
                  <w14:solidFill>
                    <w14:schemeClr w14:val="tx1"/>
                  </w14:solidFill>
                </w14:textFill>
              </w:rPr>
              <w:t>部分得分；</w:t>
            </w:r>
          </w:p>
          <w:p w14:paraId="2CFDDFBE">
            <w:pPr>
              <w:spacing w:line="360" w:lineRule="auto"/>
              <w:rPr>
                <w:rFonts w:hint="default" w:ascii="Times New Roman" w:hAnsi="Times New Roman"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S：指供应商的商务部分得分；</w:t>
            </w:r>
          </w:p>
          <w:p w14:paraId="3BB98974">
            <w:pPr>
              <w:spacing w:line="360" w:lineRule="auto"/>
              <w:rPr>
                <w:rFonts w:hint="eastAsia" w:ascii="Times New Roman" w:hAnsi="Times New Roman" w:eastAsia="宋体" w:cs="Times New Roman"/>
                <w:color w:val="000000" w:themeColor="text1"/>
                <w:lang w:eastAsia="zh-CN"/>
                <w14:textFill>
                  <w14:solidFill>
                    <w14:schemeClr w14:val="tx1"/>
                  </w14:solidFill>
                </w14:textFill>
              </w:rPr>
            </w:pPr>
            <w:r>
              <w:rPr>
                <w:rFonts w:hint="default" w:ascii="Times New Roman" w:hAnsi="Times New Roman" w:cs="Times New Roman"/>
                <w:color w:val="000000" w:themeColor="text1"/>
                <w:sz w:val="22"/>
                <w:szCs w:val="22"/>
                <w14:textFill>
                  <w14:solidFill>
                    <w14:schemeClr w14:val="tx1"/>
                  </w14:solidFill>
                </w14:textFill>
              </w:rPr>
              <w:t>J：指供应商的技术部分得分</w:t>
            </w:r>
            <w:r>
              <w:rPr>
                <w:rFonts w:hint="eastAsia" w:cs="Times New Roman"/>
                <w:color w:val="000000" w:themeColor="text1"/>
                <w:sz w:val="22"/>
                <w:szCs w:val="22"/>
                <w:lang w:eastAsia="zh-CN"/>
                <w14:textFill>
                  <w14:solidFill>
                    <w14:schemeClr w14:val="tx1"/>
                  </w14:solidFill>
                </w14:textFill>
              </w:rPr>
              <w:t>。</w:t>
            </w:r>
          </w:p>
        </w:tc>
      </w:tr>
      <w:tr w14:paraId="5D6A4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1279" w:type="dxa"/>
            <w:gridSpan w:val="2"/>
            <w:tcBorders>
              <w:top w:val="single" w:color="auto" w:sz="4" w:space="0"/>
              <w:left w:val="single" w:color="auto" w:sz="4" w:space="0"/>
              <w:right w:val="single" w:color="auto" w:sz="4" w:space="0"/>
            </w:tcBorders>
            <w:noWrap w:val="0"/>
            <w:vAlign w:val="top"/>
          </w:tcPr>
          <w:p w14:paraId="5948CDCE">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2.2.2</w:t>
            </w:r>
          </w:p>
        </w:tc>
        <w:tc>
          <w:tcPr>
            <w:tcW w:w="8895" w:type="dxa"/>
            <w:gridSpan w:val="4"/>
            <w:tcBorders>
              <w:top w:val="single" w:color="auto" w:sz="4" w:space="0"/>
              <w:left w:val="single" w:color="auto" w:sz="4" w:space="0"/>
              <w:bottom w:val="single" w:color="auto" w:sz="4" w:space="0"/>
              <w:right w:val="single" w:color="auto" w:sz="4" w:space="0"/>
            </w:tcBorders>
            <w:noWrap w:val="0"/>
            <w:vAlign w:val="center"/>
          </w:tcPr>
          <w:p w14:paraId="103EE791">
            <w:pPr>
              <w:spacing w:line="360" w:lineRule="auto"/>
              <w:jc w:val="center"/>
              <w:rPr>
                <w:rFonts w:hint="default" w:ascii="Times New Roman" w:hAnsi="Times New Roman" w:cs="Times New Roman"/>
                <w:color w:val="000000" w:themeColor="text1"/>
                <w:szCs w:val="24"/>
                <w14:textFill>
                  <w14:solidFill>
                    <w14:schemeClr w14:val="tx1"/>
                  </w14:solidFill>
                </w14:textFill>
              </w:rPr>
            </w:pPr>
            <w:r>
              <w:rPr>
                <w:rFonts w:hint="default" w:ascii="Times New Roman" w:hAnsi="Times New Roman" w:cs="Times New Roman"/>
                <w:color w:val="000000" w:themeColor="text1"/>
                <w:sz w:val="22"/>
                <w:szCs w:val="22"/>
                <w:lang w:val="en-US" w:eastAsia="zh-CN"/>
                <w14:textFill>
                  <w14:solidFill>
                    <w14:schemeClr w14:val="tx1"/>
                  </w14:solidFill>
                </w14:textFill>
              </w:rPr>
              <w:t>报价</w:t>
            </w:r>
            <w:r>
              <w:rPr>
                <w:rFonts w:hint="default" w:ascii="Times New Roman" w:hAnsi="Times New Roman" w:cs="Times New Roman"/>
                <w:color w:val="000000" w:themeColor="text1"/>
                <w:sz w:val="22"/>
                <w:szCs w:val="22"/>
                <w14:textFill>
                  <w14:solidFill>
                    <w14:schemeClr w14:val="tx1"/>
                  </w14:solidFill>
                </w14:textFill>
              </w:rPr>
              <w:t>部分（满分</w:t>
            </w:r>
            <w:r>
              <w:rPr>
                <w:rFonts w:hint="default" w:ascii="Times New Roman" w:hAnsi="Times New Roman" w:cs="Times New Roman"/>
                <w:color w:val="000000" w:themeColor="text1"/>
                <w:sz w:val="22"/>
                <w:szCs w:val="22"/>
                <w:lang w:val="en-US" w:eastAsia="zh-CN"/>
                <w14:textFill>
                  <w14:solidFill>
                    <w14:schemeClr w14:val="tx1"/>
                  </w14:solidFill>
                </w14:textFill>
              </w:rPr>
              <w:t>20</w:t>
            </w:r>
            <w:r>
              <w:rPr>
                <w:rFonts w:hint="default" w:ascii="Times New Roman" w:hAnsi="Times New Roman" w:cs="Times New Roman"/>
                <w:color w:val="000000" w:themeColor="text1"/>
                <w:sz w:val="22"/>
                <w:szCs w:val="22"/>
                <w14:textFill>
                  <w14:solidFill>
                    <w14:schemeClr w14:val="tx1"/>
                  </w14:solidFill>
                </w14:textFill>
              </w:rPr>
              <w:t>分）</w:t>
            </w:r>
          </w:p>
        </w:tc>
      </w:tr>
      <w:tr w14:paraId="7F7F9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6" w:hRule="atLeast"/>
          <w:jc w:val="center"/>
        </w:trPr>
        <w:tc>
          <w:tcPr>
            <w:tcW w:w="618" w:type="dxa"/>
            <w:vMerge w:val="restart"/>
            <w:tcBorders>
              <w:left w:val="single" w:color="auto" w:sz="4" w:space="0"/>
              <w:right w:val="single" w:color="auto" w:sz="4" w:space="0"/>
            </w:tcBorders>
            <w:noWrap w:val="0"/>
            <w:vAlign w:val="center"/>
          </w:tcPr>
          <w:p w14:paraId="7F9579E5">
            <w:pPr>
              <w:keepNext w:val="0"/>
              <w:keepLines w:val="0"/>
              <w:pageBreakBefore w:val="0"/>
              <w:widowControl/>
              <w:kinsoku/>
              <w:overflowPunct/>
              <w:topLinePunct w:val="0"/>
              <w:autoSpaceDE/>
              <w:autoSpaceDN/>
              <w:bidi w:val="0"/>
              <w:spacing w:line="500" w:lineRule="exact"/>
              <w:jc w:val="left"/>
              <w:textAlignment w:val="auto"/>
              <w:rPr>
                <w:rFonts w:hint="default" w:ascii="Times New Roman" w:hAnsi="Times New Roman" w:cs="Times New Roman"/>
                <w:color w:val="000000" w:themeColor="text1"/>
                <w14:textFill>
                  <w14:solidFill>
                    <w14:schemeClr w14:val="tx1"/>
                  </w14:solidFill>
                </w14:textFill>
              </w:rPr>
            </w:pPr>
          </w:p>
        </w:tc>
        <w:tc>
          <w:tcPr>
            <w:tcW w:w="2252" w:type="dxa"/>
            <w:gridSpan w:val="3"/>
            <w:tcBorders>
              <w:top w:val="single" w:color="auto" w:sz="4" w:space="0"/>
              <w:left w:val="single" w:color="auto" w:sz="4" w:space="0"/>
              <w:right w:val="single" w:color="auto" w:sz="4" w:space="0"/>
            </w:tcBorders>
            <w:noWrap w:val="0"/>
            <w:vAlign w:val="center"/>
          </w:tcPr>
          <w:p w14:paraId="4588D457">
            <w:pPr>
              <w:keepNext w:val="0"/>
              <w:keepLines w:val="0"/>
              <w:pageBreakBefore w:val="0"/>
              <w:kinsoku/>
              <w:overflowPunct/>
              <w:topLinePunct w:val="0"/>
              <w:autoSpaceDE/>
              <w:autoSpaceDN/>
              <w:bidi w:val="0"/>
              <w:spacing w:line="500" w:lineRule="exact"/>
              <w:jc w:val="center"/>
              <w:textAlignment w:val="auto"/>
              <w:rPr>
                <w:rFonts w:hint="default" w:ascii="Times New Roman" w:hAnsi="Times New Roman" w:cs="Times New Roman"/>
                <w:color w:val="000000" w:themeColor="text1"/>
                <w:szCs w:val="24"/>
                <w14:textFill>
                  <w14:solidFill>
                    <w14:schemeClr w14:val="tx1"/>
                  </w14:solidFill>
                </w14:textFill>
              </w:rPr>
            </w:pPr>
            <w:r>
              <w:rPr>
                <w:rFonts w:hint="default" w:ascii="Times New Roman" w:hAnsi="Times New Roman" w:cs="Times New Roman"/>
                <w:color w:val="000000" w:themeColor="text1"/>
                <w:szCs w:val="24"/>
                <w14:textFill>
                  <w14:solidFill>
                    <w14:schemeClr w14:val="tx1"/>
                  </w14:solidFill>
                </w14:textFill>
              </w:rPr>
              <w:t>磋商报价</w:t>
            </w:r>
          </w:p>
        </w:tc>
        <w:tc>
          <w:tcPr>
            <w:tcW w:w="1422" w:type="dxa"/>
            <w:tcBorders>
              <w:top w:val="single" w:color="auto" w:sz="4" w:space="0"/>
              <w:left w:val="single" w:color="auto" w:sz="4" w:space="0"/>
              <w:right w:val="single" w:color="auto" w:sz="4" w:space="0"/>
            </w:tcBorders>
            <w:noWrap w:val="0"/>
            <w:vAlign w:val="center"/>
          </w:tcPr>
          <w:p w14:paraId="4BCCA290">
            <w:pPr>
              <w:keepNext w:val="0"/>
              <w:keepLines w:val="0"/>
              <w:pageBreakBefore w:val="0"/>
              <w:kinsoku/>
              <w:overflowPunct/>
              <w:topLinePunct w:val="0"/>
              <w:autoSpaceDE/>
              <w:autoSpaceDN/>
              <w:bidi w:val="0"/>
              <w:spacing w:line="500" w:lineRule="exact"/>
              <w:jc w:val="center"/>
              <w:textAlignment w:val="auto"/>
              <w:rPr>
                <w:rFonts w:hint="default" w:ascii="Times New Roman" w:hAnsi="Times New Roman" w:cs="Times New Roman"/>
                <w:color w:val="000000" w:themeColor="text1"/>
                <w:szCs w:val="24"/>
                <w14:textFill>
                  <w14:solidFill>
                    <w14:schemeClr w14:val="tx1"/>
                  </w14:solidFill>
                </w14:textFill>
              </w:rPr>
            </w:pPr>
            <w:r>
              <w:rPr>
                <w:rFonts w:hint="default" w:ascii="Times New Roman" w:hAnsi="Times New Roman" w:cs="Times New Roman"/>
                <w:color w:val="000000" w:themeColor="text1"/>
                <w:szCs w:val="24"/>
                <w:lang w:val="en-US" w:eastAsia="zh-CN"/>
                <w14:textFill>
                  <w14:solidFill>
                    <w14:schemeClr w14:val="tx1"/>
                  </w14:solidFill>
                </w14:textFill>
              </w:rPr>
              <w:t>20</w:t>
            </w:r>
            <w:r>
              <w:rPr>
                <w:rFonts w:hint="default" w:ascii="Times New Roman" w:hAnsi="Times New Roman" w:cs="Times New Roman"/>
                <w:color w:val="000000" w:themeColor="text1"/>
                <w:szCs w:val="24"/>
                <w14:textFill>
                  <w14:solidFill>
                    <w14:schemeClr w14:val="tx1"/>
                  </w14:solidFill>
                </w14:textFill>
              </w:rPr>
              <w:t>分</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2A4B4A58">
            <w:pPr>
              <w:spacing w:line="360" w:lineRule="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满足竞争性磋商文件要求且最后报价最低的供应商的价格为磋商基准价，其价格分为满分。其他供应商的价格分统一按照下列公式计算：</w:t>
            </w:r>
          </w:p>
          <w:p w14:paraId="3FF4AF37">
            <w:pPr>
              <w:spacing w:line="360" w:lineRule="auto"/>
              <w:rPr>
                <w:rFonts w:hint="default" w:ascii="Times New Roman" w:hAnsi="Times New Roman" w:eastAsia="宋体" w:cs="Times New Roman"/>
                <w:color w:val="000000" w:themeColor="text1"/>
                <w:sz w:val="22"/>
                <w:szCs w:val="22"/>
                <w:lang w:val="en-US" w:eastAsia="zh-CN"/>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磋商报价得分=磋商基准价/供应商最后报价</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x20</w:t>
            </w:r>
          </w:p>
          <w:p w14:paraId="4325FF3C">
            <w:pPr>
              <w:spacing w:line="360" w:lineRule="auto"/>
              <w:rPr>
                <w:rFonts w:hint="default" w:ascii="Times New Roman" w:hAnsi="Times New Roman" w:eastAsia="宋体" w:cs="Times New Roman"/>
                <w:color w:val="000000" w:themeColor="text1"/>
                <w:sz w:val="22"/>
                <w:szCs w:val="22"/>
                <w:lang w:val="en-US" w:eastAsia="zh-CN"/>
                <w14:textFill>
                  <w14:solidFill>
                    <w14:schemeClr w14:val="tx1"/>
                  </w14:solidFill>
                </w14:textFill>
              </w:rPr>
            </w:pPr>
            <w:r>
              <w:rPr>
                <w:rFonts w:hint="default" w:ascii="Times New Roman" w:hAnsi="Times New Roman" w:eastAsia="宋体" w:cs="Times New Roman"/>
                <w:color w:val="000000" w:themeColor="text1"/>
                <w:sz w:val="22"/>
                <w:szCs w:val="22"/>
                <w:lang w:val="en-US" w:eastAsia="zh-CN"/>
                <w14:textFill>
                  <w14:solidFill>
                    <w14:schemeClr w14:val="tx1"/>
                  </w14:solidFill>
                </w14:textFill>
              </w:rPr>
              <w:t>注：对小型和微型企业的最终价格给予3%的扣除，用扣除后的价格参与评审。监狱企业及残疾人福利性单位视同小型或微型企业。</w:t>
            </w:r>
          </w:p>
        </w:tc>
      </w:tr>
      <w:tr w14:paraId="256EB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jc w:val="center"/>
        </w:trPr>
        <w:tc>
          <w:tcPr>
            <w:tcW w:w="618" w:type="dxa"/>
            <w:vMerge w:val="continue"/>
            <w:tcBorders>
              <w:left w:val="single" w:color="auto" w:sz="4" w:space="0"/>
              <w:right w:val="single" w:color="auto" w:sz="4" w:space="0"/>
            </w:tcBorders>
            <w:noWrap w:val="0"/>
            <w:vAlign w:val="center"/>
          </w:tcPr>
          <w:p w14:paraId="086B9276">
            <w:pPr>
              <w:keepNext w:val="0"/>
              <w:keepLines w:val="0"/>
              <w:pageBreakBefore w:val="0"/>
              <w:widowControl/>
              <w:kinsoku/>
              <w:overflowPunct/>
              <w:topLinePunct w:val="0"/>
              <w:autoSpaceDE/>
              <w:autoSpaceDN/>
              <w:bidi w:val="0"/>
              <w:spacing w:line="500" w:lineRule="exact"/>
              <w:jc w:val="left"/>
              <w:textAlignment w:val="auto"/>
              <w:rPr>
                <w:rFonts w:hint="default" w:ascii="Times New Roman" w:hAnsi="Times New Roman" w:cs="Times New Roman"/>
                <w:color w:val="000000" w:themeColor="text1"/>
                <w14:textFill>
                  <w14:solidFill>
                    <w14:schemeClr w14:val="tx1"/>
                  </w14:solidFill>
                </w14:textFill>
              </w:rPr>
            </w:pPr>
          </w:p>
        </w:tc>
        <w:tc>
          <w:tcPr>
            <w:tcW w:w="9556" w:type="dxa"/>
            <w:gridSpan w:val="5"/>
            <w:tcBorders>
              <w:top w:val="single" w:color="auto" w:sz="4" w:space="0"/>
              <w:left w:val="single" w:color="auto" w:sz="4" w:space="0"/>
              <w:bottom w:val="single" w:color="auto" w:sz="4" w:space="0"/>
              <w:right w:val="single" w:color="auto" w:sz="4" w:space="0"/>
            </w:tcBorders>
            <w:noWrap w:val="0"/>
            <w:vAlign w:val="center"/>
          </w:tcPr>
          <w:p w14:paraId="44328A3C">
            <w:pPr>
              <w:keepNext w:val="0"/>
              <w:keepLines w:val="0"/>
              <w:pageBreakBefore w:val="0"/>
              <w:kinsoku/>
              <w:overflowPunct/>
              <w:topLinePunct w:val="0"/>
              <w:autoSpaceDE/>
              <w:autoSpaceDN/>
              <w:bidi w:val="0"/>
              <w:spacing w:line="500" w:lineRule="exact"/>
              <w:jc w:val="center"/>
              <w:textAlignment w:val="auto"/>
              <w:rPr>
                <w:rFonts w:hint="default" w:ascii="Times New Roman" w:hAnsi="Times New Roman" w:cs="Times New Roman"/>
                <w:color w:val="000000" w:themeColor="text1"/>
                <w:szCs w:val="24"/>
                <w14:textFill>
                  <w14:solidFill>
                    <w14:schemeClr w14:val="tx1"/>
                  </w14:solidFill>
                </w14:textFill>
              </w:rPr>
            </w:pPr>
            <w:r>
              <w:rPr>
                <w:rFonts w:hint="default" w:ascii="Times New Roman" w:hAnsi="Times New Roman" w:cs="Times New Roman"/>
                <w:color w:val="000000" w:themeColor="text1"/>
                <w:sz w:val="22"/>
                <w:szCs w:val="22"/>
                <w:lang w:val="en-US" w:eastAsia="zh-CN"/>
                <w14:textFill>
                  <w14:solidFill>
                    <w14:schemeClr w14:val="tx1"/>
                  </w14:solidFill>
                </w14:textFill>
              </w:rPr>
              <w:t xml:space="preserve"> </w:t>
            </w:r>
            <w:r>
              <w:rPr>
                <w:rFonts w:hint="default" w:ascii="Times New Roman" w:hAnsi="Times New Roman" w:cs="Times New Roman"/>
                <w:color w:val="000000" w:themeColor="text1"/>
                <w:sz w:val="22"/>
                <w:szCs w:val="22"/>
                <w14:textFill>
                  <w14:solidFill>
                    <w14:schemeClr w14:val="tx1"/>
                  </w14:solidFill>
                </w14:textFill>
              </w:rPr>
              <w:t>技术部分（满分</w:t>
            </w:r>
            <w:r>
              <w:rPr>
                <w:rFonts w:hint="default" w:ascii="Times New Roman" w:hAnsi="Times New Roman" w:cs="Times New Roman"/>
                <w:color w:val="000000" w:themeColor="text1"/>
                <w:sz w:val="22"/>
                <w:szCs w:val="22"/>
                <w:lang w:val="en-US" w:eastAsia="zh-CN"/>
                <w14:textFill>
                  <w14:solidFill>
                    <w14:schemeClr w14:val="tx1"/>
                  </w14:solidFill>
                </w14:textFill>
              </w:rPr>
              <w:t>75</w:t>
            </w:r>
            <w:r>
              <w:rPr>
                <w:rFonts w:hint="default" w:ascii="Times New Roman" w:hAnsi="Times New Roman" w:cs="Times New Roman"/>
                <w:color w:val="000000" w:themeColor="text1"/>
                <w:sz w:val="22"/>
                <w:szCs w:val="22"/>
                <w14:textFill>
                  <w14:solidFill>
                    <w14:schemeClr w14:val="tx1"/>
                  </w14:solidFill>
                </w14:textFill>
              </w:rPr>
              <w:t>分）</w:t>
            </w:r>
          </w:p>
        </w:tc>
      </w:tr>
      <w:tr w14:paraId="37B7E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5" w:hRule="atLeast"/>
          <w:jc w:val="center"/>
        </w:trPr>
        <w:tc>
          <w:tcPr>
            <w:tcW w:w="618" w:type="dxa"/>
            <w:vMerge w:val="continue"/>
            <w:tcBorders>
              <w:left w:val="single" w:color="auto" w:sz="4" w:space="0"/>
              <w:right w:val="single" w:color="auto" w:sz="4" w:space="0"/>
            </w:tcBorders>
            <w:noWrap w:val="0"/>
            <w:vAlign w:val="center"/>
          </w:tcPr>
          <w:p w14:paraId="641D6D55">
            <w:pPr>
              <w:keepNext w:val="0"/>
              <w:keepLines w:val="0"/>
              <w:pageBreakBefore w:val="0"/>
              <w:widowControl/>
              <w:kinsoku/>
              <w:overflowPunct/>
              <w:topLinePunct w:val="0"/>
              <w:autoSpaceDE/>
              <w:autoSpaceDN/>
              <w:bidi w:val="0"/>
              <w:spacing w:line="500" w:lineRule="exact"/>
              <w:jc w:val="left"/>
              <w:textAlignment w:val="auto"/>
              <w:rPr>
                <w:rFonts w:hint="default" w:ascii="Times New Roman" w:hAnsi="Times New Roman" w:cs="Times New Roman"/>
                <w:color w:val="000000" w:themeColor="text1"/>
                <w14:textFill>
                  <w14:solidFill>
                    <w14:schemeClr w14:val="tx1"/>
                  </w14:solidFill>
                </w14:textFill>
              </w:rPr>
            </w:pPr>
          </w:p>
        </w:tc>
        <w:tc>
          <w:tcPr>
            <w:tcW w:w="2252" w:type="dxa"/>
            <w:gridSpan w:val="3"/>
            <w:tcBorders>
              <w:top w:val="single" w:color="auto" w:sz="4" w:space="0"/>
              <w:left w:val="single" w:color="auto" w:sz="4" w:space="0"/>
              <w:bottom w:val="single" w:color="auto" w:sz="4" w:space="0"/>
              <w:right w:val="single" w:color="auto" w:sz="4" w:space="0"/>
            </w:tcBorders>
            <w:noWrap w:val="0"/>
            <w:vAlign w:val="center"/>
          </w:tcPr>
          <w:p w14:paraId="472D8421">
            <w:pPr>
              <w:keepNext w:val="0"/>
              <w:keepLines w:val="0"/>
              <w:pageBreakBefore w:val="0"/>
              <w:kinsoku/>
              <w:overflowPunct/>
              <w:topLinePunct w:val="0"/>
              <w:autoSpaceDE/>
              <w:autoSpaceDN/>
              <w:bidi w:val="0"/>
              <w:spacing w:line="500" w:lineRule="exact"/>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施工技术方案及承诺</w:t>
            </w:r>
          </w:p>
        </w:tc>
        <w:tc>
          <w:tcPr>
            <w:tcW w:w="1422" w:type="dxa"/>
            <w:tcBorders>
              <w:top w:val="single" w:color="auto" w:sz="4" w:space="0"/>
              <w:left w:val="single" w:color="auto" w:sz="4" w:space="0"/>
              <w:bottom w:val="single" w:color="auto" w:sz="4" w:space="0"/>
              <w:right w:val="single" w:color="auto" w:sz="4" w:space="0"/>
            </w:tcBorders>
            <w:noWrap w:val="0"/>
            <w:vAlign w:val="center"/>
          </w:tcPr>
          <w:p w14:paraId="02430F32">
            <w:pPr>
              <w:keepNext w:val="0"/>
              <w:keepLines w:val="0"/>
              <w:pageBreakBefore w:val="0"/>
              <w:kinsoku/>
              <w:overflowPunct/>
              <w:topLinePunct w:val="0"/>
              <w:autoSpaceDE/>
              <w:autoSpaceDN/>
              <w:bidi w:val="0"/>
              <w:spacing w:line="500" w:lineRule="exact"/>
              <w:jc w:val="center"/>
              <w:textAlignment w:val="auto"/>
              <w:rPr>
                <w:rFonts w:hint="default" w:ascii="Times New Roman" w:hAnsi="Times New Roman" w:cs="Times New Roman"/>
                <w:snapToGrid w:val="0"/>
                <w:color w:val="000000" w:themeColor="text1"/>
                <w:kern w:val="0"/>
                <w14:textFill>
                  <w14:solidFill>
                    <w14:schemeClr w14:val="tx1"/>
                  </w14:solidFill>
                </w14:textFill>
              </w:rPr>
            </w:pPr>
            <w:r>
              <w:rPr>
                <w:rFonts w:hint="default" w:ascii="Times New Roman" w:hAnsi="Times New Roman" w:cs="Times New Roman"/>
                <w:snapToGrid w:val="0"/>
                <w:color w:val="000000" w:themeColor="text1"/>
                <w:kern w:val="0"/>
                <w:lang w:val="en-US" w:eastAsia="zh-CN"/>
                <w14:textFill>
                  <w14:solidFill>
                    <w14:schemeClr w14:val="tx1"/>
                  </w14:solidFill>
                </w14:textFill>
              </w:rPr>
              <w:t>20</w:t>
            </w:r>
            <w:r>
              <w:rPr>
                <w:rFonts w:hint="default" w:ascii="Times New Roman" w:hAnsi="Times New Roman" w:cs="Times New Roman"/>
                <w:snapToGrid w:val="0"/>
                <w:color w:val="000000" w:themeColor="text1"/>
                <w:kern w:val="0"/>
                <w14:textFill>
                  <w14:solidFill>
                    <w14:schemeClr w14:val="tx1"/>
                  </w14:solidFill>
                </w14:textFill>
              </w:rPr>
              <w:t>分</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3D410268">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第一个档次（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20</w:t>
            </w:r>
            <w:r>
              <w:rPr>
                <w:rFonts w:hint="default" w:ascii="Times New Roman" w:hAnsi="Times New Roman" w:eastAsia="宋体" w:cs="Times New Roman"/>
                <w:color w:val="000000" w:themeColor="text1"/>
                <w:sz w:val="22"/>
                <w:szCs w:val="22"/>
                <w14:textFill>
                  <w14:solidFill>
                    <w14:schemeClr w14:val="tx1"/>
                  </w14:solidFill>
                </w14:textFill>
              </w:rPr>
              <w:t>分）：施工技术方案体系完善，进度保证、质量管理、造价控制及施工技术措施全面、完整、具体，符合本工程实际，针对性与可行性强的，有责任承诺的；</w:t>
            </w:r>
          </w:p>
          <w:p w14:paraId="3732922A">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第二个档次（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16</w:t>
            </w:r>
            <w:r>
              <w:rPr>
                <w:rFonts w:hint="default" w:ascii="Times New Roman" w:hAnsi="Times New Roman" w:eastAsia="宋体" w:cs="Times New Roman"/>
                <w:color w:val="000000" w:themeColor="text1"/>
                <w:sz w:val="22"/>
                <w:szCs w:val="22"/>
                <w14:textFill>
                  <w14:solidFill>
                    <w14:schemeClr w14:val="tx1"/>
                  </w14:solidFill>
                </w14:textFill>
              </w:rPr>
              <w:t>分）：施工技术方案体系完善，进度保证、质量管理、造价控制及施工技术措施基本全面，符合本工程实际</w:t>
            </w:r>
            <w:r>
              <w:rPr>
                <w:rFonts w:hint="default" w:ascii="Times New Roman" w:hAnsi="Times New Roman" w:cs="Times New Roman"/>
                <w:color w:val="000000" w:themeColor="text1"/>
                <w:sz w:val="22"/>
                <w:szCs w:val="22"/>
                <w:lang w:eastAsia="zh-CN"/>
                <w14:textFill>
                  <w14:solidFill>
                    <w14:schemeClr w14:val="tx1"/>
                  </w14:solidFill>
                </w14:textFill>
              </w:rPr>
              <w:t>，具</w:t>
            </w:r>
            <w:r>
              <w:rPr>
                <w:rFonts w:hint="default" w:ascii="Times New Roman" w:hAnsi="Times New Roman" w:eastAsia="宋体" w:cs="Times New Roman"/>
                <w:color w:val="000000" w:themeColor="text1"/>
                <w:sz w:val="22"/>
                <w:szCs w:val="22"/>
                <w14:textFill>
                  <w14:solidFill>
                    <w14:schemeClr w14:val="tx1"/>
                  </w14:solidFill>
                </w14:textFill>
              </w:rPr>
              <w:t>有针对性，有责任承诺的；</w:t>
            </w:r>
          </w:p>
          <w:p w14:paraId="703A127C">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第三个档次（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12</w:t>
            </w:r>
            <w:r>
              <w:rPr>
                <w:rFonts w:hint="default" w:ascii="Times New Roman" w:hAnsi="Times New Roman" w:eastAsia="宋体" w:cs="Times New Roman"/>
                <w:color w:val="000000" w:themeColor="text1"/>
                <w:sz w:val="22"/>
                <w:szCs w:val="22"/>
                <w14:textFill>
                  <w14:solidFill>
                    <w14:schemeClr w14:val="tx1"/>
                  </w14:solidFill>
                </w14:textFill>
              </w:rPr>
              <w:t>分）：施工技术方案体系完善，进度保证、质量管理、造价控制及施工技术措施基本全面，符合本工程实际</w:t>
            </w:r>
            <w:r>
              <w:rPr>
                <w:rFonts w:hint="default" w:ascii="Times New Roman" w:hAnsi="Times New Roman" w:cs="Times New Roman"/>
                <w:color w:val="000000" w:themeColor="text1"/>
                <w:sz w:val="22"/>
                <w:szCs w:val="22"/>
                <w:lang w:eastAsia="zh-CN"/>
                <w14:textFill>
                  <w14:solidFill>
                    <w14:schemeClr w14:val="tx1"/>
                  </w14:solidFill>
                </w14:textFill>
              </w:rPr>
              <w:t>，具</w:t>
            </w:r>
            <w:r>
              <w:rPr>
                <w:rFonts w:hint="default" w:ascii="Times New Roman" w:hAnsi="Times New Roman" w:eastAsia="宋体" w:cs="Times New Roman"/>
                <w:color w:val="000000" w:themeColor="text1"/>
                <w:sz w:val="22"/>
                <w:szCs w:val="22"/>
                <w14:textFill>
                  <w14:solidFill>
                    <w14:schemeClr w14:val="tx1"/>
                  </w14:solidFill>
                </w14:textFill>
              </w:rPr>
              <w:t>有针对性，无责任承诺的；</w:t>
            </w:r>
          </w:p>
          <w:p w14:paraId="2969EF67">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第四个档次（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8</w:t>
            </w:r>
            <w:r>
              <w:rPr>
                <w:rFonts w:hint="default" w:ascii="Times New Roman" w:hAnsi="Times New Roman" w:eastAsia="宋体" w:cs="Times New Roman"/>
                <w:color w:val="000000" w:themeColor="text1"/>
                <w:sz w:val="22"/>
                <w:szCs w:val="22"/>
                <w14:textFill>
                  <w14:solidFill>
                    <w14:schemeClr w14:val="tx1"/>
                  </w14:solidFill>
                </w14:textFill>
              </w:rPr>
              <w:t>分）：施工技术方案体系完善，进度保证、质量管理、造价控制及施工技术措施一般的，无责任承诺的；</w:t>
            </w:r>
          </w:p>
          <w:p w14:paraId="579AAB53">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第五个档次（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5</w:t>
            </w:r>
            <w:r>
              <w:rPr>
                <w:rFonts w:hint="default" w:ascii="Times New Roman" w:hAnsi="Times New Roman" w:eastAsia="宋体" w:cs="Times New Roman"/>
                <w:color w:val="000000" w:themeColor="text1"/>
                <w:sz w:val="22"/>
                <w:szCs w:val="22"/>
                <w14:textFill>
                  <w14:solidFill>
                    <w14:schemeClr w14:val="tx1"/>
                  </w14:solidFill>
                </w14:textFill>
              </w:rPr>
              <w:t>分）：施工技术方案体系完善，进度保证、质量管理、造价控制及施工技术措施较差的，无责任承诺的；</w:t>
            </w:r>
          </w:p>
          <w:p w14:paraId="69657E05">
            <w:pPr>
              <w:keepNext w:val="0"/>
              <w:keepLines w:val="0"/>
              <w:pageBreakBefore w:val="0"/>
              <w:kinsoku/>
              <w:overflowPunct/>
              <w:topLinePunct w:val="0"/>
              <w:autoSpaceDE/>
              <w:autoSpaceDN/>
              <w:bidi w:val="0"/>
              <w:spacing w:line="50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第六档次（0分）：未作任何说明的不得分。</w:t>
            </w:r>
          </w:p>
        </w:tc>
      </w:tr>
      <w:tr w14:paraId="57172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0" w:hRule="atLeast"/>
          <w:jc w:val="center"/>
        </w:trPr>
        <w:tc>
          <w:tcPr>
            <w:tcW w:w="618" w:type="dxa"/>
            <w:vMerge w:val="continue"/>
            <w:tcBorders>
              <w:left w:val="single" w:color="auto" w:sz="4" w:space="0"/>
              <w:right w:val="single" w:color="auto" w:sz="4" w:space="0"/>
            </w:tcBorders>
            <w:noWrap w:val="0"/>
            <w:vAlign w:val="center"/>
          </w:tcPr>
          <w:p w14:paraId="31A4A3C3">
            <w:pPr>
              <w:keepNext w:val="0"/>
              <w:keepLines w:val="0"/>
              <w:pageBreakBefore w:val="0"/>
              <w:widowControl/>
              <w:kinsoku/>
              <w:overflowPunct/>
              <w:topLinePunct w:val="0"/>
              <w:autoSpaceDE/>
              <w:autoSpaceDN/>
              <w:bidi w:val="0"/>
              <w:spacing w:line="500" w:lineRule="exact"/>
              <w:jc w:val="left"/>
              <w:textAlignment w:val="auto"/>
              <w:rPr>
                <w:rFonts w:hint="default" w:ascii="Times New Roman" w:hAnsi="Times New Roman" w:cs="Times New Roman"/>
                <w:color w:val="000000" w:themeColor="text1"/>
                <w14:textFill>
                  <w14:solidFill>
                    <w14:schemeClr w14:val="tx1"/>
                  </w14:solidFill>
                </w14:textFill>
              </w:rPr>
            </w:pPr>
          </w:p>
        </w:tc>
        <w:tc>
          <w:tcPr>
            <w:tcW w:w="2252" w:type="dxa"/>
            <w:gridSpan w:val="3"/>
            <w:tcBorders>
              <w:top w:val="single" w:color="auto" w:sz="4" w:space="0"/>
              <w:left w:val="single" w:color="auto" w:sz="4" w:space="0"/>
              <w:bottom w:val="single" w:color="auto" w:sz="4" w:space="0"/>
              <w:right w:val="single" w:color="auto" w:sz="4" w:space="0"/>
            </w:tcBorders>
            <w:noWrap w:val="0"/>
            <w:vAlign w:val="center"/>
          </w:tcPr>
          <w:p w14:paraId="60E2231B">
            <w:pPr>
              <w:keepNext w:val="0"/>
              <w:keepLines w:val="0"/>
              <w:pageBreakBefore w:val="0"/>
              <w:kinsoku/>
              <w:overflowPunct/>
              <w:topLinePunct w:val="0"/>
              <w:autoSpaceDE/>
              <w:autoSpaceDN/>
              <w:bidi w:val="0"/>
              <w:spacing w:line="500" w:lineRule="exact"/>
              <w:textAlignment w:val="auto"/>
              <w:rPr>
                <w:rFonts w:hint="default" w:ascii="Times New Roman" w:hAnsi="Times New Roman" w:cs="Times New Roman"/>
                <w:bCs/>
                <w:color w:val="000000" w:themeColor="text1"/>
                <w:lang w:val="zh-CN"/>
                <w14:textFill>
                  <w14:solidFill>
                    <w14:schemeClr w14:val="tx1"/>
                  </w14:solidFill>
                </w14:textFill>
              </w:rPr>
            </w:pPr>
            <w:r>
              <w:rPr>
                <w:rFonts w:hint="default" w:ascii="Times New Roman" w:hAnsi="Times New Roman" w:cs="Times New Roman"/>
                <w:bCs/>
                <w:color w:val="000000" w:themeColor="text1"/>
                <w:lang w:val="zh-CN"/>
                <w14:textFill>
                  <w14:solidFill>
                    <w14:schemeClr w14:val="tx1"/>
                  </w14:solidFill>
                </w14:textFill>
              </w:rPr>
              <w:t>安全文明施工保证措施</w:t>
            </w:r>
          </w:p>
          <w:p w14:paraId="5C171146">
            <w:pPr>
              <w:keepNext w:val="0"/>
              <w:keepLines w:val="0"/>
              <w:pageBreakBefore w:val="0"/>
              <w:kinsoku/>
              <w:overflowPunct/>
              <w:topLinePunct w:val="0"/>
              <w:autoSpaceDE/>
              <w:autoSpaceDN/>
              <w:bidi w:val="0"/>
              <w:spacing w:line="500" w:lineRule="exact"/>
              <w:textAlignment w:val="auto"/>
              <w:rPr>
                <w:rFonts w:hint="default" w:ascii="Times New Roman" w:hAnsi="Times New Roman" w:cs="Times New Roman"/>
                <w:bCs/>
                <w:color w:val="000000" w:themeColor="text1"/>
                <w14:textFill>
                  <w14:solidFill>
                    <w14:schemeClr w14:val="tx1"/>
                  </w14:solidFill>
                </w14:textFill>
              </w:rPr>
            </w:pPr>
          </w:p>
        </w:tc>
        <w:tc>
          <w:tcPr>
            <w:tcW w:w="1422" w:type="dxa"/>
            <w:tcBorders>
              <w:top w:val="single" w:color="auto" w:sz="4" w:space="0"/>
              <w:left w:val="single" w:color="auto" w:sz="4" w:space="0"/>
              <w:bottom w:val="single" w:color="auto" w:sz="4" w:space="0"/>
              <w:right w:val="single" w:color="auto" w:sz="4" w:space="0"/>
            </w:tcBorders>
            <w:noWrap w:val="0"/>
            <w:vAlign w:val="center"/>
          </w:tcPr>
          <w:p w14:paraId="4261D2A9">
            <w:pPr>
              <w:keepNext w:val="0"/>
              <w:keepLines w:val="0"/>
              <w:pageBreakBefore w:val="0"/>
              <w:kinsoku/>
              <w:overflowPunct/>
              <w:topLinePunct w:val="0"/>
              <w:autoSpaceDE/>
              <w:autoSpaceDN/>
              <w:bidi w:val="0"/>
              <w:spacing w:line="500" w:lineRule="exact"/>
              <w:jc w:val="center"/>
              <w:textAlignment w:val="auto"/>
              <w:rPr>
                <w:rFonts w:hint="default" w:ascii="Times New Roman" w:hAnsi="Times New Roman" w:cs="Times New Roman"/>
                <w:bCs/>
                <w:color w:val="000000" w:themeColor="text1"/>
                <w:lang w:val="en-US" w:eastAsia="zh-CN"/>
                <w14:textFill>
                  <w14:solidFill>
                    <w14:schemeClr w14:val="tx1"/>
                  </w14:solidFill>
                </w14:textFill>
              </w:rPr>
            </w:pPr>
            <w:r>
              <w:rPr>
                <w:rFonts w:hint="default" w:ascii="Times New Roman" w:hAnsi="Times New Roman" w:cs="Times New Roman"/>
                <w:bCs/>
                <w:color w:val="000000" w:themeColor="text1"/>
                <w:lang w:val="en-US" w:eastAsia="zh-CN"/>
                <w14:textFill>
                  <w14:solidFill>
                    <w14:schemeClr w14:val="tx1"/>
                  </w14:solidFill>
                </w14:textFill>
              </w:rPr>
              <w:t>15分</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7DEB6851">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lang w:val="zh-CN" w:eastAsia="zh-CN"/>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第一档次（15分）</w:t>
            </w:r>
            <w:r>
              <w:rPr>
                <w:rFonts w:hint="default" w:ascii="Times New Roman" w:hAnsi="Times New Roman" w:eastAsia="宋体" w:cs="Times New Roman"/>
                <w:color w:val="000000" w:themeColor="text1"/>
                <w:sz w:val="22"/>
                <w:szCs w:val="22"/>
                <w:lang w:val="zh-CN" w:eastAsia="zh-CN"/>
                <w14:textFill>
                  <w14:solidFill>
                    <w14:schemeClr w14:val="tx1"/>
                  </w14:solidFill>
                </w14:textFill>
              </w:rPr>
              <w:t>有具体、完整、可行的安全文明施工保证措施，并符合国家、省、州（市）的有关</w:t>
            </w:r>
            <w:r>
              <w:rPr>
                <w:rFonts w:hint="default" w:ascii="Times New Roman" w:hAnsi="Times New Roman" w:cs="Times New Roman"/>
                <w:color w:val="000000" w:themeColor="text1"/>
                <w:sz w:val="22"/>
                <w:szCs w:val="22"/>
                <w:lang w:val="zh-CN" w:eastAsia="zh-CN"/>
                <w14:textFill>
                  <w14:solidFill>
                    <w14:schemeClr w14:val="tx1"/>
                  </w14:solidFill>
                </w14:textFill>
              </w:rPr>
              <w:t>规定</w:t>
            </w:r>
            <w:r>
              <w:rPr>
                <w:rFonts w:hint="default" w:ascii="Times New Roman" w:hAnsi="Times New Roman" w:eastAsia="宋体" w:cs="Times New Roman"/>
                <w:color w:val="000000" w:themeColor="text1"/>
                <w:sz w:val="22"/>
                <w:szCs w:val="22"/>
                <w:lang w:val="zh-CN" w:eastAsia="zh-CN"/>
                <w14:textFill>
                  <w14:solidFill>
                    <w14:schemeClr w14:val="tx1"/>
                  </w14:solidFill>
                </w14:textFill>
              </w:rPr>
              <w:t>；</w:t>
            </w:r>
          </w:p>
          <w:p w14:paraId="147397B5">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lang w:val="zh-CN" w:eastAsia="zh-CN"/>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二</w:t>
            </w:r>
            <w:r>
              <w:rPr>
                <w:rFonts w:hint="default" w:ascii="Times New Roman" w:hAnsi="Times New Roman" w:eastAsia="宋体" w:cs="Times New Roman"/>
                <w:color w:val="000000" w:themeColor="text1"/>
                <w:sz w:val="22"/>
                <w:szCs w:val="22"/>
                <w14:textFill>
                  <w14:solidFill>
                    <w14:schemeClr w14:val="tx1"/>
                  </w14:solidFill>
                </w14:textFill>
              </w:rPr>
              <w:t>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10</w:t>
            </w:r>
            <w:r>
              <w:rPr>
                <w:rFonts w:hint="default" w:ascii="Times New Roman" w:hAnsi="Times New Roman" w:eastAsia="宋体" w:cs="Times New Roman"/>
                <w:color w:val="000000" w:themeColor="text1"/>
                <w:sz w:val="22"/>
                <w:szCs w:val="22"/>
                <w14:textFill>
                  <w14:solidFill>
                    <w14:schemeClr w14:val="tx1"/>
                  </w14:solidFill>
                </w14:textFill>
              </w:rPr>
              <w:t>分）</w:t>
            </w:r>
            <w:r>
              <w:rPr>
                <w:rFonts w:hint="default" w:ascii="Times New Roman" w:hAnsi="Times New Roman" w:eastAsia="宋体" w:cs="Times New Roman"/>
                <w:color w:val="000000" w:themeColor="text1"/>
                <w:sz w:val="22"/>
                <w:szCs w:val="22"/>
                <w:lang w:val="zh-CN" w:eastAsia="zh-CN"/>
                <w14:textFill>
                  <w14:solidFill>
                    <w14:schemeClr w14:val="tx1"/>
                  </w14:solidFill>
                </w14:textFill>
              </w:rPr>
              <w:t>有</w:t>
            </w:r>
            <w:r>
              <w:rPr>
                <w:rFonts w:hint="default" w:ascii="Times New Roman" w:hAnsi="Times New Roman" w:eastAsia="宋体" w:cs="Times New Roman"/>
                <w:color w:val="000000" w:themeColor="text1"/>
                <w:sz w:val="22"/>
                <w:szCs w:val="22"/>
                <w:lang w:val="zh-CN"/>
                <w14:textFill>
                  <w14:solidFill>
                    <w14:schemeClr w14:val="tx1"/>
                  </w14:solidFill>
                </w14:textFill>
              </w:rPr>
              <w:t>安全文明施工保证措施</w:t>
            </w:r>
            <w:r>
              <w:rPr>
                <w:rFonts w:hint="default" w:ascii="Times New Roman" w:hAnsi="Times New Roman" w:eastAsia="宋体" w:cs="Times New Roman"/>
                <w:color w:val="000000" w:themeColor="text1"/>
                <w:sz w:val="22"/>
                <w:szCs w:val="22"/>
                <w:lang w:val="zh-CN" w:eastAsia="zh-CN"/>
                <w14:textFill>
                  <w14:solidFill>
                    <w14:schemeClr w14:val="tx1"/>
                  </w14:solidFill>
                </w14:textFill>
              </w:rPr>
              <w:t>，并符合国家、省、州（市）的有关规定，</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但</w:t>
            </w:r>
            <w:r>
              <w:rPr>
                <w:rFonts w:hint="default" w:ascii="Times New Roman" w:hAnsi="Times New Roman" w:eastAsia="宋体" w:cs="Times New Roman"/>
                <w:color w:val="000000" w:themeColor="text1"/>
                <w:sz w:val="22"/>
                <w:szCs w:val="22"/>
                <w:lang w:val="zh-CN"/>
                <w14:textFill>
                  <w14:solidFill>
                    <w14:schemeClr w14:val="tx1"/>
                  </w14:solidFill>
                </w14:textFill>
              </w:rPr>
              <w:t>安全文明施工保证措施</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一般的</w:t>
            </w:r>
            <w:r>
              <w:rPr>
                <w:rFonts w:hint="default" w:ascii="Times New Roman" w:hAnsi="Times New Roman" w:eastAsia="宋体" w:cs="Times New Roman"/>
                <w:color w:val="000000" w:themeColor="text1"/>
                <w:sz w:val="22"/>
                <w:szCs w:val="22"/>
                <w:lang w:val="zh-CN" w:eastAsia="zh-CN"/>
                <w14:textFill>
                  <w14:solidFill>
                    <w14:schemeClr w14:val="tx1"/>
                  </w14:solidFill>
                </w14:textFill>
              </w:rPr>
              <w:t>；</w:t>
            </w:r>
          </w:p>
          <w:p w14:paraId="2DF23D3A">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lang w:val="zh-CN" w:eastAsia="zh-CN"/>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第三档次（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5</w:t>
            </w:r>
            <w:r>
              <w:rPr>
                <w:rFonts w:hint="default" w:ascii="Times New Roman" w:hAnsi="Times New Roman" w:eastAsia="宋体" w:cs="Times New Roman"/>
                <w:color w:val="000000" w:themeColor="text1"/>
                <w:sz w:val="22"/>
                <w:szCs w:val="22"/>
                <w14:textFill>
                  <w14:solidFill>
                    <w14:schemeClr w14:val="tx1"/>
                  </w14:solidFill>
                </w14:textFill>
              </w:rPr>
              <w:t>分）</w:t>
            </w:r>
            <w:r>
              <w:rPr>
                <w:rFonts w:hint="default" w:ascii="Times New Roman" w:hAnsi="Times New Roman" w:eastAsia="宋体" w:cs="Times New Roman"/>
                <w:color w:val="000000" w:themeColor="text1"/>
                <w:sz w:val="22"/>
                <w:szCs w:val="22"/>
                <w:lang w:val="zh-CN" w:eastAsia="zh-CN"/>
                <w14:textFill>
                  <w14:solidFill>
                    <w14:schemeClr w14:val="tx1"/>
                  </w14:solidFill>
                </w14:textFill>
              </w:rPr>
              <w:t>有安全文明施工保证措施，并符合国家、省、州（市）的有关规定，但安全文明施工保证措施</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差</w:t>
            </w:r>
            <w:r>
              <w:rPr>
                <w:rFonts w:hint="default" w:ascii="Times New Roman" w:hAnsi="Times New Roman" w:eastAsia="宋体" w:cs="Times New Roman"/>
                <w:color w:val="000000" w:themeColor="text1"/>
                <w:sz w:val="22"/>
                <w:szCs w:val="22"/>
                <w:lang w:val="zh-CN" w:eastAsia="zh-CN"/>
                <w14:textFill>
                  <w14:solidFill>
                    <w14:schemeClr w14:val="tx1"/>
                  </w14:solidFill>
                </w14:textFill>
              </w:rPr>
              <w:t>的。</w:t>
            </w:r>
          </w:p>
          <w:p w14:paraId="44AA7370">
            <w:pPr>
              <w:keepNext w:val="0"/>
              <w:keepLines w:val="0"/>
              <w:pageBreakBefore w:val="0"/>
              <w:kinsoku/>
              <w:overflowPunct/>
              <w:topLinePunct w:val="0"/>
              <w:autoSpaceDE/>
              <w:autoSpaceDN/>
              <w:bidi w:val="0"/>
              <w:spacing w:line="500" w:lineRule="exact"/>
              <w:textAlignment w:val="auto"/>
              <w:rPr>
                <w:rFonts w:hint="default" w:ascii="Times New Roman" w:hAnsi="Times New Roman" w:cs="Times New Roman"/>
                <w:bCs/>
                <w:color w:val="000000" w:themeColor="text1"/>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四</w:t>
            </w:r>
            <w:r>
              <w:rPr>
                <w:rFonts w:hint="default" w:ascii="Times New Roman" w:hAnsi="Times New Roman" w:eastAsia="宋体" w:cs="Times New Roman"/>
                <w:color w:val="000000" w:themeColor="text1"/>
                <w:sz w:val="22"/>
                <w:szCs w:val="22"/>
                <w14:textFill>
                  <w14:solidFill>
                    <w14:schemeClr w14:val="tx1"/>
                  </w14:solidFill>
                </w14:textFill>
              </w:rPr>
              <w:t>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0</w:t>
            </w:r>
            <w:r>
              <w:rPr>
                <w:rFonts w:hint="default" w:ascii="Times New Roman" w:hAnsi="Times New Roman" w:eastAsia="宋体" w:cs="Times New Roman"/>
                <w:color w:val="000000" w:themeColor="text1"/>
                <w:sz w:val="22"/>
                <w:szCs w:val="22"/>
                <w14:textFill>
                  <w14:solidFill>
                    <w14:schemeClr w14:val="tx1"/>
                  </w14:solidFill>
                </w14:textFill>
              </w:rPr>
              <w:t>分）</w:t>
            </w:r>
            <w:r>
              <w:rPr>
                <w:rFonts w:hint="default" w:ascii="Times New Roman" w:hAnsi="Times New Roman" w:eastAsia="宋体" w:cs="Times New Roman"/>
                <w:color w:val="000000" w:themeColor="text1"/>
                <w:sz w:val="22"/>
                <w:szCs w:val="22"/>
                <w:lang w:val="zh-CN" w:eastAsia="zh-CN"/>
                <w14:textFill>
                  <w14:solidFill>
                    <w14:schemeClr w14:val="tx1"/>
                  </w14:solidFill>
                </w14:textFill>
              </w:rPr>
              <w:t>没有安全文明施工保证措施的。</w:t>
            </w:r>
          </w:p>
        </w:tc>
      </w:tr>
      <w:tr w14:paraId="242DA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0" w:hRule="atLeast"/>
          <w:jc w:val="center"/>
        </w:trPr>
        <w:tc>
          <w:tcPr>
            <w:tcW w:w="618" w:type="dxa"/>
            <w:vMerge w:val="continue"/>
            <w:tcBorders>
              <w:left w:val="single" w:color="auto" w:sz="4" w:space="0"/>
              <w:right w:val="single" w:color="auto" w:sz="4" w:space="0"/>
            </w:tcBorders>
            <w:noWrap w:val="0"/>
            <w:vAlign w:val="center"/>
          </w:tcPr>
          <w:p w14:paraId="1001CB82">
            <w:pPr>
              <w:keepNext w:val="0"/>
              <w:keepLines w:val="0"/>
              <w:pageBreakBefore w:val="0"/>
              <w:widowControl/>
              <w:kinsoku/>
              <w:overflowPunct/>
              <w:topLinePunct w:val="0"/>
              <w:autoSpaceDE/>
              <w:autoSpaceDN/>
              <w:bidi w:val="0"/>
              <w:spacing w:line="500" w:lineRule="exact"/>
              <w:jc w:val="left"/>
              <w:textAlignment w:val="auto"/>
              <w:rPr>
                <w:rFonts w:hint="default" w:ascii="Times New Roman" w:hAnsi="Times New Roman" w:cs="Times New Roman"/>
                <w:color w:val="000000" w:themeColor="text1"/>
                <w14:textFill>
                  <w14:solidFill>
                    <w14:schemeClr w14:val="tx1"/>
                  </w14:solidFill>
                </w14:textFill>
              </w:rPr>
            </w:pPr>
          </w:p>
        </w:tc>
        <w:tc>
          <w:tcPr>
            <w:tcW w:w="2252" w:type="dxa"/>
            <w:gridSpan w:val="3"/>
            <w:tcBorders>
              <w:top w:val="single" w:color="auto" w:sz="4" w:space="0"/>
              <w:left w:val="single" w:color="auto" w:sz="4" w:space="0"/>
              <w:bottom w:val="single" w:color="auto" w:sz="4" w:space="0"/>
              <w:right w:val="single" w:color="auto" w:sz="4" w:space="0"/>
            </w:tcBorders>
            <w:noWrap w:val="0"/>
            <w:vAlign w:val="center"/>
          </w:tcPr>
          <w:p w14:paraId="4E4D29EE">
            <w:pPr>
              <w:keepNext w:val="0"/>
              <w:keepLines w:val="0"/>
              <w:pageBreakBefore w:val="0"/>
              <w:kinsoku/>
              <w:overflowPunct/>
              <w:topLinePunct w:val="0"/>
              <w:autoSpaceDE/>
              <w:autoSpaceDN/>
              <w:bidi w:val="0"/>
              <w:adjustRightInd w:val="0"/>
              <w:snapToGrid w:val="0"/>
              <w:spacing w:line="500" w:lineRule="exact"/>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质量承诺及保证措施</w:t>
            </w:r>
          </w:p>
        </w:tc>
        <w:tc>
          <w:tcPr>
            <w:tcW w:w="1422" w:type="dxa"/>
            <w:tcBorders>
              <w:top w:val="single" w:color="auto" w:sz="4" w:space="0"/>
              <w:left w:val="single" w:color="auto" w:sz="4" w:space="0"/>
              <w:bottom w:val="single" w:color="auto" w:sz="4" w:space="0"/>
              <w:right w:val="single" w:color="auto" w:sz="4" w:space="0"/>
            </w:tcBorders>
            <w:noWrap w:val="0"/>
            <w:vAlign w:val="center"/>
          </w:tcPr>
          <w:p w14:paraId="251AE844">
            <w:pPr>
              <w:keepNext w:val="0"/>
              <w:keepLines w:val="0"/>
              <w:pageBreakBefore w:val="0"/>
              <w:kinsoku/>
              <w:overflowPunct/>
              <w:topLinePunct w:val="0"/>
              <w:autoSpaceDE/>
              <w:autoSpaceDN/>
              <w:bidi w:val="0"/>
              <w:adjustRightInd w:val="0"/>
              <w:snapToGrid w:val="0"/>
              <w:spacing w:line="500" w:lineRule="exact"/>
              <w:jc w:val="center"/>
              <w:textAlignment w:val="auto"/>
              <w:rPr>
                <w:rFonts w:hint="default" w:ascii="Times New Roman" w:hAnsi="Times New Roman" w:cs="Times New Roman"/>
                <w:snapToGrid w:val="0"/>
                <w:color w:val="000000" w:themeColor="text1"/>
                <w:kern w:val="0"/>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15</w:t>
            </w:r>
            <w:r>
              <w:rPr>
                <w:rFonts w:hint="default" w:ascii="Times New Roman" w:hAnsi="Times New Roman" w:cs="Times New Roman"/>
                <w:color w:val="000000" w:themeColor="text1"/>
                <w14:textFill>
                  <w14:solidFill>
                    <w14:schemeClr w14:val="tx1"/>
                  </w14:solidFill>
                </w14:textFill>
              </w:rPr>
              <w:t>分</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3BB7272D">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第一档次（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15</w:t>
            </w:r>
            <w:r>
              <w:rPr>
                <w:rFonts w:hint="default" w:ascii="Times New Roman" w:hAnsi="Times New Roman" w:eastAsia="宋体" w:cs="Times New Roman"/>
                <w:color w:val="000000" w:themeColor="text1"/>
                <w:sz w:val="22"/>
                <w:szCs w:val="22"/>
                <w14:textFill>
                  <w14:solidFill>
                    <w14:schemeClr w14:val="tx1"/>
                  </w14:solidFill>
                </w14:textFill>
              </w:rPr>
              <w:t>分）：质量承诺及保证措施针对每个程序进行完整、全面、合理、可行的叙述，工程质量承诺具体，保证措施及违约责任具体且合理可行的；</w:t>
            </w:r>
          </w:p>
          <w:p w14:paraId="3BE4B57F">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第二档次（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10</w:t>
            </w:r>
            <w:r>
              <w:rPr>
                <w:rFonts w:hint="default" w:ascii="Times New Roman" w:hAnsi="Times New Roman" w:eastAsia="宋体" w:cs="Times New Roman"/>
                <w:color w:val="000000" w:themeColor="text1"/>
                <w:sz w:val="22"/>
                <w:szCs w:val="22"/>
                <w14:textFill>
                  <w14:solidFill>
                    <w14:schemeClr w14:val="tx1"/>
                  </w14:solidFill>
                </w14:textFill>
              </w:rPr>
              <w:t>分）：质量承诺及保证措施针对每个程序进行较全面、较合理，工程质量有承诺及违约责任，但承诺一般的；</w:t>
            </w:r>
          </w:p>
          <w:p w14:paraId="613EF252">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第三档次（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6</w:t>
            </w:r>
            <w:r>
              <w:rPr>
                <w:rFonts w:hint="default" w:ascii="Times New Roman" w:hAnsi="Times New Roman" w:eastAsia="宋体" w:cs="Times New Roman"/>
                <w:color w:val="000000" w:themeColor="text1"/>
                <w:sz w:val="22"/>
                <w:szCs w:val="22"/>
                <w14:textFill>
                  <w14:solidFill>
                    <w14:schemeClr w14:val="tx1"/>
                  </w14:solidFill>
                </w14:textFill>
              </w:rPr>
              <w:t>分）：质量承诺及保证措施一般，基本合理，工程质量有承诺及违约责任的；</w:t>
            </w:r>
          </w:p>
          <w:p w14:paraId="1A767907">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第四档次（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3</w:t>
            </w:r>
            <w:r>
              <w:rPr>
                <w:rFonts w:hint="default" w:ascii="Times New Roman" w:hAnsi="Times New Roman" w:eastAsia="宋体" w:cs="Times New Roman"/>
                <w:color w:val="000000" w:themeColor="text1"/>
                <w:sz w:val="22"/>
                <w:szCs w:val="22"/>
                <w14:textFill>
                  <w14:solidFill>
                    <w14:schemeClr w14:val="tx1"/>
                  </w14:solidFill>
                </w14:textFill>
              </w:rPr>
              <w:t>分）：质量承诺及保证措施差，工程质量没有承诺，无相应违约承诺的。</w:t>
            </w:r>
          </w:p>
          <w:p w14:paraId="2A5ED4A5">
            <w:pPr>
              <w:keepNext w:val="0"/>
              <w:keepLines w:val="0"/>
              <w:pageBreakBefore w:val="0"/>
              <w:kinsoku/>
              <w:overflowPunct/>
              <w:topLinePunct w:val="0"/>
              <w:autoSpaceDE/>
              <w:autoSpaceDN/>
              <w:bidi w:val="0"/>
              <w:spacing w:line="50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第五档次（0分）：未作任何说明的不得分。</w:t>
            </w:r>
          </w:p>
        </w:tc>
      </w:tr>
      <w:tr w14:paraId="30497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5" w:hRule="atLeast"/>
          <w:jc w:val="center"/>
        </w:trPr>
        <w:tc>
          <w:tcPr>
            <w:tcW w:w="618" w:type="dxa"/>
            <w:vMerge w:val="continue"/>
            <w:tcBorders>
              <w:left w:val="single" w:color="auto" w:sz="4" w:space="0"/>
              <w:right w:val="single" w:color="auto" w:sz="4" w:space="0"/>
            </w:tcBorders>
            <w:noWrap w:val="0"/>
            <w:vAlign w:val="center"/>
          </w:tcPr>
          <w:p w14:paraId="3913F41B">
            <w:pPr>
              <w:keepNext w:val="0"/>
              <w:keepLines w:val="0"/>
              <w:pageBreakBefore w:val="0"/>
              <w:widowControl/>
              <w:kinsoku/>
              <w:overflowPunct/>
              <w:topLinePunct w:val="0"/>
              <w:autoSpaceDE/>
              <w:autoSpaceDN/>
              <w:bidi w:val="0"/>
              <w:spacing w:line="500" w:lineRule="exact"/>
              <w:jc w:val="left"/>
              <w:textAlignment w:val="auto"/>
              <w:rPr>
                <w:rFonts w:hint="default" w:ascii="Times New Roman" w:hAnsi="Times New Roman" w:cs="Times New Roman"/>
                <w:color w:val="000000" w:themeColor="text1"/>
                <w14:textFill>
                  <w14:solidFill>
                    <w14:schemeClr w14:val="tx1"/>
                  </w14:solidFill>
                </w14:textFill>
              </w:rPr>
            </w:pPr>
          </w:p>
        </w:tc>
        <w:tc>
          <w:tcPr>
            <w:tcW w:w="2252" w:type="dxa"/>
            <w:gridSpan w:val="3"/>
            <w:tcBorders>
              <w:top w:val="single" w:color="auto" w:sz="4" w:space="0"/>
              <w:left w:val="single" w:color="auto" w:sz="4" w:space="0"/>
              <w:right w:val="single" w:color="auto" w:sz="4" w:space="0"/>
            </w:tcBorders>
            <w:noWrap w:val="0"/>
            <w:vAlign w:val="center"/>
          </w:tcPr>
          <w:p w14:paraId="1CA9AEB2">
            <w:pPr>
              <w:keepNext w:val="0"/>
              <w:keepLines w:val="0"/>
              <w:pageBreakBefore w:val="0"/>
              <w:kinsoku/>
              <w:overflowPunct/>
              <w:topLinePunct w:val="0"/>
              <w:autoSpaceDE/>
              <w:autoSpaceDN/>
              <w:bidi w:val="0"/>
              <w:adjustRightInd w:val="0"/>
              <w:snapToGrid w:val="0"/>
              <w:spacing w:line="500" w:lineRule="exact"/>
              <w:jc w:val="center"/>
              <w:textAlignment w:val="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工期承诺及保证措施</w:t>
            </w:r>
          </w:p>
        </w:tc>
        <w:tc>
          <w:tcPr>
            <w:tcW w:w="1422" w:type="dxa"/>
            <w:tcBorders>
              <w:top w:val="single" w:color="auto" w:sz="4" w:space="0"/>
              <w:left w:val="single" w:color="auto" w:sz="4" w:space="0"/>
              <w:right w:val="single" w:color="auto" w:sz="4" w:space="0"/>
            </w:tcBorders>
            <w:noWrap w:val="0"/>
            <w:vAlign w:val="center"/>
          </w:tcPr>
          <w:p w14:paraId="40B4F677">
            <w:pPr>
              <w:keepNext w:val="0"/>
              <w:keepLines w:val="0"/>
              <w:pageBreakBefore w:val="0"/>
              <w:kinsoku/>
              <w:overflowPunct/>
              <w:topLinePunct w:val="0"/>
              <w:autoSpaceDE/>
              <w:autoSpaceDN/>
              <w:bidi w:val="0"/>
              <w:adjustRightInd w:val="0"/>
              <w:snapToGrid w:val="0"/>
              <w:spacing w:line="500" w:lineRule="exact"/>
              <w:jc w:val="center"/>
              <w:textAlignment w:val="auto"/>
              <w:rPr>
                <w:rFonts w:hint="default" w:ascii="Times New Roman" w:hAnsi="Times New Roman" w:cs="Times New Roman"/>
                <w:snapToGrid w:val="0"/>
                <w:color w:val="000000" w:themeColor="text1"/>
                <w:kern w:val="0"/>
                <w:highlight w:val="none"/>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15</w:t>
            </w:r>
            <w:r>
              <w:rPr>
                <w:rFonts w:hint="default" w:ascii="Times New Roman" w:hAnsi="Times New Roman" w:cs="Times New Roman"/>
                <w:color w:val="000000" w:themeColor="text1"/>
                <w:highlight w:val="none"/>
                <w14:textFill>
                  <w14:solidFill>
                    <w14:schemeClr w14:val="tx1"/>
                  </w14:solidFill>
                </w14:textFill>
              </w:rPr>
              <w:t>分</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66875776">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第一档次（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15</w:t>
            </w:r>
            <w:r>
              <w:rPr>
                <w:rFonts w:hint="default" w:ascii="Times New Roman" w:hAnsi="Times New Roman" w:eastAsia="宋体" w:cs="Times New Roman"/>
                <w:color w:val="000000" w:themeColor="text1"/>
                <w:sz w:val="22"/>
                <w:szCs w:val="22"/>
                <w14:textFill>
                  <w14:solidFill>
                    <w14:schemeClr w14:val="tx1"/>
                  </w14:solidFill>
                </w14:textFill>
              </w:rPr>
              <w:t>分）工期承诺及保证措施完整、全面、合理、可行</w:t>
            </w:r>
            <w:r>
              <w:rPr>
                <w:rFonts w:hint="default" w:ascii="Times New Roman" w:hAnsi="Times New Roman" w:cs="Times New Roman"/>
                <w:color w:val="000000" w:themeColor="text1"/>
                <w:sz w:val="22"/>
                <w:szCs w:val="22"/>
                <w:lang w:eastAsia="zh-CN"/>
                <w14:textFill>
                  <w14:solidFill>
                    <w14:schemeClr w14:val="tx1"/>
                  </w14:solidFill>
                </w14:textFill>
              </w:rPr>
              <w:t>地</w:t>
            </w:r>
            <w:r>
              <w:rPr>
                <w:rFonts w:hint="default" w:ascii="Times New Roman" w:hAnsi="Times New Roman" w:eastAsia="宋体" w:cs="Times New Roman"/>
                <w:color w:val="000000" w:themeColor="text1"/>
                <w:sz w:val="22"/>
                <w:szCs w:val="22"/>
                <w14:textFill>
                  <w14:solidFill>
                    <w14:schemeClr w14:val="tx1"/>
                  </w14:solidFill>
                </w14:textFill>
              </w:rPr>
              <w:t>叙述，工期节点明确，保证措施及违约责任具体且合理可行的；</w:t>
            </w:r>
          </w:p>
          <w:p w14:paraId="57CEA621">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第二档次（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10</w:t>
            </w:r>
            <w:r>
              <w:rPr>
                <w:rFonts w:hint="default" w:ascii="Times New Roman" w:hAnsi="Times New Roman" w:eastAsia="宋体" w:cs="Times New Roman"/>
                <w:color w:val="000000" w:themeColor="text1"/>
                <w:sz w:val="22"/>
                <w:szCs w:val="22"/>
                <w14:textFill>
                  <w14:solidFill>
                    <w14:schemeClr w14:val="tx1"/>
                  </w14:solidFill>
                </w14:textFill>
              </w:rPr>
              <w:t>分）：工期承诺及保证措施较全面、较合理，对各阶段的工期有承诺及违约责任，但承诺一般的；</w:t>
            </w:r>
          </w:p>
          <w:p w14:paraId="680AB6B8">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第三档次（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6</w:t>
            </w:r>
            <w:r>
              <w:rPr>
                <w:rFonts w:hint="default" w:ascii="Times New Roman" w:hAnsi="Times New Roman" w:eastAsia="宋体" w:cs="Times New Roman"/>
                <w:color w:val="000000" w:themeColor="text1"/>
                <w:sz w:val="22"/>
                <w:szCs w:val="22"/>
                <w14:textFill>
                  <w14:solidFill>
                    <w14:schemeClr w14:val="tx1"/>
                  </w14:solidFill>
                </w14:textFill>
              </w:rPr>
              <w:t>分）：工期承诺及保证措施一般，基本合理，对各阶段的工期有承诺及违约责任的；</w:t>
            </w:r>
          </w:p>
          <w:p w14:paraId="047AF350">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第四档次（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3</w:t>
            </w:r>
            <w:r>
              <w:rPr>
                <w:rFonts w:hint="default" w:ascii="Times New Roman" w:hAnsi="Times New Roman" w:eastAsia="宋体" w:cs="Times New Roman"/>
                <w:color w:val="000000" w:themeColor="text1"/>
                <w:sz w:val="22"/>
                <w:szCs w:val="22"/>
                <w14:textFill>
                  <w14:solidFill>
                    <w14:schemeClr w14:val="tx1"/>
                  </w14:solidFill>
                </w14:textFill>
              </w:rPr>
              <w:t>分）：工期承诺及保证措施差，且对各阶段的工期没有承诺，无相应违约承诺的。</w:t>
            </w:r>
          </w:p>
          <w:p w14:paraId="44BF705D">
            <w:pPr>
              <w:keepNext w:val="0"/>
              <w:keepLines w:val="0"/>
              <w:pageBreakBefore w:val="0"/>
              <w:kinsoku/>
              <w:overflowPunct/>
              <w:topLinePunct w:val="0"/>
              <w:autoSpaceDE/>
              <w:autoSpaceDN/>
              <w:bidi w:val="0"/>
              <w:spacing w:line="500" w:lineRule="exact"/>
              <w:textAlignment w:val="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第五档次（0分）：未作任何说明的不得分。</w:t>
            </w:r>
          </w:p>
        </w:tc>
      </w:tr>
      <w:tr w14:paraId="27AA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5" w:hRule="atLeast"/>
          <w:jc w:val="center"/>
        </w:trPr>
        <w:tc>
          <w:tcPr>
            <w:tcW w:w="618" w:type="dxa"/>
            <w:vMerge w:val="continue"/>
            <w:tcBorders>
              <w:left w:val="single" w:color="auto" w:sz="4" w:space="0"/>
              <w:right w:val="single" w:color="auto" w:sz="4" w:space="0"/>
            </w:tcBorders>
            <w:noWrap w:val="0"/>
            <w:vAlign w:val="center"/>
          </w:tcPr>
          <w:p w14:paraId="29559BA9">
            <w:pPr>
              <w:keepNext w:val="0"/>
              <w:keepLines w:val="0"/>
              <w:pageBreakBefore w:val="0"/>
              <w:widowControl/>
              <w:kinsoku/>
              <w:overflowPunct/>
              <w:topLinePunct w:val="0"/>
              <w:autoSpaceDE/>
              <w:autoSpaceDN/>
              <w:bidi w:val="0"/>
              <w:spacing w:line="500" w:lineRule="exact"/>
              <w:jc w:val="left"/>
              <w:textAlignment w:val="auto"/>
              <w:rPr>
                <w:rFonts w:hint="default" w:ascii="Times New Roman" w:hAnsi="Times New Roman" w:cs="Times New Roman"/>
                <w:color w:val="000000" w:themeColor="text1"/>
                <w14:textFill>
                  <w14:solidFill>
                    <w14:schemeClr w14:val="tx1"/>
                  </w14:solidFill>
                </w14:textFill>
              </w:rPr>
            </w:pPr>
          </w:p>
        </w:tc>
        <w:tc>
          <w:tcPr>
            <w:tcW w:w="2252" w:type="dxa"/>
            <w:gridSpan w:val="3"/>
            <w:tcBorders>
              <w:top w:val="single" w:color="auto" w:sz="4" w:space="0"/>
              <w:left w:val="single" w:color="auto" w:sz="4" w:space="0"/>
              <w:bottom w:val="single" w:color="auto" w:sz="4" w:space="0"/>
              <w:right w:val="single" w:color="auto" w:sz="4" w:space="0"/>
            </w:tcBorders>
            <w:noWrap w:val="0"/>
            <w:vAlign w:val="center"/>
          </w:tcPr>
          <w:p w14:paraId="247D2902">
            <w:pPr>
              <w:keepNext w:val="0"/>
              <w:keepLines w:val="0"/>
              <w:pageBreakBefore w:val="0"/>
              <w:kinsoku/>
              <w:overflowPunct/>
              <w:topLinePunct w:val="0"/>
              <w:autoSpaceDE/>
              <w:autoSpaceDN/>
              <w:bidi w:val="0"/>
              <w:adjustRightInd w:val="0"/>
              <w:snapToGrid w:val="0"/>
              <w:spacing w:line="500" w:lineRule="exact"/>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Cs w:val="24"/>
                <w14:textFill>
                  <w14:solidFill>
                    <w14:schemeClr w14:val="tx1"/>
                  </w14:solidFill>
                </w14:textFill>
              </w:rPr>
              <w:t>拟派往本项目的团队人员配置情况</w:t>
            </w:r>
          </w:p>
        </w:tc>
        <w:tc>
          <w:tcPr>
            <w:tcW w:w="1422" w:type="dxa"/>
            <w:tcBorders>
              <w:top w:val="single" w:color="auto" w:sz="4" w:space="0"/>
              <w:left w:val="single" w:color="auto" w:sz="4" w:space="0"/>
              <w:bottom w:val="single" w:color="auto" w:sz="4" w:space="0"/>
              <w:right w:val="single" w:color="auto" w:sz="4" w:space="0"/>
            </w:tcBorders>
            <w:noWrap w:val="0"/>
            <w:vAlign w:val="center"/>
          </w:tcPr>
          <w:p w14:paraId="0C03E661">
            <w:pPr>
              <w:keepNext w:val="0"/>
              <w:keepLines w:val="0"/>
              <w:pageBreakBefore w:val="0"/>
              <w:kinsoku/>
              <w:wordWrap w:val="0"/>
              <w:overflowPunct/>
              <w:topLinePunct w:val="0"/>
              <w:autoSpaceDE/>
              <w:autoSpaceDN/>
              <w:bidi w:val="0"/>
              <w:spacing w:line="500" w:lineRule="exact"/>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10</w:t>
            </w:r>
            <w:r>
              <w:rPr>
                <w:rFonts w:hint="default" w:ascii="Times New Roman" w:hAnsi="Times New Roman" w:cs="Times New Roman"/>
                <w:color w:val="000000" w:themeColor="text1"/>
                <w14:textFill>
                  <w14:solidFill>
                    <w14:schemeClr w14:val="tx1"/>
                  </w14:solidFill>
                </w14:textFill>
              </w:rPr>
              <w:t>分</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72006362">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第一档次（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10</w:t>
            </w:r>
            <w:r>
              <w:rPr>
                <w:rFonts w:hint="default" w:ascii="Times New Roman" w:hAnsi="Times New Roman" w:eastAsia="宋体" w:cs="Times New Roman"/>
                <w:color w:val="000000" w:themeColor="text1"/>
                <w:sz w:val="22"/>
                <w:szCs w:val="22"/>
                <w14:textFill>
                  <w14:solidFill>
                    <w14:schemeClr w14:val="tx1"/>
                  </w14:solidFill>
                </w14:textFill>
              </w:rPr>
              <w:t>分）：拟派本项目的项目团队技术力量强，团队人员专业配置及人员工作经验、资历强，针对项目实际且合理，完全满足项目管理需要的；</w:t>
            </w:r>
          </w:p>
          <w:p w14:paraId="7AAE4777">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第二档次（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8</w:t>
            </w:r>
            <w:r>
              <w:rPr>
                <w:rFonts w:hint="default" w:ascii="Times New Roman" w:hAnsi="Times New Roman" w:eastAsia="宋体" w:cs="Times New Roman"/>
                <w:color w:val="000000" w:themeColor="text1"/>
                <w:sz w:val="22"/>
                <w:szCs w:val="22"/>
                <w14:textFill>
                  <w14:solidFill>
                    <w14:schemeClr w14:val="tx1"/>
                  </w14:solidFill>
                </w14:textFill>
              </w:rPr>
              <w:t>分）：拟派本项目的项目团队技术力量较强，团队人员专业配置合理及人员工作经验、资历一般，能满足项目管理需要的；</w:t>
            </w:r>
          </w:p>
          <w:p w14:paraId="570C1F17">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第三档次（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6</w:t>
            </w:r>
            <w:r>
              <w:rPr>
                <w:rFonts w:hint="default" w:ascii="Times New Roman" w:hAnsi="Times New Roman" w:eastAsia="宋体" w:cs="Times New Roman"/>
                <w:color w:val="000000" w:themeColor="text1"/>
                <w:sz w:val="22"/>
                <w:szCs w:val="22"/>
                <w14:textFill>
                  <w14:solidFill>
                    <w14:schemeClr w14:val="tx1"/>
                  </w14:solidFill>
                </w14:textFill>
              </w:rPr>
              <w:t>分）：拟派本项目的项目团队技术力量一般，团队人员专业配置及人员工作经验、资历一般，基本满足项目管理</w:t>
            </w:r>
            <w:r>
              <w:rPr>
                <w:rFonts w:hint="default" w:ascii="Times New Roman" w:hAnsi="Times New Roman" w:cs="Times New Roman"/>
                <w:color w:val="000000" w:themeColor="text1"/>
                <w:sz w:val="22"/>
                <w:szCs w:val="22"/>
                <w:lang w:eastAsia="zh-CN"/>
                <w14:textFill>
                  <w14:solidFill>
                    <w14:schemeClr w14:val="tx1"/>
                  </w14:solidFill>
                </w14:textFill>
              </w:rPr>
              <w:t>需要</w:t>
            </w:r>
            <w:r>
              <w:rPr>
                <w:rFonts w:hint="default" w:ascii="Times New Roman" w:hAnsi="Times New Roman" w:eastAsia="宋体" w:cs="Times New Roman"/>
                <w:color w:val="000000" w:themeColor="text1"/>
                <w:sz w:val="22"/>
                <w:szCs w:val="22"/>
                <w14:textFill>
                  <w14:solidFill>
                    <w14:schemeClr w14:val="tx1"/>
                  </w14:solidFill>
                </w14:textFill>
              </w:rPr>
              <w:t>。</w:t>
            </w:r>
          </w:p>
          <w:p w14:paraId="143635BF">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第四档次（</w:t>
            </w:r>
            <w:r>
              <w:rPr>
                <w:rFonts w:hint="default" w:ascii="Times New Roman" w:hAnsi="Times New Roman" w:eastAsia="宋体" w:cs="Times New Roman"/>
                <w:color w:val="000000" w:themeColor="text1"/>
                <w:sz w:val="22"/>
                <w:szCs w:val="22"/>
                <w:lang w:val="en-US" w:eastAsia="zh-CN"/>
                <w14:textFill>
                  <w14:solidFill>
                    <w14:schemeClr w14:val="tx1"/>
                  </w14:solidFill>
                </w14:textFill>
              </w:rPr>
              <w:t>3</w:t>
            </w:r>
            <w:r>
              <w:rPr>
                <w:rFonts w:hint="default" w:ascii="Times New Roman" w:hAnsi="Times New Roman" w:eastAsia="宋体" w:cs="Times New Roman"/>
                <w:color w:val="000000" w:themeColor="text1"/>
                <w:sz w:val="22"/>
                <w:szCs w:val="22"/>
                <w14:textFill>
                  <w14:solidFill>
                    <w14:schemeClr w14:val="tx1"/>
                  </w14:solidFill>
                </w14:textFill>
              </w:rPr>
              <w:t>分）：拟派本项目的项目团队技术力量差，团队人员专业配置基本合理及人员工作经验、资历一般，不能满足工程管理需要的。</w:t>
            </w:r>
          </w:p>
          <w:p w14:paraId="20BFE5AA">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第五档次（0分）：未提供人员配置。</w:t>
            </w:r>
          </w:p>
        </w:tc>
      </w:tr>
      <w:tr w14:paraId="31084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618" w:type="dxa"/>
            <w:vMerge w:val="continue"/>
            <w:tcBorders>
              <w:left w:val="single" w:color="auto" w:sz="4" w:space="0"/>
              <w:right w:val="single" w:color="auto" w:sz="4" w:space="0"/>
            </w:tcBorders>
            <w:noWrap w:val="0"/>
            <w:vAlign w:val="center"/>
          </w:tcPr>
          <w:p w14:paraId="79E5AAF9">
            <w:pPr>
              <w:keepNext w:val="0"/>
              <w:keepLines w:val="0"/>
              <w:pageBreakBefore w:val="0"/>
              <w:widowControl/>
              <w:kinsoku/>
              <w:overflowPunct/>
              <w:topLinePunct w:val="0"/>
              <w:autoSpaceDE/>
              <w:autoSpaceDN/>
              <w:bidi w:val="0"/>
              <w:spacing w:line="500" w:lineRule="exact"/>
              <w:jc w:val="left"/>
              <w:textAlignment w:val="auto"/>
              <w:rPr>
                <w:rFonts w:hint="default" w:ascii="Times New Roman" w:hAnsi="Times New Roman" w:cs="Times New Roman"/>
                <w:color w:val="000000" w:themeColor="text1"/>
                <w14:textFill>
                  <w14:solidFill>
                    <w14:schemeClr w14:val="tx1"/>
                  </w14:solidFill>
                </w14:textFill>
              </w:rPr>
            </w:pPr>
          </w:p>
        </w:tc>
        <w:tc>
          <w:tcPr>
            <w:tcW w:w="9556" w:type="dxa"/>
            <w:gridSpan w:val="5"/>
            <w:tcBorders>
              <w:top w:val="single" w:color="auto" w:sz="4" w:space="0"/>
              <w:left w:val="single" w:color="auto" w:sz="4" w:space="0"/>
              <w:right w:val="single" w:color="auto" w:sz="4" w:space="0"/>
            </w:tcBorders>
            <w:noWrap w:val="0"/>
            <w:vAlign w:val="center"/>
          </w:tcPr>
          <w:p w14:paraId="43D59ED7">
            <w:pPr>
              <w:keepNext w:val="0"/>
              <w:keepLines w:val="0"/>
              <w:pageBreakBefore w:val="0"/>
              <w:kinsoku/>
              <w:overflowPunct/>
              <w:topLinePunct w:val="0"/>
              <w:autoSpaceDE/>
              <w:autoSpaceDN/>
              <w:bidi w:val="0"/>
              <w:spacing w:line="500" w:lineRule="exact"/>
              <w:ind w:firstLine="3740" w:firstLineChars="1700"/>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cs="Times New Roman"/>
                <w:color w:val="000000" w:themeColor="text1"/>
                <w:sz w:val="22"/>
                <w:szCs w:val="28"/>
                <w:lang w:val="en-US" w:eastAsia="zh-CN"/>
                <w14:textFill>
                  <w14:solidFill>
                    <w14:schemeClr w14:val="tx1"/>
                  </w14:solidFill>
                </w14:textFill>
              </w:rPr>
              <w:t>商务部分</w:t>
            </w:r>
            <w:r>
              <w:rPr>
                <w:rFonts w:hint="default" w:ascii="Times New Roman" w:hAnsi="Times New Roman" w:cs="Times New Roman"/>
                <w:color w:val="000000" w:themeColor="text1"/>
                <w:sz w:val="22"/>
                <w:szCs w:val="22"/>
                <w14:textFill>
                  <w14:solidFill>
                    <w14:schemeClr w14:val="tx1"/>
                  </w14:solidFill>
                </w14:textFill>
              </w:rPr>
              <w:t>（满分</w:t>
            </w:r>
            <w:r>
              <w:rPr>
                <w:rFonts w:hint="default" w:ascii="Times New Roman" w:hAnsi="Times New Roman" w:cs="Times New Roman"/>
                <w:color w:val="000000" w:themeColor="text1"/>
                <w:sz w:val="22"/>
                <w:szCs w:val="22"/>
                <w:lang w:val="en-US" w:eastAsia="zh-CN"/>
                <w14:textFill>
                  <w14:solidFill>
                    <w14:schemeClr w14:val="tx1"/>
                  </w14:solidFill>
                </w14:textFill>
              </w:rPr>
              <w:t>5</w:t>
            </w:r>
            <w:r>
              <w:rPr>
                <w:rFonts w:hint="default" w:ascii="Times New Roman" w:hAnsi="Times New Roman" w:cs="Times New Roman"/>
                <w:color w:val="000000" w:themeColor="text1"/>
                <w:sz w:val="22"/>
                <w:szCs w:val="22"/>
                <w14:textFill>
                  <w14:solidFill>
                    <w14:schemeClr w14:val="tx1"/>
                  </w14:solidFill>
                </w14:textFill>
              </w:rPr>
              <w:t>分）</w:t>
            </w:r>
          </w:p>
        </w:tc>
      </w:tr>
      <w:tr w14:paraId="07ACC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0" w:hRule="atLeast"/>
          <w:jc w:val="center"/>
        </w:trPr>
        <w:tc>
          <w:tcPr>
            <w:tcW w:w="618" w:type="dxa"/>
            <w:vMerge w:val="continue"/>
            <w:tcBorders>
              <w:left w:val="single" w:color="auto" w:sz="4" w:space="0"/>
              <w:right w:val="single" w:color="auto" w:sz="4" w:space="0"/>
            </w:tcBorders>
            <w:noWrap w:val="0"/>
            <w:vAlign w:val="center"/>
          </w:tcPr>
          <w:p w14:paraId="50D06B24">
            <w:pPr>
              <w:keepNext w:val="0"/>
              <w:keepLines w:val="0"/>
              <w:pageBreakBefore w:val="0"/>
              <w:widowControl/>
              <w:kinsoku/>
              <w:overflowPunct/>
              <w:topLinePunct w:val="0"/>
              <w:autoSpaceDE/>
              <w:autoSpaceDN/>
              <w:bidi w:val="0"/>
              <w:spacing w:line="500" w:lineRule="exact"/>
              <w:jc w:val="left"/>
              <w:textAlignment w:val="auto"/>
              <w:rPr>
                <w:rFonts w:hint="default" w:ascii="Times New Roman" w:hAnsi="Times New Roman" w:cs="Times New Roman"/>
                <w:color w:val="000000" w:themeColor="text1"/>
                <w14:textFill>
                  <w14:solidFill>
                    <w14:schemeClr w14:val="tx1"/>
                  </w14:solidFill>
                </w14:textFill>
              </w:rPr>
            </w:pPr>
          </w:p>
        </w:tc>
        <w:tc>
          <w:tcPr>
            <w:tcW w:w="2252" w:type="dxa"/>
            <w:gridSpan w:val="3"/>
            <w:tcBorders>
              <w:top w:val="single" w:color="auto" w:sz="4" w:space="0"/>
              <w:left w:val="single" w:color="auto" w:sz="4" w:space="0"/>
              <w:right w:val="single" w:color="auto" w:sz="4" w:space="0"/>
            </w:tcBorders>
            <w:noWrap w:val="0"/>
            <w:vAlign w:val="center"/>
          </w:tcPr>
          <w:p w14:paraId="05C8845B">
            <w:pPr>
              <w:keepNext w:val="0"/>
              <w:keepLines w:val="0"/>
              <w:pageBreakBefore w:val="0"/>
              <w:kinsoku/>
              <w:overflowPunct/>
              <w:topLinePunct w:val="0"/>
              <w:autoSpaceDE/>
              <w:autoSpaceDN/>
              <w:bidi w:val="0"/>
              <w:spacing w:line="500" w:lineRule="exact"/>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类似业绩</w:t>
            </w:r>
          </w:p>
        </w:tc>
        <w:tc>
          <w:tcPr>
            <w:tcW w:w="1422" w:type="dxa"/>
            <w:tcBorders>
              <w:top w:val="single" w:color="auto" w:sz="4" w:space="0"/>
              <w:left w:val="single" w:color="auto" w:sz="4" w:space="0"/>
              <w:right w:val="single" w:color="auto" w:sz="4" w:space="0"/>
            </w:tcBorders>
            <w:noWrap w:val="0"/>
            <w:vAlign w:val="center"/>
          </w:tcPr>
          <w:p w14:paraId="4D8F9D3D">
            <w:pPr>
              <w:keepNext w:val="0"/>
              <w:keepLines w:val="0"/>
              <w:pageBreakBefore w:val="0"/>
              <w:kinsoku/>
              <w:overflowPunct/>
              <w:topLinePunct w:val="0"/>
              <w:autoSpaceDE/>
              <w:autoSpaceDN/>
              <w:bidi w:val="0"/>
              <w:spacing w:line="500" w:lineRule="exact"/>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snapToGrid w:val="0"/>
                <w:color w:val="000000" w:themeColor="text1"/>
                <w:kern w:val="0"/>
                <w:lang w:val="en-US" w:eastAsia="zh-CN"/>
                <w14:textFill>
                  <w14:solidFill>
                    <w14:schemeClr w14:val="tx1"/>
                  </w14:solidFill>
                </w14:textFill>
              </w:rPr>
              <w:t>5</w:t>
            </w:r>
            <w:r>
              <w:rPr>
                <w:rFonts w:hint="default" w:ascii="Times New Roman" w:hAnsi="Times New Roman" w:cs="Times New Roman"/>
                <w:snapToGrid w:val="0"/>
                <w:color w:val="000000" w:themeColor="text1"/>
                <w:kern w:val="0"/>
                <w14:textFill>
                  <w14:solidFill>
                    <w14:schemeClr w14:val="tx1"/>
                  </w14:solidFill>
                </w14:textFill>
              </w:rPr>
              <w:t>分</w:t>
            </w:r>
          </w:p>
        </w:tc>
        <w:tc>
          <w:tcPr>
            <w:tcW w:w="5882" w:type="dxa"/>
            <w:tcBorders>
              <w:top w:val="single" w:color="auto" w:sz="4" w:space="0"/>
              <w:left w:val="single" w:color="auto" w:sz="4" w:space="0"/>
              <w:bottom w:val="single" w:color="auto" w:sz="4" w:space="0"/>
              <w:right w:val="single" w:color="auto" w:sz="4" w:space="0"/>
            </w:tcBorders>
            <w:noWrap w:val="0"/>
            <w:vAlign w:val="center"/>
          </w:tcPr>
          <w:p w14:paraId="3CE28B65">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2023年1月1日至今承担过1件类似业绩得1分，每增加1件类似业绩加1分，此项最高得5分，分数加满为止。</w:t>
            </w:r>
          </w:p>
          <w:p w14:paraId="1381D760">
            <w:pPr>
              <w:keepNext w:val="0"/>
              <w:keepLines w:val="0"/>
              <w:pageBreakBefore w:val="0"/>
              <w:kinsoku/>
              <w:overflowPunct/>
              <w:topLinePunct w:val="0"/>
              <w:autoSpaceDE/>
              <w:autoSpaceDN/>
              <w:bidi w:val="0"/>
              <w:spacing w:line="500" w:lineRule="exact"/>
              <w:textAlignment w:val="auto"/>
              <w:rPr>
                <w:rFonts w:hint="default" w:ascii="Times New Roman" w:hAnsi="Times New Roman" w:eastAsia="宋体" w:cs="Times New Roman"/>
                <w:color w:val="000000" w:themeColor="text1"/>
                <w:sz w:val="22"/>
                <w:szCs w:val="22"/>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类似业绩：建筑工程项目。</w:t>
            </w:r>
          </w:p>
          <w:p w14:paraId="36762606">
            <w:pPr>
              <w:keepNext w:val="0"/>
              <w:keepLines w:val="0"/>
              <w:pageBreakBefore w:val="0"/>
              <w:kinsoku/>
              <w:overflowPunct/>
              <w:topLinePunct w:val="0"/>
              <w:autoSpaceDE/>
              <w:autoSpaceDN/>
              <w:bidi w:val="0"/>
              <w:spacing w:line="50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2"/>
                <w:szCs w:val="22"/>
                <w14:textFill>
                  <w14:solidFill>
                    <w14:schemeClr w14:val="tx1"/>
                  </w14:solidFill>
                </w14:textFill>
              </w:rPr>
              <w:t>须提供业绩证明材料：中标（成交）通知书或合同协议书（以合同签订时间为准）或业主证明材料扫描件。</w:t>
            </w:r>
          </w:p>
        </w:tc>
      </w:tr>
    </w:tbl>
    <w:p w14:paraId="048A7603">
      <w:pPr>
        <w:keepNext w:val="0"/>
        <w:keepLines w:val="0"/>
        <w:pageBreakBefore w:val="0"/>
        <w:kinsoku/>
        <w:overflowPunct/>
        <w:topLinePunct w:val="0"/>
        <w:autoSpaceDE/>
        <w:autoSpaceDN/>
        <w:bidi w:val="0"/>
        <w:spacing w:line="500" w:lineRule="exact"/>
        <w:jc w:val="both"/>
        <w:textAlignment w:val="auto"/>
        <w:outlineLvl w:val="1"/>
        <w:rPr>
          <w:rFonts w:hint="default" w:ascii="Times New Roman" w:hAnsi="Times New Roman" w:cs="Times New Roman"/>
          <w:b/>
          <w:color w:val="000000" w:themeColor="text1"/>
          <w:kern w:val="0"/>
          <w:sz w:val="32"/>
          <w14:textFill>
            <w14:solidFill>
              <w14:schemeClr w14:val="tx1"/>
            </w14:solidFill>
          </w14:textFill>
        </w:rPr>
        <w:sectPr>
          <w:pgSz w:w="11906" w:h="16838"/>
          <w:pgMar w:top="1440" w:right="1080" w:bottom="1440" w:left="1080" w:header="851" w:footer="992" w:gutter="0"/>
          <w:pgNumType w:fmt="decimal"/>
          <w:cols w:space="720" w:num="1"/>
          <w:docGrid w:type="lines" w:linePitch="312" w:charSpace="0"/>
        </w:sectPr>
      </w:pPr>
      <w:bookmarkStart w:id="278" w:name="_Toc29731"/>
      <w:bookmarkStart w:id="279" w:name="_Toc25110"/>
      <w:bookmarkStart w:id="280" w:name="_Toc9724"/>
      <w:bookmarkStart w:id="281" w:name="_Toc9250"/>
      <w:bookmarkStart w:id="282" w:name="_Toc18957"/>
      <w:bookmarkStart w:id="283" w:name="_Toc10910"/>
      <w:bookmarkStart w:id="284" w:name="_Toc27151"/>
    </w:p>
    <w:p w14:paraId="69AE0128">
      <w:pPr>
        <w:spacing w:line="360" w:lineRule="auto"/>
        <w:jc w:val="center"/>
        <w:outlineLvl w:val="1"/>
        <w:rPr>
          <w:rFonts w:hint="default" w:ascii="Times New Roman" w:hAnsi="Times New Roman" w:cs="Times New Roman"/>
          <w:b/>
          <w:color w:val="000000" w:themeColor="text1"/>
          <w:kern w:val="0"/>
          <w:sz w:val="32"/>
          <w14:textFill>
            <w14:solidFill>
              <w14:schemeClr w14:val="tx1"/>
            </w14:solidFill>
          </w14:textFill>
        </w:rPr>
      </w:pPr>
      <w:r>
        <w:rPr>
          <w:rFonts w:hint="default" w:ascii="Times New Roman" w:hAnsi="Times New Roman" w:cs="Times New Roman"/>
          <w:b/>
          <w:color w:val="000000" w:themeColor="text1"/>
          <w:kern w:val="0"/>
          <w:sz w:val="32"/>
          <w14:textFill>
            <w14:solidFill>
              <w14:schemeClr w14:val="tx1"/>
            </w14:solidFill>
          </w14:textFill>
        </w:rPr>
        <w:t>二、竞争性磋商评审办法</w:t>
      </w:r>
      <w:bookmarkEnd w:id="278"/>
      <w:bookmarkEnd w:id="279"/>
      <w:bookmarkEnd w:id="280"/>
      <w:bookmarkEnd w:id="281"/>
      <w:bookmarkEnd w:id="282"/>
      <w:bookmarkEnd w:id="283"/>
      <w:bookmarkEnd w:id="284"/>
    </w:p>
    <w:p w14:paraId="027DB799">
      <w:pPr>
        <w:pStyle w:val="16"/>
        <w:spacing w:line="360" w:lineRule="auto"/>
        <w:ind w:left="0" w:leftChars="0" w:firstLine="0" w:firstLineChars="0"/>
        <w:jc w:val="center"/>
        <w:outlineLvl w:val="2"/>
        <w:rPr>
          <w:rFonts w:hint="default" w:ascii="Times New Roman" w:hAnsi="Times New Roman" w:cs="Times New Roman"/>
          <w:b/>
          <w:bCs/>
          <w:color w:val="000000" w:themeColor="text1"/>
          <w:sz w:val="30"/>
          <w:szCs w:val="30"/>
          <w14:textFill>
            <w14:solidFill>
              <w14:schemeClr w14:val="tx1"/>
            </w14:solidFill>
          </w14:textFill>
        </w:rPr>
      </w:pPr>
      <w:bookmarkStart w:id="285" w:name="_Toc8893"/>
      <w:bookmarkStart w:id="286" w:name="_Toc8027"/>
      <w:bookmarkStart w:id="287" w:name="_Toc16267"/>
      <w:bookmarkStart w:id="288" w:name="_Toc22479"/>
      <w:r>
        <w:rPr>
          <w:rFonts w:hint="default" w:ascii="Times New Roman" w:hAnsi="Times New Roman" w:cs="Times New Roman"/>
          <w:b/>
          <w:bCs/>
          <w:color w:val="000000" w:themeColor="text1"/>
          <w:sz w:val="30"/>
          <w:szCs w:val="30"/>
          <w14:textFill>
            <w14:solidFill>
              <w14:schemeClr w14:val="tx1"/>
            </w14:solidFill>
          </w14:textFill>
        </w:rPr>
        <w:t>1.总则</w:t>
      </w:r>
      <w:bookmarkEnd w:id="285"/>
      <w:bookmarkEnd w:id="286"/>
      <w:bookmarkEnd w:id="287"/>
      <w:bookmarkEnd w:id="288"/>
    </w:p>
    <w:p w14:paraId="4F2C7C0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1.1根据《中华人民共和国</w:t>
      </w:r>
      <w:r>
        <w:rPr>
          <w:rFonts w:hint="default" w:ascii="Times New Roman" w:hAnsi="Times New Roman" w:cs="Times New Roman"/>
          <w:color w:val="000000" w:themeColor="text1"/>
          <w:lang w:val="en-US" w:eastAsia="zh-CN"/>
          <w14:textFill>
            <w14:solidFill>
              <w14:schemeClr w14:val="tx1"/>
            </w14:solidFill>
          </w14:textFill>
        </w:rPr>
        <w:t>民法典》《</w:t>
      </w:r>
      <w:r>
        <w:rPr>
          <w:rFonts w:hint="default" w:ascii="Times New Roman" w:hAnsi="Times New Roman" w:cs="Times New Roman"/>
          <w:color w:val="000000" w:themeColor="text1"/>
          <w14:textFill>
            <w14:solidFill>
              <w14:schemeClr w14:val="tx1"/>
            </w14:solidFill>
          </w14:textFill>
        </w:rPr>
        <w:t>中华人民共和国政府采购法</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中华人民共和国政府采购法实施条例</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政府采购竞争性磋商采购方式管理暂行办法》等有关</w:t>
      </w:r>
      <w:r>
        <w:rPr>
          <w:rFonts w:hint="default" w:ascii="Times New Roman" w:hAnsi="Times New Roman" w:cs="Times New Roman"/>
          <w:color w:val="000000" w:themeColor="text1"/>
          <w:lang w:eastAsia="zh-CN"/>
          <w14:textFill>
            <w14:solidFill>
              <w14:schemeClr w14:val="tx1"/>
            </w14:solidFill>
          </w14:textFill>
        </w:rPr>
        <w:t>法律法规</w:t>
      </w:r>
      <w:r>
        <w:rPr>
          <w:rFonts w:hint="default" w:ascii="Times New Roman" w:hAnsi="Times New Roman" w:cs="Times New Roman"/>
          <w:color w:val="000000" w:themeColor="text1"/>
          <w14:textFill>
            <w14:solidFill>
              <w14:schemeClr w14:val="tx1"/>
            </w14:solidFill>
          </w14:textFill>
        </w:rPr>
        <w:t>、规章，结合本项目特点，</w:t>
      </w:r>
      <w:r>
        <w:rPr>
          <w:rFonts w:hint="default" w:ascii="Times New Roman" w:hAnsi="Times New Roman" w:cs="Times New Roman"/>
          <w:color w:val="000000" w:themeColor="text1"/>
          <w:lang w:eastAsia="zh-CN"/>
          <w14:textFill>
            <w14:solidFill>
              <w14:schemeClr w14:val="tx1"/>
            </w14:solidFill>
          </w14:textFill>
        </w:rPr>
        <w:t>制定</w:t>
      </w:r>
      <w:r>
        <w:rPr>
          <w:rFonts w:hint="default" w:ascii="Times New Roman" w:hAnsi="Times New Roman" w:cs="Times New Roman"/>
          <w:color w:val="000000" w:themeColor="text1"/>
          <w14:textFill>
            <w14:solidFill>
              <w14:schemeClr w14:val="tx1"/>
            </w14:solidFill>
          </w14:textFill>
        </w:rPr>
        <w:t>本项目竞争性磋商评审办法。</w:t>
      </w:r>
    </w:p>
    <w:p w14:paraId="3960C598">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1.2 采购人根据上述法律法规的规定及本项目的特点</w:t>
      </w:r>
      <w:r>
        <w:rPr>
          <w:rFonts w:hint="default" w:ascii="Times New Roman" w:hAnsi="Times New Roman" w:cs="Times New Roman"/>
          <w:color w:val="000000" w:themeColor="text1"/>
          <w:lang w:eastAsia="zh-CN"/>
          <w14:textFill>
            <w14:solidFill>
              <w14:schemeClr w14:val="tx1"/>
            </w14:solidFill>
          </w14:textFill>
        </w:rPr>
        <w:t>组建磋商</w:t>
      </w:r>
      <w:r>
        <w:rPr>
          <w:rFonts w:hint="default" w:ascii="Times New Roman" w:hAnsi="Times New Roman" w:cs="Times New Roman"/>
          <w:color w:val="000000" w:themeColor="text1"/>
          <w14:textFill>
            <w14:solidFill>
              <w14:schemeClr w14:val="tx1"/>
            </w14:solidFill>
          </w14:textFill>
        </w:rPr>
        <w:t>小组，对进行响应文件进行评审，磋商小组按供应商须知4.1.5组建。磋商小组组长一名由磋商小组成员推举产生，磋商小组组长负责组织评标工作，磋商小组组长与其他成员具有同等表决权。</w:t>
      </w:r>
    </w:p>
    <w:p w14:paraId="54DD148E">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1.3 同品牌产品不同供应商的处理方式</w:t>
      </w:r>
    </w:p>
    <w:p w14:paraId="455BDE98">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提供相同品牌产品且通过资格评审、符合性评审的不同供应商参加同一合同项下投标的，按一家供应商计算，评审后得分最高的同品牌供应商获得成交人推荐资格；评审得分相同的，技术部分得分高优先、报价部分得分高优先、商务部分得分高优先的顺序确定；所有得分均相等的，节能和环境标志产品优先、节能产品优先、环境标志产品优先，其他有利于采购人利益的</w:t>
      </w:r>
      <w:r>
        <w:rPr>
          <w:rFonts w:hint="default" w:ascii="Times New Roman" w:hAnsi="Times New Roman" w:cs="Times New Roman"/>
          <w:color w:val="000000" w:themeColor="text1"/>
          <w:lang w:eastAsia="zh-CN"/>
          <w14:textFill>
            <w14:solidFill>
              <w14:schemeClr w14:val="tx1"/>
            </w14:solidFill>
          </w14:textFill>
        </w:rPr>
        <w:t>优先</w:t>
      </w:r>
      <w:r>
        <w:rPr>
          <w:rFonts w:hint="default" w:ascii="Times New Roman" w:hAnsi="Times New Roman" w:cs="Times New Roman"/>
          <w:color w:val="000000" w:themeColor="text1"/>
          <w14:textFill>
            <w14:solidFill>
              <w14:schemeClr w14:val="tx1"/>
            </w14:solidFill>
          </w14:textFill>
        </w:rPr>
        <w:t>顺序确定一个供应商获得成交人推荐资格，其他同品牌供应商不作为成交候选人。</w:t>
      </w:r>
    </w:p>
    <w:p w14:paraId="2316F370">
      <w:pPr>
        <w:pStyle w:val="16"/>
        <w:spacing w:line="360" w:lineRule="auto"/>
        <w:ind w:left="0" w:leftChars="0" w:firstLine="0" w:firstLineChars="0"/>
        <w:jc w:val="center"/>
        <w:outlineLvl w:val="2"/>
        <w:rPr>
          <w:rFonts w:hint="default" w:ascii="Times New Roman" w:hAnsi="Times New Roman" w:cs="Times New Roman"/>
          <w:b/>
          <w:bCs/>
          <w:color w:val="000000" w:themeColor="text1"/>
          <w:sz w:val="30"/>
          <w:szCs w:val="30"/>
          <w14:textFill>
            <w14:solidFill>
              <w14:schemeClr w14:val="tx1"/>
            </w14:solidFill>
          </w14:textFill>
        </w:rPr>
      </w:pPr>
      <w:bookmarkStart w:id="289" w:name="_Toc29663"/>
      <w:bookmarkStart w:id="290" w:name="_Toc5752"/>
      <w:bookmarkStart w:id="291" w:name="_Toc26613"/>
      <w:bookmarkStart w:id="292" w:name="_Toc32441"/>
      <w:r>
        <w:rPr>
          <w:rFonts w:hint="default" w:ascii="Times New Roman" w:hAnsi="Times New Roman" w:cs="Times New Roman"/>
          <w:b/>
          <w:bCs/>
          <w:color w:val="000000" w:themeColor="text1"/>
          <w:sz w:val="30"/>
          <w:szCs w:val="30"/>
          <w14:textFill>
            <w14:solidFill>
              <w14:schemeClr w14:val="tx1"/>
            </w14:solidFill>
          </w14:textFill>
        </w:rPr>
        <w:t>2.磋商评审</w:t>
      </w:r>
      <w:bookmarkEnd w:id="289"/>
      <w:bookmarkEnd w:id="290"/>
      <w:bookmarkEnd w:id="291"/>
      <w:bookmarkEnd w:id="292"/>
    </w:p>
    <w:p w14:paraId="0BA9ACC7">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293" w:name="_Toc15217"/>
      <w:bookmarkStart w:id="294" w:name="_Toc2525"/>
      <w:bookmarkStart w:id="295" w:name="_Toc9353"/>
      <w:bookmarkStart w:id="296" w:name="_Toc24499"/>
      <w:r>
        <w:rPr>
          <w:rFonts w:hint="default" w:ascii="Times New Roman" w:hAnsi="Times New Roman" w:cs="Times New Roman"/>
          <w:b/>
          <w:bCs/>
          <w:color w:val="000000" w:themeColor="text1"/>
          <w14:textFill>
            <w14:solidFill>
              <w14:schemeClr w14:val="tx1"/>
            </w14:solidFill>
          </w14:textFill>
        </w:rPr>
        <w:t>2.1 资格评审、</w:t>
      </w:r>
      <w:bookmarkEnd w:id="293"/>
      <w:bookmarkEnd w:id="294"/>
      <w:bookmarkEnd w:id="295"/>
      <w:bookmarkEnd w:id="296"/>
      <w:r>
        <w:rPr>
          <w:rFonts w:hint="default" w:ascii="Times New Roman" w:hAnsi="Times New Roman" w:cs="Times New Roman"/>
          <w:b/>
          <w:bCs/>
          <w:color w:val="000000" w:themeColor="text1"/>
          <w14:textFill>
            <w14:solidFill>
              <w14:schemeClr w14:val="tx1"/>
            </w14:solidFill>
          </w14:textFill>
        </w:rPr>
        <w:t>符合性评审</w:t>
      </w:r>
    </w:p>
    <w:p w14:paraId="30AA1266">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依据有关法律法规和竞争性磋商文件的规定，对响应文件中的形式响应、资格进行评审。</w:t>
      </w:r>
    </w:p>
    <w:p w14:paraId="7846FE9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2.1.1资格评审标准：见竞争性磋商评审办法前附表。</w:t>
      </w:r>
    </w:p>
    <w:p w14:paraId="3028C9A3">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2.1.2符合性评审标准：见竞争性磋商评审办法前附表。</w:t>
      </w:r>
    </w:p>
    <w:p w14:paraId="6A3341A2">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2.1.3根据财政部《关于政府采购竞争性磋商采购方式管理暂行办法有关问题的补充通知》财库〔2015〕124号文件的规定，符合要求的供应商只有2家时，竞争性磋商采购活动可以继续进行，符合要求的供应商只有1家时，终止采购活动。</w:t>
      </w:r>
    </w:p>
    <w:p w14:paraId="54AA0C8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bookmarkStart w:id="297" w:name="_Toc12621"/>
      <w:bookmarkStart w:id="298" w:name="_Toc25793"/>
      <w:bookmarkStart w:id="299" w:name="_Toc26235"/>
      <w:bookmarkStart w:id="300" w:name="_Toc11265"/>
      <w:r>
        <w:rPr>
          <w:rFonts w:hint="default" w:ascii="Times New Roman" w:hAnsi="Times New Roman" w:cs="Times New Roman"/>
          <w:color w:val="000000" w:themeColor="text1"/>
          <w14:textFill>
            <w14:solidFill>
              <w14:schemeClr w14:val="tx1"/>
            </w14:solidFill>
          </w14:textFill>
        </w:rPr>
        <w:t>2.1.4否决投标</w:t>
      </w:r>
      <w:bookmarkEnd w:id="297"/>
      <w:bookmarkEnd w:id="298"/>
      <w:bookmarkEnd w:id="299"/>
      <w:bookmarkEnd w:id="300"/>
    </w:p>
    <w:p w14:paraId="198E54E4">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出现下列情况之一的，其响应文件将被视为否决投标：</w:t>
      </w:r>
    </w:p>
    <w:p w14:paraId="2442C176">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（1）响应文件无单位盖章并无法定代表人或其委托代理人签字或盖章的； </w:t>
      </w:r>
    </w:p>
    <w:p w14:paraId="07954126">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（2）法定代表人委托代理人磋商，但无法定代表人授权委托书的；</w:t>
      </w:r>
    </w:p>
    <w:p w14:paraId="705D6E1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（3）未按规定的格式填写，内容不全或关键字迹模糊、无法辨认的；</w:t>
      </w:r>
    </w:p>
    <w:p w14:paraId="426568B4">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（4）磋商有效期不满足竞争性磋商文件要求的；</w:t>
      </w:r>
    </w:p>
    <w:p w14:paraId="263BB227">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（5）供应商磋商报价超出采购预算的；</w:t>
      </w:r>
    </w:p>
    <w:p w14:paraId="25B41556">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（6）响应文件不得载有采购人不能接受的条件。</w:t>
      </w:r>
    </w:p>
    <w:p w14:paraId="19E0A9A2">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（7）供应商递交两份或多份内容不同的响应文件，或在同一次报价中报有两个或多个报价，且未声明哪一个有效，按竞争性磋商文件规定提交备选磋商申请方案的除外；</w:t>
      </w:r>
    </w:p>
    <w:p w14:paraId="68BCEAC7">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（8）未按竞争性磋商文件要求提供磋商保证金的；</w:t>
      </w:r>
    </w:p>
    <w:p w14:paraId="3955FB15">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（9）不满足供应商须知1.4.1条任意一条规定的；</w:t>
      </w:r>
    </w:p>
    <w:p w14:paraId="2D765962">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（10）不符合资格评审、符合性评审任意一条规定的；</w:t>
      </w:r>
    </w:p>
    <w:p w14:paraId="2DC6845C">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（11）有串通磋商、弄虚作假、行贿行为的。</w:t>
      </w:r>
    </w:p>
    <w:p w14:paraId="2D122CD2">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301" w:name="_Toc31624"/>
      <w:bookmarkStart w:id="302" w:name="_Toc29011"/>
      <w:bookmarkStart w:id="303" w:name="_Toc29336"/>
      <w:bookmarkStart w:id="304" w:name="_Toc8121"/>
      <w:r>
        <w:rPr>
          <w:rFonts w:hint="default" w:ascii="Times New Roman" w:hAnsi="Times New Roman" w:cs="Times New Roman"/>
          <w:b/>
          <w:bCs/>
          <w:color w:val="000000" w:themeColor="text1"/>
          <w14:textFill>
            <w14:solidFill>
              <w14:schemeClr w14:val="tx1"/>
            </w14:solidFill>
          </w14:textFill>
        </w:rPr>
        <w:t>2.2 详细评审标准</w:t>
      </w:r>
      <w:bookmarkEnd w:id="301"/>
      <w:bookmarkEnd w:id="302"/>
      <w:bookmarkEnd w:id="303"/>
      <w:bookmarkEnd w:id="304"/>
    </w:p>
    <w:p w14:paraId="771C19F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按竞争性磋商文件中规定的竞争性磋商详细评审标准，对资格评审、符合性评审通过的进行商务和技术部分评估，综合比较与评价。</w:t>
      </w:r>
    </w:p>
    <w:p w14:paraId="6B304DDA">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2.2.1分值构成：见竞争性磋商评审办法前附表</w:t>
      </w:r>
    </w:p>
    <w:p w14:paraId="094000E5">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2.2.2详细评审为商务部分评审和技术部分评审</w:t>
      </w:r>
    </w:p>
    <w:p w14:paraId="52EBCEF0">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2.2.2.1商务部分评审标准：见竞争性磋商评审办法前附表；</w:t>
      </w:r>
    </w:p>
    <w:p w14:paraId="37CD3B63">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2.2.2.2技术部分评审标准：见竞争性磋商评审办法前附表；</w:t>
      </w:r>
    </w:p>
    <w:p w14:paraId="715CB898">
      <w:pPr>
        <w:spacing w:line="360" w:lineRule="auto"/>
        <w:outlineLvl w:val="3"/>
        <w:rPr>
          <w:rFonts w:hint="default" w:ascii="Times New Roman" w:hAnsi="Times New Roman" w:cs="Times New Roman"/>
          <w:b/>
          <w:bCs/>
          <w:color w:val="000000" w:themeColor="text1"/>
          <w14:textFill>
            <w14:solidFill>
              <w14:schemeClr w14:val="tx1"/>
            </w14:solidFill>
          </w14:textFill>
        </w:rPr>
      </w:pPr>
      <w:bookmarkStart w:id="305" w:name="_Toc9099"/>
      <w:bookmarkStart w:id="306" w:name="_Toc26536"/>
      <w:bookmarkStart w:id="307" w:name="_Toc4450"/>
      <w:r>
        <w:rPr>
          <w:rFonts w:hint="default" w:ascii="Times New Roman" w:hAnsi="Times New Roman" w:cs="Times New Roman"/>
          <w:b/>
          <w:bCs/>
          <w:color w:val="000000" w:themeColor="text1"/>
          <w14:textFill>
            <w14:solidFill>
              <w14:schemeClr w14:val="tx1"/>
            </w14:solidFill>
          </w14:textFill>
        </w:rPr>
        <w:t>2.3 磋商程序</w:t>
      </w:r>
      <w:bookmarkEnd w:id="305"/>
      <w:bookmarkEnd w:id="306"/>
      <w:bookmarkEnd w:id="307"/>
    </w:p>
    <w:p w14:paraId="0A15222C">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按供应商须知4.1.2 规定的磋商及评审程序进行。</w:t>
      </w:r>
    </w:p>
    <w:p w14:paraId="37024645">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bookmarkStart w:id="308" w:name="_Toc27428"/>
      <w:bookmarkStart w:id="309" w:name="_Toc31759"/>
      <w:bookmarkStart w:id="310" w:name="_Toc11673"/>
      <w:bookmarkStart w:id="311" w:name="_Toc184"/>
      <w:r>
        <w:rPr>
          <w:rFonts w:hint="default" w:ascii="Times New Roman" w:hAnsi="Times New Roman" w:cs="Times New Roman"/>
          <w:color w:val="000000" w:themeColor="text1"/>
          <w14:textFill>
            <w14:solidFill>
              <w14:schemeClr w14:val="tx1"/>
            </w14:solidFill>
          </w14:textFill>
        </w:rPr>
        <w:t>在磋商中，磋商小组成员和与采购活动有关的工作人员不得透露与磋商有关的其他供应商的资料、价格和其他信息。响应文件有实质性变动的，磋商小组将以书面形式通知所有参加磋商的供应商。通过资格评审、符合性评审的供应商才有资格进行承诺及最后磋商报价，最后磋商报价通过报价符合性审查后才能</w:t>
      </w:r>
      <w:r>
        <w:rPr>
          <w:rFonts w:hint="default" w:ascii="Times New Roman" w:hAnsi="Times New Roman" w:cs="Times New Roman"/>
          <w:color w:val="000000" w:themeColor="text1"/>
          <w:lang w:eastAsia="zh-CN"/>
          <w14:textFill>
            <w14:solidFill>
              <w14:schemeClr w14:val="tx1"/>
            </w14:solidFill>
          </w14:textFill>
        </w:rPr>
        <w:t>进入</w:t>
      </w:r>
      <w:r>
        <w:rPr>
          <w:rFonts w:hint="default" w:ascii="Times New Roman" w:hAnsi="Times New Roman" w:cs="Times New Roman"/>
          <w:color w:val="000000" w:themeColor="text1"/>
          <w14:textFill>
            <w14:solidFill>
              <w14:schemeClr w14:val="tx1"/>
            </w14:solidFill>
          </w14:textFill>
        </w:rPr>
        <w:t>最终推荐成交候选人资格。</w:t>
      </w:r>
    </w:p>
    <w:p w14:paraId="6941AB6E">
      <w:pPr>
        <w:spacing w:line="360" w:lineRule="auto"/>
        <w:outlineLvl w:val="3"/>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b/>
          <w:bCs/>
          <w:color w:val="000000" w:themeColor="text1"/>
          <w:szCs w:val="22"/>
          <w14:textFill>
            <w14:solidFill>
              <w14:schemeClr w14:val="tx1"/>
            </w14:solidFill>
          </w14:textFill>
        </w:rPr>
        <w:t>2.4 打分原则</w:t>
      </w:r>
      <w:bookmarkEnd w:id="308"/>
      <w:bookmarkEnd w:id="309"/>
      <w:bookmarkEnd w:id="310"/>
      <w:bookmarkEnd w:id="311"/>
    </w:p>
    <w:p w14:paraId="70E7166A">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2.4.1磋商小组评委应首先对各供应商的响应文件进行评审，并按竞争性磋商文件规定标准和分值评分。</w:t>
      </w:r>
    </w:p>
    <w:p w14:paraId="5584BCEC">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2.4.2统计分数原则：磋商小组独立评分，</w:t>
      </w:r>
      <w:r>
        <w:rPr>
          <w:rFonts w:hint="default" w:ascii="Times New Roman" w:hAnsi="Times New Roman" w:cs="Times New Roman"/>
          <w:bCs/>
          <w:color w:val="000000" w:themeColor="text1"/>
          <w14:textFill>
            <w14:solidFill>
              <w14:schemeClr w14:val="tx1"/>
            </w14:solidFill>
          </w14:textFill>
        </w:rPr>
        <w:t>供应商各项评分因素得分为该项因素各评委评分的算术平均值</w:t>
      </w:r>
      <w:r>
        <w:rPr>
          <w:rFonts w:hint="default" w:ascii="Times New Roman" w:hAnsi="Times New Roman" w:cs="Times New Roman"/>
          <w:color w:val="000000" w:themeColor="text1"/>
          <w14:textFill>
            <w14:solidFill>
              <w14:schemeClr w14:val="tx1"/>
            </w14:solidFill>
          </w14:textFill>
        </w:rPr>
        <w:t>。</w:t>
      </w:r>
    </w:p>
    <w:p w14:paraId="02B741CB">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2.4.3算术错误修正</w:t>
      </w:r>
    </w:p>
    <w:p w14:paraId="77312AB3">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对明显的文字和计算错误按下述原则修正：</w:t>
      </w:r>
    </w:p>
    <w:p w14:paraId="7A03E9BA">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（1）当以数字表示的金额与文字表示的金额有差异时，以文字表示的金额为准。</w:t>
      </w:r>
    </w:p>
    <w:p w14:paraId="6F556FF7">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（2）当单价与数量相乘不等于合价时，以单价计算为准；如果单价有明显的小数点位置差错，应以标出的合价为准，同时对单价予以修正。</w:t>
      </w:r>
    </w:p>
    <w:p w14:paraId="5741DE3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（3）当各细目的合价累计不等于总价时，应以各细目合价累计数为准，修正总价。</w:t>
      </w:r>
    </w:p>
    <w:p w14:paraId="023471F6">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312" w:name="_Toc27659"/>
      <w:bookmarkStart w:id="313" w:name="_Toc13448"/>
      <w:bookmarkStart w:id="314" w:name="_Toc29650"/>
      <w:bookmarkStart w:id="315" w:name="_Toc29168"/>
      <w:r>
        <w:rPr>
          <w:rFonts w:hint="default" w:ascii="Times New Roman" w:hAnsi="Times New Roman" w:cs="Times New Roman"/>
          <w:b/>
          <w:bCs/>
          <w:color w:val="000000" w:themeColor="text1"/>
          <w:szCs w:val="22"/>
          <w14:textFill>
            <w14:solidFill>
              <w14:schemeClr w14:val="tx1"/>
            </w14:solidFill>
          </w14:textFill>
        </w:rPr>
        <w:t>2.5 提交磋商报告</w:t>
      </w:r>
      <w:bookmarkEnd w:id="312"/>
      <w:bookmarkEnd w:id="313"/>
      <w:bookmarkEnd w:id="314"/>
      <w:bookmarkEnd w:id="315"/>
    </w:p>
    <w:p w14:paraId="3F2A1113">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磋商小组在评审结束后向采购人或采购代理机构提交磋商报告并进行签字确认。</w:t>
      </w:r>
    </w:p>
    <w:p w14:paraId="70CA8688">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316" w:name="_Toc7039"/>
      <w:bookmarkStart w:id="317" w:name="_Toc17710"/>
      <w:bookmarkStart w:id="318" w:name="_Toc24177"/>
      <w:bookmarkStart w:id="319" w:name="_Toc9425"/>
      <w:r>
        <w:rPr>
          <w:rFonts w:hint="default" w:ascii="Times New Roman" w:hAnsi="Times New Roman" w:cs="Times New Roman"/>
          <w:b/>
          <w:bCs/>
          <w:color w:val="000000" w:themeColor="text1"/>
          <w:szCs w:val="22"/>
          <w14:textFill>
            <w14:solidFill>
              <w14:schemeClr w14:val="tx1"/>
            </w14:solidFill>
          </w14:textFill>
        </w:rPr>
        <w:t>2.6 磋商评审会议纪律</w:t>
      </w:r>
      <w:bookmarkEnd w:id="316"/>
      <w:bookmarkEnd w:id="317"/>
      <w:bookmarkEnd w:id="318"/>
      <w:bookmarkEnd w:id="319"/>
    </w:p>
    <w:p w14:paraId="73800751">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2.6.1磋商评审期间的一切资料，包括磋商意见、磋商记录、响应文件审查、澄清、评价和比较的资料，均不得外传和泄露；</w:t>
      </w:r>
    </w:p>
    <w:p w14:paraId="20F93008">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2.6.2所有资料（包括响应文件及各种文字记录）在磋商结束后均应分别整理、存档备查，任何人不得复制和保留；</w:t>
      </w:r>
    </w:p>
    <w:p w14:paraId="6B5E44C3">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2.6.3磋商评审结束后，与会人员不得向外界透露磋商小组的评审意见</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因此造成的后果由责任者承担；</w:t>
      </w:r>
    </w:p>
    <w:p w14:paraId="43C524A6">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2.6.4磋商评审期间，磋商人员不得外出，确需外出时应事先请假；</w:t>
      </w:r>
    </w:p>
    <w:p w14:paraId="55AE3B06">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2.6.5磋商评审期间，所有与会人员均不得私自以任何方式和供应商进行联系，需询问、澄清的问题由磋商小组统一组织办理；</w:t>
      </w:r>
    </w:p>
    <w:p w14:paraId="1A006E5A">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2.6.6磋商评审期间，未经允许，磋商小组以外的任何单位或部门不得参加磋商会议和采访磋商工作。</w:t>
      </w:r>
    </w:p>
    <w:p w14:paraId="53B83677">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320" w:name="_Toc15675"/>
      <w:bookmarkStart w:id="321" w:name="_Toc12656"/>
      <w:bookmarkStart w:id="322" w:name="_Toc21739"/>
      <w:bookmarkStart w:id="323" w:name="_Toc8797"/>
      <w:r>
        <w:rPr>
          <w:rFonts w:hint="default" w:ascii="Times New Roman" w:hAnsi="Times New Roman" w:cs="Times New Roman"/>
          <w:b/>
          <w:bCs/>
          <w:color w:val="000000" w:themeColor="text1"/>
          <w14:textFill>
            <w14:solidFill>
              <w14:schemeClr w14:val="tx1"/>
            </w14:solidFill>
          </w14:textFill>
        </w:rPr>
        <w:t>2.7 磋商内容</w:t>
      </w:r>
      <w:bookmarkEnd w:id="320"/>
      <w:bookmarkEnd w:id="321"/>
      <w:bookmarkEnd w:id="322"/>
      <w:bookmarkEnd w:id="323"/>
    </w:p>
    <w:p w14:paraId="025FA0B0">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价格、服务内容等。</w:t>
      </w:r>
    </w:p>
    <w:p w14:paraId="798FBD0F">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324" w:name="_Toc22003"/>
      <w:bookmarkStart w:id="325" w:name="_Toc21210"/>
      <w:bookmarkStart w:id="326" w:name="_Toc16204"/>
      <w:bookmarkStart w:id="327" w:name="_Toc9814"/>
      <w:r>
        <w:rPr>
          <w:rFonts w:hint="default" w:ascii="Times New Roman" w:hAnsi="Times New Roman" w:cs="Times New Roman"/>
          <w:b/>
          <w:bCs/>
          <w:color w:val="000000" w:themeColor="text1"/>
          <w14:textFill>
            <w14:solidFill>
              <w14:schemeClr w14:val="tx1"/>
            </w14:solidFill>
          </w14:textFill>
        </w:rPr>
        <w:t>2.8 推荐成交候选人</w:t>
      </w:r>
      <w:bookmarkEnd w:id="324"/>
      <w:bookmarkEnd w:id="325"/>
      <w:bookmarkEnd w:id="326"/>
      <w:bookmarkEnd w:id="327"/>
    </w:p>
    <w:p w14:paraId="19339C4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根据资格评审、符合性评审均能满足采购文件实质性要求且通过最后报价，经详细评审，磋商小组将按照供应商的最后得分由高到低的顺序推荐第一至第三成交候选人。若出现得分并列时，以磋商报价较低的供应商为第一成交候选人，若报价相同，按下列顺序进行推荐：</w:t>
      </w:r>
    </w:p>
    <w:p w14:paraId="523690ED">
      <w:pPr>
        <w:pStyle w:val="16"/>
        <w:spacing w:line="360" w:lineRule="auto"/>
        <w:ind w:left="0" w:leftChars="0"/>
        <w:rPr>
          <w:rFonts w:hint="default" w:ascii="Times New Roman" w:hAnsi="Times New Roman" w:cs="Times New Roman"/>
          <w:color w:val="000000" w:themeColor="text1"/>
          <w:szCs w:val="22"/>
          <w14:textFill>
            <w14:solidFill>
              <w14:schemeClr w14:val="tx1"/>
            </w14:solidFill>
          </w14:textFill>
        </w:rPr>
      </w:pPr>
      <w:r>
        <w:rPr>
          <w:rFonts w:hint="default" w:ascii="Times New Roman" w:hAnsi="Times New Roman" w:cs="Times New Roman"/>
          <w:color w:val="000000" w:themeColor="text1"/>
          <w:szCs w:val="22"/>
          <w14:textFill>
            <w14:solidFill>
              <w14:schemeClr w14:val="tx1"/>
            </w14:solidFill>
          </w14:textFill>
        </w:rPr>
        <w:t>（1）若存在节能产品或环境标志产品参与磋商，相同品牌的按本章1.3处理，若不为同品牌的</w:t>
      </w:r>
      <w:r>
        <w:rPr>
          <w:rFonts w:hint="default" w:ascii="Times New Roman" w:hAnsi="Times New Roman" w:cs="Times New Roman"/>
          <w:color w:val="000000" w:themeColor="text1"/>
          <w:szCs w:val="22"/>
          <w:lang w:eastAsia="zh-CN"/>
          <w14:textFill>
            <w14:solidFill>
              <w14:schemeClr w14:val="tx1"/>
            </w14:solidFill>
          </w14:textFill>
        </w:rPr>
        <w:t>根据</w:t>
      </w:r>
      <w:r>
        <w:rPr>
          <w:rFonts w:hint="default" w:ascii="Times New Roman" w:hAnsi="Times New Roman" w:cs="Times New Roman"/>
          <w:color w:val="000000" w:themeColor="text1"/>
          <w:szCs w:val="22"/>
          <w14:textFill>
            <w14:solidFill>
              <w14:schemeClr w14:val="tx1"/>
            </w14:solidFill>
          </w14:textFill>
        </w:rPr>
        <w:t xml:space="preserve">《财政部发展改革委生态环境部市场监管总局关于调整优化节能产品、环境标志产品政府采购执行机制的通知》（财库〔2019〕9号）和《市场监管总局关于发布参与实施政府采购节能产品、环境标志产品认证机构名录的公告规定》，优先采购节能产品或者环境标志产品。 </w:t>
      </w:r>
    </w:p>
    <w:p w14:paraId="4A415F98">
      <w:pPr>
        <w:pStyle w:val="16"/>
        <w:spacing w:line="360" w:lineRule="auto"/>
        <w:ind w:left="0" w:leftChars="0"/>
        <w:rPr>
          <w:rFonts w:hint="default" w:ascii="Times New Roman" w:hAnsi="Times New Roman" w:cs="Times New Roman"/>
          <w:color w:val="000000" w:themeColor="text1"/>
          <w:szCs w:val="22"/>
          <w14:textFill>
            <w14:solidFill>
              <w14:schemeClr w14:val="tx1"/>
            </w14:solidFill>
          </w14:textFill>
        </w:rPr>
      </w:pPr>
      <w:r>
        <w:rPr>
          <w:rFonts w:hint="default" w:ascii="Times New Roman" w:hAnsi="Times New Roman" w:cs="Times New Roman"/>
          <w:color w:val="000000" w:themeColor="text1"/>
          <w:szCs w:val="22"/>
          <w14:textFill>
            <w14:solidFill>
              <w14:schemeClr w14:val="tx1"/>
            </w14:solidFill>
          </w14:textFill>
        </w:rPr>
        <w:t>（2）若同时存在节能产品、环境标志产品，评标委员会按照节能和环境标志产品优先、节能产品优先、环境标志产品优先和其他有利于采购人利益的优先的顺序确定</w:t>
      </w:r>
    </w:p>
    <w:p w14:paraId="3C5BB014">
      <w:pPr>
        <w:pStyle w:val="16"/>
        <w:spacing w:line="360" w:lineRule="auto"/>
        <w:ind w:left="0" w:leftChars="0"/>
        <w:rPr>
          <w:rFonts w:hint="default" w:ascii="Times New Roman" w:hAnsi="Times New Roman" w:cs="Times New Roman"/>
          <w:color w:val="000000" w:themeColor="text1"/>
          <w:szCs w:val="22"/>
          <w14:textFill>
            <w14:solidFill>
              <w14:schemeClr w14:val="tx1"/>
            </w14:solidFill>
          </w14:textFill>
        </w:rPr>
      </w:pPr>
      <w:r>
        <w:rPr>
          <w:rFonts w:hint="default" w:ascii="Times New Roman" w:hAnsi="Times New Roman" w:cs="Times New Roman"/>
          <w:color w:val="000000" w:themeColor="text1"/>
          <w:szCs w:val="22"/>
          <w14:textFill>
            <w14:solidFill>
              <w14:schemeClr w14:val="tx1"/>
            </w14:solidFill>
          </w14:textFill>
        </w:rPr>
        <w:t>（3）评标委员会根据全体评标成员签字的原始评标记录和评标结果编写评标报告。</w:t>
      </w:r>
    </w:p>
    <w:p w14:paraId="29ABE271">
      <w:pPr>
        <w:pStyle w:val="16"/>
        <w:spacing w:line="360" w:lineRule="auto"/>
        <w:ind w:left="0" w:leftChars="0" w:firstLine="0" w:firstLineChars="0"/>
        <w:rPr>
          <w:rFonts w:hint="default" w:ascii="Times New Roman" w:hAnsi="Times New Roman" w:cs="Times New Roman"/>
          <w:color w:val="000000" w:themeColor="text1"/>
          <w14:textFill>
            <w14:solidFill>
              <w14:schemeClr w14:val="tx1"/>
            </w14:solidFill>
          </w14:textFill>
        </w:rPr>
      </w:pPr>
      <w:bookmarkStart w:id="328" w:name="_Toc19089"/>
      <w:bookmarkStart w:id="329" w:name="_Toc20845"/>
      <w:bookmarkStart w:id="330" w:name="_Toc25945"/>
      <w:bookmarkStart w:id="331" w:name="_Toc2833"/>
      <w:r>
        <w:rPr>
          <w:rFonts w:hint="default" w:ascii="Times New Roman" w:hAnsi="Times New Roman" w:cs="Times New Roman"/>
          <w:b/>
          <w:bCs/>
          <w:color w:val="000000" w:themeColor="text1"/>
          <w14:textFill>
            <w14:solidFill>
              <w14:schemeClr w14:val="tx1"/>
            </w14:solidFill>
          </w14:textFill>
        </w:rPr>
        <w:t>2.9 磋商终止</w:t>
      </w:r>
      <w:bookmarkEnd w:id="328"/>
      <w:bookmarkEnd w:id="329"/>
      <w:bookmarkEnd w:id="330"/>
      <w:bookmarkEnd w:id="331"/>
    </w:p>
    <w:p w14:paraId="40DAED5A">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出现下列情形之一的，采购人或者采购代理机构应当终止竞争性磋商采购活动，发布项目终止公告并说明原因，重新开展采购活动：</w:t>
      </w:r>
    </w:p>
    <w:p w14:paraId="1071EA3A">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（1）因情况变化，不再符合规定的竞争性磋商采购方式适用的情形的；</w:t>
      </w:r>
    </w:p>
    <w:p w14:paraId="6B6472AB">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（2）出现影响采购公正的违法、违规行为的；</w:t>
      </w:r>
    </w:p>
    <w:p w14:paraId="06D6C112">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（3）在采购过程中符合竞争要求的供应商或者报价未超过采购预算的供应商不足3家的，但经磋商小组认定具备竞争性的情形除外。</w:t>
      </w:r>
    </w:p>
    <w:p w14:paraId="5435111A">
      <w:pPr>
        <w:pStyle w:val="16"/>
        <w:spacing w:line="360" w:lineRule="auto"/>
        <w:ind w:left="0" w:leftChars="0" w:firstLine="0" w:firstLineChars="0"/>
        <w:jc w:val="center"/>
        <w:outlineLvl w:val="2"/>
        <w:rPr>
          <w:rFonts w:hint="default" w:ascii="Times New Roman" w:hAnsi="Times New Roman" w:cs="Times New Roman"/>
          <w:b/>
          <w:bCs/>
          <w:color w:val="000000" w:themeColor="text1"/>
          <w:sz w:val="30"/>
          <w:szCs w:val="30"/>
          <w14:textFill>
            <w14:solidFill>
              <w14:schemeClr w14:val="tx1"/>
            </w14:solidFill>
          </w14:textFill>
        </w:rPr>
      </w:pPr>
      <w:bookmarkStart w:id="332" w:name="_Toc21064"/>
      <w:bookmarkStart w:id="333" w:name="_Toc1350"/>
      <w:bookmarkStart w:id="334" w:name="_Toc10154"/>
      <w:bookmarkStart w:id="335" w:name="_Toc9202"/>
      <w:r>
        <w:rPr>
          <w:rFonts w:hint="default" w:ascii="Times New Roman" w:hAnsi="Times New Roman" w:cs="Times New Roman"/>
          <w:b/>
          <w:bCs/>
          <w:color w:val="000000" w:themeColor="text1"/>
          <w:sz w:val="30"/>
          <w:szCs w:val="30"/>
          <w14:textFill>
            <w14:solidFill>
              <w14:schemeClr w14:val="tx1"/>
            </w14:solidFill>
          </w14:textFill>
        </w:rPr>
        <w:t>3.重新招标或不再招标</w:t>
      </w:r>
      <w:bookmarkEnd w:id="332"/>
      <w:bookmarkEnd w:id="333"/>
      <w:bookmarkEnd w:id="334"/>
      <w:bookmarkEnd w:id="335"/>
    </w:p>
    <w:p w14:paraId="0B5F5620">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336" w:name="_Toc30041"/>
      <w:bookmarkStart w:id="337" w:name="_Toc15811"/>
      <w:bookmarkStart w:id="338" w:name="_Toc3690"/>
      <w:bookmarkStart w:id="339" w:name="_Toc1633"/>
      <w:r>
        <w:rPr>
          <w:rFonts w:hint="default" w:ascii="Times New Roman" w:hAnsi="Times New Roman" w:cs="Times New Roman"/>
          <w:b/>
          <w:bCs/>
          <w:color w:val="000000" w:themeColor="text1"/>
          <w14:textFill>
            <w14:solidFill>
              <w14:schemeClr w14:val="tx1"/>
            </w14:solidFill>
          </w14:textFill>
        </w:rPr>
        <w:t>3.1 重新招标</w:t>
      </w:r>
      <w:bookmarkEnd w:id="336"/>
      <w:bookmarkEnd w:id="337"/>
      <w:bookmarkEnd w:id="338"/>
      <w:bookmarkEnd w:id="339"/>
    </w:p>
    <w:p w14:paraId="3AB7656E">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有下列情形之一的，采购人将重新招标：</w:t>
      </w:r>
    </w:p>
    <w:p w14:paraId="38F17AD0">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（1）递交响应文件截止时间止，供应商少于3个的；</w:t>
      </w:r>
    </w:p>
    <w:p w14:paraId="27160885">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（2）经磋商小组评审后否决所有供应商的；</w:t>
      </w:r>
    </w:p>
    <w:p w14:paraId="42DC3195">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（3）磋商小组否决不合格响应文件或者界定为无效响应文件后因有效供应商不足3个使得磋商明显缺乏竞争，磋商小组决定否决全部供应商的；</w:t>
      </w:r>
    </w:p>
    <w:p w14:paraId="35715820">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（4）同意延长磋商有效期的供应商少于3个的。</w:t>
      </w:r>
    </w:p>
    <w:p w14:paraId="24AAA145">
      <w:pPr>
        <w:spacing w:line="360" w:lineRule="auto"/>
        <w:outlineLvl w:val="3"/>
        <w:rPr>
          <w:rFonts w:hint="default" w:ascii="Times New Roman" w:hAnsi="Times New Roman" w:cs="Times New Roman"/>
          <w:color w:val="000000" w:themeColor="text1"/>
          <w14:textFill>
            <w14:solidFill>
              <w14:schemeClr w14:val="tx1"/>
            </w14:solidFill>
          </w14:textFill>
        </w:rPr>
      </w:pPr>
      <w:bookmarkStart w:id="340" w:name="_Toc21644"/>
      <w:bookmarkStart w:id="341" w:name="_Toc19264"/>
      <w:bookmarkStart w:id="342" w:name="_Toc30955"/>
      <w:bookmarkStart w:id="343" w:name="_Toc13560"/>
      <w:r>
        <w:rPr>
          <w:rFonts w:hint="default" w:ascii="Times New Roman" w:hAnsi="Times New Roman" w:cs="Times New Roman"/>
          <w:b/>
          <w:bCs/>
          <w:color w:val="000000" w:themeColor="text1"/>
          <w14:textFill>
            <w14:solidFill>
              <w14:schemeClr w14:val="tx1"/>
            </w14:solidFill>
          </w14:textFill>
        </w:rPr>
        <w:t>3.2 不再招标</w:t>
      </w:r>
      <w:bookmarkEnd w:id="340"/>
      <w:bookmarkEnd w:id="341"/>
      <w:bookmarkEnd w:id="342"/>
      <w:bookmarkEnd w:id="343"/>
    </w:p>
    <w:p w14:paraId="11812D1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重新招标后，仍出现上述第1条规定情形之一的，采购人可自行决定不再进行招标。</w:t>
      </w:r>
    </w:p>
    <w:p w14:paraId="24EA0BF0">
      <w:pPr>
        <w:pStyle w:val="4"/>
        <w:spacing w:before="0" w:after="0" w:line="360" w:lineRule="auto"/>
        <w:jc w:val="center"/>
        <w:rPr>
          <w:rFonts w:hint="default" w:ascii="Times New Roman" w:hAnsi="Times New Roman" w:cs="Times New Roman"/>
          <w:color w:val="000000" w:themeColor="text1"/>
          <w14:textFill>
            <w14:solidFill>
              <w14:schemeClr w14:val="tx1"/>
            </w14:solidFill>
          </w14:textFill>
        </w:rPr>
      </w:pPr>
      <w:bookmarkStart w:id="344" w:name="_Toc21134"/>
      <w:bookmarkStart w:id="345" w:name="_Toc11326362"/>
      <w:bookmarkStart w:id="346" w:name="_Toc22284"/>
      <w:bookmarkStart w:id="347" w:name="_Toc21402"/>
      <w:bookmarkStart w:id="348" w:name="_Toc22049"/>
      <w:r>
        <w:rPr>
          <w:rFonts w:hint="default" w:ascii="Times New Roman" w:hAnsi="Times New Roman" w:cs="Times New Roman"/>
          <w:color w:val="000000" w:themeColor="text1"/>
          <w14:textFill>
            <w14:solidFill>
              <w14:schemeClr w14:val="tx1"/>
            </w14:solidFill>
          </w14:textFill>
        </w:rPr>
        <w:t>4.回避</w:t>
      </w:r>
      <w:bookmarkEnd w:id="344"/>
      <w:bookmarkEnd w:id="345"/>
      <w:bookmarkEnd w:id="346"/>
      <w:bookmarkEnd w:id="347"/>
      <w:bookmarkEnd w:id="348"/>
    </w:p>
    <w:p w14:paraId="271CB299">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在采购活动中，采购人员及相关人员与供应商有下列利害关系之一的，应当回避：</w:t>
      </w:r>
    </w:p>
    <w:p w14:paraId="184B233B">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（一）参加采购活动前3年内与供应商存在劳动关系；</w:t>
      </w:r>
    </w:p>
    <w:p w14:paraId="6CAA7F5F">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（二）参加采购活动前3年内担任供应商的董事、监事；</w:t>
      </w:r>
    </w:p>
    <w:p w14:paraId="634060E4">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（三）参加采购活动前3年内是供应商的控股股东或者实际控制人；</w:t>
      </w:r>
    </w:p>
    <w:p w14:paraId="35F1462C">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（四）与供应商的法定代表人或者负责人有夫妻、直系血亲、三代以内旁系血亲或者近姻亲关系；</w:t>
      </w:r>
    </w:p>
    <w:p w14:paraId="5013FB58">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（五）与供应商有其他可能影响采购活动公平、公正进行的关系。</w:t>
      </w:r>
    </w:p>
    <w:p w14:paraId="79A8186A">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5FA0D12C">
      <w:pPr>
        <w:pStyle w:val="10"/>
        <w:spacing w:line="360" w:lineRule="auto"/>
        <w:rPr>
          <w:rFonts w:hint="default" w:ascii="Times New Roman" w:hAnsi="Times New Roman" w:cs="Times New Roman"/>
          <w:color w:val="000000" w:themeColor="text1"/>
          <w:szCs w:val="21"/>
          <w14:textFill>
            <w14:solidFill>
              <w14:schemeClr w14:val="tx1"/>
            </w14:solidFill>
          </w14:textFill>
        </w:rPr>
      </w:pPr>
    </w:p>
    <w:p w14:paraId="2BE7E884">
      <w:pPr>
        <w:pStyle w:val="10"/>
        <w:spacing w:line="360" w:lineRule="auto"/>
        <w:rPr>
          <w:rFonts w:hint="default" w:ascii="Times New Roman" w:hAnsi="Times New Roman" w:cs="Times New Roman"/>
          <w:color w:val="000000" w:themeColor="text1"/>
          <w:szCs w:val="21"/>
          <w14:textFill>
            <w14:solidFill>
              <w14:schemeClr w14:val="tx1"/>
            </w14:solidFill>
          </w14:textFill>
        </w:rPr>
      </w:pPr>
    </w:p>
    <w:p w14:paraId="3BF06687">
      <w:pPr>
        <w:spacing w:line="360" w:lineRule="auto"/>
        <w:jc w:val="center"/>
        <w:outlineLvl w:val="0"/>
        <w:rPr>
          <w:rFonts w:hint="default" w:ascii="Times New Roman" w:hAnsi="Times New Roman" w:cs="Times New Roman"/>
          <w:b/>
          <w:bCs/>
          <w:color w:val="000000" w:themeColor="text1"/>
          <w:kern w:val="44"/>
          <w:sz w:val="36"/>
          <w:szCs w:val="36"/>
          <w14:textFill>
            <w14:solidFill>
              <w14:schemeClr w14:val="tx1"/>
            </w14:solidFill>
          </w14:textFill>
        </w:rPr>
        <w:sectPr>
          <w:pgSz w:w="11906" w:h="16838"/>
          <w:pgMar w:top="1440" w:right="1080" w:bottom="1440" w:left="1080" w:header="851" w:footer="992" w:gutter="0"/>
          <w:pgNumType w:fmt="decimal"/>
          <w:cols w:space="720" w:num="1"/>
          <w:docGrid w:type="lines" w:linePitch="312" w:charSpace="0"/>
        </w:sectPr>
      </w:pPr>
    </w:p>
    <w:p w14:paraId="7CFA6FC0">
      <w:pPr>
        <w:pStyle w:val="16"/>
        <w:rPr>
          <w:rFonts w:hint="default" w:ascii="Times New Roman" w:hAnsi="Times New Roman" w:cs="Times New Roman"/>
          <w:color w:val="000000" w:themeColor="text1"/>
          <w14:textFill>
            <w14:solidFill>
              <w14:schemeClr w14:val="tx1"/>
            </w14:solidFill>
          </w14:textFill>
        </w:rPr>
      </w:pPr>
      <w:bookmarkStart w:id="349" w:name="_Toc25656"/>
      <w:bookmarkStart w:id="350" w:name="_Toc2522"/>
      <w:bookmarkStart w:id="351" w:name="_Toc29920"/>
      <w:bookmarkStart w:id="352" w:name="_Toc4470"/>
    </w:p>
    <w:bookmarkEnd w:id="349"/>
    <w:bookmarkEnd w:id="350"/>
    <w:bookmarkEnd w:id="351"/>
    <w:bookmarkEnd w:id="352"/>
    <w:p w14:paraId="011BDF33">
      <w:pPr>
        <w:bidi w:val="0"/>
        <w:ind w:firstLine="2891" w:firstLineChars="800"/>
        <w:rPr>
          <w:rFonts w:hint="default" w:ascii="Times New Roman" w:hAnsi="Times New Roman" w:eastAsia="宋体" w:cs="Times New Roman"/>
          <w:b/>
          <w:bCs/>
          <w:color w:val="000000" w:themeColor="text1"/>
          <w:kern w:val="44"/>
          <w:sz w:val="36"/>
          <w:szCs w:val="36"/>
          <w:lang w:val="en-US" w:eastAsia="zh-CN" w:bidi="ar-SA"/>
          <w14:textFill>
            <w14:solidFill>
              <w14:schemeClr w14:val="tx1"/>
            </w14:solidFill>
          </w14:textFill>
        </w:rPr>
      </w:pPr>
      <w:bookmarkStart w:id="353" w:name="_Toc414014536"/>
      <w:bookmarkStart w:id="354" w:name="_Toc11675"/>
      <w:bookmarkStart w:id="355" w:name="_Toc14860"/>
      <w:bookmarkStart w:id="356" w:name="_Toc32187"/>
      <w:bookmarkStart w:id="357" w:name="_Toc13319"/>
      <w:r>
        <w:rPr>
          <w:rFonts w:hint="default" w:ascii="Times New Roman" w:hAnsi="Times New Roman" w:eastAsia="宋体" w:cs="Times New Roman"/>
          <w:b/>
          <w:bCs/>
          <w:color w:val="000000" w:themeColor="text1"/>
          <w:kern w:val="44"/>
          <w:sz w:val="36"/>
          <w:szCs w:val="36"/>
          <w:lang w:val="en-US" w:eastAsia="zh-CN" w:bidi="ar-SA"/>
          <w14:textFill>
            <w14:solidFill>
              <w14:schemeClr w14:val="tx1"/>
            </w14:solidFill>
          </w14:textFill>
        </w:rPr>
        <w:t>第四章合同条款及格式</w:t>
      </w:r>
    </w:p>
    <w:p w14:paraId="3C2A162F">
      <w:pPr>
        <w:jc w:val="left"/>
        <w:rPr>
          <w:rFonts w:hint="default" w:ascii="Times New Roman" w:hAnsi="Times New Roman" w:eastAsia="仿宋_GB2312" w:cs="Times New Roman"/>
          <w:bCs/>
          <w:color w:val="000000" w:themeColor="text1"/>
          <w:sz w:val="32"/>
          <w:szCs w:val="32"/>
          <w14:textFill>
            <w14:solidFill>
              <w14:schemeClr w14:val="tx1"/>
            </w14:solidFill>
          </w14:textFill>
        </w:rPr>
      </w:pPr>
    </w:p>
    <w:p w14:paraId="647CF313">
      <w:pPr>
        <w:jc w:val="left"/>
        <w:rPr>
          <w:rFonts w:hint="default" w:ascii="Times New Roman" w:hAnsi="Times New Roman" w:eastAsia="仿宋_GB2312" w:cs="Times New Roman"/>
          <w:bCs/>
          <w:color w:val="000000" w:themeColor="text1"/>
          <w:sz w:val="32"/>
          <w:szCs w:val="32"/>
          <w14:textFill>
            <w14:solidFill>
              <w14:schemeClr w14:val="tx1"/>
            </w14:solidFill>
          </w14:textFill>
        </w:rPr>
      </w:pPr>
      <w:r>
        <w:rPr>
          <w:rFonts w:hint="default" w:ascii="Times New Roman" w:hAnsi="Times New Roman" w:eastAsia="仿宋_GB2312" w:cs="Times New Roman"/>
          <w:bCs/>
          <w:color w:val="000000" w:themeColor="text1"/>
          <w:sz w:val="32"/>
          <w:szCs w:val="32"/>
          <w14:textFill>
            <w14:solidFill>
              <w14:schemeClr w14:val="tx1"/>
            </w14:solidFill>
          </w14:textFill>
        </w:rPr>
        <w:t>（GF—201</w:t>
      </w:r>
      <w:r>
        <w:rPr>
          <w:rFonts w:hint="default" w:ascii="Times New Roman" w:hAnsi="Times New Roman" w:eastAsia="仿宋_GB2312" w:cs="Times New Roman"/>
          <w:bCs/>
          <w:color w:val="000000" w:themeColor="text1"/>
          <w:sz w:val="32"/>
          <w:szCs w:val="32"/>
          <w:lang w:val="en-US" w:eastAsia="zh-CN"/>
          <w14:textFill>
            <w14:solidFill>
              <w14:schemeClr w14:val="tx1"/>
            </w14:solidFill>
          </w14:textFill>
        </w:rPr>
        <w:t>7</w:t>
      </w:r>
      <w:r>
        <w:rPr>
          <w:rFonts w:hint="default" w:ascii="Times New Roman" w:hAnsi="Times New Roman" w:eastAsia="仿宋_GB2312" w:cs="Times New Roman"/>
          <w:bCs/>
          <w:color w:val="000000" w:themeColor="text1"/>
          <w:sz w:val="32"/>
          <w:szCs w:val="32"/>
          <w14:textFill>
            <w14:solidFill>
              <w14:schemeClr w14:val="tx1"/>
            </w14:solidFill>
          </w14:textFill>
        </w:rPr>
        <w:t>—</w:t>
      </w:r>
      <w:r>
        <w:rPr>
          <w:rFonts w:hint="default" w:ascii="Times New Roman" w:hAnsi="Times New Roman" w:eastAsia="仿宋_GB2312" w:cs="Times New Roman"/>
          <w:bCs/>
          <w:color w:val="000000" w:themeColor="text1"/>
          <w:sz w:val="32"/>
          <w:szCs w:val="32"/>
          <w:lang w:val="en-US" w:eastAsia="zh-CN"/>
          <w14:textFill>
            <w14:solidFill>
              <w14:schemeClr w14:val="tx1"/>
            </w14:solidFill>
          </w14:textFill>
        </w:rPr>
        <w:t>0201</w:t>
      </w:r>
      <w:r>
        <w:rPr>
          <w:rFonts w:hint="default" w:ascii="Times New Roman" w:hAnsi="Times New Roman" w:eastAsia="仿宋_GB2312" w:cs="Times New Roman"/>
          <w:bCs/>
          <w:color w:val="000000" w:themeColor="text1"/>
          <w:sz w:val="32"/>
          <w:szCs w:val="32"/>
          <w14:textFill>
            <w14:solidFill>
              <w14:schemeClr w14:val="tx1"/>
            </w14:solidFill>
          </w14:textFill>
        </w:rPr>
        <w:t>）</w:t>
      </w:r>
    </w:p>
    <w:p w14:paraId="2CE292A7">
      <w:pPr>
        <w:pageBreakBefore w:val="0"/>
        <w:widowControl w:val="0"/>
        <w:kinsoku/>
        <w:wordWrap/>
        <w:overflowPunct/>
        <w:topLinePunct w:val="0"/>
        <w:bidi w:val="0"/>
        <w:snapToGrid/>
        <w:spacing w:line="440" w:lineRule="exact"/>
        <w:ind w:left="0" w:leftChars="0" w:right="0" w:rightChars="0"/>
        <w:jc w:val="center"/>
        <w:rPr>
          <w:rFonts w:hint="default" w:ascii="Times New Roman" w:hAnsi="Times New Roman" w:eastAsia="方正仿宋_GBK" w:cs="Times New Roman"/>
          <w:b/>
          <w:color w:val="000000" w:themeColor="text1"/>
          <w:sz w:val="24"/>
          <w:szCs w:val="24"/>
          <w14:textFill>
            <w14:solidFill>
              <w14:schemeClr w14:val="tx1"/>
            </w14:solidFill>
          </w14:textFill>
        </w:rPr>
      </w:pPr>
    </w:p>
    <w:p w14:paraId="67CC678E">
      <w:pPr>
        <w:pageBreakBefore w:val="0"/>
        <w:widowControl w:val="0"/>
        <w:kinsoku/>
        <w:wordWrap/>
        <w:overflowPunct/>
        <w:topLinePunct w:val="0"/>
        <w:bidi w:val="0"/>
        <w:snapToGrid/>
        <w:spacing w:line="440" w:lineRule="exact"/>
        <w:ind w:left="0" w:leftChars="0" w:right="0" w:rightChars="0"/>
        <w:jc w:val="center"/>
        <w:rPr>
          <w:rFonts w:hint="default" w:ascii="Times New Roman" w:hAnsi="Times New Roman" w:eastAsia="方正仿宋_GBK" w:cs="Times New Roman"/>
          <w:b/>
          <w:color w:val="000000" w:themeColor="text1"/>
          <w:sz w:val="24"/>
          <w:szCs w:val="24"/>
          <w14:textFill>
            <w14:solidFill>
              <w14:schemeClr w14:val="tx1"/>
            </w14:solidFill>
          </w14:textFill>
        </w:rPr>
      </w:pPr>
    </w:p>
    <w:p w14:paraId="3FAA3268">
      <w:pPr>
        <w:pageBreakBefore w:val="0"/>
        <w:widowControl w:val="0"/>
        <w:kinsoku/>
        <w:wordWrap/>
        <w:overflowPunct/>
        <w:topLinePunct w:val="0"/>
        <w:bidi w:val="0"/>
        <w:snapToGrid/>
        <w:spacing w:line="440" w:lineRule="exact"/>
        <w:ind w:left="0" w:leftChars="0" w:right="0" w:rightChars="0"/>
        <w:jc w:val="center"/>
        <w:rPr>
          <w:rFonts w:hint="default" w:ascii="Times New Roman" w:hAnsi="Times New Roman" w:eastAsia="方正仿宋_GBK" w:cs="Times New Roman"/>
          <w:b/>
          <w:color w:val="000000" w:themeColor="text1"/>
          <w:sz w:val="24"/>
          <w:szCs w:val="24"/>
          <w14:textFill>
            <w14:solidFill>
              <w14:schemeClr w14:val="tx1"/>
            </w14:solidFill>
          </w14:textFill>
        </w:rPr>
      </w:pPr>
    </w:p>
    <w:p w14:paraId="72E92500">
      <w:pPr>
        <w:pageBreakBefore w:val="0"/>
        <w:widowControl w:val="0"/>
        <w:kinsoku/>
        <w:wordWrap/>
        <w:overflowPunct/>
        <w:topLinePunct w:val="0"/>
        <w:bidi w:val="0"/>
        <w:snapToGrid/>
        <w:spacing w:line="440" w:lineRule="exact"/>
        <w:ind w:left="0" w:leftChars="0" w:right="0" w:rightChars="0"/>
        <w:jc w:val="center"/>
        <w:rPr>
          <w:rFonts w:hint="default" w:ascii="Times New Roman" w:hAnsi="Times New Roman" w:eastAsia="方正仿宋_GBK" w:cs="Times New Roman"/>
          <w:b/>
          <w:color w:val="000000" w:themeColor="text1"/>
          <w:sz w:val="24"/>
          <w:szCs w:val="24"/>
          <w14:textFill>
            <w14:solidFill>
              <w14:schemeClr w14:val="tx1"/>
            </w14:solidFill>
          </w14:textFill>
        </w:rPr>
      </w:pPr>
    </w:p>
    <w:p w14:paraId="3D587230">
      <w:pPr>
        <w:jc w:val="center"/>
        <w:rPr>
          <w:rFonts w:hint="default" w:ascii="Times New Roman" w:hAnsi="Times New Roman" w:eastAsia="方正小标宋_GBK" w:cs="Times New Roman"/>
          <w:b/>
          <w:color w:val="000000" w:themeColor="text1"/>
          <w:sz w:val="32"/>
          <w:szCs w:val="32"/>
          <w14:textFill>
            <w14:solidFill>
              <w14:schemeClr w14:val="tx1"/>
            </w14:solidFill>
          </w14:textFill>
        </w:rPr>
      </w:pPr>
      <w:r>
        <w:rPr>
          <w:rFonts w:hint="default" w:ascii="Times New Roman" w:hAnsi="Times New Roman" w:eastAsia="方正小标宋_GBK" w:cs="Times New Roman"/>
          <w:b/>
          <w:color w:val="000000" w:themeColor="text1"/>
          <w:sz w:val="32"/>
          <w:szCs w:val="32"/>
          <w14:textFill>
            <w14:solidFill>
              <w14:schemeClr w14:val="tx1"/>
            </w14:solidFill>
          </w14:textFill>
        </w:rPr>
        <w:t>建设工程施工合同</w:t>
      </w:r>
      <w:r>
        <w:rPr>
          <w:rFonts w:hint="default" w:ascii="Times New Roman" w:hAnsi="Times New Roman" w:eastAsia="方正小标宋_GBK" w:cs="Times New Roman"/>
          <w:b/>
          <w:color w:val="000000" w:themeColor="text1"/>
          <w:sz w:val="32"/>
          <w:szCs w:val="32"/>
          <w14:textFill>
            <w14:solidFill>
              <w14:schemeClr w14:val="tx1"/>
            </w14:solidFill>
          </w14:textFill>
        </w:rPr>
        <w:br w:type="textWrapping"/>
      </w:r>
    </w:p>
    <w:p w14:paraId="0754E681">
      <w:pPr>
        <w:ind w:firstLine="3213" w:firstLineChars="1000"/>
        <w:jc w:val="both"/>
        <w:rPr>
          <w:rFonts w:hint="default" w:ascii="Times New Roman" w:hAnsi="Times New Roman" w:eastAsia="方正小标宋_GBK" w:cs="Times New Roman"/>
          <w:b/>
          <w:color w:val="000000" w:themeColor="text1"/>
          <w:sz w:val="32"/>
          <w:szCs w:val="32"/>
          <w14:textFill>
            <w14:solidFill>
              <w14:schemeClr w14:val="tx1"/>
            </w14:solidFill>
          </w14:textFill>
        </w:rPr>
      </w:pPr>
      <w:r>
        <w:rPr>
          <w:rFonts w:hint="default" w:ascii="Times New Roman" w:hAnsi="Times New Roman" w:eastAsia="方正小标宋_GBK" w:cs="Times New Roman"/>
          <w:b/>
          <w:color w:val="000000" w:themeColor="text1"/>
          <w:sz w:val="32"/>
          <w:szCs w:val="32"/>
          <w14:textFill>
            <w14:solidFill>
              <w14:schemeClr w14:val="tx1"/>
            </w14:solidFill>
          </w14:textFill>
        </w:rPr>
        <w:t>（示范文本）</w:t>
      </w:r>
    </w:p>
    <w:p w14:paraId="027C1019">
      <w:pPr>
        <w:pageBreakBefore w:val="0"/>
        <w:widowControl w:val="0"/>
        <w:kinsoku/>
        <w:wordWrap/>
        <w:overflowPunct/>
        <w:topLinePunct w:val="0"/>
        <w:bidi w:val="0"/>
        <w:snapToGrid/>
        <w:spacing w:line="440" w:lineRule="exact"/>
        <w:ind w:left="0" w:leftChars="0" w:right="0" w:rightChars="0"/>
        <w:jc w:val="center"/>
        <w:rPr>
          <w:rFonts w:hint="default" w:ascii="Times New Roman" w:hAnsi="Times New Roman" w:eastAsia="方正仿宋_GBK" w:cs="Times New Roman"/>
          <w:b/>
          <w:color w:val="000000" w:themeColor="text1"/>
          <w:sz w:val="24"/>
          <w:szCs w:val="24"/>
          <w14:textFill>
            <w14:solidFill>
              <w14:schemeClr w14:val="tx1"/>
            </w14:solidFill>
          </w14:textFill>
        </w:rPr>
      </w:pPr>
    </w:p>
    <w:p w14:paraId="1DB1E750">
      <w:pPr>
        <w:pageBreakBefore w:val="0"/>
        <w:widowControl w:val="0"/>
        <w:kinsoku/>
        <w:wordWrap/>
        <w:overflowPunct/>
        <w:topLinePunct w:val="0"/>
        <w:bidi w:val="0"/>
        <w:snapToGrid/>
        <w:spacing w:line="440" w:lineRule="exact"/>
        <w:ind w:left="0" w:leftChars="0" w:right="0" w:rightChars="0"/>
        <w:jc w:val="center"/>
        <w:rPr>
          <w:rFonts w:hint="default" w:ascii="Times New Roman" w:hAnsi="Times New Roman" w:eastAsia="方正仿宋_GBK" w:cs="Times New Roman"/>
          <w:b/>
          <w:color w:val="000000" w:themeColor="text1"/>
          <w:sz w:val="24"/>
          <w:szCs w:val="24"/>
          <w14:textFill>
            <w14:solidFill>
              <w14:schemeClr w14:val="tx1"/>
            </w14:solidFill>
          </w14:textFill>
        </w:rPr>
      </w:pPr>
    </w:p>
    <w:p w14:paraId="2DD2484B">
      <w:pPr>
        <w:pageBreakBefore w:val="0"/>
        <w:widowControl w:val="0"/>
        <w:kinsoku/>
        <w:wordWrap/>
        <w:overflowPunct/>
        <w:topLinePunct w:val="0"/>
        <w:bidi w:val="0"/>
        <w:snapToGrid/>
        <w:spacing w:line="440" w:lineRule="exact"/>
        <w:ind w:left="0" w:leftChars="0" w:right="0" w:rightChars="0"/>
        <w:jc w:val="center"/>
        <w:rPr>
          <w:rFonts w:hint="default" w:ascii="Times New Roman" w:hAnsi="Times New Roman" w:eastAsia="方正仿宋_GBK" w:cs="Times New Roman"/>
          <w:b/>
          <w:color w:val="000000" w:themeColor="text1"/>
          <w:sz w:val="24"/>
          <w:szCs w:val="24"/>
          <w14:textFill>
            <w14:solidFill>
              <w14:schemeClr w14:val="tx1"/>
            </w14:solidFill>
          </w14:textFill>
        </w:rPr>
      </w:pPr>
    </w:p>
    <w:p w14:paraId="7D8A2274">
      <w:pPr>
        <w:pageBreakBefore w:val="0"/>
        <w:widowControl w:val="0"/>
        <w:kinsoku/>
        <w:wordWrap/>
        <w:overflowPunct/>
        <w:topLinePunct w:val="0"/>
        <w:bidi w:val="0"/>
        <w:snapToGrid/>
        <w:spacing w:line="440" w:lineRule="exact"/>
        <w:ind w:left="0" w:leftChars="0" w:right="0" w:rightChars="0"/>
        <w:jc w:val="center"/>
        <w:rPr>
          <w:rFonts w:hint="default" w:ascii="Times New Roman" w:hAnsi="Times New Roman" w:eastAsia="方正仿宋_GBK" w:cs="Times New Roman"/>
          <w:b/>
          <w:color w:val="000000" w:themeColor="text1"/>
          <w:sz w:val="24"/>
          <w:szCs w:val="24"/>
          <w14:textFill>
            <w14:solidFill>
              <w14:schemeClr w14:val="tx1"/>
            </w14:solidFill>
          </w14:textFill>
        </w:rPr>
      </w:pPr>
    </w:p>
    <w:p w14:paraId="07B48FCC">
      <w:pPr>
        <w:pageBreakBefore w:val="0"/>
        <w:widowControl w:val="0"/>
        <w:kinsoku/>
        <w:wordWrap/>
        <w:overflowPunct/>
        <w:topLinePunct w:val="0"/>
        <w:bidi w:val="0"/>
        <w:snapToGrid/>
        <w:spacing w:line="440" w:lineRule="exact"/>
        <w:ind w:left="0" w:leftChars="0" w:right="0" w:rightChars="0"/>
        <w:rPr>
          <w:rFonts w:hint="default" w:ascii="Times New Roman" w:hAnsi="Times New Roman" w:eastAsia="方正仿宋_GBK" w:cs="Times New Roman"/>
          <w:b/>
          <w:color w:val="000000" w:themeColor="text1"/>
          <w:sz w:val="24"/>
          <w:szCs w:val="24"/>
          <w14:textFill>
            <w14:solidFill>
              <w14:schemeClr w14:val="tx1"/>
            </w14:solidFill>
          </w14:textFill>
        </w:rPr>
      </w:pPr>
    </w:p>
    <w:p w14:paraId="6EB25686">
      <w:pPr>
        <w:pageBreakBefore w:val="0"/>
        <w:widowControl w:val="0"/>
        <w:kinsoku/>
        <w:wordWrap/>
        <w:overflowPunct/>
        <w:topLinePunct w:val="0"/>
        <w:bidi w:val="0"/>
        <w:snapToGrid/>
        <w:spacing w:line="440" w:lineRule="exact"/>
        <w:ind w:left="0" w:leftChars="0" w:right="0" w:rightChars="0"/>
        <w:rPr>
          <w:rFonts w:hint="default" w:ascii="Times New Roman" w:hAnsi="Times New Roman" w:eastAsia="方正仿宋_GBK" w:cs="Times New Roman"/>
          <w:b/>
          <w:color w:val="000000" w:themeColor="text1"/>
          <w:sz w:val="24"/>
          <w:szCs w:val="24"/>
          <w14:textFill>
            <w14:solidFill>
              <w14:schemeClr w14:val="tx1"/>
            </w14:solidFill>
          </w14:textFill>
        </w:rPr>
      </w:pPr>
    </w:p>
    <w:p w14:paraId="1FD9A1D8">
      <w:pPr>
        <w:pageBreakBefore w:val="0"/>
        <w:widowControl w:val="0"/>
        <w:kinsoku/>
        <w:wordWrap/>
        <w:overflowPunct/>
        <w:topLinePunct w:val="0"/>
        <w:bidi w:val="0"/>
        <w:snapToGrid/>
        <w:spacing w:line="440" w:lineRule="exact"/>
        <w:ind w:left="0" w:leftChars="0" w:right="0" w:rightChars="0"/>
        <w:rPr>
          <w:rFonts w:hint="default" w:ascii="Times New Roman" w:hAnsi="Times New Roman" w:eastAsia="方正仿宋_GBK" w:cs="Times New Roman"/>
          <w:b/>
          <w:color w:val="000000" w:themeColor="text1"/>
          <w:sz w:val="24"/>
          <w:szCs w:val="24"/>
          <w14:textFill>
            <w14:solidFill>
              <w14:schemeClr w14:val="tx1"/>
            </w14:solidFill>
          </w14:textFill>
        </w:rPr>
      </w:pPr>
    </w:p>
    <w:p w14:paraId="0B4A11C1">
      <w:pPr>
        <w:pageBreakBefore w:val="0"/>
        <w:widowControl w:val="0"/>
        <w:kinsoku/>
        <w:wordWrap/>
        <w:overflowPunct/>
        <w:topLinePunct w:val="0"/>
        <w:bidi w:val="0"/>
        <w:snapToGrid/>
        <w:spacing w:line="440" w:lineRule="exact"/>
        <w:ind w:left="0" w:leftChars="0" w:right="0" w:rightChars="0"/>
        <w:rPr>
          <w:rFonts w:hint="default" w:ascii="Times New Roman" w:hAnsi="Times New Roman" w:eastAsia="方正仿宋_GBK" w:cs="Times New Roman"/>
          <w:b/>
          <w:color w:val="000000" w:themeColor="text1"/>
          <w:sz w:val="24"/>
          <w:szCs w:val="24"/>
          <w14:textFill>
            <w14:solidFill>
              <w14:schemeClr w14:val="tx1"/>
            </w14:solidFill>
          </w14:textFill>
        </w:rPr>
      </w:pPr>
    </w:p>
    <w:p w14:paraId="7816D798">
      <w:pPr>
        <w:ind w:right="2719" w:rightChars="1295" w:firstLine="4176" w:firstLineChars="1300"/>
        <w:jc w:val="left"/>
        <w:rPr>
          <w:rFonts w:hint="default" w:ascii="Times New Roman" w:hAnsi="Times New Roman" w:cs="Times New Roman"/>
          <w:b/>
          <w:color w:val="000000" w:themeColor="text1"/>
          <w:sz w:val="32"/>
          <w:szCs w:val="28"/>
          <w14:textFill>
            <w14:solidFill>
              <w14:schemeClr w14:val="tx1"/>
            </w14:solidFill>
          </w14:textFill>
        </w:rPr>
      </w:pPr>
    </w:p>
    <w:p w14:paraId="6F2BE14E">
      <w:pPr>
        <w:ind w:right="2719" w:rightChars="1295"/>
        <w:jc w:val="left"/>
        <w:rPr>
          <w:rFonts w:hint="default" w:ascii="Times New Roman" w:hAnsi="Times New Roman" w:cs="Times New Roman"/>
          <w:b/>
          <w:color w:val="000000" w:themeColor="text1"/>
          <w:sz w:val="32"/>
          <w:szCs w:val="28"/>
          <w14:textFill>
            <w14:solidFill>
              <w14:schemeClr w14:val="tx1"/>
            </w14:solidFill>
          </w14:textFill>
        </w:rPr>
      </w:pPr>
    </w:p>
    <w:p w14:paraId="0F903BB2">
      <w:pPr>
        <w:ind w:right="2719" w:rightChars="1295" w:firstLine="2730" w:firstLineChars="1300"/>
        <w:jc w:val="left"/>
        <w:rPr>
          <w:rFonts w:hint="default" w:ascii="Times New Roman" w:hAnsi="Times New Roman" w:cs="Times New Roman"/>
          <w:b/>
          <w:color w:val="000000" w:themeColor="text1"/>
          <w:sz w:val="32"/>
          <w:szCs w:val="28"/>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3" name="文本框 3"/>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15B669E3">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3360;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Ln1a2MEAgAADAQAAA4AAAAAAAAAAQAgAAAAJwEA&#10;AGRycy9lMm9Eb2MueG1sUEsFBgAAAAAGAAYAWQEAAJ0FAAAAAA==&#10;">
                <v:fill on="f" focussize="0,0"/>
                <v:stroke color="#FFFFFF" joinstyle="miter"/>
                <v:imagedata o:title=""/>
                <o:lock v:ext="edit" aspectratio="f"/>
                <v:textbox>
                  <w:txbxContent>
                    <w:p w14:paraId="15B669E3">
                      <w:pPr>
                        <w:rPr>
                          <w:rFonts w:hint="eastAsia"/>
                          <w:b/>
                          <w:bCs/>
                          <w:sz w:val="32"/>
                        </w:rPr>
                      </w:pPr>
                      <w:r>
                        <w:rPr>
                          <w:rFonts w:hint="eastAsia"/>
                          <w:b/>
                          <w:bCs/>
                          <w:sz w:val="32"/>
                        </w:rPr>
                        <w:t>制定</w:t>
                      </w:r>
                    </w:p>
                  </w:txbxContent>
                </v:textbox>
              </v:shape>
            </w:pict>
          </mc:Fallback>
        </mc:AlternateContent>
      </w:r>
      <w:r>
        <w:rPr>
          <w:rFonts w:hint="default" w:ascii="Times New Roman" w:hAnsi="Times New Roman" w:cs="Times New Roman"/>
          <w:b/>
          <w:color w:val="000000" w:themeColor="text1"/>
          <w:sz w:val="32"/>
          <w:szCs w:val="28"/>
          <w14:textFill>
            <w14:solidFill>
              <w14:schemeClr w14:val="tx1"/>
            </w14:solidFill>
          </w14:textFill>
        </w:rPr>
        <w:t>住</w:t>
      </w:r>
      <w:r>
        <w:rPr>
          <w:rFonts w:hint="default" w:ascii="Times New Roman" w:hAnsi="Times New Roman" w:cs="Times New Roman"/>
          <w:b/>
          <w:color w:val="000000" w:themeColor="text1"/>
          <w:sz w:val="32"/>
          <w:szCs w:val="28"/>
          <w:lang w:val="en-US" w:eastAsia="zh-CN"/>
          <w14:textFill>
            <w14:solidFill>
              <w14:schemeClr w14:val="tx1"/>
            </w14:solidFill>
          </w14:textFill>
        </w:rPr>
        <w:t xml:space="preserve"> </w:t>
      </w:r>
      <w:r>
        <w:rPr>
          <w:rFonts w:hint="default" w:ascii="Times New Roman" w:hAnsi="Times New Roman" w:cs="Times New Roman"/>
          <w:b/>
          <w:color w:val="000000" w:themeColor="text1"/>
          <w:sz w:val="32"/>
          <w:szCs w:val="28"/>
          <w14:textFill>
            <w14:solidFill>
              <w14:schemeClr w14:val="tx1"/>
            </w14:solidFill>
          </w14:textFill>
        </w:rPr>
        <w:t>房</w:t>
      </w:r>
      <w:r>
        <w:rPr>
          <w:rFonts w:hint="default" w:ascii="Times New Roman" w:hAnsi="Times New Roman" w:cs="Times New Roman"/>
          <w:b/>
          <w:color w:val="000000" w:themeColor="text1"/>
          <w:sz w:val="32"/>
          <w:szCs w:val="28"/>
          <w:lang w:val="en-US" w:eastAsia="zh-CN"/>
          <w14:textFill>
            <w14:solidFill>
              <w14:schemeClr w14:val="tx1"/>
            </w14:solidFill>
          </w14:textFill>
        </w:rPr>
        <w:t xml:space="preserve"> </w:t>
      </w:r>
      <w:r>
        <w:rPr>
          <w:rFonts w:hint="default" w:ascii="Times New Roman" w:hAnsi="Times New Roman" w:cs="Times New Roman"/>
          <w:b/>
          <w:color w:val="000000" w:themeColor="text1"/>
          <w:sz w:val="32"/>
          <w:szCs w:val="28"/>
          <w14:textFill>
            <w14:solidFill>
              <w14:schemeClr w14:val="tx1"/>
            </w14:solidFill>
          </w14:textFill>
        </w:rPr>
        <w:t>城</w:t>
      </w:r>
      <w:r>
        <w:rPr>
          <w:rFonts w:hint="default" w:ascii="Times New Roman" w:hAnsi="Times New Roman" w:cs="Times New Roman"/>
          <w:b/>
          <w:color w:val="000000" w:themeColor="text1"/>
          <w:sz w:val="32"/>
          <w:szCs w:val="28"/>
          <w:lang w:val="en-US" w:eastAsia="zh-CN"/>
          <w14:textFill>
            <w14:solidFill>
              <w14:schemeClr w14:val="tx1"/>
            </w14:solidFill>
          </w14:textFill>
        </w:rPr>
        <w:t xml:space="preserve"> </w:t>
      </w:r>
      <w:r>
        <w:rPr>
          <w:rFonts w:hint="default" w:ascii="Times New Roman" w:hAnsi="Times New Roman" w:cs="Times New Roman"/>
          <w:b/>
          <w:color w:val="000000" w:themeColor="text1"/>
          <w:sz w:val="32"/>
          <w:szCs w:val="28"/>
          <w14:textFill>
            <w14:solidFill>
              <w14:schemeClr w14:val="tx1"/>
            </w14:solidFill>
          </w14:textFill>
        </w:rPr>
        <w:t>乡</w:t>
      </w:r>
      <w:r>
        <w:rPr>
          <w:rFonts w:hint="default" w:ascii="Times New Roman" w:hAnsi="Times New Roman" w:cs="Times New Roman"/>
          <w:b/>
          <w:color w:val="000000" w:themeColor="text1"/>
          <w:sz w:val="32"/>
          <w:szCs w:val="28"/>
          <w:lang w:val="en-US" w:eastAsia="zh-CN"/>
          <w14:textFill>
            <w14:solidFill>
              <w14:schemeClr w14:val="tx1"/>
            </w14:solidFill>
          </w14:textFill>
        </w:rPr>
        <w:t xml:space="preserve"> </w:t>
      </w:r>
      <w:r>
        <w:rPr>
          <w:rFonts w:hint="default" w:ascii="Times New Roman" w:hAnsi="Times New Roman" w:cs="Times New Roman"/>
          <w:b/>
          <w:color w:val="000000" w:themeColor="text1"/>
          <w:sz w:val="32"/>
          <w:szCs w:val="28"/>
          <w14:textFill>
            <w14:solidFill>
              <w14:schemeClr w14:val="tx1"/>
            </w14:solidFill>
          </w14:textFill>
        </w:rPr>
        <w:t>建</w:t>
      </w:r>
      <w:r>
        <w:rPr>
          <w:rFonts w:hint="default" w:ascii="Times New Roman" w:hAnsi="Times New Roman" w:cs="Times New Roman"/>
          <w:b/>
          <w:color w:val="000000" w:themeColor="text1"/>
          <w:sz w:val="32"/>
          <w:szCs w:val="28"/>
          <w:lang w:val="en-US" w:eastAsia="zh-CN"/>
          <w14:textFill>
            <w14:solidFill>
              <w14:schemeClr w14:val="tx1"/>
            </w14:solidFill>
          </w14:textFill>
        </w:rPr>
        <w:t xml:space="preserve"> </w:t>
      </w:r>
      <w:r>
        <w:rPr>
          <w:rFonts w:hint="default" w:ascii="Times New Roman" w:hAnsi="Times New Roman" w:cs="Times New Roman"/>
          <w:b/>
          <w:color w:val="000000" w:themeColor="text1"/>
          <w:sz w:val="32"/>
          <w:szCs w:val="28"/>
          <w14:textFill>
            <w14:solidFill>
              <w14:schemeClr w14:val="tx1"/>
            </w14:solidFill>
          </w14:textFill>
        </w:rPr>
        <w:t>设</w:t>
      </w:r>
      <w:r>
        <w:rPr>
          <w:rFonts w:hint="default" w:ascii="Times New Roman" w:hAnsi="Times New Roman" w:cs="Times New Roman"/>
          <w:b/>
          <w:color w:val="000000" w:themeColor="text1"/>
          <w:sz w:val="32"/>
          <w:szCs w:val="28"/>
          <w:lang w:val="en-US" w:eastAsia="zh-CN"/>
          <w14:textFill>
            <w14:solidFill>
              <w14:schemeClr w14:val="tx1"/>
            </w14:solidFill>
          </w14:textFill>
        </w:rPr>
        <w:t xml:space="preserve"> </w:t>
      </w:r>
      <w:r>
        <w:rPr>
          <w:rFonts w:hint="default" w:ascii="Times New Roman" w:hAnsi="Times New Roman" w:cs="Times New Roman"/>
          <w:b/>
          <w:color w:val="000000" w:themeColor="text1"/>
          <w:sz w:val="32"/>
          <w:szCs w:val="28"/>
          <w14:textFill>
            <w14:solidFill>
              <w14:schemeClr w14:val="tx1"/>
            </w14:solidFill>
          </w14:textFill>
        </w:rPr>
        <w:t>部</w:t>
      </w:r>
    </w:p>
    <w:p w14:paraId="5F0B2005">
      <w:pPr>
        <w:ind w:right="2719" w:rightChars="1295" w:firstLine="2570" w:firstLineChars="800"/>
        <w:jc w:val="left"/>
        <w:rPr>
          <w:rFonts w:hint="default" w:ascii="Times New Roman" w:hAnsi="Times New Roman" w:cs="Times New Roman"/>
          <w:b/>
          <w:color w:val="000000" w:themeColor="text1"/>
          <w:sz w:val="32"/>
          <w:szCs w:val="28"/>
          <w14:textFill>
            <w14:solidFill>
              <w14:schemeClr w14:val="tx1"/>
            </w14:solidFill>
          </w14:textFill>
        </w:rPr>
      </w:pPr>
      <w:r>
        <w:rPr>
          <w:rFonts w:hint="default" w:ascii="Times New Roman" w:hAnsi="Times New Roman" w:cs="Times New Roman"/>
          <w:b/>
          <w:color w:val="000000" w:themeColor="text1"/>
          <w:sz w:val="32"/>
          <w:szCs w:val="28"/>
          <w14:textFill>
            <w14:solidFill>
              <w14:schemeClr w14:val="tx1"/>
            </w14:solidFill>
          </w14:textFill>
        </w:rPr>
        <w:t>国家工商行政管理总局</w:t>
      </w:r>
    </w:p>
    <w:p w14:paraId="0849D3DE">
      <w:pPr>
        <w:pStyle w:val="8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jc w:val="both"/>
        <w:textAlignment w:val="auto"/>
        <w:outlineLvl w:val="0"/>
        <w:rPr>
          <w:rFonts w:hint="default" w:ascii="Times New Roman" w:hAnsi="Times New Roman" w:eastAsia="方正仿宋_GBK" w:cs="Times New Roman"/>
          <w:color w:val="000000" w:themeColor="text1"/>
          <w:sz w:val="28"/>
          <w:szCs w:val="28"/>
          <w:lang w:val="zh-CN"/>
          <w14:textFill>
            <w14:solidFill>
              <w14:schemeClr w14:val="tx1"/>
            </w14:solidFill>
          </w14:textFill>
        </w:rPr>
      </w:pPr>
      <w:r>
        <w:rPr>
          <w:rFonts w:hint="default" w:ascii="Times New Roman" w:hAnsi="Times New Roman" w:eastAsia="方正仿宋_GBK" w:cs="Times New Roman"/>
          <w:b w:val="0"/>
          <w:color w:val="000000" w:themeColor="text1"/>
          <w:sz w:val="24"/>
          <w:szCs w:val="24"/>
          <w14:textFill>
            <w14:solidFill>
              <w14:schemeClr w14:val="tx1"/>
            </w14:solidFill>
          </w14:textFill>
        </w:rPr>
        <w:br w:type="page"/>
      </w:r>
      <w:bookmarkStart w:id="358" w:name="_Toc296503025"/>
      <w:bookmarkStart w:id="359" w:name="_Toc296890982"/>
      <w:r>
        <w:rPr>
          <w:rFonts w:hint="default" w:ascii="Times New Roman" w:hAnsi="Times New Roman" w:eastAsia="方正仿宋_GBK" w:cs="Times New Roman"/>
          <w:color w:val="000000" w:themeColor="text1"/>
          <w:sz w:val="28"/>
          <w:szCs w:val="28"/>
          <w:lang w:val="zh-CN"/>
          <w14:textFill>
            <w14:solidFill>
              <w14:schemeClr w14:val="tx1"/>
            </w14:solidFill>
          </w14:textFill>
        </w:rPr>
        <w:t>说  明</w:t>
      </w:r>
    </w:p>
    <w:p w14:paraId="38A35929">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为了指导建设工程施工合同当事人的签约行为，维护合同当事人的合法权益，依据《中华人民共和国合同法</w:t>
      </w:r>
      <w:r>
        <w:rPr>
          <w:rFonts w:hint="default" w:ascii="Times New Roman" w:hAnsi="Times New Roman" w:eastAsia="方正仿宋_GBK"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K" w:cs="Times New Roman"/>
          <w:color w:val="000000" w:themeColor="text1"/>
          <w:sz w:val="28"/>
          <w:szCs w:val="28"/>
          <w14:textFill>
            <w14:solidFill>
              <w14:schemeClr w14:val="tx1"/>
            </w14:solidFill>
          </w14:textFill>
        </w:rPr>
        <w:t>中华人民共和国建筑法</w:t>
      </w:r>
      <w:r>
        <w:rPr>
          <w:rFonts w:hint="default" w:ascii="Times New Roman" w:hAnsi="Times New Roman" w:eastAsia="方正仿宋_GBK"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K" w:cs="Times New Roman"/>
          <w:color w:val="000000" w:themeColor="text1"/>
          <w:sz w:val="28"/>
          <w:szCs w:val="28"/>
          <w14:textFill>
            <w14:solidFill>
              <w14:schemeClr w14:val="tx1"/>
            </w14:solidFill>
          </w14:textFill>
        </w:rPr>
        <w:t>中华人民共和国招标投标法》以及相关法律法规，住</w:t>
      </w:r>
      <w:r>
        <w:rPr>
          <w:rFonts w:hint="default" w:ascii="Times New Roman" w:hAnsi="Times New Roman" w:eastAsia="方正仿宋_GBK" w:cs="Times New Roman"/>
          <w:color w:val="000000" w:themeColor="text1"/>
          <w:sz w:val="28"/>
          <w:szCs w:val="28"/>
          <w:lang w:eastAsia="zh-CN"/>
          <w14:textFill>
            <w14:solidFill>
              <w14:schemeClr w14:val="tx1"/>
            </w14:solidFill>
          </w14:textFill>
        </w:rPr>
        <w:t>房和</w:t>
      </w:r>
      <w:r>
        <w:rPr>
          <w:rFonts w:hint="default" w:ascii="Times New Roman" w:hAnsi="Times New Roman" w:eastAsia="方正仿宋_GBK" w:cs="Times New Roman"/>
          <w:color w:val="000000" w:themeColor="text1"/>
          <w:sz w:val="28"/>
          <w:szCs w:val="28"/>
          <w14:textFill>
            <w14:solidFill>
              <w14:schemeClr w14:val="tx1"/>
            </w14:solidFill>
          </w14:textFill>
        </w:rPr>
        <w:t>城乡建设部、国家工商行政管理总局对《建设工程施工合同（示范文本）》（GF-</w:t>
      </w:r>
      <w:r>
        <w:rPr>
          <w:rFonts w:hint="default" w:ascii="Times New Roman" w:hAnsi="Times New Roman" w:eastAsia="方正仿宋_GBK" w:cs="Times New Roman"/>
          <w:color w:val="000000" w:themeColor="text1"/>
          <w:sz w:val="28"/>
          <w:szCs w:val="28"/>
          <w:lang w:val="en-US" w:eastAsia="zh-CN"/>
          <w14:textFill>
            <w14:solidFill>
              <w14:schemeClr w14:val="tx1"/>
            </w14:solidFill>
          </w14:textFill>
        </w:rPr>
        <w:t>2013</w:t>
      </w:r>
      <w:r>
        <w:rPr>
          <w:rFonts w:hint="default" w:ascii="Times New Roman" w:hAnsi="Times New Roman" w:eastAsia="方正仿宋_GBK" w:cs="Times New Roman"/>
          <w:color w:val="000000" w:themeColor="text1"/>
          <w:sz w:val="28"/>
          <w:szCs w:val="28"/>
          <w14:textFill>
            <w14:solidFill>
              <w14:schemeClr w14:val="tx1"/>
            </w14:solidFill>
          </w14:textFill>
        </w:rPr>
        <w:t>-0201）进行了修订，制定了《建设工程施工合同（示范文本）》（GF-201</w:t>
      </w:r>
      <w:r>
        <w:rPr>
          <w:rFonts w:hint="default" w:ascii="Times New Roman" w:hAnsi="Times New Roman" w:eastAsia="方正仿宋_GBK" w:cs="Times New Roman"/>
          <w:color w:val="000000" w:themeColor="text1"/>
          <w:sz w:val="28"/>
          <w:szCs w:val="28"/>
          <w:lang w:val="en-US" w:eastAsia="zh-CN"/>
          <w14:textFill>
            <w14:solidFill>
              <w14:schemeClr w14:val="tx1"/>
            </w14:solidFill>
          </w14:textFill>
        </w:rPr>
        <w:t>7</w:t>
      </w:r>
      <w:r>
        <w:rPr>
          <w:rFonts w:hint="default" w:ascii="Times New Roman" w:hAnsi="Times New Roman" w:eastAsia="方正仿宋_GBK" w:cs="Times New Roman"/>
          <w:color w:val="000000" w:themeColor="text1"/>
          <w:sz w:val="28"/>
          <w:szCs w:val="28"/>
          <w14:textFill>
            <w14:solidFill>
              <w14:schemeClr w14:val="tx1"/>
            </w14:solidFill>
          </w14:textFill>
        </w:rPr>
        <w:t>-0201）（以下简称《示范文本》）。为了便于合同当事人使用《示范文本》，现就有关问题说明如下：</w:t>
      </w:r>
    </w:p>
    <w:p w14:paraId="340D214B">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outlineLvl w:val="0"/>
        <w:rPr>
          <w:rFonts w:hint="default" w:ascii="Times New Roman" w:hAnsi="Times New Roman" w:eastAsia="方正仿宋_GBK" w:cs="Times New Roman"/>
          <w:bCs/>
          <w:color w:val="000000" w:themeColor="text1"/>
          <w:sz w:val="28"/>
          <w:szCs w:val="28"/>
          <w14:textFill>
            <w14:solidFill>
              <w14:schemeClr w14:val="tx1"/>
            </w14:solidFill>
          </w14:textFill>
        </w:rPr>
      </w:pPr>
      <w:r>
        <w:rPr>
          <w:rFonts w:hint="default" w:ascii="Times New Roman" w:hAnsi="Times New Roman" w:eastAsia="方正仿宋_GBK" w:cs="Times New Roman"/>
          <w:bCs/>
          <w:color w:val="000000" w:themeColor="text1"/>
          <w:sz w:val="28"/>
          <w:szCs w:val="28"/>
          <w14:textFill>
            <w14:solidFill>
              <w14:schemeClr w14:val="tx1"/>
            </w14:solidFill>
          </w14:textFill>
        </w:rPr>
        <w:t>一、《示范文本》的组成</w:t>
      </w:r>
    </w:p>
    <w:p w14:paraId="79D6ADA1">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《示范文本》由合同协议书、通用合同条款和专用合同条款三部分组成。</w:t>
      </w:r>
    </w:p>
    <w:p w14:paraId="027AEDFE">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outlineLvl w:val="0"/>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（一）合同协议书</w:t>
      </w:r>
    </w:p>
    <w:p w14:paraId="7DDDB724">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21881956">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outlineLvl w:val="0"/>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（二）通用合同条款</w:t>
      </w:r>
    </w:p>
    <w:p w14:paraId="460E3103">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通用合同条款是合同当事人根据《中华人民共和国建筑法</w:t>
      </w:r>
      <w:r>
        <w:rPr>
          <w:rFonts w:hint="default" w:ascii="Times New Roman" w:hAnsi="Times New Roman" w:eastAsia="方正仿宋_GBK"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K" w:cs="Times New Roman"/>
          <w:color w:val="000000" w:themeColor="text1"/>
          <w:sz w:val="28"/>
          <w:szCs w:val="28"/>
          <w14:textFill>
            <w14:solidFill>
              <w14:schemeClr w14:val="tx1"/>
            </w14:solidFill>
          </w14:textFill>
        </w:rPr>
        <w:t>中华人民共和国合同法》等法律法规的规定，就工程建设的实施及相关事项，对合同当事人的权利义务作出的原则性约定。</w:t>
      </w:r>
    </w:p>
    <w:p w14:paraId="7E5724AB">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01588D70">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outlineLvl w:val="0"/>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（三）专用合同条款</w:t>
      </w:r>
    </w:p>
    <w:p w14:paraId="3DF90990">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3DC5BE0F">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1</w:t>
      </w:r>
      <w:r>
        <w:rPr>
          <w:rFonts w:hint="default" w:ascii="Times New Roman" w:hAnsi="Times New Roman" w:eastAsia="方正仿宋_GBK"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K" w:cs="Times New Roman"/>
          <w:color w:val="000000" w:themeColor="text1"/>
          <w:sz w:val="28"/>
          <w:szCs w:val="28"/>
          <w14:textFill>
            <w14:solidFill>
              <w14:schemeClr w14:val="tx1"/>
            </w14:solidFill>
          </w14:textFill>
        </w:rPr>
        <w:t>专用合同条款的编号应与相应的通用合同条款的编号一致；</w:t>
      </w:r>
    </w:p>
    <w:p w14:paraId="17EB3E71">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2</w:t>
      </w:r>
      <w:r>
        <w:rPr>
          <w:rFonts w:hint="default" w:ascii="Times New Roman" w:hAnsi="Times New Roman" w:eastAsia="方正仿宋_GBK"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K" w:cs="Times New Roman"/>
          <w:color w:val="000000" w:themeColor="text1"/>
          <w:sz w:val="28"/>
          <w:szCs w:val="28"/>
          <w14:textFill>
            <w14:solidFill>
              <w14:schemeClr w14:val="tx1"/>
            </w14:solidFill>
          </w14:textFill>
        </w:rPr>
        <w:t>合同当事人可以通过对专用合同条款的修改，满足具体建设工程的特殊要求，避免直接修改通用合同条款；</w:t>
      </w:r>
    </w:p>
    <w:p w14:paraId="4D1D3EBD">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default" w:ascii="Times New Roman" w:hAnsi="Times New Roman" w:eastAsia="方正仿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8"/>
          <w:szCs w:val="28"/>
          <w14:textFill>
            <w14:solidFill>
              <w14:schemeClr w14:val="tx1"/>
            </w14:solidFill>
          </w14:textFill>
        </w:rPr>
        <w:t>3</w:t>
      </w:r>
      <w:r>
        <w:rPr>
          <w:rFonts w:hint="default" w:ascii="Times New Roman" w:hAnsi="Times New Roman" w:eastAsia="方正仿宋_GBK"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K" w:cs="Times New Roman"/>
          <w:color w:val="000000" w:themeColor="text1"/>
          <w:sz w:val="28"/>
          <w:szCs w:val="28"/>
          <w14:textFill>
            <w14:solidFill>
              <w14:schemeClr w14:val="tx1"/>
            </w14:solidFill>
          </w14:textFill>
        </w:rPr>
        <w:t>在专用合同条款中有横道线的地方，合同当事人可针对相应的通用合同条款进行细化、完善、补充、修改或另行约定；如无细化、完善、补充、修改或另行约定，则填写“无”或划</w:t>
      </w:r>
      <w:r>
        <w:rPr>
          <w:rFonts w:hint="default" w:ascii="Times New Roman" w:hAnsi="Times New Roman" w:eastAsia="方正仿宋_GBK"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K" w:cs="Times New Roman"/>
          <w:color w:val="000000" w:themeColor="text1"/>
          <w:sz w:val="28"/>
          <w:szCs w:val="28"/>
          <w14:textFill>
            <w14:solidFill>
              <w14:schemeClr w14:val="tx1"/>
            </w14:solidFill>
          </w14:textFill>
        </w:rPr>
        <w:t>”。</w:t>
      </w:r>
    </w:p>
    <w:p w14:paraId="16B2C1F5">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outlineLvl w:val="0"/>
        <w:rPr>
          <w:rFonts w:hint="default" w:ascii="Times New Roman" w:hAnsi="Times New Roman" w:eastAsia="方正仿宋_GBK" w:cs="Times New Roman"/>
          <w:b/>
          <w:color w:val="000000" w:themeColor="text1"/>
          <w:sz w:val="28"/>
          <w:szCs w:val="28"/>
          <w14:textFill>
            <w14:solidFill>
              <w14:schemeClr w14:val="tx1"/>
            </w14:solidFill>
          </w14:textFill>
        </w:rPr>
      </w:pPr>
      <w:r>
        <w:rPr>
          <w:rFonts w:hint="default" w:ascii="Times New Roman" w:hAnsi="Times New Roman" w:eastAsia="方正仿宋_GBK" w:cs="Times New Roman"/>
          <w:bCs/>
          <w:color w:val="000000" w:themeColor="text1"/>
          <w:sz w:val="28"/>
          <w:szCs w:val="28"/>
          <w14:textFill>
            <w14:solidFill>
              <w14:schemeClr w14:val="tx1"/>
            </w14:solidFill>
          </w14:textFill>
        </w:rPr>
        <w:t>二、《示范文本》的性质和适用范围</w:t>
      </w:r>
    </w:p>
    <w:p w14:paraId="05A546D0">
      <w:pPr>
        <w:pageBreakBefore w:val="0"/>
        <w:widowControl w:val="0"/>
        <w:kinsoku/>
        <w:wordWrap/>
        <w:overflowPunct/>
        <w:topLinePunct w:val="0"/>
        <w:autoSpaceDE/>
        <w:autoSpaceDN/>
        <w:bidi w:val="0"/>
        <w:adjustRightInd/>
        <w:snapToGrid/>
        <w:spacing w:line="400" w:lineRule="exact"/>
        <w:ind w:left="0" w:leftChars="0" w:right="0" w:rightChars="0" w:firstLine="560" w:firstLineChars="200"/>
        <w:textAlignment w:val="auto"/>
        <w:rPr>
          <w:rFonts w:hint="default" w:ascii="Times New Roman" w:hAnsi="Times New Roman" w:eastAsia="方正仿宋_GBK" w:cs="Times New Roman"/>
          <w:color w:val="000000" w:themeColor="text1"/>
          <w:sz w:val="28"/>
          <w:szCs w:val="28"/>
          <w14:textFill>
            <w14:solidFill>
              <w14:schemeClr w14:val="tx1"/>
            </w14:solidFill>
          </w14:textFill>
        </w:rPr>
        <w:sectPr>
          <w:footerReference r:id="rId8" w:type="first"/>
          <w:footerReference r:id="rId7" w:type="default"/>
          <w:pgSz w:w="11906" w:h="16838"/>
          <w:pgMar w:top="1418" w:right="1555" w:bottom="1418" w:left="1531" w:header="851" w:footer="992" w:gutter="0"/>
          <w:pgNumType w:fmt="decimal"/>
          <w:cols w:space="720" w:num="1"/>
          <w:titlePg/>
          <w:docGrid w:type="lines" w:linePitch="312" w:charSpace="0"/>
        </w:sectPr>
      </w:pPr>
      <w:r>
        <w:rPr>
          <w:rFonts w:hint="default" w:ascii="Times New Roman" w:hAnsi="Times New Roman" w:eastAsia="方正仿宋_GBK" w:cs="Times New Roman"/>
          <w:color w:val="000000" w:themeColor="text1"/>
          <w:sz w:val="28"/>
          <w:szCs w:val="28"/>
          <w14:textFill>
            <w14:solidFill>
              <w14:schemeClr w14:val="tx1"/>
            </w14:solidFill>
          </w14:textFill>
        </w:rPr>
        <w:t>《示范文本》为非强制性使用文本。《示范文本》适用于房屋建筑工程、土木工程、线路管道和设备安装工程、装修工程等建设工程的施工承发包活动</w:t>
      </w:r>
      <w:r>
        <w:rPr>
          <w:rFonts w:hint="default" w:ascii="Times New Roman" w:hAnsi="Times New Roman" w:eastAsia="方正仿宋_GBK" w:cs="Times New Roman"/>
          <w:color w:val="000000" w:themeColor="text1"/>
          <w:sz w:val="28"/>
          <w:szCs w:val="28"/>
          <w:lang w:eastAsia="zh-CN"/>
          <w14:textFill>
            <w14:solidFill>
              <w14:schemeClr w14:val="tx1"/>
            </w14:solidFill>
          </w14:textFill>
        </w:rPr>
        <w:t>，</w:t>
      </w:r>
      <w:r>
        <w:rPr>
          <w:rFonts w:hint="default" w:ascii="Times New Roman" w:hAnsi="Times New Roman" w:eastAsia="方正仿宋_GBK" w:cs="Times New Roman"/>
          <w:color w:val="000000" w:themeColor="text1"/>
          <w:sz w:val="28"/>
          <w:szCs w:val="28"/>
          <w14:textFill>
            <w14:solidFill>
              <w14:schemeClr w14:val="tx1"/>
            </w14:solidFill>
          </w14:textFill>
        </w:rPr>
        <w:t>合同当事人可结合建设工程具体情况，根据《示范文本》订立合同，并按照法律法规规定和合同约定承担相应的法律责任及合同权利义务。</w:t>
      </w:r>
      <w:bookmarkStart w:id="360" w:name="_Toc351203480"/>
    </w:p>
    <w:p w14:paraId="29DC15D1">
      <w:pPr>
        <w:pStyle w:val="4"/>
        <w:pageBreakBefore w:val="0"/>
        <w:widowControl w:val="0"/>
        <w:numPr>
          <w:ilvl w:val="0"/>
          <w:numId w:val="1"/>
        </w:numPr>
        <w:kinsoku/>
        <w:wordWrap/>
        <w:overflowPunct/>
        <w:topLinePunct w:val="0"/>
        <w:bidi w:val="0"/>
        <w:snapToGrid/>
        <w:spacing w:before="0" w:beforeLines="0" w:after="0" w:afterLines="0" w:line="400" w:lineRule="exact"/>
        <w:ind w:right="0" w:rightChars="0" w:firstLine="3210" w:firstLineChars="1142"/>
        <w:jc w:val="both"/>
        <w:rPr>
          <w:rFonts w:hint="default" w:ascii="Times New Roman" w:hAnsi="Times New Roman" w:eastAsia="方正小标宋_GBK" w:cs="Times New Roman"/>
          <w:color w:val="000000" w:themeColor="text1"/>
          <w:sz w:val="28"/>
          <w:szCs w:val="28"/>
          <w14:textFill>
            <w14:solidFill>
              <w14:schemeClr w14:val="tx1"/>
            </w14:solidFill>
          </w14:textFill>
        </w:rPr>
      </w:pPr>
      <w:r>
        <w:rPr>
          <w:rFonts w:hint="default" w:ascii="Times New Roman" w:hAnsi="Times New Roman" w:eastAsia="方正小标宋_GBK" w:cs="Times New Roman"/>
          <w:color w:val="000000" w:themeColor="text1"/>
          <w:sz w:val="28"/>
          <w:szCs w:val="28"/>
          <w14:textFill>
            <w14:solidFill>
              <w14:schemeClr w14:val="tx1"/>
            </w14:solidFill>
          </w14:textFill>
        </w:rPr>
        <w:t>合同协议书</w:t>
      </w:r>
      <w:bookmarkEnd w:id="358"/>
      <w:bookmarkEnd w:id="359"/>
      <w:bookmarkEnd w:id="360"/>
    </w:p>
    <w:p w14:paraId="7F9068C3">
      <w:pPr>
        <w:numPr>
          <w:ilvl w:val="0"/>
          <w:numId w:val="0"/>
        </w:numPr>
        <w:rPr>
          <w:rFonts w:hint="default" w:ascii="Times New Roman" w:hAnsi="Times New Roman" w:cs="Times New Roman"/>
          <w:color w:val="000000" w:themeColor="text1"/>
          <w14:textFill>
            <w14:solidFill>
              <w14:schemeClr w14:val="tx1"/>
            </w14:solidFill>
          </w14:textFill>
        </w:rPr>
      </w:pPr>
    </w:p>
    <w:p w14:paraId="34CCB3E1">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textAlignment w:val="auto"/>
        <w:rPr>
          <w:rFonts w:hint="default" w:ascii="Times New Roman" w:hAnsi="Times New Roman" w:eastAsia="方正仿宋_GBK" w:cs="Times New Roman"/>
          <w:b/>
          <w:color w:val="000000" w:themeColor="text1"/>
          <w:sz w:val="24"/>
          <w:szCs w:val="24"/>
          <w:u w:val="single"/>
          <w:lang w:val="en-US" w:eastAsia="zh-CN"/>
          <w14:textFill>
            <w14:solidFill>
              <w14:schemeClr w14:val="tx1"/>
            </w14:solidFill>
          </w14:textFill>
        </w:rPr>
      </w:pPr>
      <w:r>
        <w:rPr>
          <w:rFonts w:hint="default" w:ascii="Times New Roman" w:hAnsi="Times New Roman" w:eastAsia="方正仿宋_GBK" w:cs="Times New Roman"/>
          <w:b/>
          <w:color w:val="000000" w:themeColor="text1"/>
          <w:sz w:val="24"/>
          <w:szCs w:val="24"/>
          <w14:textFill>
            <w14:solidFill>
              <w14:schemeClr w14:val="tx1"/>
            </w14:solidFill>
          </w14:textFill>
        </w:rPr>
        <w:t>发包人（全称）：</w:t>
      </w:r>
      <w:r>
        <w:rPr>
          <w:rFonts w:hint="default" w:ascii="Times New Roman" w:hAnsi="Times New Roman" w:eastAsia="方正仿宋_GBK" w:cs="Times New Roman"/>
          <w:b/>
          <w:color w:val="000000" w:themeColor="text1"/>
          <w:sz w:val="24"/>
          <w:szCs w:val="24"/>
          <w:u w:val="single"/>
          <w:lang w:val="en-US" w:eastAsia="zh-CN"/>
          <w14:textFill>
            <w14:solidFill>
              <w14:schemeClr w14:val="tx1"/>
            </w14:solidFill>
          </w14:textFill>
        </w:rPr>
        <w:t xml:space="preserve">                    </w:t>
      </w:r>
    </w:p>
    <w:p w14:paraId="387BC92B">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textAlignment w:val="auto"/>
        <w:rPr>
          <w:rFonts w:hint="default" w:ascii="Times New Roman" w:hAnsi="Times New Roman" w:eastAsia="方正仿宋_GBK" w:cs="Times New Roman"/>
          <w:b/>
          <w:color w:val="000000" w:themeColor="text1"/>
          <w:sz w:val="24"/>
          <w:szCs w:val="24"/>
          <w:u w:val="single"/>
          <w:lang w:val="en-US" w:eastAsia="zh-CN"/>
          <w14:textFill>
            <w14:solidFill>
              <w14:schemeClr w14:val="tx1"/>
            </w14:solidFill>
          </w14:textFill>
        </w:rPr>
      </w:pPr>
      <w:r>
        <w:rPr>
          <w:rFonts w:hint="default" w:ascii="Times New Roman" w:hAnsi="Times New Roman" w:eastAsia="方正仿宋_GBK" w:cs="Times New Roman"/>
          <w:b/>
          <w:color w:val="000000" w:themeColor="text1"/>
          <w:sz w:val="24"/>
          <w:szCs w:val="24"/>
          <w14:textFill>
            <w14:solidFill>
              <w14:schemeClr w14:val="tx1"/>
            </w14:solidFill>
          </w14:textFill>
        </w:rPr>
        <w:t>承包人（全称）：</w:t>
      </w:r>
      <w:r>
        <w:rPr>
          <w:rFonts w:hint="default" w:ascii="Times New Roman" w:hAnsi="Times New Roman" w:eastAsia="方正仿宋_GBK" w:cs="Times New Roman"/>
          <w:b/>
          <w:color w:val="000000" w:themeColor="text1"/>
          <w:sz w:val="24"/>
          <w:szCs w:val="24"/>
          <w:u w:val="single"/>
          <w:lang w:val="en-US" w:eastAsia="zh-CN"/>
          <w14:textFill>
            <w14:solidFill>
              <w14:schemeClr w14:val="tx1"/>
            </w14:solidFill>
          </w14:textFill>
        </w:rPr>
        <w:t xml:space="preserve">                    </w:t>
      </w:r>
    </w:p>
    <w:p w14:paraId="75797600">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80" w:firstLineChars="20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根据《中华人民共和国合同法》、《中华人民共和国建筑法》及有关法律规定，遵循平等、自愿、公平和诚实信用的原则，双方就</w:t>
      </w:r>
      <w:r>
        <w:rPr>
          <w:rFonts w:hint="eastAsia" w:ascii="Times New Roman" w:hAnsi="Times New Roman" w:eastAsia="方正仿宋_GBK" w:cs="Times New Roman"/>
          <w:color w:val="000000" w:themeColor="text1"/>
          <w:sz w:val="24"/>
          <w:szCs w:val="24"/>
          <w:u w:val="single"/>
          <w:lang w:val="en-US" w:eastAsia="zh-CN"/>
          <w14:textFill>
            <w14:solidFill>
              <w14:schemeClr w14:val="tx1"/>
            </w14:solidFill>
          </w14:textFill>
        </w:rPr>
        <w:t>2026年勐海县勐阿镇南朗河村委会龙竹蓬村小组农村公益事业建设财政奖补项目（普惠）</w:t>
      </w:r>
      <w:r>
        <w:rPr>
          <w:rFonts w:hint="eastAsia" w:ascii="Times New Roman" w:hAnsi="Times New Roman" w:eastAsia="方正仿宋_GBK" w:cs="Times New Roman"/>
          <w:color w:val="000000" w:themeColor="text1"/>
          <w:sz w:val="24"/>
          <w:szCs w:val="24"/>
          <w:u w:val="none"/>
          <w:lang w:val="en-US" w:eastAsia="zh-CN"/>
          <w14:textFill>
            <w14:solidFill>
              <w14:schemeClr w14:val="tx1"/>
            </w14:solidFill>
          </w14:textFill>
        </w:rPr>
        <w:t>工程</w:t>
      </w:r>
      <w:r>
        <w:rPr>
          <w:rFonts w:hint="default" w:ascii="Times New Roman" w:hAnsi="Times New Roman" w:eastAsia="方正仿宋_GBK" w:cs="Times New Roman"/>
          <w:color w:val="000000" w:themeColor="text1"/>
          <w:sz w:val="24"/>
          <w:szCs w:val="24"/>
          <w14:textFill>
            <w14:solidFill>
              <w14:schemeClr w14:val="tx1"/>
            </w14:solidFill>
          </w14:textFill>
        </w:rPr>
        <w:t>施工及有关事项协商一致，共同达成如下协议：</w:t>
      </w:r>
    </w:p>
    <w:p w14:paraId="0D6E210D">
      <w:pPr>
        <w:pStyle w:val="5"/>
        <w:keepNext w:val="0"/>
        <w:keepLines w:val="0"/>
        <w:pageBreakBefore w:val="0"/>
        <w:widowControl w:val="0"/>
        <w:numPr>
          <w:ilvl w:val="3"/>
          <w:numId w:val="0"/>
        </w:numPr>
        <w:kinsoku/>
        <w:wordWrap/>
        <w:overflowPunct/>
        <w:topLinePunct w:val="0"/>
        <w:autoSpaceDE/>
        <w:autoSpaceDN/>
        <w:bidi w:val="0"/>
        <w:adjustRightInd/>
        <w:snapToGrid/>
        <w:spacing w:before="0" w:beforeLines="0" w:after="0" w:afterLines="0" w:line="380" w:lineRule="exact"/>
        <w:ind w:left="-1078" w:leftChars="0" w:right="0" w:rightChars="0"/>
        <w:textAlignment w:val="auto"/>
        <w:rPr>
          <w:rFonts w:hint="default" w:ascii="Times New Roman" w:hAnsi="Times New Roman" w:eastAsia="方正仿宋_GBK" w:cs="Times New Roman"/>
          <w:bCs w:val="0"/>
          <w:color w:val="000000" w:themeColor="text1"/>
          <w:sz w:val="24"/>
          <w:szCs w:val="24"/>
          <w14:textFill>
            <w14:solidFill>
              <w14:schemeClr w14:val="tx1"/>
            </w14:solidFill>
          </w14:textFill>
        </w:rPr>
      </w:pPr>
      <w:r>
        <w:rPr>
          <w:rFonts w:hint="default" w:ascii="Times New Roman" w:hAnsi="Times New Roman" w:eastAsia="方正仿宋_GBK" w:cs="Times New Roman"/>
          <w:bCs w:val="0"/>
          <w:color w:val="000000" w:themeColor="text1"/>
          <w:sz w:val="24"/>
          <w:szCs w:val="24"/>
          <w14:textFill>
            <w14:solidFill>
              <w14:schemeClr w14:val="tx1"/>
            </w14:solidFill>
          </w14:textFill>
        </w:rPr>
        <w:t xml:space="preserve">   </w:t>
      </w:r>
      <w:r>
        <w:rPr>
          <w:rFonts w:hint="default" w:ascii="Times New Roman" w:hAnsi="Times New Roman" w:eastAsia="方正小标宋_GBK" w:cs="Times New Roman"/>
          <w:b w:val="0"/>
          <w:color w:val="000000" w:themeColor="text1"/>
          <w:sz w:val="24"/>
          <w:szCs w:val="24"/>
          <w14:textFill>
            <w14:solidFill>
              <w14:schemeClr w14:val="tx1"/>
            </w14:solidFill>
          </w14:textFill>
        </w:rPr>
        <w:t xml:space="preserve"> </w:t>
      </w:r>
      <w:bookmarkStart w:id="361" w:name="_Toc351203481"/>
      <w:r>
        <w:rPr>
          <w:rFonts w:hint="default" w:ascii="Times New Roman" w:hAnsi="Times New Roman" w:eastAsia="方正小标宋_GBK" w:cs="Times New Roman"/>
          <w:b w:val="0"/>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小标宋_GBK" w:cs="Times New Roman"/>
          <w:b w:val="0"/>
          <w:color w:val="000000" w:themeColor="text1"/>
          <w:sz w:val="24"/>
          <w:szCs w:val="24"/>
          <w14:textFill>
            <w14:solidFill>
              <w14:schemeClr w14:val="tx1"/>
            </w14:solidFill>
          </w14:textFill>
        </w:rPr>
        <w:t>一、工程概况</w:t>
      </w:r>
      <w:bookmarkEnd w:id="361"/>
    </w:p>
    <w:p w14:paraId="4BBDBA76">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70" w:firstLineChars="196"/>
        <w:textAlignment w:val="auto"/>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1.工程名称</w:t>
      </w:r>
      <w:r>
        <w:rPr>
          <w:rFonts w:hint="default" w:ascii="Times New Roman" w:hAnsi="Times New Roman" w:eastAsia="方正仿宋_GBK" w:cs="Times New Roman"/>
          <w:color w:val="000000" w:themeColor="text1"/>
          <w:sz w:val="24"/>
          <w:szCs w:val="24"/>
          <w14:textFill>
            <w14:solidFill>
              <w14:schemeClr w14:val="tx1"/>
            </w14:solidFill>
          </w14:textFill>
        </w:rPr>
        <w:t>：</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7B5BDF0">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70" w:firstLineChars="196"/>
        <w:textAlignment w:val="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2.工程地点：</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EDB7D05">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70" w:firstLineChars="196"/>
        <w:textAlignment w:val="auto"/>
        <w:rPr>
          <w:rFonts w:hint="default" w:ascii="Times New Roman" w:hAnsi="Times New Roman" w:eastAsia="方正仿宋_GBK" w:cs="Times New Roman"/>
          <w:bCs/>
          <w:color w:val="000000" w:themeColor="text1"/>
          <w:sz w:val="24"/>
          <w:szCs w:val="24"/>
          <w:u w:val="none"/>
          <w:lang w:val="en-US" w:eastAsia="zh-CN"/>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3.工程立项批准文号：</w:t>
      </w:r>
      <w:r>
        <w:rPr>
          <w:rFonts w:hint="eastAsia" w:eastAsia="方正仿宋_GBK" w:cs="Times New Roman"/>
          <w:bCs/>
          <w:color w:val="000000" w:themeColor="text1"/>
          <w:sz w:val="24"/>
          <w:szCs w:val="24"/>
          <w:u w:val="single"/>
          <w:lang w:val="en-US" w:eastAsia="zh-CN"/>
          <w14:textFill>
            <w14:solidFill>
              <w14:schemeClr w14:val="tx1"/>
            </w14:solidFill>
          </w14:textFill>
        </w:rPr>
        <w:t xml:space="preserve">                  </w:t>
      </w:r>
      <w:r>
        <w:rPr>
          <w:rFonts w:hint="eastAsia" w:eastAsia="方正仿宋_GBK" w:cs="Times New Roman"/>
          <w:bCs/>
          <w:color w:val="000000" w:themeColor="text1"/>
          <w:sz w:val="24"/>
          <w:szCs w:val="24"/>
          <w:u w:val="none"/>
          <w:lang w:val="en-US" w:eastAsia="zh-CN"/>
          <w14:textFill>
            <w14:solidFill>
              <w14:schemeClr w14:val="tx1"/>
            </w14:solidFill>
          </w14:textFill>
        </w:rPr>
        <w:t>。</w:t>
      </w:r>
    </w:p>
    <w:p w14:paraId="2E59107F">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70" w:firstLineChars="196"/>
        <w:textAlignment w:val="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4.资金来源</w:t>
      </w:r>
      <w:r>
        <w:rPr>
          <w:rFonts w:hint="default" w:ascii="Times New Roman" w:hAnsi="Times New Roman" w:eastAsia="方正仿宋_GBK" w:cs="Times New Roman"/>
          <w:bCs/>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bCs/>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14:textFill>
            <w14:solidFill>
              <w14:schemeClr w14:val="tx1"/>
            </w14:solidFill>
          </w14:textFill>
        </w:rPr>
        <w:t>。</w:t>
      </w:r>
    </w:p>
    <w:p w14:paraId="4933FC88">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70" w:firstLineChars="196"/>
        <w:textAlignment w:val="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5.工程内容：</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以工程量清单为准</w:t>
      </w:r>
      <w:r>
        <w:rPr>
          <w:rFonts w:hint="default" w:ascii="Times New Roman" w:hAnsi="Times New Roman" w:eastAsia="方正仿宋_GBK" w:cs="Times New Roman"/>
          <w:bCs/>
          <w:color w:val="000000" w:themeColor="text1"/>
          <w:sz w:val="24"/>
          <w:szCs w:val="24"/>
          <w14:textFill>
            <w14:solidFill>
              <w14:schemeClr w14:val="tx1"/>
            </w14:solidFill>
          </w14:textFill>
        </w:rPr>
        <w:t>。</w:t>
      </w:r>
    </w:p>
    <w:p w14:paraId="66AD3587">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70" w:firstLineChars="196"/>
        <w:textAlignment w:val="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群体工程应附《承包人承揽工程项目一览表》（附件1）。</w:t>
      </w:r>
    </w:p>
    <w:p w14:paraId="25E1EF96">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70" w:firstLineChars="196"/>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6.工程承包范围：</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以工程量清单为准</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D4D70EB">
      <w:pPr>
        <w:pStyle w:val="5"/>
        <w:keepNext w:val="0"/>
        <w:keepLines w:val="0"/>
        <w:pageBreakBefore w:val="0"/>
        <w:widowControl w:val="0"/>
        <w:numPr>
          <w:ilvl w:val="3"/>
          <w:numId w:val="0"/>
        </w:numPr>
        <w:kinsoku/>
        <w:wordWrap/>
        <w:overflowPunct/>
        <w:topLinePunct w:val="0"/>
        <w:autoSpaceDE/>
        <w:autoSpaceDN/>
        <w:bidi w:val="0"/>
        <w:adjustRightInd/>
        <w:snapToGrid/>
        <w:spacing w:before="0" w:beforeLines="0" w:after="0" w:afterLines="0" w:line="380" w:lineRule="exact"/>
        <w:ind w:left="-1078" w:leftChars="0" w:right="0" w:rightChars="0"/>
        <w:textAlignment w:val="auto"/>
        <w:rPr>
          <w:rFonts w:hint="default" w:ascii="Times New Roman" w:hAnsi="Times New Roman" w:eastAsia="方正仿宋_GBK" w:cs="Times New Roman"/>
          <w:b w:val="0"/>
          <w:color w:val="000000" w:themeColor="text1"/>
          <w:sz w:val="24"/>
          <w:szCs w:val="24"/>
          <w14:textFill>
            <w14:solidFill>
              <w14:schemeClr w14:val="tx1"/>
            </w14:solidFill>
          </w14:textFill>
        </w:rPr>
      </w:pPr>
      <w:r>
        <w:rPr>
          <w:rFonts w:hint="default" w:ascii="Times New Roman" w:hAnsi="Times New Roman" w:eastAsia="方正仿宋_GBK" w:cs="Times New Roman"/>
          <w:b w:val="0"/>
          <w:color w:val="000000" w:themeColor="text1"/>
          <w:sz w:val="24"/>
          <w:szCs w:val="24"/>
          <w14:textFill>
            <w14:solidFill>
              <w14:schemeClr w14:val="tx1"/>
            </w14:solidFill>
          </w14:textFill>
        </w:rPr>
        <w:t xml:space="preserve">   </w:t>
      </w:r>
      <w:bookmarkStart w:id="362" w:name="_Toc351203482"/>
      <w:r>
        <w:rPr>
          <w:rFonts w:hint="default" w:ascii="Times New Roman" w:hAnsi="Times New Roman" w:eastAsia="方正仿宋_GBK" w:cs="Times New Roman"/>
          <w:b w:val="0"/>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小标宋_GBK" w:cs="Times New Roman"/>
          <w:b w:val="0"/>
          <w:color w:val="000000" w:themeColor="text1"/>
          <w:sz w:val="24"/>
          <w:szCs w:val="24"/>
          <w14:textFill>
            <w14:solidFill>
              <w14:schemeClr w14:val="tx1"/>
            </w14:solidFill>
          </w14:textFill>
        </w:rPr>
        <w:t>二、合同工期</w:t>
      </w:r>
      <w:bookmarkEnd w:id="362"/>
    </w:p>
    <w:p w14:paraId="758C61F9">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59"/>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计划开工日期：</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年</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月</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日。</w:t>
      </w:r>
    </w:p>
    <w:p w14:paraId="6C608CB4">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59"/>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计划竣工日期：</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年</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月</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日。</w:t>
      </w:r>
    </w:p>
    <w:p w14:paraId="71562A5E">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59"/>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工期总日历天数：</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天。工期总日历天数与根据前述计划开竣工日期计算的工期天数不一致的，以工期总日历天数为准。</w:t>
      </w:r>
    </w:p>
    <w:p w14:paraId="7F4511A9">
      <w:pPr>
        <w:pStyle w:val="5"/>
        <w:keepNext w:val="0"/>
        <w:keepLines w:val="0"/>
        <w:pageBreakBefore w:val="0"/>
        <w:widowControl w:val="0"/>
        <w:numPr>
          <w:ilvl w:val="3"/>
          <w:numId w:val="0"/>
        </w:numPr>
        <w:kinsoku/>
        <w:wordWrap/>
        <w:overflowPunct/>
        <w:topLinePunct w:val="0"/>
        <w:autoSpaceDE/>
        <w:autoSpaceDN/>
        <w:bidi w:val="0"/>
        <w:adjustRightInd/>
        <w:snapToGrid/>
        <w:spacing w:before="0" w:beforeLines="0" w:after="0" w:afterLines="0" w:line="380" w:lineRule="exact"/>
        <w:ind w:left="-1078" w:leftChars="0" w:right="0" w:rightChars="0"/>
        <w:textAlignment w:val="auto"/>
        <w:rPr>
          <w:rFonts w:hint="default" w:ascii="Times New Roman" w:hAnsi="Times New Roman" w:eastAsia="方正小标宋_GBK" w:cs="Times New Roman"/>
          <w:b w:val="0"/>
          <w:color w:val="000000" w:themeColor="text1"/>
          <w:sz w:val="24"/>
          <w:szCs w:val="24"/>
          <w14:textFill>
            <w14:solidFill>
              <w14:schemeClr w14:val="tx1"/>
            </w14:solidFill>
          </w14:textFill>
        </w:rPr>
      </w:pPr>
      <w:r>
        <w:rPr>
          <w:rFonts w:hint="default" w:ascii="Times New Roman" w:hAnsi="Times New Roman" w:eastAsia="方正仿宋_GBK" w:cs="Times New Roman"/>
          <w:bCs w:val="0"/>
          <w:color w:val="000000" w:themeColor="text1"/>
          <w:sz w:val="24"/>
          <w:szCs w:val="24"/>
          <w14:textFill>
            <w14:solidFill>
              <w14:schemeClr w14:val="tx1"/>
            </w14:solidFill>
          </w14:textFill>
        </w:rPr>
        <w:t xml:space="preserve">    </w:t>
      </w:r>
      <w:bookmarkStart w:id="363" w:name="_Toc351203483"/>
      <w:r>
        <w:rPr>
          <w:rFonts w:hint="default" w:ascii="Times New Roman" w:hAnsi="Times New Roman" w:eastAsia="方正仿宋_GBK" w:cs="Times New Roman"/>
          <w:bCs w:val="0"/>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小标宋_GBK" w:cs="Times New Roman"/>
          <w:b w:val="0"/>
          <w:color w:val="000000" w:themeColor="text1"/>
          <w:sz w:val="24"/>
          <w:szCs w:val="24"/>
          <w14:textFill>
            <w14:solidFill>
              <w14:schemeClr w14:val="tx1"/>
            </w14:solidFill>
          </w14:textFill>
        </w:rPr>
        <w:t>三、质量标准</w:t>
      </w:r>
      <w:bookmarkEnd w:id="363"/>
    </w:p>
    <w:p w14:paraId="54920C79">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59"/>
        <w:textAlignment w:val="auto"/>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工程质量符合</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p>
    <w:p w14:paraId="248D16CC">
      <w:pPr>
        <w:pStyle w:val="5"/>
        <w:keepNext w:val="0"/>
        <w:keepLines w:val="0"/>
        <w:pageBreakBefore w:val="0"/>
        <w:widowControl w:val="0"/>
        <w:numPr>
          <w:ilvl w:val="3"/>
          <w:numId w:val="0"/>
        </w:numPr>
        <w:kinsoku/>
        <w:wordWrap/>
        <w:overflowPunct/>
        <w:topLinePunct w:val="0"/>
        <w:autoSpaceDE/>
        <w:autoSpaceDN/>
        <w:bidi w:val="0"/>
        <w:adjustRightInd/>
        <w:snapToGrid/>
        <w:spacing w:before="0" w:beforeLines="0" w:after="0" w:afterLines="0" w:line="380" w:lineRule="exact"/>
        <w:ind w:left="-1078" w:leftChars="0" w:right="0" w:rightChars="0"/>
        <w:textAlignment w:val="auto"/>
        <w:rPr>
          <w:rFonts w:hint="default" w:ascii="Times New Roman" w:hAnsi="Times New Roman" w:eastAsia="方正仿宋_GBK" w:cs="Times New Roman"/>
          <w:b w:val="0"/>
          <w:bCs w:val="0"/>
          <w:color w:val="000000" w:themeColor="text1"/>
          <w:kern w:val="2"/>
          <w:sz w:val="24"/>
          <w:szCs w:val="24"/>
          <w:lang w:val="en-US" w:eastAsia="zh-CN" w:bidi="ar-SA"/>
          <w14:textFill>
            <w14:solidFill>
              <w14:schemeClr w14:val="tx1"/>
            </w14:solidFill>
          </w14:textFill>
        </w:rPr>
      </w:pPr>
      <w:r>
        <w:rPr>
          <w:rFonts w:hint="default" w:ascii="Times New Roman" w:hAnsi="Times New Roman" w:eastAsia="方正仿宋_GBK" w:cs="Times New Roman"/>
          <w:bCs w:val="0"/>
          <w:color w:val="000000" w:themeColor="text1"/>
          <w:sz w:val="24"/>
          <w:szCs w:val="24"/>
          <w14:textFill>
            <w14:solidFill>
              <w14:schemeClr w14:val="tx1"/>
            </w14:solidFill>
          </w14:textFill>
        </w:rPr>
        <w:t xml:space="preserve">   </w:t>
      </w:r>
      <w:r>
        <w:rPr>
          <w:rFonts w:hint="default" w:ascii="Times New Roman" w:hAnsi="Times New Roman" w:eastAsia="方正小标宋_GBK" w:cs="Times New Roman"/>
          <w:b w:val="0"/>
          <w:color w:val="000000" w:themeColor="text1"/>
          <w:sz w:val="24"/>
          <w:szCs w:val="24"/>
          <w14:textFill>
            <w14:solidFill>
              <w14:schemeClr w14:val="tx1"/>
            </w14:solidFill>
          </w14:textFill>
        </w:rPr>
        <w:t xml:space="preserve"> </w:t>
      </w:r>
      <w:bookmarkStart w:id="364" w:name="_Toc351203484"/>
      <w:r>
        <w:rPr>
          <w:rFonts w:hint="default" w:ascii="Times New Roman" w:hAnsi="Times New Roman" w:eastAsia="方正小标宋_GBK" w:cs="Times New Roman"/>
          <w:b w:val="0"/>
          <w:color w:val="000000" w:themeColor="text1"/>
          <w:sz w:val="24"/>
          <w:szCs w:val="24"/>
          <w:lang w:val="en-US" w:eastAsia="zh-CN"/>
          <w14:textFill>
            <w14:solidFill>
              <w14:schemeClr w14:val="tx1"/>
            </w14:solidFill>
          </w14:textFill>
        </w:rPr>
        <w:t xml:space="preserve">      四、签约合同价与合同价格形式</w:t>
      </w:r>
      <w:bookmarkEnd w:id="364"/>
      <w:r>
        <w:rPr>
          <w:rFonts w:hint="default" w:ascii="Times New Roman" w:hAnsi="Times New Roman" w:eastAsia="方正小标宋_GBK" w:cs="Times New Roman"/>
          <w:b w:val="0"/>
          <w:color w:val="000000" w:themeColor="text1"/>
          <w:sz w:val="24"/>
          <w:szCs w:val="24"/>
          <w:lang w:val="en-US" w:eastAsia="zh-CN"/>
          <w14:textFill>
            <w14:solidFill>
              <w14:schemeClr w14:val="tx1"/>
            </w14:solidFill>
          </w14:textFill>
        </w:rPr>
        <w:tab/>
      </w:r>
    </w:p>
    <w:p w14:paraId="3EB51A71">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80" w:firstLineChars="20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b w:val="0"/>
          <w:bCs w:val="0"/>
          <w:color w:val="000000" w:themeColor="text1"/>
          <w:kern w:val="2"/>
          <w:sz w:val="24"/>
          <w:szCs w:val="24"/>
          <w:lang w:val="en-US" w:eastAsia="zh-CN" w:bidi="ar-SA"/>
          <w14:textFill>
            <w14:solidFill>
              <w14:schemeClr w14:val="tx1"/>
            </w14:solidFill>
          </w14:textFill>
        </w:rPr>
        <w:t>1.签约合同价为：</w:t>
      </w:r>
    </w:p>
    <w:p w14:paraId="6CFD14CE">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600" w:firstLineChars="25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人民币（大写）</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元</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6A845E6">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80" w:firstLineChars="20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其中：</w:t>
      </w:r>
    </w:p>
    <w:p w14:paraId="21797BCD">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480" w:firstLineChars="20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（1）安全文明施工费：</w:t>
      </w:r>
    </w:p>
    <w:p w14:paraId="65DE4400">
      <w:pPr>
        <w:keepNext w:val="0"/>
        <w:keepLines w:val="0"/>
        <w:pageBreakBefore w:val="0"/>
        <w:widowControl w:val="0"/>
        <w:kinsoku/>
        <w:wordWrap/>
        <w:overflowPunct/>
        <w:topLinePunct w:val="0"/>
        <w:autoSpaceDE/>
        <w:autoSpaceDN/>
        <w:bidi w:val="0"/>
        <w:snapToGrid/>
        <w:spacing w:line="380" w:lineRule="exact"/>
        <w:ind w:left="0" w:leftChars="0" w:right="0" w:rightChars="0" w:firstLine="1080" w:firstLineChars="45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人民币（大写）</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元</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0A6BA2A">
      <w:pPr>
        <w:keepNext w:val="0"/>
        <w:keepLines w:val="0"/>
        <w:pageBreakBefore w:val="0"/>
        <w:widowControl w:val="0"/>
        <w:kinsoku/>
        <w:wordWrap/>
        <w:overflowPunct/>
        <w:topLinePunct w:val="0"/>
        <w:autoSpaceDE/>
        <w:autoSpaceDN/>
        <w:bidi w:val="0"/>
        <w:snapToGrid/>
        <w:spacing w:line="380" w:lineRule="exact"/>
        <w:ind w:left="0" w:leftChars="0" w:right="0" w:rightChars="0" w:firstLine="480" w:firstLineChars="20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（2）材料和工程设备暂估价金额：</w:t>
      </w:r>
    </w:p>
    <w:p w14:paraId="66F0F6F7">
      <w:pPr>
        <w:keepNext w:val="0"/>
        <w:keepLines w:val="0"/>
        <w:pageBreakBefore w:val="0"/>
        <w:widowControl w:val="0"/>
        <w:kinsoku/>
        <w:wordWrap/>
        <w:overflowPunct/>
        <w:topLinePunct w:val="0"/>
        <w:autoSpaceDE/>
        <w:autoSpaceDN/>
        <w:bidi w:val="0"/>
        <w:snapToGrid/>
        <w:spacing w:line="380" w:lineRule="exact"/>
        <w:ind w:left="0" w:leftChars="0" w:right="0" w:rightChars="0" w:firstLine="1080" w:firstLineChars="45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人民币（大写）</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元</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EC2DD22">
      <w:pPr>
        <w:keepNext w:val="0"/>
        <w:keepLines w:val="0"/>
        <w:pageBreakBefore w:val="0"/>
        <w:widowControl w:val="0"/>
        <w:kinsoku/>
        <w:wordWrap/>
        <w:overflowPunct/>
        <w:topLinePunct w:val="0"/>
        <w:autoSpaceDE/>
        <w:autoSpaceDN/>
        <w:bidi w:val="0"/>
        <w:snapToGrid/>
        <w:spacing w:line="380" w:lineRule="exact"/>
        <w:ind w:left="0" w:leftChars="0" w:right="0" w:rightChars="0" w:firstLine="480" w:firstLineChars="20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（3）专业工程暂估价金额：</w:t>
      </w:r>
    </w:p>
    <w:p w14:paraId="106B948C">
      <w:pPr>
        <w:keepNext w:val="0"/>
        <w:keepLines w:val="0"/>
        <w:pageBreakBefore w:val="0"/>
        <w:widowControl w:val="0"/>
        <w:kinsoku/>
        <w:wordWrap/>
        <w:overflowPunct/>
        <w:topLinePunct w:val="0"/>
        <w:autoSpaceDE/>
        <w:autoSpaceDN/>
        <w:bidi w:val="0"/>
        <w:snapToGrid/>
        <w:spacing w:line="380" w:lineRule="exact"/>
        <w:ind w:left="0" w:leftChars="0" w:right="0" w:rightChars="0" w:firstLine="1080" w:firstLineChars="45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人民币（大写）</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元</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1158B43">
      <w:pPr>
        <w:keepNext w:val="0"/>
        <w:keepLines w:val="0"/>
        <w:pageBreakBefore w:val="0"/>
        <w:widowControl w:val="0"/>
        <w:numPr>
          <w:ilvl w:val="0"/>
          <w:numId w:val="2"/>
        </w:numPr>
        <w:kinsoku/>
        <w:wordWrap/>
        <w:overflowPunct/>
        <w:topLinePunct w:val="0"/>
        <w:autoSpaceDE/>
        <w:autoSpaceDN/>
        <w:bidi w:val="0"/>
        <w:snapToGrid/>
        <w:spacing w:line="380" w:lineRule="exact"/>
        <w:ind w:left="0" w:leftChars="0" w:right="0" w:rightChars="0" w:firstLine="480" w:firstLineChars="20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暂列金额：</w:t>
      </w:r>
    </w:p>
    <w:p w14:paraId="1863D6FA">
      <w:pPr>
        <w:keepNext w:val="0"/>
        <w:keepLines w:val="0"/>
        <w:pageBreakBefore w:val="0"/>
        <w:widowControl w:val="0"/>
        <w:numPr>
          <w:ilvl w:val="0"/>
          <w:numId w:val="0"/>
        </w:numPr>
        <w:kinsoku/>
        <w:wordWrap/>
        <w:overflowPunct/>
        <w:topLinePunct w:val="0"/>
        <w:autoSpaceDE/>
        <w:autoSpaceDN/>
        <w:bidi w:val="0"/>
        <w:snapToGrid/>
        <w:spacing w:line="380" w:lineRule="exact"/>
        <w:ind w:leftChars="200" w:right="0" w:rightChars="0" w:firstLine="480" w:firstLineChars="20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人民币（大写）</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元</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41F48DB">
      <w:pPr>
        <w:keepNext w:val="0"/>
        <w:keepLines w:val="0"/>
        <w:pageBreakBefore w:val="0"/>
        <w:widowControl w:val="0"/>
        <w:kinsoku/>
        <w:wordWrap/>
        <w:overflowPunct/>
        <w:topLinePunct w:val="0"/>
        <w:autoSpaceDE/>
        <w:autoSpaceDN/>
        <w:bidi w:val="0"/>
        <w:snapToGrid/>
        <w:spacing w:line="380" w:lineRule="exact"/>
        <w:ind w:left="0" w:leftChars="0" w:right="0" w:rightChars="0" w:firstLine="480" w:firstLineChars="20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p>
    <w:p w14:paraId="6EAF42AC">
      <w:pPr>
        <w:keepNext w:val="0"/>
        <w:keepLines w:val="0"/>
        <w:pageBreakBefore w:val="0"/>
        <w:widowControl w:val="0"/>
        <w:kinsoku/>
        <w:wordWrap/>
        <w:overflowPunct/>
        <w:topLinePunct w:val="0"/>
        <w:autoSpaceDE/>
        <w:autoSpaceDN/>
        <w:bidi w:val="0"/>
        <w:snapToGrid/>
        <w:spacing w:line="380" w:lineRule="exact"/>
        <w:ind w:left="0" w:leftChars="0" w:right="0" w:rightChars="0" w:firstLine="480" w:firstLineChars="200"/>
        <w:textAlignment w:val="auto"/>
        <w:rPr>
          <w:rFonts w:hint="default" w:ascii="Times New Roman" w:hAnsi="Times New Roman" w:eastAsia="方正仿宋_GBK" w:cs="Times New Roman"/>
          <w:color w:val="000000" w:themeColor="text1"/>
          <w:sz w:val="24"/>
          <w:szCs w:val="24"/>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2.合同价格形</w:t>
      </w:r>
      <w:r>
        <w:rPr>
          <w:rFonts w:hint="default" w:ascii="Times New Roman" w:hAnsi="Times New Roman" w:eastAsia="方正仿宋_GBK" w:cs="Times New Roman"/>
          <w:color w:val="000000" w:themeColor="text1"/>
          <w:sz w:val="24"/>
          <w:szCs w:val="24"/>
          <w:u w:val="single"/>
          <w14:textFill>
            <w14:solidFill>
              <w14:schemeClr w14:val="tx1"/>
            </w14:solidFill>
          </w14:textFill>
        </w:rPr>
        <w:t>式：</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none"/>
          <w:lang w:val="en-US" w:eastAsia="zh-CN"/>
          <w14:textFill>
            <w14:solidFill>
              <w14:schemeClr w14:val="tx1"/>
            </w14:solidFill>
          </w14:textFill>
        </w:rPr>
        <w:t xml:space="preserve"> </w:t>
      </w:r>
    </w:p>
    <w:p w14:paraId="0F3CF250">
      <w:pPr>
        <w:pStyle w:val="5"/>
        <w:keepNext w:val="0"/>
        <w:keepLines w:val="0"/>
        <w:pageBreakBefore w:val="0"/>
        <w:widowControl w:val="0"/>
        <w:numPr>
          <w:ilvl w:val="3"/>
          <w:numId w:val="0"/>
        </w:numPr>
        <w:kinsoku/>
        <w:wordWrap/>
        <w:overflowPunct/>
        <w:topLinePunct w:val="0"/>
        <w:autoSpaceDE/>
        <w:autoSpaceDN/>
        <w:bidi w:val="0"/>
        <w:snapToGrid/>
        <w:spacing w:before="0" w:beforeLines="0" w:after="0" w:afterLines="0" w:line="380" w:lineRule="exact"/>
        <w:ind w:left="-1078" w:leftChars="0" w:right="0" w:rightChars="0"/>
        <w:textAlignment w:val="auto"/>
        <w:rPr>
          <w:rFonts w:hint="default" w:ascii="Times New Roman" w:hAnsi="Times New Roman" w:eastAsia="方正仿宋_GBK" w:cs="Times New Roman"/>
          <w:b w:val="0"/>
          <w:color w:val="000000" w:themeColor="text1"/>
          <w:sz w:val="24"/>
          <w:szCs w:val="24"/>
          <w14:textFill>
            <w14:solidFill>
              <w14:schemeClr w14:val="tx1"/>
            </w14:solidFill>
          </w14:textFill>
        </w:rPr>
      </w:pPr>
      <w:r>
        <w:rPr>
          <w:rFonts w:hint="default" w:ascii="Times New Roman" w:hAnsi="Times New Roman" w:eastAsia="方正仿宋_GBK" w:cs="Times New Roman"/>
          <w:bCs w:val="0"/>
          <w:color w:val="000000" w:themeColor="text1"/>
          <w:sz w:val="24"/>
          <w:szCs w:val="24"/>
          <w14:textFill>
            <w14:solidFill>
              <w14:schemeClr w14:val="tx1"/>
            </w14:solidFill>
          </w14:textFill>
        </w:rPr>
        <w:t xml:space="preserve">   </w:t>
      </w:r>
      <w:r>
        <w:rPr>
          <w:rFonts w:hint="default" w:ascii="Times New Roman" w:hAnsi="Times New Roman" w:eastAsia="方正小标宋_GBK" w:cs="Times New Roman"/>
          <w:b w:val="0"/>
          <w:color w:val="000000" w:themeColor="text1"/>
          <w:sz w:val="24"/>
          <w:szCs w:val="24"/>
          <w:lang w:val="en-US" w:eastAsia="zh-CN"/>
          <w14:textFill>
            <w14:solidFill>
              <w14:schemeClr w14:val="tx1"/>
            </w14:solidFill>
          </w14:textFill>
        </w:rPr>
        <w:t xml:space="preserve"> </w:t>
      </w:r>
      <w:bookmarkStart w:id="365" w:name="_Toc351203485"/>
      <w:r>
        <w:rPr>
          <w:rFonts w:hint="default" w:ascii="Times New Roman" w:hAnsi="Times New Roman" w:eastAsia="方正小标宋_GBK" w:cs="Times New Roman"/>
          <w:b w:val="0"/>
          <w:color w:val="000000" w:themeColor="text1"/>
          <w:sz w:val="24"/>
          <w:szCs w:val="24"/>
          <w:lang w:val="en-US" w:eastAsia="zh-CN"/>
          <w14:textFill>
            <w14:solidFill>
              <w14:schemeClr w14:val="tx1"/>
            </w14:solidFill>
          </w14:textFill>
        </w:rPr>
        <w:t xml:space="preserve">        五、</w:t>
      </w:r>
      <w:bookmarkEnd w:id="365"/>
      <w:r>
        <w:rPr>
          <w:rFonts w:hint="default" w:ascii="Times New Roman" w:hAnsi="Times New Roman" w:eastAsia="方正小标宋_GBK" w:cs="Times New Roman"/>
          <w:b w:val="0"/>
          <w:color w:val="000000" w:themeColor="text1"/>
          <w:sz w:val="24"/>
          <w:szCs w:val="24"/>
          <w:lang w:val="en-US" w:eastAsia="zh-CN"/>
          <w14:textFill>
            <w14:solidFill>
              <w14:schemeClr w14:val="tx1"/>
            </w14:solidFill>
          </w14:textFill>
        </w:rPr>
        <w:t>项目经理</w:t>
      </w:r>
    </w:p>
    <w:p w14:paraId="236D8ED6">
      <w:pPr>
        <w:keepNext w:val="0"/>
        <w:keepLines w:val="0"/>
        <w:pageBreakBefore w:val="0"/>
        <w:widowControl w:val="0"/>
        <w:kinsoku/>
        <w:wordWrap/>
        <w:overflowPunct/>
        <w:topLinePunct w:val="0"/>
        <w:autoSpaceDE/>
        <w:autoSpaceDN/>
        <w:bidi w:val="0"/>
        <w:snapToGrid/>
        <w:spacing w:line="380" w:lineRule="exact"/>
        <w:ind w:left="0" w:leftChars="0" w:right="0" w:rightChars="0" w:firstLine="480" w:firstLineChars="20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承包人项目经理：</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C748321">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textAlignment w:val="auto"/>
        <w:rPr>
          <w:rFonts w:hint="default" w:ascii="Times New Roman" w:hAnsi="Times New Roman" w:eastAsia="方正仿宋_GBK" w:cs="Times New Roman"/>
          <w:bCs w:val="0"/>
          <w:color w:val="000000" w:themeColor="text1"/>
          <w:sz w:val="24"/>
          <w:szCs w:val="24"/>
          <w14:textFill>
            <w14:solidFill>
              <w14:schemeClr w14:val="tx1"/>
            </w14:solidFill>
          </w14:textFill>
        </w:rPr>
      </w:pPr>
      <w:r>
        <w:rPr>
          <w:rFonts w:hint="default" w:ascii="Times New Roman" w:hAnsi="Times New Roman" w:eastAsia="方正仿宋_GBK" w:cs="Times New Roman"/>
          <w:bCs w:val="0"/>
          <w:color w:val="000000" w:themeColor="text1"/>
          <w:sz w:val="24"/>
          <w:szCs w:val="24"/>
          <w14:textFill>
            <w14:solidFill>
              <w14:schemeClr w14:val="tx1"/>
            </w14:solidFill>
          </w14:textFill>
        </w:rPr>
        <w:t xml:space="preserve">   </w:t>
      </w:r>
      <w:r>
        <w:rPr>
          <w:rFonts w:hint="default" w:ascii="Times New Roman" w:hAnsi="Times New Roman" w:eastAsia="方正小标宋_GBK" w:cs="Times New Roman"/>
          <w:b w:val="0"/>
          <w:color w:val="000000" w:themeColor="text1"/>
          <w:sz w:val="24"/>
          <w:szCs w:val="24"/>
          <w:lang w:val="en-US" w:eastAsia="zh-CN"/>
          <w14:textFill>
            <w14:solidFill>
              <w14:schemeClr w14:val="tx1"/>
            </w14:solidFill>
          </w14:textFill>
        </w:rPr>
        <w:t xml:space="preserve"> </w:t>
      </w:r>
      <w:bookmarkStart w:id="366" w:name="_Toc351203486"/>
      <w:r>
        <w:rPr>
          <w:rFonts w:hint="default" w:ascii="Times New Roman" w:hAnsi="Times New Roman" w:eastAsia="方正小标宋_GBK" w:cs="Times New Roman"/>
          <w:b w:val="0"/>
          <w:color w:val="000000" w:themeColor="text1"/>
          <w:sz w:val="24"/>
          <w:szCs w:val="24"/>
          <w:lang w:val="en-US" w:eastAsia="zh-CN"/>
          <w14:textFill>
            <w14:solidFill>
              <w14:schemeClr w14:val="tx1"/>
            </w14:solidFill>
          </w14:textFill>
        </w:rPr>
        <w:t xml:space="preserve">       六、合同文件构成</w:t>
      </w:r>
      <w:bookmarkEnd w:id="366"/>
    </w:p>
    <w:p w14:paraId="034DA285">
      <w:pPr>
        <w:pageBreakBefore w:val="0"/>
        <w:widowControl w:val="0"/>
        <w:kinsoku/>
        <w:wordWrap/>
        <w:overflowPunct/>
        <w:topLinePunct w:val="0"/>
        <w:bidi w:val="0"/>
        <w:snapToGrid/>
        <w:spacing w:line="400" w:lineRule="exact"/>
        <w:ind w:left="0" w:leftChars="0" w:right="0" w:rightChars="0" w:firstLine="480" w:firstLineChars="200"/>
        <w:textAlignment w:val="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本协议书与下列文件一起构成合同文件：</w:t>
      </w:r>
    </w:p>
    <w:p w14:paraId="4BA8696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（1）中标通知书（如果有）；</w:t>
      </w:r>
    </w:p>
    <w:p w14:paraId="742235E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（2）投标函及其附录（如果有）； </w:t>
      </w:r>
    </w:p>
    <w:p w14:paraId="4988155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（3）专用合同条款及其附件；</w:t>
      </w:r>
    </w:p>
    <w:p w14:paraId="117AF9E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（4）通用合同条款；</w:t>
      </w:r>
    </w:p>
    <w:p w14:paraId="57CF744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（5）技术标准和要求；</w:t>
      </w:r>
    </w:p>
    <w:p w14:paraId="631DD81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（6）图纸；</w:t>
      </w:r>
    </w:p>
    <w:p w14:paraId="6A37D02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（7）已标价工程量清单或预算书；</w:t>
      </w:r>
    </w:p>
    <w:p w14:paraId="219E0C4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（8）其他合同文件。</w:t>
      </w:r>
    </w:p>
    <w:p w14:paraId="3DA302A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在合同订立及履行过程中形成的与合同有关的文件均构成合同文件组成部分。</w:t>
      </w:r>
    </w:p>
    <w:p w14:paraId="6BD85AD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65F539AA">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textAlignment w:val="auto"/>
        <w:rPr>
          <w:rFonts w:hint="default" w:ascii="Times New Roman" w:hAnsi="Times New Roman" w:eastAsia="方正仿宋_GBK" w:cs="Times New Roman"/>
          <w:b w:val="0"/>
          <w:bCs w:val="0"/>
          <w:color w:val="000000" w:themeColor="text1"/>
          <w:sz w:val="24"/>
          <w:szCs w:val="24"/>
          <w14:textFill>
            <w14:solidFill>
              <w14:schemeClr w14:val="tx1"/>
            </w14:solidFill>
          </w14:textFill>
        </w:rPr>
      </w:pPr>
      <w:r>
        <w:rPr>
          <w:rFonts w:hint="default" w:ascii="Times New Roman" w:hAnsi="Times New Roman" w:eastAsia="方正仿宋_GBK" w:cs="Times New Roman"/>
          <w:b w:val="0"/>
          <w:bCs w:val="0"/>
          <w:color w:val="000000" w:themeColor="text1"/>
          <w:sz w:val="24"/>
          <w:szCs w:val="24"/>
          <w14:textFill>
            <w14:solidFill>
              <w14:schemeClr w14:val="tx1"/>
            </w14:solidFill>
          </w14:textFill>
        </w:rPr>
        <w:t xml:space="preserve"> </w:t>
      </w:r>
      <w:r>
        <w:rPr>
          <w:rFonts w:hint="default" w:ascii="Times New Roman" w:hAnsi="Times New Roman" w:eastAsia="方正小标宋_GBK" w:cs="Times New Roman"/>
          <w:b w:val="0"/>
          <w:color w:val="000000" w:themeColor="text1"/>
          <w:sz w:val="24"/>
          <w:szCs w:val="24"/>
          <w:lang w:val="en-US" w:eastAsia="zh-CN"/>
          <w14:textFill>
            <w14:solidFill>
              <w14:schemeClr w14:val="tx1"/>
            </w14:solidFill>
          </w14:textFill>
        </w:rPr>
        <w:t xml:space="preserve">   </w:t>
      </w:r>
      <w:bookmarkStart w:id="367" w:name="_Toc351203487"/>
      <w:r>
        <w:rPr>
          <w:rFonts w:hint="default" w:ascii="Times New Roman" w:hAnsi="Times New Roman" w:eastAsia="方正小标宋_GBK" w:cs="Times New Roman"/>
          <w:b w:val="0"/>
          <w:color w:val="000000" w:themeColor="text1"/>
          <w:sz w:val="24"/>
          <w:szCs w:val="24"/>
          <w:lang w:val="en-US" w:eastAsia="zh-CN"/>
          <w14:textFill>
            <w14:solidFill>
              <w14:schemeClr w14:val="tx1"/>
            </w14:solidFill>
          </w14:textFill>
        </w:rPr>
        <w:t xml:space="preserve">       七、承诺</w:t>
      </w:r>
      <w:bookmarkEnd w:id="367"/>
    </w:p>
    <w:p w14:paraId="1631AC19">
      <w:pPr>
        <w:pageBreakBefore w:val="0"/>
        <w:widowControl w:val="0"/>
        <w:kinsoku/>
        <w:wordWrap/>
        <w:overflowPunct/>
        <w:topLinePunct w:val="0"/>
        <w:bidi w:val="0"/>
        <w:snapToGrid/>
        <w:spacing w:line="400" w:lineRule="exact"/>
        <w:ind w:left="0" w:leftChars="0" w:right="0" w:rightChars="0" w:firstLine="480" w:firstLineChars="200"/>
        <w:textAlignment w:val="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1.发包人承诺按照法律规定履行项目审批手续、筹集工程建设资金并按照合同约定的期限和方式支付合同价款。</w:t>
      </w:r>
    </w:p>
    <w:p w14:paraId="235CF587">
      <w:pPr>
        <w:pageBreakBefore w:val="0"/>
        <w:widowControl w:val="0"/>
        <w:kinsoku/>
        <w:wordWrap/>
        <w:overflowPunct/>
        <w:topLinePunct w:val="0"/>
        <w:bidi w:val="0"/>
        <w:snapToGrid/>
        <w:spacing w:line="400" w:lineRule="exact"/>
        <w:ind w:left="0" w:leftChars="0" w:right="0" w:rightChars="0" w:firstLine="480" w:firstLineChars="200"/>
        <w:textAlignment w:val="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4169D3D0">
      <w:pPr>
        <w:pageBreakBefore w:val="0"/>
        <w:widowControl w:val="0"/>
        <w:kinsoku/>
        <w:wordWrap/>
        <w:overflowPunct/>
        <w:topLinePunct w:val="0"/>
        <w:bidi w:val="0"/>
        <w:snapToGrid/>
        <w:spacing w:line="400" w:lineRule="exact"/>
        <w:ind w:left="0" w:leftChars="0" w:right="0" w:rightChars="0" w:firstLine="480" w:firstLineChars="200"/>
        <w:textAlignment w:val="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3.发包人和承包人通过招投标形式签订合同的，双方理解并承诺不再就同一工程另行签订与合同实质性内容相背离的协议。</w:t>
      </w:r>
    </w:p>
    <w:p w14:paraId="24CFF7DC">
      <w:pPr>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方正仿宋_GBK" w:cs="Times New Roman"/>
          <w:bCs/>
          <w:color w:val="000000" w:themeColor="text1"/>
          <w:sz w:val="24"/>
          <w:szCs w:val="24"/>
          <w14:textFill>
            <w14:solidFill>
              <w14:schemeClr w14:val="tx1"/>
            </w14:solidFill>
          </w14:textFill>
        </w:rPr>
      </w:pPr>
      <w:bookmarkStart w:id="368" w:name="_Toc351203488"/>
      <w:r>
        <w:rPr>
          <w:rFonts w:hint="default" w:ascii="Times New Roman" w:hAnsi="Times New Roman" w:eastAsia="方正仿宋_GBK" w:cs="Times New Roman"/>
          <w:b/>
          <w:color w:val="000000" w:themeColor="text1"/>
          <w:sz w:val="24"/>
          <w:szCs w:val="24"/>
          <w14:textFill>
            <w14:solidFill>
              <w14:schemeClr w14:val="tx1"/>
            </w14:solidFill>
          </w14:textFill>
        </w:rPr>
        <w:t xml:space="preserve">   </w:t>
      </w:r>
      <w:r>
        <w:rPr>
          <w:rFonts w:hint="default" w:ascii="Times New Roman" w:hAnsi="Times New Roman" w:eastAsia="方正小标宋_GBK" w:cs="Times New Roman"/>
          <w:b w:val="0"/>
          <w:color w:val="000000" w:themeColor="text1"/>
          <w:kern w:val="0"/>
          <w:sz w:val="24"/>
          <w:szCs w:val="24"/>
          <w:lang w:val="en-US" w:eastAsia="zh-CN" w:bidi="ar-SA"/>
          <w14:textFill>
            <w14:solidFill>
              <w14:schemeClr w14:val="tx1"/>
            </w14:solidFill>
          </w14:textFill>
        </w:rPr>
        <w:t xml:space="preserve"> 八、词语含义</w:t>
      </w:r>
      <w:bookmarkEnd w:id="368"/>
    </w:p>
    <w:p w14:paraId="374B6075">
      <w:pPr>
        <w:pageBreakBefore w:val="0"/>
        <w:widowControl w:val="0"/>
        <w:kinsoku/>
        <w:wordWrap/>
        <w:overflowPunct/>
        <w:topLinePunct w:val="0"/>
        <w:bidi w:val="0"/>
        <w:snapToGrid/>
        <w:spacing w:line="400" w:lineRule="exact"/>
        <w:ind w:left="0" w:leftChars="0" w:right="0" w:rightChars="0" w:firstLine="480" w:firstLineChars="200"/>
        <w:textAlignment w:val="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本协议书中词语含义与第二部分通用合同条款中赋予的含义相同。</w:t>
      </w:r>
    </w:p>
    <w:p w14:paraId="0DAEC530">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textAlignment w:val="auto"/>
        <w:rPr>
          <w:rFonts w:hint="default" w:ascii="Times New Roman" w:hAnsi="Times New Roman" w:eastAsia="方正小标宋_GBK" w:cs="Times New Roman"/>
          <w:b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方正小标宋_GBK" w:cs="Times New Roman"/>
          <w:b w:val="0"/>
          <w:color w:val="000000" w:themeColor="text1"/>
          <w:kern w:val="0"/>
          <w:sz w:val="24"/>
          <w:szCs w:val="24"/>
          <w:lang w:val="en-US" w:eastAsia="zh-CN" w:bidi="ar-SA"/>
          <w14:textFill>
            <w14:solidFill>
              <w14:schemeClr w14:val="tx1"/>
            </w14:solidFill>
          </w14:textFill>
        </w:rPr>
        <w:t xml:space="preserve">    </w:t>
      </w:r>
      <w:bookmarkStart w:id="369" w:name="_Toc351203489"/>
      <w:r>
        <w:rPr>
          <w:rFonts w:hint="default" w:ascii="Times New Roman" w:hAnsi="Times New Roman" w:eastAsia="方正小标宋_GBK" w:cs="Times New Roman"/>
          <w:b w:val="0"/>
          <w:color w:val="000000" w:themeColor="text1"/>
          <w:kern w:val="0"/>
          <w:sz w:val="24"/>
          <w:szCs w:val="24"/>
          <w:lang w:val="en-US" w:eastAsia="zh-CN" w:bidi="ar-SA"/>
          <w14:textFill>
            <w14:solidFill>
              <w14:schemeClr w14:val="tx1"/>
            </w14:solidFill>
          </w14:textFill>
        </w:rPr>
        <w:t xml:space="preserve">         九、签订时间</w:t>
      </w:r>
      <w:bookmarkEnd w:id="369"/>
    </w:p>
    <w:p w14:paraId="20960D43">
      <w:pPr>
        <w:pageBreakBefore w:val="0"/>
        <w:widowControl w:val="0"/>
        <w:kinsoku/>
        <w:wordWrap/>
        <w:overflowPunct/>
        <w:topLinePunct w:val="0"/>
        <w:bidi w:val="0"/>
        <w:snapToGrid/>
        <w:spacing w:line="400" w:lineRule="exact"/>
        <w:ind w:left="0" w:leftChars="0" w:right="0" w:rightChars="0" w:firstLine="480" w:firstLineChars="200"/>
        <w:textAlignment w:val="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本合同于</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14:textFill>
            <w14:solidFill>
              <w14:schemeClr w14:val="tx1"/>
            </w14:solidFill>
          </w14:textFill>
        </w:rPr>
        <w:t>年</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14:textFill>
            <w14:solidFill>
              <w14:schemeClr w14:val="tx1"/>
            </w14:solidFill>
          </w14:textFill>
        </w:rPr>
        <w:t>月</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14:textFill>
            <w14:solidFill>
              <w14:schemeClr w14:val="tx1"/>
            </w14:solidFill>
          </w14:textFill>
        </w:rPr>
        <w:t>日签订。</w:t>
      </w:r>
    </w:p>
    <w:p w14:paraId="3BAF27B4">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textAlignment w:val="auto"/>
        <w:rPr>
          <w:rFonts w:hint="default" w:ascii="Times New Roman" w:hAnsi="Times New Roman" w:eastAsia="方正小标宋_GBK" w:cs="Times New Roman"/>
          <w:b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方正小标宋_GBK" w:cs="Times New Roman"/>
          <w:b w:val="0"/>
          <w:color w:val="000000" w:themeColor="text1"/>
          <w:kern w:val="0"/>
          <w:sz w:val="24"/>
          <w:szCs w:val="24"/>
          <w:lang w:val="en-US" w:eastAsia="zh-CN" w:bidi="ar-SA"/>
          <w14:textFill>
            <w14:solidFill>
              <w14:schemeClr w14:val="tx1"/>
            </w14:solidFill>
          </w14:textFill>
        </w:rPr>
        <w:t xml:space="preserve">    </w:t>
      </w:r>
      <w:bookmarkStart w:id="370" w:name="_Toc351203490"/>
      <w:r>
        <w:rPr>
          <w:rFonts w:hint="default" w:ascii="Times New Roman" w:hAnsi="Times New Roman" w:eastAsia="方正小标宋_GBK" w:cs="Times New Roman"/>
          <w:b w:val="0"/>
          <w:color w:val="000000" w:themeColor="text1"/>
          <w:kern w:val="0"/>
          <w:sz w:val="24"/>
          <w:szCs w:val="24"/>
          <w:lang w:val="en-US" w:eastAsia="zh-CN" w:bidi="ar-SA"/>
          <w14:textFill>
            <w14:solidFill>
              <w14:schemeClr w14:val="tx1"/>
            </w14:solidFill>
          </w14:textFill>
        </w:rPr>
        <w:t xml:space="preserve">         十、签订地点</w:t>
      </w:r>
      <w:bookmarkEnd w:id="370"/>
    </w:p>
    <w:p w14:paraId="13287145">
      <w:pPr>
        <w:pageBreakBefore w:val="0"/>
        <w:widowControl w:val="0"/>
        <w:kinsoku/>
        <w:wordWrap/>
        <w:overflowPunct/>
        <w:topLinePunct w:val="0"/>
        <w:bidi w:val="0"/>
        <w:snapToGrid/>
        <w:spacing w:line="400" w:lineRule="exact"/>
        <w:ind w:left="0" w:leftChars="0" w:right="0" w:rightChars="0" w:firstLine="480" w:firstLineChars="200"/>
        <w:textAlignment w:val="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本合同在</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14:textFill>
            <w14:solidFill>
              <w14:schemeClr w14:val="tx1"/>
            </w14:solidFill>
          </w14:textFill>
        </w:rPr>
        <w:t>签订。</w:t>
      </w:r>
    </w:p>
    <w:p w14:paraId="76D5135B">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textAlignment w:val="auto"/>
        <w:rPr>
          <w:rFonts w:hint="default" w:ascii="Times New Roman" w:hAnsi="Times New Roman" w:eastAsia="方正小标宋_GBK" w:cs="Times New Roman"/>
          <w:b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方正小标宋_GBK" w:cs="Times New Roman"/>
          <w:b w:val="0"/>
          <w:color w:val="000000" w:themeColor="text1"/>
          <w:kern w:val="0"/>
          <w:sz w:val="24"/>
          <w:szCs w:val="24"/>
          <w:lang w:val="en-US" w:eastAsia="zh-CN" w:bidi="ar-SA"/>
          <w14:textFill>
            <w14:solidFill>
              <w14:schemeClr w14:val="tx1"/>
            </w14:solidFill>
          </w14:textFill>
        </w:rPr>
        <w:t xml:space="preserve">    </w:t>
      </w:r>
      <w:bookmarkStart w:id="371" w:name="_Toc351203491"/>
      <w:r>
        <w:rPr>
          <w:rFonts w:hint="default" w:ascii="Times New Roman" w:hAnsi="Times New Roman" w:eastAsia="方正小标宋_GBK" w:cs="Times New Roman"/>
          <w:b w:val="0"/>
          <w:color w:val="000000" w:themeColor="text1"/>
          <w:kern w:val="0"/>
          <w:sz w:val="24"/>
          <w:szCs w:val="24"/>
          <w:lang w:val="en-US" w:eastAsia="zh-CN" w:bidi="ar-SA"/>
          <w14:textFill>
            <w14:solidFill>
              <w14:schemeClr w14:val="tx1"/>
            </w14:solidFill>
          </w14:textFill>
        </w:rPr>
        <w:t xml:space="preserve">         十一、补充协议</w:t>
      </w:r>
      <w:bookmarkEnd w:id="371"/>
    </w:p>
    <w:p w14:paraId="7C9A9B36">
      <w:pPr>
        <w:pageBreakBefore w:val="0"/>
        <w:widowControl w:val="0"/>
        <w:kinsoku/>
        <w:wordWrap/>
        <w:overflowPunct/>
        <w:topLinePunct w:val="0"/>
        <w:bidi w:val="0"/>
        <w:snapToGrid/>
        <w:spacing w:line="400" w:lineRule="exact"/>
        <w:ind w:left="0" w:leftChars="0" w:right="0" w:rightChars="0" w:firstLine="480" w:firstLineChars="200"/>
        <w:textAlignment w:val="auto"/>
        <w:rPr>
          <w:rFonts w:hint="default" w:ascii="Times New Roman" w:hAnsi="Times New Roman" w:eastAsia="方正仿宋_GBK" w:cs="Times New Roman"/>
          <w:b/>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合同未尽事宜，合同当事人另行签订补充协议，补充协议是合同的组成部分。</w:t>
      </w:r>
    </w:p>
    <w:p w14:paraId="6C23C2C5">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textAlignment w:val="auto"/>
        <w:rPr>
          <w:rFonts w:hint="default" w:ascii="Times New Roman" w:hAnsi="Times New Roman" w:eastAsia="方正仿宋_GBK" w:cs="Times New Roman"/>
          <w:bCs w:val="0"/>
          <w:color w:val="000000" w:themeColor="text1"/>
          <w:sz w:val="24"/>
          <w:szCs w:val="24"/>
          <w14:textFill>
            <w14:solidFill>
              <w14:schemeClr w14:val="tx1"/>
            </w14:solidFill>
          </w14:textFill>
        </w:rPr>
      </w:pPr>
      <w:r>
        <w:rPr>
          <w:rFonts w:hint="default" w:ascii="Times New Roman" w:hAnsi="Times New Roman" w:eastAsia="方正仿宋_GBK" w:cs="Times New Roman"/>
          <w:bCs w:val="0"/>
          <w:color w:val="000000" w:themeColor="text1"/>
          <w:sz w:val="24"/>
          <w:szCs w:val="24"/>
          <w14:textFill>
            <w14:solidFill>
              <w14:schemeClr w14:val="tx1"/>
            </w14:solidFill>
          </w14:textFill>
        </w:rPr>
        <w:t xml:space="preserve">    </w:t>
      </w:r>
      <w:bookmarkStart w:id="372" w:name="_Toc351203492"/>
      <w:r>
        <w:rPr>
          <w:rFonts w:hint="default" w:ascii="Times New Roman" w:hAnsi="Times New Roman" w:eastAsia="方正仿宋_GBK" w:cs="Times New Roman"/>
          <w:bCs w:val="0"/>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小标宋_GBK" w:cs="Times New Roman"/>
          <w:b w:val="0"/>
          <w:color w:val="000000" w:themeColor="text1"/>
          <w:kern w:val="0"/>
          <w:sz w:val="24"/>
          <w:szCs w:val="24"/>
          <w:lang w:val="en-US" w:eastAsia="zh-CN" w:bidi="ar-SA"/>
          <w14:textFill>
            <w14:solidFill>
              <w14:schemeClr w14:val="tx1"/>
            </w14:solidFill>
          </w14:textFill>
        </w:rPr>
        <w:t>十二、合同生效</w:t>
      </w:r>
      <w:bookmarkEnd w:id="372"/>
    </w:p>
    <w:p w14:paraId="56A0DCDE">
      <w:pPr>
        <w:pageBreakBefore w:val="0"/>
        <w:widowControl w:val="0"/>
        <w:kinsoku/>
        <w:wordWrap/>
        <w:overflowPunct/>
        <w:topLinePunct w:val="0"/>
        <w:bidi w:val="0"/>
        <w:snapToGrid/>
        <w:spacing w:line="400" w:lineRule="exact"/>
        <w:ind w:left="0" w:leftChars="0" w:right="0" w:rightChars="0" w:firstLine="480" w:firstLineChars="200"/>
        <w:textAlignment w:val="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本合同自</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lang w:val="en-US" w:eastAsia="zh-CN"/>
          <w14:textFill>
            <w14:solidFill>
              <w14:schemeClr w14:val="tx1"/>
            </w14:solidFill>
          </w14:textFill>
        </w:rPr>
        <w:t>双方签字、盖章</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14:textFill>
            <w14:solidFill>
              <w14:schemeClr w14:val="tx1"/>
            </w14:solidFill>
          </w14:textFill>
        </w:rPr>
        <w:t>生效。</w:t>
      </w:r>
    </w:p>
    <w:p w14:paraId="3EF17F0C">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textAlignment w:val="auto"/>
        <w:rPr>
          <w:rFonts w:hint="default" w:ascii="Times New Roman" w:hAnsi="Times New Roman" w:eastAsia="方正小标宋_GBK" w:cs="Times New Roman"/>
          <w:b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方正小标宋_GBK" w:cs="Times New Roman"/>
          <w:b w:val="0"/>
          <w:color w:val="000000" w:themeColor="text1"/>
          <w:kern w:val="0"/>
          <w:sz w:val="24"/>
          <w:szCs w:val="24"/>
          <w:lang w:val="en-US" w:eastAsia="zh-CN" w:bidi="ar-SA"/>
          <w14:textFill>
            <w14:solidFill>
              <w14:schemeClr w14:val="tx1"/>
            </w14:solidFill>
          </w14:textFill>
        </w:rPr>
        <w:t xml:space="preserve">    </w:t>
      </w:r>
      <w:bookmarkStart w:id="373" w:name="_Toc351203493"/>
      <w:r>
        <w:rPr>
          <w:rFonts w:hint="default" w:ascii="Times New Roman" w:hAnsi="Times New Roman" w:eastAsia="方正小标宋_GBK" w:cs="Times New Roman"/>
          <w:b w:val="0"/>
          <w:color w:val="000000" w:themeColor="text1"/>
          <w:kern w:val="0"/>
          <w:sz w:val="24"/>
          <w:szCs w:val="24"/>
          <w:lang w:val="en-US" w:eastAsia="zh-CN" w:bidi="ar-SA"/>
          <w14:textFill>
            <w14:solidFill>
              <w14:schemeClr w14:val="tx1"/>
            </w14:solidFill>
          </w14:textFill>
        </w:rPr>
        <w:t xml:space="preserve">         十三、合同份数</w:t>
      </w:r>
      <w:bookmarkEnd w:id="373"/>
    </w:p>
    <w:p w14:paraId="1410FB64">
      <w:pPr>
        <w:pageBreakBefore w:val="0"/>
        <w:widowControl w:val="0"/>
        <w:kinsoku/>
        <w:wordWrap/>
        <w:overflowPunct/>
        <w:topLinePunct w:val="0"/>
        <w:bidi w:val="0"/>
        <w:snapToGrid/>
        <w:spacing w:line="400" w:lineRule="exact"/>
        <w:ind w:left="0" w:leftChars="0" w:right="0" w:rightChars="0" w:firstLine="480" w:firstLineChars="200"/>
        <w:textAlignment w:val="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本合同一式</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14:textFill>
            <w14:solidFill>
              <w14:schemeClr w14:val="tx1"/>
            </w14:solidFill>
          </w14:textFill>
        </w:rPr>
        <w:t>份，均具有同等法律效力，发包人执</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14:textFill>
            <w14:solidFill>
              <w14:schemeClr w14:val="tx1"/>
            </w14:solidFill>
          </w14:textFill>
        </w:rPr>
        <w:t>份，承包人执</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bCs/>
          <w:color w:val="000000" w:themeColor="text1"/>
          <w:sz w:val="24"/>
          <w:szCs w:val="24"/>
          <w14:textFill>
            <w14:solidFill>
              <w14:schemeClr w14:val="tx1"/>
            </w14:solidFill>
          </w14:textFill>
        </w:rPr>
        <w:t>份。</w:t>
      </w:r>
    </w:p>
    <w:p w14:paraId="3A8678D5">
      <w:pPr>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p>
    <w:p w14:paraId="6315894F">
      <w:pPr>
        <w:pageBreakBefore w:val="0"/>
        <w:widowControl w:val="0"/>
        <w:kinsoku/>
        <w:wordWrap/>
        <w:overflowPunct/>
        <w:topLinePunct w:val="0"/>
        <w:bidi w:val="0"/>
        <w:snapToGrid/>
        <w:spacing w:line="400" w:lineRule="exact"/>
        <w:ind w:left="0" w:leftChars="0" w:right="0" w:rightChars="0" w:firstLine="240" w:firstLineChars="10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公章</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承包人：  </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公章</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p>
    <w:p w14:paraId="28A0E2C3">
      <w:pPr>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439D83CF">
      <w:pPr>
        <w:pageBreakBefore w:val="0"/>
        <w:widowControl w:val="0"/>
        <w:kinsoku/>
        <w:wordWrap/>
        <w:overflowPunct/>
        <w:topLinePunct w:val="0"/>
        <w:bidi w:val="0"/>
        <w:snapToGrid/>
        <w:spacing w:line="400" w:lineRule="exact"/>
        <w:ind w:left="0" w:leftChars="0" w:right="0" w:rightChars="0" w:firstLine="240" w:firstLineChars="10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法定代表人或其委托代理人：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法定代表人或其委托代理人：</w:t>
      </w:r>
    </w:p>
    <w:p w14:paraId="3600A3D7">
      <w:pPr>
        <w:pageBreakBefore w:val="0"/>
        <w:widowControl w:val="0"/>
        <w:kinsoku/>
        <w:wordWrap/>
        <w:overflowPunct/>
        <w:topLinePunct w:val="0"/>
        <w:bidi w:val="0"/>
        <w:snapToGrid/>
        <w:spacing w:line="400" w:lineRule="exact"/>
        <w:ind w:left="0" w:leftChars="0" w:right="0" w:rightChars="0" w:firstLine="1200" w:firstLineChars="50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（签字）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（签字）</w:t>
      </w:r>
    </w:p>
    <w:p w14:paraId="407AE1F5">
      <w:pPr>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方正仿宋_GBK" w:cs="Times New Roman"/>
          <w:color w:val="000000" w:themeColor="text1"/>
          <w:sz w:val="24"/>
          <w:szCs w:val="24"/>
          <w:u w:val="single"/>
          <w14:textFill>
            <w14:solidFill>
              <w14:schemeClr w14:val="tx1"/>
            </w14:solidFill>
          </w14:textFill>
        </w:rPr>
      </w:pPr>
    </w:p>
    <w:p w14:paraId="446C1868">
      <w:pPr>
        <w:pageBreakBefore w:val="0"/>
        <w:widowControl w:val="0"/>
        <w:tabs>
          <w:tab w:val="left" w:pos="4410"/>
        </w:tabs>
        <w:kinsoku/>
        <w:wordWrap/>
        <w:overflowPunct/>
        <w:topLinePunct w:val="0"/>
        <w:bidi w:val="0"/>
        <w:snapToGrid/>
        <w:spacing w:line="400" w:lineRule="exact"/>
        <w:ind w:left="0" w:leftChars="0" w:right="0" w:rightChars="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组织机构代码：</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eastAsia"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组织机构代码：</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1EDC7D6D">
      <w:pPr>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地  址</w:t>
      </w:r>
      <w:r>
        <w:rPr>
          <w:rFonts w:hint="eastAsia"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eastAsia"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地  址：</w:t>
      </w:r>
      <w:r>
        <w:rPr>
          <w:rFonts w:hint="eastAsia"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r>
        <w:rPr>
          <w:rFonts w:hint="eastAsia"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287CE5B3">
      <w:pPr>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邮政编码：</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eastAsia"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邮政编码：</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eastAsia"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17042E2C">
      <w:pPr>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法定代表人：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法定代表人：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p>
    <w:p w14:paraId="66AB6A96">
      <w:pPr>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委托代理人：</w:t>
      </w:r>
      <w:r>
        <w:rPr>
          <w:rFonts w:hint="eastAsia"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eastAsia"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委托代理人：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eastAsia"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252CCACA">
      <w:pPr>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电  话：</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eastAsia"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电  话：</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eastAsia"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49FF683B">
      <w:pPr>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开户银行：</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eastAsia"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开户银行：</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eastAsia"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36E24F02">
      <w:pPr>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方正小标宋_GBK" w:cs="Times New Roman"/>
          <w:color w:val="000000" w:themeColor="text1"/>
          <w:sz w:val="28"/>
          <w:szCs w:val="28"/>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账  号：</w:t>
      </w:r>
      <w:r>
        <w:rPr>
          <w:rFonts w:hint="default" w:ascii="Times New Roman" w:hAnsi="Times New Roman" w:eastAsia="方正仿宋_GBK" w:cs="Times New Roman"/>
          <w:color w:val="000000" w:themeColor="text1"/>
          <w:sz w:val="24"/>
          <w:szCs w:val="24"/>
          <w:u w:val="single"/>
          <w14:textFill>
            <w14:solidFill>
              <w14:schemeClr w14:val="tx1"/>
            </w14:solidFill>
          </w14:textFill>
        </w:rPr>
        <w:t></w:t>
      </w:r>
      <w:r>
        <w:rPr>
          <w:rFonts w:hint="eastAsia"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账  号：</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eastAsia"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br w:type="page"/>
      </w:r>
      <w:bookmarkStart w:id="374" w:name="_Toc351203494"/>
      <w:r>
        <w:rPr>
          <w:rFonts w:hint="default" w:ascii="Times New Roman" w:hAnsi="Times New Roman" w:eastAsia="方正小标宋_GBK" w:cs="Times New Roman"/>
          <w:color w:val="000000" w:themeColor="text1"/>
          <w:sz w:val="28"/>
          <w:szCs w:val="28"/>
          <w14:textFill>
            <w14:solidFill>
              <w14:schemeClr w14:val="tx1"/>
            </w14:solidFill>
          </w14:textFill>
        </w:rPr>
        <w:t>第二部分 通用合同条款</w:t>
      </w:r>
      <w:bookmarkEnd w:id="374"/>
      <w:bookmarkStart w:id="375" w:name="_Toc337558727"/>
    </w:p>
    <w:p w14:paraId="19797BB6">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680" w:firstLineChars="7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376" w:name="_Toc351203495"/>
      <w:r>
        <w:rPr>
          <w:rFonts w:hint="default" w:ascii="Times New Roman" w:hAnsi="Times New Roman" w:eastAsia="方正小标宋_GBK" w:cs="Times New Roman"/>
          <w:b w:val="0"/>
          <w:color w:val="000000" w:themeColor="text1"/>
          <w:sz w:val="24"/>
          <w:szCs w:val="24"/>
          <w14:textFill>
            <w14:solidFill>
              <w14:schemeClr w14:val="tx1"/>
            </w14:solidFill>
          </w14:textFill>
        </w:rPr>
        <w:t>1.</w:t>
      </w:r>
      <w:bookmarkStart w:id="377" w:name="_Toc303538976"/>
      <w:bookmarkEnd w:id="377"/>
      <w:bookmarkStart w:id="378" w:name="_Toc303538973"/>
      <w:bookmarkEnd w:id="378"/>
      <w:bookmarkStart w:id="379" w:name="_Toc303538974"/>
      <w:bookmarkEnd w:id="379"/>
      <w:bookmarkStart w:id="380" w:name="_Toc303538975"/>
      <w:bookmarkEnd w:id="380"/>
      <w:bookmarkStart w:id="381" w:name="_Toc303538972"/>
      <w:bookmarkEnd w:id="381"/>
      <w:bookmarkStart w:id="382" w:name="_Toc296346528"/>
      <w:bookmarkStart w:id="383" w:name="_Toc296503027"/>
      <w:r>
        <w:rPr>
          <w:rFonts w:hint="default" w:ascii="Times New Roman" w:hAnsi="Times New Roman" w:eastAsia="方正小标宋_GBK" w:cs="Times New Roman"/>
          <w:b w:val="0"/>
          <w:color w:val="000000" w:themeColor="text1"/>
          <w:sz w:val="24"/>
          <w:szCs w:val="24"/>
          <w14:textFill>
            <w14:solidFill>
              <w14:schemeClr w14:val="tx1"/>
            </w14:solidFill>
          </w14:textFill>
        </w:rPr>
        <w:t xml:space="preserve"> 一般约定</w:t>
      </w:r>
      <w:bookmarkEnd w:id="375"/>
      <w:bookmarkEnd w:id="376"/>
      <w:bookmarkEnd w:id="382"/>
      <w:bookmarkEnd w:id="383"/>
    </w:p>
    <w:p w14:paraId="345CB567">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384" w:name="_Toc337558728"/>
      <w:bookmarkStart w:id="385" w:name="_Toc296346529"/>
      <w:bookmarkStart w:id="386" w:name="_Toc296503028"/>
      <w:bookmarkStart w:id="387" w:name="_Toc351203496"/>
      <w:r>
        <w:rPr>
          <w:rFonts w:hint="default" w:ascii="Times New Roman" w:hAnsi="Times New Roman" w:eastAsia="方正仿宋_GBK" w:cs="Times New Roman"/>
          <w:b w:val="0"/>
          <w:color w:val="000000" w:themeColor="text1"/>
          <w:sz w:val="24"/>
          <w:szCs w:val="24"/>
          <w14:textFill>
            <w14:solidFill>
              <w14:schemeClr w14:val="tx1"/>
            </w14:solidFill>
          </w14:textFill>
        </w:rPr>
        <w:t>1.1词语定义</w:t>
      </w:r>
      <w:bookmarkEnd w:id="384"/>
      <w:bookmarkEnd w:id="385"/>
      <w:bookmarkEnd w:id="386"/>
      <w:r>
        <w:rPr>
          <w:rFonts w:hint="default" w:ascii="Times New Roman" w:hAnsi="Times New Roman" w:eastAsia="方正仿宋_GBK" w:cs="Times New Roman"/>
          <w:b w:val="0"/>
          <w:color w:val="000000" w:themeColor="text1"/>
          <w:sz w:val="24"/>
          <w:szCs w:val="24"/>
          <w14:textFill>
            <w14:solidFill>
              <w14:schemeClr w14:val="tx1"/>
            </w14:solidFill>
          </w14:textFill>
        </w:rPr>
        <w:t>与解释</w:t>
      </w:r>
      <w:bookmarkEnd w:id="387"/>
    </w:p>
    <w:p w14:paraId="3AEACAE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合同协议书、通用合同条款、专用合同条款中的下列词语具有本款所赋予的含义：</w:t>
      </w:r>
    </w:p>
    <w:p w14:paraId="7ADF7409">
      <w:pPr>
        <w:pageBreakBefore w:val="0"/>
        <w:widowControl w:val="0"/>
        <w:kinsoku/>
        <w:wordWrap/>
        <w:overflowPunct/>
        <w:topLinePunct w:val="0"/>
        <w:autoSpaceDE w:val="0"/>
        <w:autoSpaceDN w:val="0"/>
        <w:bidi w:val="0"/>
        <w:adjustRightInd w:val="0"/>
        <w:snapToGrid/>
        <w:spacing w:line="400" w:lineRule="exact"/>
        <w:ind w:left="0" w:leftChars="0" w:right="0" w:rightChars="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    1.1.1 合同</w:t>
      </w:r>
    </w:p>
    <w:p w14:paraId="14B18CC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1.1.1.1 合同：是指根据法律规定和合同当事人约定具有约束力的文件，构成合同的文件包括合同协议书、中标通知书（如果有）、投标函及其附录（如果有）、专用合同条款</w:t>
      </w:r>
      <w:r>
        <w:rPr>
          <w:rFonts w:hint="default" w:ascii="Times New Roman" w:hAnsi="Times New Roman" w:eastAsia="方正仿宋_GBK" w:cs="Times New Roman"/>
          <w:color w:val="000000" w:themeColor="text1"/>
          <w:sz w:val="24"/>
          <w:szCs w:val="24"/>
          <w14:textFill>
            <w14:solidFill>
              <w14:schemeClr w14:val="tx1"/>
            </w14:solidFill>
          </w14:textFill>
        </w:rPr>
        <w:t>及其附件</w:t>
      </w:r>
      <w:r>
        <w:rPr>
          <w:rFonts w:hint="default" w:ascii="Times New Roman" w:hAnsi="Times New Roman" w:eastAsia="方正仿宋_GBK" w:cs="Times New Roman"/>
          <w:color w:val="000000" w:themeColor="text1"/>
          <w:kern w:val="0"/>
          <w:sz w:val="24"/>
          <w:szCs w:val="24"/>
          <w14:textFill>
            <w14:solidFill>
              <w14:schemeClr w14:val="tx1"/>
            </w14:solidFill>
          </w14:textFill>
        </w:rPr>
        <w:t>、通用合同条款、技术标准和要求、图纸、已标价工程量清单或预算书以及其他合同文件。</w:t>
      </w:r>
    </w:p>
    <w:p w14:paraId="1DAEE6E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1.1.1.2 合同协议书：是指构成合同的由发包人和承包人共同签署的称为“合同协议书”的书面文件。</w:t>
      </w:r>
    </w:p>
    <w:p w14:paraId="4BCF950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1.1.1.3 中标通知书：是指构成合同的由发包人通知承包人中标的书面文件。</w:t>
      </w:r>
    </w:p>
    <w:p w14:paraId="1C1B38D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1.1.1.4 投标函：是指构成合同的由承包人填写并签署的用于投标的称为“投标函”的文件。</w:t>
      </w:r>
    </w:p>
    <w:p w14:paraId="111E6B5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1.1.1.5 投标函附录：是指构成合同的附在投标函后的称为“投标函附录”的文件。</w:t>
      </w:r>
    </w:p>
    <w:p w14:paraId="45E60E7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1.1.1.6 技术标准和要求：是指构成合同的施工应当遵守的或指导施工的国家、行业或地方的技术标准和要求，以及合同约定的技术标准和要求。</w:t>
      </w:r>
    </w:p>
    <w:p w14:paraId="3589D34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1.1.1.7 图纸：是指构成合同的图纸，包括由发包人按照合同约定提供或经发包人批准的设计文件、施工图、鸟瞰图及模型等，以及在合同履行过程中形成的图纸文件。图纸应当按照法律规定审查合格。</w:t>
      </w:r>
    </w:p>
    <w:p w14:paraId="1B55C99B">
      <w:pPr>
        <w:pageBreakBefore w:val="0"/>
        <w:widowControl w:val="0"/>
        <w:kinsoku/>
        <w:wordWrap/>
        <w:overflowPunct/>
        <w:topLinePunct w:val="0"/>
        <w:autoSpaceDE w:val="0"/>
        <w:autoSpaceDN w:val="0"/>
        <w:bidi w:val="0"/>
        <w:adjustRightInd w:val="0"/>
        <w:snapToGrid/>
        <w:spacing w:line="400" w:lineRule="exact"/>
        <w:ind w:left="0" w:leftChars="0" w:right="0" w:rightChars="0" w:firstLine="468" w:firstLineChars="195"/>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1.1.1.8 已标价工程量清单：是指构成合同的由承包人按照规定的格式和要求填写并标明价格的工程量清单，包括说明和表格。</w:t>
      </w:r>
    </w:p>
    <w:p w14:paraId="57CC84F0">
      <w:pPr>
        <w:pageBreakBefore w:val="0"/>
        <w:widowControl w:val="0"/>
        <w:kinsoku/>
        <w:wordWrap/>
        <w:overflowPunct/>
        <w:topLinePunct w:val="0"/>
        <w:autoSpaceDE w:val="0"/>
        <w:autoSpaceDN w:val="0"/>
        <w:bidi w:val="0"/>
        <w:adjustRightInd w:val="0"/>
        <w:snapToGrid/>
        <w:spacing w:line="400" w:lineRule="exact"/>
        <w:ind w:left="0" w:leftChars="0" w:right="0" w:rightChars="0" w:firstLine="468" w:firstLineChars="195"/>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1.1.1.9 预算书：是指构成合同的由承包人按照发包人规定的格式和要求编制的工程预算文件。</w:t>
      </w:r>
    </w:p>
    <w:p w14:paraId="2B900B3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1.1.1.10 其他合同文件：是指经合同当事人约定的与工程施工有关的具有合同约束力的文件或书面协议。合同当事人可以在专用合同条款中进行约定。</w:t>
      </w:r>
    </w:p>
    <w:p w14:paraId="0EFB5FC3">
      <w:pPr>
        <w:pageBreakBefore w:val="0"/>
        <w:widowControl w:val="0"/>
        <w:kinsoku/>
        <w:wordWrap/>
        <w:overflowPunct/>
        <w:topLinePunct w:val="0"/>
        <w:autoSpaceDE w:val="0"/>
        <w:autoSpaceDN w:val="0"/>
        <w:bidi w:val="0"/>
        <w:adjustRightInd w:val="0"/>
        <w:snapToGrid/>
        <w:spacing w:line="400" w:lineRule="exact"/>
        <w:ind w:left="0" w:leftChars="0" w:right="0" w:rightChars="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    1.1.2 合同当事人及其他相关方</w:t>
      </w:r>
    </w:p>
    <w:p w14:paraId="21B49D9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1.1.2.1 合同当事人：是指发包人和（或）承包人。</w:t>
      </w:r>
    </w:p>
    <w:p w14:paraId="389588D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1.1.2.2 发包人：是指与承包人签订合同协议书的当事人及取得该当事人资格的合法继承人。</w:t>
      </w:r>
    </w:p>
    <w:p w14:paraId="2DB0408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1.1.2.3 承包人：是指与发包人签订合同协议书的，具有相应工程施工承包资质的当事人及取得该当事人资格的合法继承人。</w:t>
      </w:r>
    </w:p>
    <w:p w14:paraId="12C5A4A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1.1.2.4 监理人：是指在专用合同条款中指明的，受发包人委托按照法律规定进行工程监督管理的法人或其他组织。</w:t>
      </w:r>
    </w:p>
    <w:p w14:paraId="37B9A39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1.1.2.5 设计人：是指在专用合同条款中指明的，受发包人委托负责工程设计并具备相应工程设计资质的法人或其他组织。</w:t>
      </w:r>
    </w:p>
    <w:p w14:paraId="25FF48E3">
      <w:pPr>
        <w:pageBreakBefore w:val="0"/>
        <w:widowControl w:val="0"/>
        <w:kinsoku/>
        <w:wordWrap/>
        <w:overflowPunct/>
        <w:topLinePunct w:val="0"/>
        <w:bidi w:val="0"/>
        <w:snapToGrid/>
        <w:spacing w:line="400" w:lineRule="exact"/>
        <w:ind w:left="0" w:leftChars="0" w:right="0" w:rightChars="0" w:firstLine="468" w:firstLineChars="195"/>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1.1.2.6 分包人：</w:t>
      </w:r>
      <w:bookmarkStart w:id="388" w:name="#go5"/>
      <w:bookmarkEnd w:id="388"/>
      <w:r>
        <w:rPr>
          <w:rFonts w:hint="default" w:ascii="Times New Roman" w:hAnsi="Times New Roman" w:eastAsia="方正仿宋_GBK" w:cs="Times New Roman"/>
          <w:color w:val="000000" w:themeColor="text1"/>
          <w:kern w:val="0"/>
          <w:sz w:val="24"/>
          <w:szCs w:val="24"/>
          <w14:textFill>
            <w14:solidFill>
              <w14:schemeClr w14:val="tx1"/>
            </w14:solidFill>
          </w14:textFill>
        </w:rPr>
        <w:t>是指按照法律规定和合同约定，分包部分工程或工作，并与承包人签订分包合同的具有相应资质的法人。</w:t>
      </w:r>
    </w:p>
    <w:p w14:paraId="27F75EC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1.1.2.7 发包人代表：是指由发包人任命并派驻施工现场在发包人授权范围内行使发包人权利的人。</w:t>
      </w:r>
    </w:p>
    <w:p w14:paraId="059851E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1.1.2.8 项目经理：是指由承包人任命并派驻施工现场，在承包人授权范围内负责合同履行，且按照法律规定具有相应资格的项目负责人。</w:t>
      </w:r>
    </w:p>
    <w:p w14:paraId="33494EB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1.1.2.9 总监理工程师：是指由监理人任命并派驻施工现场进行工程监理的总负责人。</w:t>
      </w:r>
    </w:p>
    <w:p w14:paraId="7C51F59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1.1.3 工程和设备</w:t>
      </w:r>
    </w:p>
    <w:p w14:paraId="0EF140E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1.1.3.1 工程：是指与合同协议书中工程承包范围对应的永久工程和（或）临时工程。</w:t>
      </w:r>
    </w:p>
    <w:p w14:paraId="53A7E1B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1.1.3.2 永久工程：是指按合同约定建造并移交给发包人的工程，包括工程设备。</w:t>
      </w:r>
    </w:p>
    <w:p w14:paraId="50030AF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1.1.3.3 临时工程：是指为完成合同约定的永久工程所修建的各类临时性工程，不包括施工设备。</w:t>
      </w:r>
    </w:p>
    <w:p w14:paraId="22EF278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1.1.3.4 单位工程：是指在合同协议书中指明的，具备独立施工条件并能形成独立使用功能的永久工程。</w:t>
      </w:r>
    </w:p>
    <w:p w14:paraId="040D322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1.1.3.5 工程设备：是指构成永久工程的机电设备、金属结构设备、仪器及其他类似的设备和装置。</w:t>
      </w:r>
    </w:p>
    <w:p w14:paraId="27043F1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1.1.3.6 施工设备：是指为完成合同约定的各项工作所需的设备、器具和其他物品，但不包括工程设备、临时工程和材料。</w:t>
      </w:r>
    </w:p>
    <w:p w14:paraId="7193EA5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1.1.3.7 施工现场：是指用于工程施工的场所，以及在专用合同条款中指明作为施工场所组成部分的其他场所，包括永久占地和临时占地。</w:t>
      </w:r>
    </w:p>
    <w:p w14:paraId="4848EE7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1.1.3.8临时设施：是指为完成合同约定的各项工作所服务的临时性生产和生活设施。</w:t>
      </w:r>
    </w:p>
    <w:p w14:paraId="5A4A51F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1.1.3.9 永久占地：是指专用合同条款中指明为实施工程需永久占用的土地。</w:t>
      </w:r>
    </w:p>
    <w:p w14:paraId="5A209ED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1.1.3.10 临时占地：是指专用合同条款中指明为实施工程需要临时占用的土地。</w:t>
      </w:r>
    </w:p>
    <w:p w14:paraId="5ECAFDF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1.1.4 日期和期限</w:t>
      </w:r>
    </w:p>
    <w:p w14:paraId="0F19F7C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2D8B357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1.1.4.2 竣工日期：包括计划竣工日期和实际竣工日期。计划竣工日期是指合同协议书约定的竣工日期；实际竣工日期按照第13.2.3项〔竣工日期〕的约定确定。 </w:t>
      </w:r>
    </w:p>
    <w:p w14:paraId="204D2168">
      <w:pPr>
        <w:pageBreakBefore w:val="0"/>
        <w:widowControl w:val="0"/>
        <w:kinsoku/>
        <w:wordWrap/>
        <w:overflowPunct/>
        <w:topLinePunct w:val="0"/>
        <w:bidi w:val="0"/>
        <w:snapToGrid/>
        <w:spacing w:line="400" w:lineRule="exact"/>
        <w:ind w:left="0" w:leftChars="0" w:right="0" w:rightChars="0" w:firstLine="487" w:firstLineChars="203"/>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1.1.4.3 工期：是指在合同协议书约定的承包人完成工程所需的期限，包括按照合同约定所作的期限变更。</w:t>
      </w:r>
    </w:p>
    <w:p w14:paraId="5AB38B0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1.1.4.4 缺陷责任期：是指承包人按照合同约定承担缺陷修复义务，且发包人预留质量保证金</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24"/>
          <w:szCs w:val="24"/>
          <w14:textFill>
            <w14:solidFill>
              <w14:schemeClr w14:val="tx1"/>
            </w14:solidFill>
          </w14:textFill>
        </w:rPr>
        <w:t>已缴纳履约保证金的除外</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24"/>
          <w:szCs w:val="24"/>
          <w14:textFill>
            <w14:solidFill>
              <w14:schemeClr w14:val="tx1"/>
            </w14:solidFill>
          </w14:textFill>
        </w:rPr>
        <w:t>的期限，自工程实际竣工日期起计算。</w:t>
      </w:r>
    </w:p>
    <w:p w14:paraId="4073B23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1.1.4.5 保修期：是指承包人按照合同约定对工程承担保修责任的期限，从工程竣工验收合格之日起计算。</w:t>
      </w:r>
    </w:p>
    <w:p w14:paraId="2708424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1.1.4.6 基准日期：招标发包的工程以投标截止日前28天的日期为基准日期，直接发包的工程以合同签订日前28天的日期为基准日期。</w:t>
      </w:r>
    </w:p>
    <w:p w14:paraId="0AEA66A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1.1.4.7 天：除特别指明外，均指日历天。合同中按天计算时间的，开始当天不计入，从次日开始计算，期限最后一天的截止时间为当天24:00时。</w:t>
      </w:r>
    </w:p>
    <w:p w14:paraId="3730010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1.1.5 合同价格和费用</w:t>
      </w:r>
    </w:p>
    <w:p w14:paraId="1F409FE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1.1.5.1 签约合同价：是指</w:t>
      </w:r>
      <w:r>
        <w:rPr>
          <w:rFonts w:hint="default" w:ascii="Times New Roman" w:hAnsi="Times New Roman" w:eastAsia="方正仿宋_GBK" w:cs="Times New Roman"/>
          <w:color w:val="000000" w:themeColor="text1"/>
          <w:sz w:val="24"/>
          <w:szCs w:val="24"/>
          <w14:textFill>
            <w14:solidFill>
              <w14:schemeClr w14:val="tx1"/>
            </w14:solidFill>
          </w14:textFill>
        </w:rPr>
        <w:t>发包人和承包人在合同协议书中确定的总金额，包括安全文明施工费、暂估价及暂列金额等。</w:t>
      </w:r>
    </w:p>
    <w:p w14:paraId="0CD0C97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1.1.5.2 合同价格：是指发包人用于支付承包人按照合同约定完成承包范围内全部工作的金额，包括合同履行过程中按合同约定发生的价格变化。</w:t>
      </w:r>
    </w:p>
    <w:p w14:paraId="1C5013F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1.1.5.3 费用：是指为履行合同所发生的或将要发生的所有必需的开支，包括管理费和应分摊的其他费用，但不包括利润。</w:t>
      </w:r>
    </w:p>
    <w:p w14:paraId="28614B4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1.1.5.4 暂估价：是指发包人在工程量清单或预算书中提供的用于支付必然发生但暂时不能确定价格的材料、工程设备的单价、专业工程以及服务工作的金额。</w:t>
      </w:r>
    </w:p>
    <w:p w14:paraId="47928FD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等</w:t>
      </w:r>
      <w:r>
        <w:rPr>
          <w:rFonts w:hint="default" w:ascii="Times New Roman" w:hAnsi="Times New Roman" w:eastAsia="方正仿宋_GBK" w:cs="Times New Roman"/>
          <w:color w:val="000000" w:themeColor="text1"/>
          <w:kern w:val="0"/>
          <w:sz w:val="24"/>
          <w:szCs w:val="24"/>
          <w14:textFill>
            <w14:solidFill>
              <w14:schemeClr w14:val="tx1"/>
            </w14:solidFill>
          </w14:textFill>
        </w:rPr>
        <w:t>费用。</w:t>
      </w:r>
    </w:p>
    <w:p w14:paraId="40F66F0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1.1.5.6 计日工：是指合同履行过程中，承包人完成发包人提出的零星工作或需要采用计日工计价的变更工作时，按合同中约定的单价计价的一种方式。</w:t>
      </w:r>
    </w:p>
    <w:p w14:paraId="27A01F4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1.1.5.7 质量保证金</w:t>
      </w:r>
      <w:bookmarkStart w:id="389" w:name="#go2"/>
      <w:bookmarkEnd w:id="389"/>
      <w:r>
        <w:rPr>
          <w:rFonts w:hint="default" w:ascii="Times New Roman" w:hAnsi="Times New Roman" w:eastAsia="方正仿宋_GBK" w:cs="Times New Roman"/>
          <w:color w:val="000000" w:themeColor="text1"/>
          <w:kern w:val="0"/>
          <w:sz w:val="24"/>
          <w:szCs w:val="24"/>
          <w14:textFill>
            <w14:solidFill>
              <w14:schemeClr w14:val="tx1"/>
            </w14:solidFill>
          </w14:textFill>
        </w:rPr>
        <w:t>：是指按照第15.3款〔质量保证金〕约定承包人用于保证其在缺陷责任期内履行缺陷修补义务的担保</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89F46B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1.1.5.8 总价项目：是指在现行国家、行业以及地方的计量规则中无工程量计算规则，在已标价工程量清单或预算书中以总价或以费率形式计算的项目。</w:t>
      </w:r>
    </w:p>
    <w:p w14:paraId="136D8F4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1.1.6 其他</w:t>
      </w:r>
    </w:p>
    <w:p w14:paraId="0F66C9B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1.1.6.1 书面形式：是指合同文件、信函、电报、传真等可以有形地表现所载内容的形式。</w:t>
      </w:r>
    </w:p>
    <w:p w14:paraId="442E39E1">
      <w:pPr>
        <w:pStyle w:val="6"/>
        <w:pageBreakBefore w:val="0"/>
        <w:widowControl w:val="0"/>
        <w:kinsoku/>
        <w:wordWrap/>
        <w:overflowPunct/>
        <w:topLinePunct w:val="0"/>
        <w:bidi w:val="0"/>
        <w:snapToGrid/>
        <w:spacing w:before="0" w:beforeLines="0" w:after="0" w:afterLines="0" w:line="400" w:lineRule="exact"/>
        <w:ind w:left="0" w:leftChars="0" w:right="0" w:rightChars="0"/>
        <w:rPr>
          <w:rFonts w:hint="default" w:ascii="Times New Roman" w:hAnsi="Times New Roman" w:eastAsia="方正仿宋_GBK" w:cs="Times New Roman"/>
          <w:b w:val="0"/>
          <w:color w:val="000000" w:themeColor="text1"/>
          <w:sz w:val="24"/>
          <w:szCs w:val="24"/>
          <w14:textFill>
            <w14:solidFill>
              <w14:schemeClr w14:val="tx1"/>
            </w14:solidFill>
          </w14:textFill>
        </w:rPr>
      </w:pPr>
      <w:r>
        <w:rPr>
          <w:rFonts w:hint="default" w:ascii="Times New Roman" w:hAnsi="Times New Roman" w:eastAsia="方正仿宋_GBK" w:cs="Times New Roman"/>
          <w:b w:val="0"/>
          <w:color w:val="000000" w:themeColor="text1"/>
          <w:sz w:val="24"/>
          <w:szCs w:val="24"/>
          <w14:textFill>
            <w14:solidFill>
              <w14:schemeClr w14:val="tx1"/>
            </w14:solidFill>
          </w14:textFill>
        </w:rPr>
        <w:t xml:space="preserve">    </w:t>
      </w:r>
      <w:bookmarkStart w:id="390" w:name="_Toc337558729"/>
      <w:bookmarkStart w:id="391" w:name="_Toc296346530"/>
      <w:bookmarkStart w:id="392" w:name="_Toc351203497"/>
      <w:bookmarkStart w:id="393" w:name="_Toc296503029"/>
      <w:r>
        <w:rPr>
          <w:rFonts w:hint="default" w:ascii="Times New Roman" w:hAnsi="Times New Roman" w:eastAsia="方正仿宋_GBK" w:cs="Times New Roman"/>
          <w:b w:val="0"/>
          <w:color w:val="000000" w:themeColor="text1"/>
          <w:sz w:val="24"/>
          <w:szCs w:val="24"/>
          <w14:textFill>
            <w14:solidFill>
              <w14:schemeClr w14:val="tx1"/>
            </w14:solidFill>
          </w14:textFill>
        </w:rPr>
        <w:t>1.2语言文字</w:t>
      </w:r>
      <w:bookmarkEnd w:id="390"/>
      <w:bookmarkEnd w:id="391"/>
      <w:bookmarkEnd w:id="392"/>
      <w:bookmarkEnd w:id="393"/>
    </w:p>
    <w:p w14:paraId="21016A5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合同以中国的汉语简体文字编写、解释和说明。合同当事人在专用合同条款中约定使用两种以上语言时，汉语为优先解释和说明合同的语言。</w:t>
      </w:r>
    </w:p>
    <w:p w14:paraId="4AA57691">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394" w:name="_Toc337558730"/>
      <w:bookmarkStart w:id="395" w:name="_Toc296346531"/>
      <w:bookmarkStart w:id="396" w:name="_Toc351203498"/>
      <w:bookmarkStart w:id="397" w:name="_Toc296503030"/>
      <w:r>
        <w:rPr>
          <w:rFonts w:hint="default" w:ascii="Times New Roman" w:hAnsi="Times New Roman" w:eastAsia="方正仿宋_GBK" w:cs="Times New Roman"/>
          <w:b w:val="0"/>
          <w:color w:val="000000" w:themeColor="text1"/>
          <w:sz w:val="24"/>
          <w:szCs w:val="24"/>
          <w14:textFill>
            <w14:solidFill>
              <w14:schemeClr w14:val="tx1"/>
            </w14:solidFill>
          </w14:textFill>
        </w:rPr>
        <w:t>1.3法律</w:t>
      </w:r>
      <w:bookmarkEnd w:id="394"/>
      <w:bookmarkEnd w:id="395"/>
      <w:bookmarkEnd w:id="396"/>
      <w:bookmarkEnd w:id="397"/>
    </w:p>
    <w:p w14:paraId="4C73466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合同所称法律是指中华人民共和国法律、行政法规、部门规章，以及工程所在地的地方性法规、自治条例、单行条例和地方政府规章等。</w:t>
      </w:r>
    </w:p>
    <w:p w14:paraId="449F647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合同当事人可以在专用合同条款中约定合同适用的其他规范性文件。</w:t>
      </w:r>
    </w:p>
    <w:p w14:paraId="1D949A67">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398" w:name="_Toc351203499"/>
      <w:r>
        <w:rPr>
          <w:rFonts w:hint="default" w:ascii="Times New Roman" w:hAnsi="Times New Roman" w:eastAsia="方正仿宋_GBK" w:cs="Times New Roman"/>
          <w:b w:val="0"/>
          <w:color w:val="000000" w:themeColor="text1"/>
          <w:sz w:val="24"/>
          <w:szCs w:val="24"/>
          <w14:textFill>
            <w14:solidFill>
              <w14:schemeClr w14:val="tx1"/>
            </w14:solidFill>
          </w14:textFill>
        </w:rPr>
        <w:t>1.4 标准和规范</w:t>
      </w:r>
      <w:bookmarkEnd w:id="398"/>
    </w:p>
    <w:p w14:paraId="4008EE04">
      <w:pPr>
        <w:pageBreakBefore w:val="0"/>
        <w:widowControl w:val="0"/>
        <w:kinsoku/>
        <w:wordWrap/>
        <w:overflowPunct/>
        <w:topLinePunct w:val="0"/>
        <w:autoSpaceDE w:val="0"/>
        <w:autoSpaceDN w:val="0"/>
        <w:bidi w:val="0"/>
        <w:adjustRightInd w:val="0"/>
        <w:snapToGrid/>
        <w:spacing w:line="400" w:lineRule="exact"/>
        <w:ind w:left="0" w:leftChars="0" w:right="0" w:rightChars="0" w:firstLine="64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1.4.1 适用于工程的国家标准、行业标准、工程所在地的地方性标准，以及相应的规范、规程等，合同当事人有特别要求的，应在专用合同条款中约定。</w:t>
      </w:r>
    </w:p>
    <w:p w14:paraId="09141CE6">
      <w:pPr>
        <w:pageBreakBefore w:val="0"/>
        <w:widowControl w:val="0"/>
        <w:kinsoku/>
        <w:wordWrap/>
        <w:overflowPunct/>
        <w:topLinePunct w:val="0"/>
        <w:autoSpaceDE w:val="0"/>
        <w:autoSpaceDN w:val="0"/>
        <w:bidi w:val="0"/>
        <w:adjustRightInd w:val="0"/>
        <w:snapToGrid/>
        <w:spacing w:line="400" w:lineRule="exact"/>
        <w:ind w:left="0" w:leftChars="0" w:right="0" w:rightChars="0" w:firstLine="64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1.4.2 发包人要求使用国外标准、规范的，发包人负责提供原文版本和中文译本，并在专用合同条款中约定提供标准规范的名称、份数和时间。</w:t>
      </w:r>
    </w:p>
    <w:p w14:paraId="6AE8D71D">
      <w:pPr>
        <w:pageBreakBefore w:val="0"/>
        <w:widowControl w:val="0"/>
        <w:kinsoku/>
        <w:wordWrap/>
        <w:overflowPunct/>
        <w:topLinePunct w:val="0"/>
        <w:autoSpaceDE w:val="0"/>
        <w:autoSpaceDN w:val="0"/>
        <w:bidi w:val="0"/>
        <w:adjustRightInd w:val="0"/>
        <w:snapToGrid/>
        <w:spacing w:line="400" w:lineRule="exact"/>
        <w:ind w:left="0" w:leftChars="0" w:right="0" w:rightChars="0" w:firstLine="64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78E93B10">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399" w:name="_Toc351203500"/>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400" w:name="_Toc296503031"/>
      <w:bookmarkStart w:id="401" w:name="_Toc296346532"/>
      <w:bookmarkStart w:id="402" w:name="_Toc337558731"/>
      <w:r>
        <w:rPr>
          <w:rFonts w:hint="default" w:ascii="Times New Roman" w:hAnsi="Times New Roman" w:eastAsia="方正仿宋_GBK" w:cs="Times New Roman"/>
          <w:b w:val="0"/>
          <w:color w:val="000000" w:themeColor="text1"/>
          <w:sz w:val="24"/>
          <w:szCs w:val="24"/>
          <w14:textFill>
            <w14:solidFill>
              <w14:schemeClr w14:val="tx1"/>
            </w14:solidFill>
          </w14:textFill>
        </w:rPr>
        <w:t>.5 合同文件的优先顺序</w:t>
      </w:r>
      <w:bookmarkEnd w:id="399"/>
    </w:p>
    <w:bookmarkEnd w:id="400"/>
    <w:bookmarkEnd w:id="401"/>
    <w:bookmarkEnd w:id="402"/>
    <w:p w14:paraId="00DDEB9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组成合同的各项文件应互相解释，互为说明。除专用合同条款另有约定外，解释合同文件的优先顺序如下：</w:t>
      </w:r>
    </w:p>
    <w:p w14:paraId="68AAE50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（1）合同协议书；</w:t>
      </w:r>
    </w:p>
    <w:p w14:paraId="7CD0E92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（2）中标通知书（如果有）；</w:t>
      </w:r>
    </w:p>
    <w:p w14:paraId="41758B1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（3）投标函及其附录（如果有）；</w:t>
      </w:r>
    </w:p>
    <w:p w14:paraId="018FE2B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（4）专用合同条款</w:t>
      </w:r>
      <w:r>
        <w:rPr>
          <w:rFonts w:hint="default" w:ascii="Times New Roman" w:hAnsi="Times New Roman" w:eastAsia="方正仿宋_GBK" w:cs="Times New Roman"/>
          <w:color w:val="000000" w:themeColor="text1"/>
          <w:sz w:val="24"/>
          <w:szCs w:val="24"/>
          <w14:textFill>
            <w14:solidFill>
              <w14:schemeClr w14:val="tx1"/>
            </w14:solidFill>
          </w14:textFill>
        </w:rPr>
        <w:t>及其附件</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7501F9F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（5）通用合同条款；</w:t>
      </w:r>
    </w:p>
    <w:p w14:paraId="0B1EBD2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（6）技术标准和要求；</w:t>
      </w:r>
    </w:p>
    <w:p w14:paraId="6107D1D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（7）图纸；</w:t>
      </w:r>
    </w:p>
    <w:p w14:paraId="63F883D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（8）已标价工程量清单或预算书；</w:t>
      </w:r>
    </w:p>
    <w:p w14:paraId="3E46F97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（9）其他合同文件。</w:t>
      </w:r>
    </w:p>
    <w:p w14:paraId="7696D3D5">
      <w:pPr>
        <w:pageBreakBefore w:val="0"/>
        <w:widowControl w:val="0"/>
        <w:kinsoku/>
        <w:wordWrap/>
        <w:overflowPunct/>
        <w:topLinePunct w:val="0"/>
        <w:bidi w:val="0"/>
        <w:snapToGrid/>
        <w:spacing w:line="400" w:lineRule="exact"/>
        <w:ind w:left="0" w:leftChars="0" w:right="0" w:rightChars="0" w:firstLine="511" w:firstLineChars="213"/>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上述各项合同文件包括合同当事人就该项合同文件所作出的补充和修改，属于同一类内容的文件，应以最新签署的为准。</w:t>
      </w:r>
    </w:p>
    <w:p w14:paraId="053B8F2D">
      <w:pPr>
        <w:pageBreakBefore w:val="0"/>
        <w:widowControl w:val="0"/>
        <w:kinsoku/>
        <w:wordWrap/>
        <w:overflowPunct/>
        <w:topLinePunct w:val="0"/>
        <w:bidi w:val="0"/>
        <w:snapToGrid/>
        <w:spacing w:line="400" w:lineRule="exact"/>
        <w:ind w:left="0" w:leftChars="0" w:right="0" w:rightChars="0" w:firstLine="511" w:firstLineChars="213"/>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在合同订立及履行过程中形成的与合同有关的文件均构成合同文件组成部分，并根据其性质确定优先解释顺序。</w:t>
      </w:r>
    </w:p>
    <w:p w14:paraId="7CB2D671">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03" w:name="_Toc351203501"/>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404" w:name="_Toc296503032"/>
      <w:bookmarkStart w:id="405" w:name="_Toc296346533"/>
      <w:bookmarkStart w:id="406" w:name="_Toc337558732"/>
      <w:r>
        <w:rPr>
          <w:rFonts w:hint="default" w:ascii="Times New Roman" w:hAnsi="Times New Roman" w:eastAsia="方正仿宋_GBK" w:cs="Times New Roman"/>
          <w:b w:val="0"/>
          <w:color w:val="000000" w:themeColor="text1"/>
          <w:sz w:val="24"/>
          <w:szCs w:val="24"/>
          <w14:textFill>
            <w14:solidFill>
              <w14:schemeClr w14:val="tx1"/>
            </w14:solidFill>
          </w14:textFill>
        </w:rPr>
        <w:t>.6图纸和承包人文件</w:t>
      </w:r>
      <w:bookmarkEnd w:id="403"/>
    </w:p>
    <w:bookmarkEnd w:id="404"/>
    <w:bookmarkEnd w:id="405"/>
    <w:bookmarkEnd w:id="406"/>
    <w:p w14:paraId="0F6B108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1.6.1 图纸的提供和交底</w:t>
      </w:r>
    </w:p>
    <w:p w14:paraId="432AE9B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71BD369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因发包人未按合同约定提供图纸导致承包人费用增加和（或）工期延误的，按照第7.5.1项〔因发包人原因导致工期延误〕约定办理。</w:t>
      </w:r>
    </w:p>
    <w:p w14:paraId="5100BC7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1.6.2 图纸的错误</w:t>
      </w:r>
    </w:p>
    <w:p w14:paraId="24C91FD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2397FBF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1.6.3 图纸的修改和补充</w:t>
      </w:r>
    </w:p>
    <w:p w14:paraId="28CDDDF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图纸需要修改和补充的，应经图纸原设计人及审批部门同意，并由监理人在工程或工程相应部位施工前将修改后的图纸或补充图纸提交给承包人，承包人应按修改或补充后的图纸施工。</w:t>
      </w:r>
    </w:p>
    <w:p w14:paraId="755D4D4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1.6.4 承包人文件</w:t>
      </w:r>
    </w:p>
    <w:p w14:paraId="19111EE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承包人应按照专用合同条款的约定提供应当由其编制的与工程施工有关的文件，并按照专用合同条款约定的期限、数量和形式提交监理人，并由监理人报送发包人。</w:t>
      </w:r>
    </w:p>
    <w:p w14:paraId="5F54E08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0EB575B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1.6.5 图纸和承包人文件的保管</w:t>
      </w:r>
    </w:p>
    <w:p w14:paraId="4448EAD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除专用合同条款另有约定外，承包人应在施工现场另外保存一套完整的图纸和承包人文件，供发包人、监理人及有关人员进行工程检查时使用。</w:t>
      </w:r>
    </w:p>
    <w:p w14:paraId="2090BA2A">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07" w:name="_Toc351203502"/>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408" w:name="_Toc296346534"/>
      <w:bookmarkStart w:id="409" w:name="_Toc296503033"/>
      <w:bookmarkStart w:id="410" w:name="_Toc337558733"/>
      <w:r>
        <w:rPr>
          <w:rFonts w:hint="default" w:ascii="Times New Roman" w:hAnsi="Times New Roman" w:eastAsia="方正仿宋_GBK" w:cs="Times New Roman"/>
          <w:b w:val="0"/>
          <w:color w:val="000000" w:themeColor="text1"/>
          <w:sz w:val="24"/>
          <w:szCs w:val="24"/>
          <w14:textFill>
            <w14:solidFill>
              <w14:schemeClr w14:val="tx1"/>
            </w14:solidFill>
          </w14:textFill>
        </w:rPr>
        <w:t>.7联络</w:t>
      </w:r>
      <w:bookmarkEnd w:id="407"/>
    </w:p>
    <w:bookmarkEnd w:id="408"/>
    <w:bookmarkEnd w:id="409"/>
    <w:bookmarkEnd w:id="410"/>
    <w:p w14:paraId="43582EF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1.7.1 与合同有关的通知、批准、证明、证书、指示、指令、要求、请求、同意、意见、确定和决定等，均应采用书面形式，并应在合同约定的期限内送达接收人和送达地点。</w:t>
      </w:r>
    </w:p>
    <w:p w14:paraId="1F9A0B8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1.7.2 发包人和承包人应在专用合同条款中约定各自的送达接收人和送达地点。任何一方合同当事人指定的接收人或送达地点发生变动的，应提前3天以书面形式通知对方。</w:t>
      </w:r>
    </w:p>
    <w:p w14:paraId="51EB5A8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1.7.3 发包人和承包人应当及时签收另一方</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送达</w:t>
      </w:r>
      <w:r>
        <w:rPr>
          <w:rFonts w:hint="default" w:ascii="Times New Roman" w:hAnsi="Times New Roman" w:eastAsia="方正仿宋_GBK" w:cs="Times New Roman"/>
          <w:color w:val="000000" w:themeColor="text1"/>
          <w:kern w:val="0"/>
          <w:sz w:val="24"/>
          <w:szCs w:val="24"/>
          <w14:textFill>
            <w14:solidFill>
              <w14:schemeClr w14:val="tx1"/>
            </w14:solidFill>
          </w14:textFill>
        </w:rPr>
        <w:t>地点和指定接收人的来往信函。拒不签收的，由此增加的费用和（或）延误的工期由拒绝接收一方承担。</w:t>
      </w:r>
    </w:p>
    <w:p w14:paraId="758FE623">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11" w:name="_Toc351203503"/>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412" w:name="_Toc296503035"/>
      <w:bookmarkStart w:id="413" w:name="_Toc337558734"/>
      <w:bookmarkStart w:id="414" w:name="_Toc296346536"/>
      <w:r>
        <w:rPr>
          <w:rFonts w:hint="default" w:ascii="Times New Roman" w:hAnsi="Times New Roman" w:eastAsia="方正仿宋_GBK" w:cs="Times New Roman"/>
          <w:b w:val="0"/>
          <w:color w:val="000000" w:themeColor="text1"/>
          <w:sz w:val="24"/>
          <w:szCs w:val="24"/>
          <w14:textFill>
            <w14:solidFill>
              <w14:schemeClr w14:val="tx1"/>
            </w14:solidFill>
          </w14:textFill>
        </w:rPr>
        <w:t>.8严禁贿赂</w:t>
      </w:r>
      <w:bookmarkEnd w:id="411"/>
    </w:p>
    <w:bookmarkEnd w:id="412"/>
    <w:bookmarkEnd w:id="413"/>
    <w:bookmarkEnd w:id="414"/>
    <w:p w14:paraId="359111B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029AEE7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承包人不得与监理人或发包人聘请的第三方串通损害发包人利益。未经发包人书面同意，承包人不得为监理人提供合同约定以外的通讯设备、交通工具及其他任何形式的利益，不得向监理人支付报酬。</w:t>
      </w:r>
    </w:p>
    <w:p w14:paraId="364D9FD9">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15" w:name="_Toc351203504"/>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416" w:name="_Toc296503036"/>
      <w:bookmarkStart w:id="417" w:name="_Toc296346537"/>
      <w:bookmarkStart w:id="418" w:name="_Toc337558735"/>
      <w:r>
        <w:rPr>
          <w:rFonts w:hint="default" w:ascii="Times New Roman" w:hAnsi="Times New Roman" w:eastAsia="方正仿宋_GBK" w:cs="Times New Roman"/>
          <w:b w:val="0"/>
          <w:color w:val="000000" w:themeColor="text1"/>
          <w:sz w:val="24"/>
          <w:szCs w:val="24"/>
          <w14:textFill>
            <w14:solidFill>
              <w14:schemeClr w14:val="tx1"/>
            </w14:solidFill>
          </w14:textFill>
        </w:rPr>
        <w:t>.9化石、文物</w:t>
      </w:r>
      <w:bookmarkEnd w:id="415"/>
    </w:p>
    <w:bookmarkEnd w:id="416"/>
    <w:bookmarkEnd w:id="417"/>
    <w:bookmarkEnd w:id="418"/>
    <w:p w14:paraId="5CC46B3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2A14FF7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发包人、监理人和承包人应按有关政府行政管理部门要求采取妥善的保护措施，由此增加的费用和（或）延误的工期由发包人承担。</w:t>
      </w:r>
    </w:p>
    <w:p w14:paraId="381A39C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承包人发现文物后不及时报告或隐瞒不报，致使文物丢失或损坏的，应赔偿损失，并承担相应的法律责任。</w:t>
      </w:r>
    </w:p>
    <w:p w14:paraId="3A6627A4">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19" w:name="_Toc351203505"/>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420" w:name="_Toc337558736"/>
      <w:r>
        <w:rPr>
          <w:rFonts w:hint="default" w:ascii="Times New Roman" w:hAnsi="Times New Roman" w:eastAsia="方正仿宋_GBK" w:cs="Times New Roman"/>
          <w:b w:val="0"/>
          <w:color w:val="000000" w:themeColor="text1"/>
          <w:sz w:val="24"/>
          <w:szCs w:val="24"/>
          <w14:textFill>
            <w14:solidFill>
              <w14:schemeClr w14:val="tx1"/>
            </w14:solidFill>
          </w14:textFill>
        </w:rPr>
        <w:t>.10交通运输</w:t>
      </w:r>
      <w:bookmarkEnd w:id="419"/>
    </w:p>
    <w:bookmarkEnd w:id="420"/>
    <w:p w14:paraId="55E3C83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1.10.1 出入现场的权利</w:t>
      </w:r>
    </w:p>
    <w:p w14:paraId="63AB072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29292A6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承包人应在订立合同前查勘施工现场，并根据工程规模及技术参数合理预见工程施工所需的进出施工现场的方式、手段、路径等。因承包人未合理预见所增加的费用和（或）延误的工期由承包人承担。</w:t>
      </w:r>
    </w:p>
    <w:p w14:paraId="5BCB9CB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1.10.2 场外交通</w:t>
      </w:r>
    </w:p>
    <w:p w14:paraId="19E65B1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27A4E59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1.10.3场内交通</w:t>
      </w:r>
    </w:p>
    <w:p w14:paraId="30C29D1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7473076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2A3D926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场外交通和场内交通的边界由合同当事人在专用合同条款中约定。</w:t>
      </w:r>
    </w:p>
    <w:p w14:paraId="1D40851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1.10.4 超大件和超重件的运输</w:t>
      </w:r>
    </w:p>
    <w:p w14:paraId="1E48968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3C7EA74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1.10.5 道路和桥梁的损坏责任</w:t>
      </w:r>
    </w:p>
    <w:p w14:paraId="403F679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因承包人运输造成施工场地内外公共道路和桥梁损坏的，由承包人承担修复损坏的全部费用和可能引起的赔偿。</w:t>
      </w:r>
    </w:p>
    <w:p w14:paraId="4C753CE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1.10.6 水路和航空运输</w:t>
      </w:r>
    </w:p>
    <w:p w14:paraId="5AE4A6A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本款前述各项的内容适用于水路运输和航空运输，其中“道路”一词的</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含义</w:t>
      </w:r>
      <w:r>
        <w:rPr>
          <w:rFonts w:hint="default" w:ascii="Times New Roman" w:hAnsi="Times New Roman" w:eastAsia="方正仿宋_GBK" w:cs="Times New Roman"/>
          <w:color w:val="000000" w:themeColor="text1"/>
          <w:kern w:val="0"/>
          <w:sz w:val="24"/>
          <w:szCs w:val="24"/>
          <w14:textFill>
            <w14:solidFill>
              <w14:schemeClr w14:val="tx1"/>
            </w14:solidFill>
          </w14:textFill>
        </w:rPr>
        <w:t>包括河道、航线、船闸、机场、码头、堤防以及水路或航空运输中其他相似结构物；“车辆”一词的</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含义</w:t>
      </w:r>
      <w:r>
        <w:rPr>
          <w:rFonts w:hint="default" w:ascii="Times New Roman" w:hAnsi="Times New Roman" w:eastAsia="方正仿宋_GBK" w:cs="Times New Roman"/>
          <w:color w:val="000000" w:themeColor="text1"/>
          <w:kern w:val="0"/>
          <w:sz w:val="24"/>
          <w:szCs w:val="24"/>
          <w14:textFill>
            <w14:solidFill>
              <w14:schemeClr w14:val="tx1"/>
            </w14:solidFill>
          </w14:textFill>
        </w:rPr>
        <w:t>包括船舶和飞机等。</w:t>
      </w:r>
    </w:p>
    <w:p w14:paraId="1FC37F64">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21" w:name="_Toc351203506"/>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422" w:name="_Toc337558737"/>
      <w:bookmarkStart w:id="423" w:name="_Toc296346538"/>
      <w:bookmarkStart w:id="424" w:name="_Toc296503037"/>
      <w:r>
        <w:rPr>
          <w:rFonts w:hint="default" w:ascii="Times New Roman" w:hAnsi="Times New Roman" w:eastAsia="方正仿宋_GBK" w:cs="Times New Roman"/>
          <w:b w:val="0"/>
          <w:color w:val="000000" w:themeColor="text1"/>
          <w:sz w:val="24"/>
          <w:szCs w:val="24"/>
          <w14:textFill>
            <w14:solidFill>
              <w14:schemeClr w14:val="tx1"/>
            </w14:solidFill>
          </w14:textFill>
        </w:rPr>
        <w:t>.11知识产权</w:t>
      </w:r>
      <w:bookmarkEnd w:id="421"/>
      <w:r>
        <w:rPr>
          <w:rFonts w:hint="default" w:ascii="Times New Roman" w:hAnsi="Times New Roman" w:eastAsia="方正仿宋_GBK" w:cs="Times New Roman"/>
          <w:b w:val="0"/>
          <w:color w:val="000000" w:themeColor="text1"/>
          <w:sz w:val="24"/>
          <w:szCs w:val="24"/>
          <w14:textFill>
            <w14:solidFill>
              <w14:schemeClr w14:val="tx1"/>
            </w14:solidFill>
          </w14:textFill>
        </w:rPr>
        <w:t xml:space="preserve"> </w:t>
      </w:r>
      <w:bookmarkEnd w:id="422"/>
    </w:p>
    <w:bookmarkEnd w:id="423"/>
    <w:bookmarkEnd w:id="424"/>
    <w:p w14:paraId="3487A7B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29B4C6F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0CB1338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4F8B31CD">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1.11.4 除专用合同条款另有约定外，承包人在合同签订前和签订时已确定采用的专利、专有技术、技术秘密的使用费已包含在签约合同价中。</w:t>
      </w:r>
    </w:p>
    <w:p w14:paraId="654F50A4">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25" w:name="_Toc351203507"/>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426" w:name="_Toc337558738"/>
      <w:r>
        <w:rPr>
          <w:rFonts w:hint="default" w:ascii="Times New Roman" w:hAnsi="Times New Roman" w:eastAsia="方正仿宋_GBK" w:cs="Times New Roman"/>
          <w:b w:val="0"/>
          <w:color w:val="000000" w:themeColor="text1"/>
          <w:sz w:val="24"/>
          <w:szCs w:val="24"/>
          <w14:textFill>
            <w14:solidFill>
              <w14:schemeClr w14:val="tx1"/>
            </w14:solidFill>
          </w14:textFill>
        </w:rPr>
        <w:t>.12保密</w:t>
      </w:r>
      <w:bookmarkEnd w:id="425"/>
    </w:p>
    <w:bookmarkEnd w:id="426"/>
    <w:p w14:paraId="0CB5116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除法律规定或合同另有约定外，未经发包人同意，承包人不得将发包人提供的图纸、文件以及声明需要保密的资料信息等商业秘密泄露给第三方。</w:t>
      </w:r>
    </w:p>
    <w:p w14:paraId="22FF3DA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除法律规定或合同另有约定外，未经承包人同意，发包人不得将承包人提供的技术秘密及声明需要保密的资料信息等商业秘密泄露给第三方。</w:t>
      </w:r>
    </w:p>
    <w:p w14:paraId="5B245D05">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27" w:name="_Toc351203508"/>
      <w:r>
        <w:rPr>
          <w:rFonts w:hint="default" w:ascii="Times New Roman" w:hAnsi="Times New Roman" w:eastAsia="方正仿宋_GBK" w:cs="Times New Roman"/>
          <w:b w:val="0"/>
          <w:color w:val="000000" w:themeColor="text1"/>
          <w:sz w:val="24"/>
          <w:szCs w:val="24"/>
          <w14:textFill>
            <w14:solidFill>
              <w14:schemeClr w14:val="tx1"/>
            </w14:solidFill>
          </w14:textFill>
        </w:rPr>
        <w:t>1.13工程量清单错误的修正</w:t>
      </w:r>
      <w:bookmarkEnd w:id="427"/>
    </w:p>
    <w:p w14:paraId="1E60274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除专用合同条款另有约定外，发包人提供的工程量清单，应被认为是准确的和完整的。出现下列情形之一时，发包人应予以修正，并相应调整合同价格：</w:t>
      </w:r>
    </w:p>
    <w:p w14:paraId="44A9767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（1）工程量清单存在缺项、漏项的；</w:t>
      </w:r>
    </w:p>
    <w:p w14:paraId="0980B0F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（2）工程量清单偏差超出专用合同条款约定的工程量偏差范围的；</w:t>
      </w:r>
    </w:p>
    <w:p w14:paraId="04477C0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（3）未按照国家现行计量规范强制性规定计量的。</w:t>
      </w:r>
    </w:p>
    <w:p w14:paraId="42EBC1E6">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28" w:name="_Toc351203509"/>
    </w:p>
    <w:p w14:paraId="0657C8B7">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r>
        <w:rPr>
          <w:rFonts w:hint="default" w:ascii="Times New Roman" w:hAnsi="Times New Roman" w:eastAsia="方正小标宋_GBK" w:cs="Times New Roman"/>
          <w:b w:val="0"/>
          <w:color w:val="000000" w:themeColor="text1"/>
          <w:sz w:val="24"/>
          <w:szCs w:val="24"/>
          <w14:textFill>
            <w14:solidFill>
              <w14:schemeClr w14:val="tx1"/>
            </w14:solidFill>
          </w14:textFill>
        </w:rPr>
        <w:t>2</w:t>
      </w:r>
      <w:bookmarkStart w:id="429" w:name="_Toc296346539"/>
      <w:bookmarkStart w:id="430" w:name="_Toc296503038"/>
      <w:bookmarkStart w:id="431" w:name="_Toc337558739"/>
      <w:bookmarkStart w:id="432" w:name="OLE_LINK1"/>
      <w:bookmarkStart w:id="433" w:name="OLE_LINK2"/>
      <w:r>
        <w:rPr>
          <w:rFonts w:hint="default" w:ascii="Times New Roman" w:hAnsi="Times New Roman" w:eastAsia="方正小标宋_GBK" w:cs="Times New Roman"/>
          <w:b w:val="0"/>
          <w:color w:val="000000" w:themeColor="text1"/>
          <w:sz w:val="24"/>
          <w:szCs w:val="24"/>
          <w14:textFill>
            <w14:solidFill>
              <w14:schemeClr w14:val="tx1"/>
            </w14:solidFill>
          </w14:textFill>
        </w:rPr>
        <w:t>. 发包人</w:t>
      </w:r>
      <w:bookmarkEnd w:id="428"/>
    </w:p>
    <w:bookmarkEnd w:id="429"/>
    <w:bookmarkEnd w:id="430"/>
    <w:bookmarkEnd w:id="431"/>
    <w:p w14:paraId="07C65F9C">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34" w:name="_Toc351203510"/>
      <w:r>
        <w:rPr>
          <w:rFonts w:hint="default" w:ascii="Times New Roman" w:hAnsi="Times New Roman" w:eastAsia="方正仿宋_GBK" w:cs="Times New Roman"/>
          <w:b w:val="0"/>
          <w:color w:val="000000" w:themeColor="text1"/>
          <w:sz w:val="24"/>
          <w:szCs w:val="24"/>
          <w14:textFill>
            <w14:solidFill>
              <w14:schemeClr w14:val="tx1"/>
            </w14:solidFill>
          </w14:textFill>
        </w:rPr>
        <w:t>2</w:t>
      </w:r>
      <w:bookmarkStart w:id="435" w:name="_Toc337558740"/>
      <w:bookmarkStart w:id="436" w:name="_Toc296346540"/>
      <w:bookmarkStart w:id="437" w:name="_Toc296503039"/>
      <w:r>
        <w:rPr>
          <w:rFonts w:hint="default" w:ascii="Times New Roman" w:hAnsi="Times New Roman" w:eastAsia="方正仿宋_GBK" w:cs="Times New Roman"/>
          <w:b w:val="0"/>
          <w:color w:val="000000" w:themeColor="text1"/>
          <w:sz w:val="24"/>
          <w:szCs w:val="24"/>
          <w14:textFill>
            <w14:solidFill>
              <w14:schemeClr w14:val="tx1"/>
            </w14:solidFill>
          </w14:textFill>
        </w:rPr>
        <w:t>.1 许可或批准</w:t>
      </w:r>
      <w:bookmarkEnd w:id="434"/>
    </w:p>
    <w:p w14:paraId="5BD496E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014009B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因发包人原因未能及时办理完毕前述许可、批准或备案，由发包人承担由此增加的费用和（或）延误的工期，并支付承包人合理的利润。</w:t>
      </w:r>
    </w:p>
    <w:p w14:paraId="75E7062D">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38" w:name="_Toc351203511"/>
      <w:r>
        <w:rPr>
          <w:rFonts w:hint="default" w:ascii="Times New Roman" w:hAnsi="Times New Roman" w:eastAsia="方正仿宋_GBK" w:cs="Times New Roman"/>
          <w:b w:val="0"/>
          <w:color w:val="000000" w:themeColor="text1"/>
          <w:sz w:val="24"/>
          <w:szCs w:val="24"/>
          <w14:textFill>
            <w14:solidFill>
              <w14:schemeClr w14:val="tx1"/>
            </w14:solidFill>
          </w14:textFill>
        </w:rPr>
        <w:t>2.2 发包人代表</w:t>
      </w:r>
      <w:bookmarkEnd w:id="438"/>
    </w:p>
    <w:p w14:paraId="02EC763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7C32238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发包人代表不能按照合同约定履行其职责及义务，并导致合同无法继续正常履行的，承包人可以要求发包人撤换发包人代表。</w:t>
      </w:r>
    </w:p>
    <w:p w14:paraId="172872B9">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不属于法定必须监理的工程，监理人的职权可以由发包人代表或发包人指定的其他人员行使。</w:t>
      </w:r>
    </w:p>
    <w:p w14:paraId="7E70F80C">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39" w:name="_Toc351203512"/>
      <w:r>
        <w:rPr>
          <w:rFonts w:hint="default" w:ascii="Times New Roman" w:hAnsi="Times New Roman" w:eastAsia="方正仿宋_GBK" w:cs="Times New Roman"/>
          <w:b w:val="0"/>
          <w:color w:val="000000" w:themeColor="text1"/>
          <w:sz w:val="24"/>
          <w:szCs w:val="24"/>
          <w14:textFill>
            <w14:solidFill>
              <w14:schemeClr w14:val="tx1"/>
            </w14:solidFill>
          </w14:textFill>
        </w:rPr>
        <w:t>2.3 发包人人员</w:t>
      </w:r>
      <w:bookmarkEnd w:id="439"/>
    </w:p>
    <w:p w14:paraId="5F28C69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发包人应要求在施工现场的发包人人员遵守法律及有关安全、质量、环境保护、文明施工等规定，并保障承包人免于承受因发包人人员未遵守上述要求给承包人造成的损失和责任。</w:t>
      </w:r>
    </w:p>
    <w:p w14:paraId="0A827253">
      <w:pPr>
        <w:pageBreakBefore w:val="0"/>
        <w:widowControl w:val="0"/>
        <w:kinsoku/>
        <w:wordWrap/>
        <w:overflowPunct/>
        <w:topLinePunct w:val="0"/>
        <w:bidi w:val="0"/>
        <w:snapToGrid/>
        <w:spacing w:line="400" w:lineRule="exact"/>
        <w:ind w:left="0" w:leftChars="0" w:right="0" w:rightChars="0" w:firstLine="64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发包人人员包括发包人代表及其他由发包人派驻施工现场的人员。</w:t>
      </w:r>
      <w:bookmarkEnd w:id="435"/>
      <w:bookmarkEnd w:id="436"/>
      <w:bookmarkEnd w:id="437"/>
    </w:p>
    <w:p w14:paraId="7F7C9929">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40" w:name="_Toc351203513"/>
      <w:r>
        <w:rPr>
          <w:rFonts w:hint="default" w:ascii="Times New Roman" w:hAnsi="Times New Roman" w:eastAsia="方正仿宋_GBK" w:cs="Times New Roman"/>
          <w:b w:val="0"/>
          <w:color w:val="000000" w:themeColor="text1"/>
          <w:sz w:val="24"/>
          <w:szCs w:val="24"/>
          <w14:textFill>
            <w14:solidFill>
              <w14:schemeClr w14:val="tx1"/>
            </w14:solidFill>
          </w14:textFill>
        </w:rPr>
        <w:t>2</w:t>
      </w:r>
      <w:bookmarkStart w:id="441" w:name="_Toc296503040"/>
      <w:bookmarkStart w:id="442" w:name="_Toc337558741"/>
      <w:bookmarkStart w:id="443" w:name="_Toc296346541"/>
      <w:r>
        <w:rPr>
          <w:rFonts w:hint="default" w:ascii="Times New Roman" w:hAnsi="Times New Roman" w:eastAsia="方正仿宋_GBK" w:cs="Times New Roman"/>
          <w:b w:val="0"/>
          <w:color w:val="000000" w:themeColor="text1"/>
          <w:sz w:val="24"/>
          <w:szCs w:val="24"/>
          <w14:textFill>
            <w14:solidFill>
              <w14:schemeClr w14:val="tx1"/>
            </w14:solidFill>
          </w14:textFill>
        </w:rPr>
        <w:t>.4 施工现场、施工条件和基础资料的提供</w:t>
      </w:r>
      <w:bookmarkEnd w:id="440"/>
      <w:r>
        <w:rPr>
          <w:rFonts w:hint="default" w:ascii="Times New Roman" w:hAnsi="Times New Roman" w:eastAsia="方正仿宋_GBK" w:cs="Times New Roman"/>
          <w:b w:val="0"/>
          <w:color w:val="000000" w:themeColor="text1"/>
          <w:sz w:val="24"/>
          <w:szCs w:val="24"/>
          <w14:textFill>
            <w14:solidFill>
              <w14:schemeClr w14:val="tx1"/>
            </w14:solidFill>
          </w14:textFill>
        </w:rPr>
        <w:t xml:space="preserve"> </w:t>
      </w:r>
      <w:bookmarkEnd w:id="441"/>
      <w:bookmarkEnd w:id="442"/>
      <w:bookmarkEnd w:id="443"/>
      <w:r>
        <w:rPr>
          <w:rFonts w:hint="default" w:ascii="Times New Roman" w:hAnsi="Times New Roman" w:eastAsia="方正仿宋_GBK" w:cs="Times New Roman"/>
          <w:b w:val="0"/>
          <w:color w:val="000000" w:themeColor="text1"/>
          <w:sz w:val="24"/>
          <w:szCs w:val="24"/>
          <w14:textFill>
            <w14:solidFill>
              <w14:schemeClr w14:val="tx1"/>
            </w14:solidFill>
          </w14:textFill>
        </w:rPr>
        <w:t xml:space="preserve"> </w:t>
      </w:r>
    </w:p>
    <w:p w14:paraId="14B50C8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2.4.1 提供施工现场</w:t>
      </w:r>
    </w:p>
    <w:p w14:paraId="3A20E6E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w:t>
      </w:r>
      <w:bookmarkEnd w:id="432"/>
      <w:bookmarkEnd w:id="433"/>
      <w:r>
        <w:rPr>
          <w:rFonts w:hint="default" w:ascii="Times New Roman" w:hAnsi="Times New Roman" w:eastAsia="方正仿宋_GBK" w:cs="Times New Roman"/>
          <w:color w:val="000000" w:themeColor="text1"/>
          <w:kern w:val="0"/>
          <w:sz w:val="24"/>
          <w:szCs w:val="24"/>
          <w14:textFill>
            <w14:solidFill>
              <w14:schemeClr w14:val="tx1"/>
            </w14:solidFill>
          </w14:textFill>
        </w:rPr>
        <w:t>专用合同条款另有约定外，发包人应最迟于开工日期7天前向承包人移交施工现场。</w:t>
      </w:r>
    </w:p>
    <w:p w14:paraId="457115E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2.4.2 提供施工条件</w:t>
      </w:r>
    </w:p>
    <w:p w14:paraId="0EA4D1F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除专用合同条款另有约定外，发包人应负责提供施工所需要的条件，包括：</w:t>
      </w:r>
    </w:p>
    <w:p w14:paraId="21E2A35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（1）将施工用水、电力、通讯线路等施工所必需的条件接至施工现场内；</w:t>
      </w:r>
    </w:p>
    <w:p w14:paraId="26C7375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（2）保证向承包人提供正常施工所需要的进入施工现场的交通条件；</w:t>
      </w:r>
    </w:p>
    <w:p w14:paraId="2987516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（3）协调处理施工现场周围地下管线和邻近建筑物、构筑物、</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古树名木保护</w:t>
      </w:r>
      <w:r>
        <w:rPr>
          <w:rFonts w:hint="default" w:ascii="Times New Roman" w:hAnsi="Times New Roman" w:eastAsia="方正仿宋_GBK" w:cs="Times New Roman"/>
          <w:color w:val="000000" w:themeColor="text1"/>
          <w:kern w:val="0"/>
          <w:sz w:val="24"/>
          <w:szCs w:val="24"/>
          <w14:textFill>
            <w14:solidFill>
              <w14:schemeClr w14:val="tx1"/>
            </w14:solidFill>
          </w14:textFill>
        </w:rPr>
        <w:t>工作，并承担相关费用；</w:t>
      </w:r>
    </w:p>
    <w:p w14:paraId="152CF2D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（4）按照专用合同条款约定应提供的其他设施和条件。</w:t>
      </w:r>
    </w:p>
    <w:p w14:paraId="7056856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2.4.3 提供基础资料</w:t>
      </w:r>
    </w:p>
    <w:p w14:paraId="0DBC705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2BE93A1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按照法律规定确需在开工后方能提供的基础资料，发包人应尽其努力及时地在相应工程施工前的合理期限内提供，合理期限应以不影响承包人的正常施工为限。</w:t>
      </w:r>
    </w:p>
    <w:p w14:paraId="096C1D6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2.4.4 逾期提供的责任</w:t>
      </w:r>
    </w:p>
    <w:p w14:paraId="7594FAE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因发包人原因未能按合同约定及时向承包人提供施工现场、施工条件、基础资料的，由发包人承担由此增加的费用和（或）延误的工期。</w:t>
      </w:r>
    </w:p>
    <w:p w14:paraId="6C2D89DD">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44" w:name="_Toc351203514"/>
      <w:r>
        <w:rPr>
          <w:rFonts w:hint="default" w:ascii="Times New Roman" w:hAnsi="Times New Roman" w:eastAsia="方正仿宋_GBK" w:cs="Times New Roman"/>
          <w:b w:val="0"/>
          <w:color w:val="000000" w:themeColor="text1"/>
          <w:sz w:val="24"/>
          <w:szCs w:val="24"/>
          <w14:textFill>
            <w14:solidFill>
              <w14:schemeClr w14:val="tx1"/>
            </w14:solidFill>
          </w14:textFill>
        </w:rPr>
        <w:t>2</w:t>
      </w:r>
      <w:bookmarkStart w:id="445" w:name="_Toc296503042"/>
      <w:bookmarkStart w:id="446" w:name="_Toc296346543"/>
      <w:bookmarkStart w:id="447" w:name="_Toc337558745"/>
      <w:r>
        <w:rPr>
          <w:rFonts w:hint="default" w:ascii="Times New Roman" w:hAnsi="Times New Roman" w:eastAsia="方正仿宋_GBK" w:cs="Times New Roman"/>
          <w:b w:val="0"/>
          <w:color w:val="000000" w:themeColor="text1"/>
          <w:sz w:val="24"/>
          <w:szCs w:val="24"/>
          <w14:textFill>
            <w14:solidFill>
              <w14:schemeClr w14:val="tx1"/>
            </w14:solidFill>
          </w14:textFill>
        </w:rPr>
        <w:t>.5 资</w:t>
      </w:r>
      <w:bookmarkEnd w:id="445"/>
      <w:bookmarkEnd w:id="446"/>
      <w:bookmarkEnd w:id="447"/>
      <w:r>
        <w:rPr>
          <w:rFonts w:hint="default" w:ascii="Times New Roman" w:hAnsi="Times New Roman" w:eastAsia="方正仿宋_GBK" w:cs="Times New Roman"/>
          <w:b w:val="0"/>
          <w:color w:val="000000" w:themeColor="text1"/>
          <w:sz w:val="24"/>
          <w:szCs w:val="24"/>
          <w14:textFill>
            <w14:solidFill>
              <w14:schemeClr w14:val="tx1"/>
            </w14:solidFill>
          </w14:textFill>
        </w:rPr>
        <w:t>金来源证明及支付担保</w:t>
      </w:r>
      <w:bookmarkEnd w:id="444"/>
    </w:p>
    <w:p w14:paraId="77E4BB8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除专用合同条款另有约定外，发包人应在收到承包人要求提供资金来源证明的书面通知后28天内，向承包人提供能够按照合同约定支付合同价款的相应资金来源证明。</w:t>
      </w:r>
    </w:p>
    <w:p w14:paraId="2523292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除专用合同条款另有约定外，发包人要求承包人提供履约担保的，发包人应当向承包人提供支付担保。支付担保可以采用银行保函或担保公司担保等形式，具体由合同当事人在专用合同条款中约定。</w:t>
      </w:r>
    </w:p>
    <w:p w14:paraId="5A16D702">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48" w:name="_Toc351203515"/>
      <w:r>
        <w:rPr>
          <w:rFonts w:hint="default" w:ascii="Times New Roman" w:hAnsi="Times New Roman" w:eastAsia="方正仿宋_GBK" w:cs="Times New Roman"/>
          <w:b w:val="0"/>
          <w:color w:val="000000" w:themeColor="text1"/>
          <w:sz w:val="24"/>
          <w:szCs w:val="24"/>
          <w14:textFill>
            <w14:solidFill>
              <w14:schemeClr w14:val="tx1"/>
            </w14:solidFill>
          </w14:textFill>
        </w:rPr>
        <w:t>2.6 支付合同价款</w:t>
      </w:r>
      <w:bookmarkEnd w:id="448"/>
    </w:p>
    <w:p w14:paraId="5FB8CFA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发包人应按合同约定向承包人及时支付合同价款。</w:t>
      </w:r>
    </w:p>
    <w:p w14:paraId="7AF1C273">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49" w:name="_Toc351203516"/>
      <w:r>
        <w:rPr>
          <w:rFonts w:hint="default" w:ascii="Times New Roman" w:hAnsi="Times New Roman" w:eastAsia="方正仿宋_GBK" w:cs="Times New Roman"/>
          <w:b w:val="0"/>
          <w:color w:val="000000" w:themeColor="text1"/>
          <w:sz w:val="24"/>
          <w:szCs w:val="24"/>
          <w14:textFill>
            <w14:solidFill>
              <w14:schemeClr w14:val="tx1"/>
            </w14:solidFill>
          </w14:textFill>
        </w:rPr>
        <w:t>2.7 组织竣工验收</w:t>
      </w:r>
      <w:bookmarkEnd w:id="449"/>
    </w:p>
    <w:p w14:paraId="7A04616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发包人应按合同约定及时组织竣工验收。</w:t>
      </w:r>
    </w:p>
    <w:p w14:paraId="5610BADB">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50" w:name="_Toc351203517"/>
      <w:r>
        <w:rPr>
          <w:rFonts w:hint="default" w:ascii="Times New Roman" w:hAnsi="Times New Roman" w:eastAsia="方正仿宋_GBK" w:cs="Times New Roman"/>
          <w:b w:val="0"/>
          <w:color w:val="000000" w:themeColor="text1"/>
          <w:sz w:val="24"/>
          <w:szCs w:val="24"/>
          <w14:textFill>
            <w14:solidFill>
              <w14:schemeClr w14:val="tx1"/>
            </w14:solidFill>
          </w14:textFill>
        </w:rPr>
        <w:t>2.8 现场统一管理协议</w:t>
      </w:r>
      <w:bookmarkEnd w:id="450"/>
    </w:p>
    <w:p w14:paraId="1436AF1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发包人应与承包人、由发包人直接发包的专业工程的承包人签订施工现场统一管理协议，明确各方的权利义务。施工现场统一管理协议作为专用合同条款的附件。</w:t>
      </w:r>
    </w:p>
    <w:p w14:paraId="6C84D38C">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451" w:name="_Toc351203518"/>
      <w:r>
        <w:rPr>
          <w:rFonts w:hint="default" w:ascii="Times New Roman" w:hAnsi="Times New Roman" w:eastAsia="方正小标宋_GBK" w:cs="Times New Roman"/>
          <w:b w:val="0"/>
          <w:color w:val="000000" w:themeColor="text1"/>
          <w:sz w:val="24"/>
          <w:szCs w:val="24"/>
          <w14:textFill>
            <w14:solidFill>
              <w14:schemeClr w14:val="tx1"/>
            </w14:solidFill>
          </w14:textFill>
        </w:rPr>
        <w:t>3</w:t>
      </w:r>
      <w:bookmarkStart w:id="452" w:name="_Toc296503045"/>
      <w:bookmarkStart w:id="453" w:name="_Toc296346546"/>
      <w:bookmarkStart w:id="454" w:name="_Toc337558746"/>
      <w:r>
        <w:rPr>
          <w:rFonts w:hint="default" w:ascii="Times New Roman" w:hAnsi="Times New Roman" w:eastAsia="方正小标宋_GBK" w:cs="Times New Roman"/>
          <w:b w:val="0"/>
          <w:color w:val="000000" w:themeColor="text1"/>
          <w:sz w:val="24"/>
          <w:szCs w:val="24"/>
          <w14:textFill>
            <w14:solidFill>
              <w14:schemeClr w14:val="tx1"/>
            </w14:solidFill>
          </w14:textFill>
        </w:rPr>
        <w:t>. 承包人</w:t>
      </w:r>
      <w:bookmarkEnd w:id="451"/>
    </w:p>
    <w:bookmarkEnd w:id="452"/>
    <w:bookmarkEnd w:id="453"/>
    <w:bookmarkEnd w:id="454"/>
    <w:p w14:paraId="0DEB54A8">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55" w:name="_Toc351203519"/>
      <w:r>
        <w:rPr>
          <w:rFonts w:hint="default" w:ascii="Times New Roman" w:hAnsi="Times New Roman" w:eastAsia="方正仿宋_GBK" w:cs="Times New Roman"/>
          <w:b w:val="0"/>
          <w:color w:val="000000" w:themeColor="text1"/>
          <w:sz w:val="24"/>
          <w:szCs w:val="24"/>
          <w14:textFill>
            <w14:solidFill>
              <w14:schemeClr w14:val="tx1"/>
            </w14:solidFill>
          </w14:textFill>
        </w:rPr>
        <w:t>3</w:t>
      </w:r>
      <w:bookmarkStart w:id="456" w:name="_Toc296346547"/>
      <w:bookmarkStart w:id="457" w:name="_Toc296503046"/>
      <w:bookmarkStart w:id="458" w:name="_Toc337558747"/>
      <w:r>
        <w:rPr>
          <w:rFonts w:hint="default" w:ascii="Times New Roman" w:hAnsi="Times New Roman" w:eastAsia="方正仿宋_GBK" w:cs="Times New Roman"/>
          <w:b w:val="0"/>
          <w:color w:val="000000" w:themeColor="text1"/>
          <w:sz w:val="24"/>
          <w:szCs w:val="24"/>
          <w14:textFill>
            <w14:solidFill>
              <w14:schemeClr w14:val="tx1"/>
            </w14:solidFill>
          </w14:textFill>
        </w:rPr>
        <w:t>.1 承包人的一般义务</w:t>
      </w:r>
      <w:bookmarkEnd w:id="455"/>
    </w:p>
    <w:bookmarkEnd w:id="456"/>
    <w:bookmarkEnd w:id="457"/>
    <w:bookmarkEnd w:id="458"/>
    <w:p w14:paraId="331A991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承包人在履行合同过程中应遵守法律和工程建设标准规范，并履行以下义务：</w:t>
      </w:r>
    </w:p>
    <w:p w14:paraId="694EDB72">
      <w:pPr>
        <w:pageBreakBefore w:val="0"/>
        <w:widowControl w:val="0"/>
        <w:numPr>
          <w:ilvl w:val="0"/>
          <w:numId w:val="3"/>
        </w:numPr>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办理法律规定应由承包人办理的许可和批准，并将办理结果书面报送发包人留存；</w:t>
      </w:r>
    </w:p>
    <w:p w14:paraId="34E80C6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（2）按法律规定和合同约定完成工程，并在保修期内承担保修义务；</w:t>
      </w:r>
    </w:p>
    <w:p w14:paraId="777CB3D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（3）按法律规定和合同约定采取施工安全和环境保护措施，办理工伤保险，确保工程及人员、材料、设备和设施的安全；</w:t>
      </w:r>
    </w:p>
    <w:p w14:paraId="44F8600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（4）按合同约定的工作内容和施工进度要求，编制施工组织设计和施工措施计划，并对所有施工作业和施工方法的完备性和安全可靠性负责；</w:t>
      </w:r>
    </w:p>
    <w:p w14:paraId="35528D0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767A922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（6）按照第6.3款〔环境保护〕约定负责施工场地及其周边环境与生态的保护工作；</w:t>
      </w:r>
    </w:p>
    <w:p w14:paraId="1C17165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（7）按第6.1款〔安全文明施工〕约定采取施工安全措施，确保工程及其人员、材料、设备和设施的安全，防止因工程施工造成的人身伤害和财产损失；</w:t>
      </w:r>
    </w:p>
    <w:p w14:paraId="7363F74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（8）将发包人按合同约定支付的各项价款专用于合同工程，且应及时支付其雇用人员工资，并及时向分包人支付合同价款；</w:t>
      </w:r>
    </w:p>
    <w:p w14:paraId="1D33C4D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（9）按照法律规定和合同约定编制竣工资料，完成竣工资料立卷及归档，并按专用合同条款约定的竣工资料的套数、内容、时间等要求移交发包人；</w:t>
      </w:r>
    </w:p>
    <w:p w14:paraId="3A606D5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（10）应履行的其他义务。</w:t>
      </w:r>
    </w:p>
    <w:p w14:paraId="2F8FA87C">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59" w:name="_Toc351203520"/>
      <w:r>
        <w:rPr>
          <w:rFonts w:hint="default" w:ascii="Times New Roman" w:hAnsi="Times New Roman" w:eastAsia="方正仿宋_GBK" w:cs="Times New Roman"/>
          <w:b w:val="0"/>
          <w:color w:val="000000" w:themeColor="text1"/>
          <w:sz w:val="24"/>
          <w:szCs w:val="24"/>
          <w14:textFill>
            <w14:solidFill>
              <w14:schemeClr w14:val="tx1"/>
            </w14:solidFill>
          </w14:textFill>
        </w:rPr>
        <w:t>3</w:t>
      </w:r>
      <w:bookmarkStart w:id="460" w:name="_Toc296503047"/>
      <w:bookmarkStart w:id="461" w:name="_Toc296346548"/>
      <w:bookmarkStart w:id="462" w:name="_Toc337558748"/>
      <w:r>
        <w:rPr>
          <w:rFonts w:hint="default" w:ascii="Times New Roman" w:hAnsi="Times New Roman" w:eastAsia="方正仿宋_GBK" w:cs="Times New Roman"/>
          <w:b w:val="0"/>
          <w:color w:val="000000" w:themeColor="text1"/>
          <w:sz w:val="24"/>
          <w:szCs w:val="24"/>
          <w14:textFill>
            <w14:solidFill>
              <w14:schemeClr w14:val="tx1"/>
            </w14:solidFill>
          </w14:textFill>
        </w:rPr>
        <w:t xml:space="preserve">.2 </w:t>
      </w:r>
      <w:bookmarkEnd w:id="459"/>
      <w:r>
        <w:rPr>
          <w:rFonts w:hint="default" w:ascii="Times New Roman" w:hAnsi="Times New Roman" w:eastAsia="方正仿宋_GBK" w:cs="Times New Roman"/>
          <w:b w:val="0"/>
          <w:color w:val="000000" w:themeColor="text1"/>
          <w:sz w:val="24"/>
          <w:szCs w:val="24"/>
          <w14:textFill>
            <w14:solidFill>
              <w14:schemeClr w14:val="tx1"/>
            </w14:solidFill>
          </w14:textFill>
        </w:rPr>
        <w:t>项目经理</w:t>
      </w:r>
    </w:p>
    <w:bookmarkEnd w:id="460"/>
    <w:bookmarkEnd w:id="461"/>
    <w:bookmarkEnd w:id="462"/>
    <w:p w14:paraId="125FDBE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1438A09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7DB3458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承包人违反上述约定的，应按照专用合同条款的约定，承担违约责任。</w:t>
      </w:r>
    </w:p>
    <w:p w14:paraId="47D45CC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2E107B6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1D66D0B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45017D0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3.2.5 项目经理因特殊情况授权其下属人员履行其某项工作职责的，该下属人员应具备履行相应职责的能力，并应提前7天将上述人员的姓名和授权范围书面通知监理人，并征得发包人书面同意。</w:t>
      </w:r>
    </w:p>
    <w:p w14:paraId="729A552F">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63" w:name="_Toc351203521"/>
      <w:r>
        <w:rPr>
          <w:rFonts w:hint="default" w:ascii="Times New Roman" w:hAnsi="Times New Roman" w:eastAsia="方正仿宋_GBK" w:cs="Times New Roman"/>
          <w:b w:val="0"/>
          <w:color w:val="000000" w:themeColor="text1"/>
          <w:sz w:val="24"/>
          <w:szCs w:val="24"/>
          <w14:textFill>
            <w14:solidFill>
              <w14:schemeClr w14:val="tx1"/>
            </w14:solidFill>
          </w14:textFill>
        </w:rPr>
        <w:t>3</w:t>
      </w:r>
      <w:bookmarkStart w:id="464" w:name="_Toc296503048"/>
      <w:bookmarkStart w:id="465" w:name="_Toc296346549"/>
      <w:bookmarkStart w:id="466" w:name="_Toc337558749"/>
      <w:r>
        <w:rPr>
          <w:rFonts w:hint="default" w:ascii="Times New Roman" w:hAnsi="Times New Roman" w:eastAsia="方正仿宋_GBK" w:cs="Times New Roman"/>
          <w:b w:val="0"/>
          <w:color w:val="000000" w:themeColor="text1"/>
          <w:sz w:val="24"/>
          <w:szCs w:val="24"/>
          <w14:textFill>
            <w14:solidFill>
              <w14:schemeClr w14:val="tx1"/>
            </w14:solidFill>
          </w14:textFill>
        </w:rPr>
        <w:t xml:space="preserve">.3 </w:t>
      </w:r>
      <w:bookmarkEnd w:id="464"/>
      <w:bookmarkEnd w:id="465"/>
      <w:r>
        <w:rPr>
          <w:rFonts w:hint="default" w:ascii="Times New Roman" w:hAnsi="Times New Roman" w:eastAsia="方正仿宋_GBK" w:cs="Times New Roman"/>
          <w:b w:val="0"/>
          <w:color w:val="000000" w:themeColor="text1"/>
          <w:sz w:val="24"/>
          <w:szCs w:val="24"/>
          <w14:textFill>
            <w14:solidFill>
              <w14:schemeClr w14:val="tx1"/>
            </w14:solidFill>
          </w14:textFill>
        </w:rPr>
        <w:t>承包人人员</w:t>
      </w:r>
      <w:bookmarkEnd w:id="463"/>
    </w:p>
    <w:bookmarkEnd w:id="466"/>
    <w:p w14:paraId="62EFF8A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082F02F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5D668C9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特殊工种作业人员均应持有相应的资格证明，监理人可以随时检查。</w:t>
      </w:r>
    </w:p>
    <w:p w14:paraId="5F58C0B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6F3137B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0CAFD0A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3.3.5 承包人擅自更换主要施工管理人员，或前述人员未经监理人或发包人同意擅自离开施工现场的，应按照专用合同条款约定承担违约责任。</w:t>
      </w:r>
    </w:p>
    <w:p w14:paraId="26197354">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67" w:name="_Toc351203522"/>
      <w:r>
        <w:rPr>
          <w:rFonts w:hint="default" w:ascii="Times New Roman" w:hAnsi="Times New Roman" w:eastAsia="方正仿宋_GBK" w:cs="Times New Roman"/>
          <w:b w:val="0"/>
          <w:color w:val="000000" w:themeColor="text1"/>
          <w:sz w:val="24"/>
          <w:szCs w:val="24"/>
          <w14:textFill>
            <w14:solidFill>
              <w14:schemeClr w14:val="tx1"/>
            </w14:solidFill>
          </w14:textFill>
        </w:rPr>
        <w:t>3</w:t>
      </w:r>
      <w:bookmarkStart w:id="468" w:name="_Toc296346551"/>
      <w:bookmarkStart w:id="469" w:name="_Toc337558750"/>
      <w:bookmarkStart w:id="470" w:name="_Toc296503050"/>
      <w:r>
        <w:rPr>
          <w:rFonts w:hint="default" w:ascii="Times New Roman" w:hAnsi="Times New Roman" w:eastAsia="方正仿宋_GBK" w:cs="Times New Roman"/>
          <w:b w:val="0"/>
          <w:color w:val="000000" w:themeColor="text1"/>
          <w:sz w:val="24"/>
          <w:szCs w:val="24"/>
          <w14:textFill>
            <w14:solidFill>
              <w14:schemeClr w14:val="tx1"/>
            </w14:solidFill>
          </w14:textFill>
        </w:rPr>
        <w:t>.4 承包人现场查勘</w:t>
      </w:r>
      <w:bookmarkEnd w:id="467"/>
    </w:p>
    <w:bookmarkEnd w:id="468"/>
    <w:bookmarkEnd w:id="469"/>
    <w:bookmarkEnd w:id="470"/>
    <w:p w14:paraId="1C5495D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承包人应对基于发包人按照第2.4.3项〔提供基础资料〕提交的基础资料所做出的解释和推断负责，但因基础资料存在错误、遗漏导致承包人解释或推断失实的，由发包人承担责任。</w:t>
      </w:r>
    </w:p>
    <w:p w14:paraId="6F58BE4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23D36ADE">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71" w:name="_Toc351203523"/>
      <w:r>
        <w:rPr>
          <w:rFonts w:hint="default" w:ascii="Times New Roman" w:hAnsi="Times New Roman" w:eastAsia="方正仿宋_GBK" w:cs="Times New Roman"/>
          <w:b w:val="0"/>
          <w:color w:val="000000" w:themeColor="text1"/>
          <w:sz w:val="24"/>
          <w:szCs w:val="24"/>
          <w14:textFill>
            <w14:solidFill>
              <w14:schemeClr w14:val="tx1"/>
            </w14:solidFill>
          </w14:textFill>
        </w:rPr>
        <w:t>3</w:t>
      </w:r>
      <w:bookmarkStart w:id="472" w:name="_Toc337558751"/>
      <w:bookmarkStart w:id="473" w:name="_Toc296503051"/>
      <w:bookmarkStart w:id="474" w:name="_Toc296346552"/>
      <w:r>
        <w:rPr>
          <w:rFonts w:hint="default" w:ascii="Times New Roman" w:hAnsi="Times New Roman" w:eastAsia="方正仿宋_GBK" w:cs="Times New Roman"/>
          <w:b w:val="0"/>
          <w:color w:val="000000" w:themeColor="text1"/>
          <w:sz w:val="24"/>
          <w:szCs w:val="24"/>
          <w14:textFill>
            <w14:solidFill>
              <w14:schemeClr w14:val="tx1"/>
            </w14:solidFill>
          </w14:textFill>
        </w:rPr>
        <w:t>.5 分包</w:t>
      </w:r>
      <w:bookmarkEnd w:id="471"/>
    </w:p>
    <w:bookmarkEnd w:id="472"/>
    <w:bookmarkEnd w:id="473"/>
    <w:bookmarkEnd w:id="474"/>
    <w:p w14:paraId="4A30C0B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3.5.1 分包的一般约定</w:t>
      </w:r>
    </w:p>
    <w:p w14:paraId="5070AB2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4452A3A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承包人不得以劳务分包的名义转包或违法分包工程。</w:t>
      </w:r>
    </w:p>
    <w:p w14:paraId="3BD6392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3.5.2 分包的确定</w:t>
      </w:r>
    </w:p>
    <w:p w14:paraId="215A92A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6E73FDA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3.5.3 分包管理</w:t>
      </w:r>
    </w:p>
    <w:p w14:paraId="2A9B9D2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承包人应向监理人提交分包人的主要施工管理人员表，并对分包人的施工人员进行实名制管理，包括但不限于进出场管理、登记造册以及各种证照的办理。</w:t>
      </w:r>
    </w:p>
    <w:p w14:paraId="2E0237A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3.5.4 分包合同价款</w:t>
      </w:r>
    </w:p>
    <w:p w14:paraId="3636F31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（1）除本项第（2）目约定的情况或专用合同条款另有约定外，分包合同价款由承包人与分包人结算，未经承包人同意，发包人不得向分包人支付分包工程价款；</w:t>
      </w:r>
    </w:p>
    <w:p w14:paraId="78657D0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（2）生效法律文书要求发包人向分包人支付分包合同价款的，发包人有权从应付承包人工程款中扣除该部分款项。</w:t>
      </w:r>
    </w:p>
    <w:p w14:paraId="7F0131B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3.5.5 分包合同权益的转让</w:t>
      </w:r>
    </w:p>
    <w:p w14:paraId="1F1274C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475" w:name="_Toc351203524"/>
    </w:p>
    <w:p w14:paraId="5C099173">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r>
        <w:rPr>
          <w:rFonts w:hint="default" w:ascii="Times New Roman" w:hAnsi="Times New Roman" w:eastAsia="方正仿宋_GBK" w:cs="Times New Roman"/>
          <w:b w:val="0"/>
          <w:color w:val="000000" w:themeColor="text1"/>
          <w:sz w:val="24"/>
          <w:szCs w:val="24"/>
          <w14:textFill>
            <w14:solidFill>
              <w14:schemeClr w14:val="tx1"/>
            </w14:solidFill>
          </w14:textFill>
        </w:rPr>
        <w:t>3.6 工程照管与成品、半成品保护</w:t>
      </w:r>
      <w:bookmarkEnd w:id="475"/>
    </w:p>
    <w:p w14:paraId="17E5577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（1）除专用合同条款另有约定外，自发包人向承包人移交施工现场之日起，承包人应负责照管工程及工程相关的材料、工程设备，直到颁发工程接收证书之日止。</w:t>
      </w:r>
    </w:p>
    <w:p w14:paraId="321CD31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（2）在承包人负责照管期间，因承包人原因造成工程、材料、工程设备损坏的，由承包人负责修复或更换，并承担由此增加的费用和（或）延误的工期。</w:t>
      </w:r>
    </w:p>
    <w:p w14:paraId="7B1DD8C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（3）对合同内分期完成的成品和半成品，在工程接收证书颁发前，由承包人承担保护责任。因承包人原因造成成品或半成品损坏的，由承包人负责修复或更换，并承担由此增加的费用和（或）延误的工期。</w:t>
      </w:r>
    </w:p>
    <w:p w14:paraId="5FF3EB1D">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76" w:name="_Toc351203525"/>
      <w:r>
        <w:rPr>
          <w:rFonts w:hint="default" w:ascii="Times New Roman" w:hAnsi="Times New Roman" w:eastAsia="方正仿宋_GBK" w:cs="Times New Roman"/>
          <w:b w:val="0"/>
          <w:color w:val="000000" w:themeColor="text1"/>
          <w:sz w:val="24"/>
          <w:szCs w:val="24"/>
          <w14:textFill>
            <w14:solidFill>
              <w14:schemeClr w14:val="tx1"/>
            </w14:solidFill>
          </w14:textFill>
        </w:rPr>
        <w:t>3</w:t>
      </w:r>
      <w:bookmarkStart w:id="477" w:name="_Toc296503052"/>
      <w:bookmarkStart w:id="478" w:name="_Toc296346553"/>
      <w:bookmarkStart w:id="479" w:name="_Toc337558752"/>
      <w:r>
        <w:rPr>
          <w:rFonts w:hint="default" w:ascii="Times New Roman" w:hAnsi="Times New Roman" w:eastAsia="方正仿宋_GBK" w:cs="Times New Roman"/>
          <w:b w:val="0"/>
          <w:color w:val="000000" w:themeColor="text1"/>
          <w:sz w:val="24"/>
          <w:szCs w:val="24"/>
          <w14:textFill>
            <w14:solidFill>
              <w14:schemeClr w14:val="tx1"/>
            </w14:solidFill>
          </w14:textFill>
        </w:rPr>
        <w:t>.7 履约担保</w:t>
      </w:r>
      <w:bookmarkEnd w:id="476"/>
    </w:p>
    <w:bookmarkEnd w:id="477"/>
    <w:bookmarkEnd w:id="478"/>
    <w:bookmarkEnd w:id="479"/>
    <w:p w14:paraId="75B4A78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13D214D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6660AB30">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80" w:name="_Toc351203526"/>
      <w:r>
        <w:rPr>
          <w:rFonts w:hint="default" w:ascii="Times New Roman" w:hAnsi="Times New Roman" w:eastAsia="方正仿宋_GBK" w:cs="Times New Roman"/>
          <w:b w:val="0"/>
          <w:color w:val="000000" w:themeColor="text1"/>
          <w:sz w:val="24"/>
          <w:szCs w:val="24"/>
          <w14:textFill>
            <w14:solidFill>
              <w14:schemeClr w14:val="tx1"/>
            </w14:solidFill>
          </w14:textFill>
        </w:rPr>
        <w:t>3.8 联合体</w:t>
      </w:r>
      <w:bookmarkEnd w:id="480"/>
    </w:p>
    <w:p w14:paraId="5DED804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3.8.1 联合体各方应共同与发包人签订合同协议书。联合体各方应为履行合同向发包人承担连带责任。</w:t>
      </w:r>
    </w:p>
    <w:p w14:paraId="11FCDCD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3.8.2 联合体协议经发包人确认后作为合同附件。在履行合同过程中，未经发包人同意，不得修改联合体协议。</w:t>
      </w:r>
    </w:p>
    <w:p w14:paraId="2BFFA99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3.8.3 联合体牵头人负责与发包人和监理人联系，并接受指示，负责组织联合体各成员全面履行合同。</w:t>
      </w:r>
    </w:p>
    <w:p w14:paraId="140AC54F">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481" w:name="_Toc351203527"/>
      <w:r>
        <w:rPr>
          <w:rFonts w:hint="default" w:ascii="Times New Roman" w:hAnsi="Times New Roman" w:eastAsia="方正小标宋_GBK" w:cs="Times New Roman"/>
          <w:b w:val="0"/>
          <w:color w:val="000000" w:themeColor="text1"/>
          <w:sz w:val="24"/>
          <w:szCs w:val="24"/>
          <w14:textFill>
            <w14:solidFill>
              <w14:schemeClr w14:val="tx1"/>
            </w14:solidFill>
          </w14:textFill>
        </w:rPr>
        <w:t>4</w:t>
      </w:r>
      <w:bookmarkStart w:id="482" w:name="_Toc296346554"/>
      <w:bookmarkStart w:id="483" w:name="_Toc296503053"/>
      <w:bookmarkStart w:id="484" w:name="_Toc337558753"/>
      <w:r>
        <w:rPr>
          <w:rFonts w:hint="default" w:ascii="Times New Roman" w:hAnsi="Times New Roman" w:eastAsia="方正小标宋_GBK" w:cs="Times New Roman"/>
          <w:b w:val="0"/>
          <w:color w:val="000000" w:themeColor="text1"/>
          <w:sz w:val="24"/>
          <w:szCs w:val="24"/>
          <w14:textFill>
            <w14:solidFill>
              <w14:schemeClr w14:val="tx1"/>
            </w14:solidFill>
          </w14:textFill>
        </w:rPr>
        <w:t>. 监</w:t>
      </w:r>
      <w:bookmarkEnd w:id="482"/>
      <w:bookmarkEnd w:id="483"/>
      <w:r>
        <w:rPr>
          <w:rFonts w:hint="default" w:ascii="Times New Roman" w:hAnsi="Times New Roman" w:eastAsia="方正小标宋_GBK" w:cs="Times New Roman"/>
          <w:b w:val="0"/>
          <w:color w:val="000000" w:themeColor="text1"/>
          <w:sz w:val="24"/>
          <w:szCs w:val="24"/>
          <w14:textFill>
            <w14:solidFill>
              <w14:schemeClr w14:val="tx1"/>
            </w14:solidFill>
          </w14:textFill>
        </w:rPr>
        <w:t>理人</w:t>
      </w:r>
      <w:bookmarkEnd w:id="481"/>
    </w:p>
    <w:bookmarkEnd w:id="484"/>
    <w:p w14:paraId="131FCF1B">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85" w:name="_Toc351203528"/>
      <w:r>
        <w:rPr>
          <w:rFonts w:hint="default" w:ascii="Times New Roman" w:hAnsi="Times New Roman" w:eastAsia="方正仿宋_GBK" w:cs="Times New Roman"/>
          <w:b w:val="0"/>
          <w:color w:val="000000" w:themeColor="text1"/>
          <w:sz w:val="24"/>
          <w:szCs w:val="24"/>
          <w14:textFill>
            <w14:solidFill>
              <w14:schemeClr w14:val="tx1"/>
            </w14:solidFill>
          </w14:textFill>
        </w:rPr>
        <w:t>4</w:t>
      </w:r>
      <w:bookmarkStart w:id="486" w:name="_Toc296503054"/>
      <w:bookmarkStart w:id="487" w:name="_Toc296346555"/>
      <w:bookmarkStart w:id="488" w:name="_Toc337558754"/>
      <w:r>
        <w:rPr>
          <w:rFonts w:hint="default" w:ascii="Times New Roman" w:hAnsi="Times New Roman" w:eastAsia="方正仿宋_GBK" w:cs="Times New Roman"/>
          <w:b w:val="0"/>
          <w:color w:val="000000" w:themeColor="text1"/>
          <w:sz w:val="24"/>
          <w:szCs w:val="24"/>
          <w14:textFill>
            <w14:solidFill>
              <w14:schemeClr w14:val="tx1"/>
            </w14:solidFill>
          </w14:textFill>
        </w:rPr>
        <w:t>.1监理人的一般规定</w:t>
      </w:r>
      <w:bookmarkEnd w:id="485"/>
    </w:p>
    <w:bookmarkEnd w:id="486"/>
    <w:bookmarkEnd w:id="487"/>
    <w:bookmarkEnd w:id="488"/>
    <w:p w14:paraId="1B26A46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7A919A2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除专用合同条款另有约定外，监理人在施工现场的办公场所、生活场所由承包人提供，所发生的费用由发包人承担。</w:t>
      </w:r>
    </w:p>
    <w:p w14:paraId="00CC2E5F">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89" w:name="_Toc351203529"/>
      <w:r>
        <w:rPr>
          <w:rFonts w:hint="default" w:ascii="Times New Roman" w:hAnsi="Times New Roman" w:eastAsia="方正仿宋_GBK" w:cs="Times New Roman"/>
          <w:b w:val="0"/>
          <w:color w:val="000000" w:themeColor="text1"/>
          <w:sz w:val="24"/>
          <w:szCs w:val="24"/>
          <w14:textFill>
            <w14:solidFill>
              <w14:schemeClr w14:val="tx1"/>
            </w14:solidFill>
          </w14:textFill>
        </w:rPr>
        <w:t>4</w:t>
      </w:r>
      <w:bookmarkStart w:id="490" w:name="_Toc337558755"/>
      <w:r>
        <w:rPr>
          <w:rFonts w:hint="default" w:ascii="Times New Roman" w:hAnsi="Times New Roman" w:eastAsia="方正仿宋_GBK" w:cs="Times New Roman"/>
          <w:b w:val="0"/>
          <w:color w:val="000000" w:themeColor="text1"/>
          <w:sz w:val="24"/>
          <w:szCs w:val="24"/>
          <w14:textFill>
            <w14:solidFill>
              <w14:schemeClr w14:val="tx1"/>
            </w14:solidFill>
          </w14:textFill>
        </w:rPr>
        <w:t>.2监理人员</w:t>
      </w:r>
      <w:bookmarkEnd w:id="489"/>
    </w:p>
    <w:bookmarkEnd w:id="490"/>
    <w:p w14:paraId="5C8AD80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6C8C0D6C">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491" w:name="_Toc351203530"/>
      <w:r>
        <w:rPr>
          <w:rFonts w:hint="default" w:ascii="Times New Roman" w:hAnsi="Times New Roman" w:eastAsia="方正仿宋_GBK" w:cs="Times New Roman"/>
          <w:b w:val="0"/>
          <w:color w:val="000000" w:themeColor="text1"/>
          <w:sz w:val="24"/>
          <w:szCs w:val="24"/>
          <w14:textFill>
            <w14:solidFill>
              <w14:schemeClr w14:val="tx1"/>
            </w14:solidFill>
          </w14:textFill>
        </w:rPr>
        <w:t>4</w:t>
      </w:r>
      <w:bookmarkStart w:id="492" w:name="_Toc296346556"/>
      <w:bookmarkStart w:id="493" w:name="_Toc296503055"/>
      <w:bookmarkStart w:id="494" w:name="_Toc337558756"/>
      <w:r>
        <w:rPr>
          <w:rFonts w:hint="default" w:ascii="Times New Roman" w:hAnsi="Times New Roman" w:eastAsia="方正仿宋_GBK" w:cs="Times New Roman"/>
          <w:b w:val="0"/>
          <w:color w:val="000000" w:themeColor="text1"/>
          <w:sz w:val="24"/>
          <w:szCs w:val="24"/>
          <w14:textFill>
            <w14:solidFill>
              <w14:schemeClr w14:val="tx1"/>
            </w14:solidFill>
          </w14:textFill>
        </w:rPr>
        <w:t>.3</w:t>
      </w:r>
      <w:bookmarkEnd w:id="492"/>
      <w:bookmarkEnd w:id="493"/>
      <w:r>
        <w:rPr>
          <w:rFonts w:hint="default" w:ascii="Times New Roman" w:hAnsi="Times New Roman" w:eastAsia="方正仿宋_GBK" w:cs="Times New Roman"/>
          <w:b w:val="0"/>
          <w:color w:val="000000" w:themeColor="text1"/>
          <w:sz w:val="24"/>
          <w:szCs w:val="24"/>
          <w14:textFill>
            <w14:solidFill>
              <w14:schemeClr w14:val="tx1"/>
            </w14:solidFill>
          </w14:textFill>
        </w:rPr>
        <w:t>监理人的指</w:t>
      </w:r>
      <w:bookmarkEnd w:id="494"/>
      <w:r>
        <w:rPr>
          <w:rFonts w:hint="default" w:ascii="Times New Roman" w:hAnsi="Times New Roman" w:eastAsia="方正仿宋_GBK" w:cs="Times New Roman"/>
          <w:b w:val="0"/>
          <w:color w:val="000000" w:themeColor="text1"/>
          <w:sz w:val="24"/>
          <w:szCs w:val="24"/>
          <w14:textFill>
            <w14:solidFill>
              <w14:schemeClr w14:val="tx1"/>
            </w14:solidFill>
          </w14:textFill>
        </w:rPr>
        <w:t>示</w:t>
      </w:r>
      <w:bookmarkEnd w:id="491"/>
    </w:p>
    <w:p w14:paraId="0EAB7D2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0D4C6EA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3048AD0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承包人对监理人发出的指示有疑问的，应向监理人提出书面异议，监理人应在48小时内对该指示予以确认、更改或撤销，监理人逾期未回复的，承包人有权拒绝执行上述指示。</w:t>
      </w:r>
    </w:p>
    <w:p w14:paraId="35DD61B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监理人对承包人的任何工作、工程或其采用的材料和工程设备未在约定的或合理期限内提出意见的，视为批准，但不免除或减轻承包人对该工作、工程、材料、工程设备等应承担的责任和义务。</w:t>
      </w:r>
    </w:p>
    <w:p w14:paraId="2366F397">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495" w:name="_Toc351203531"/>
      <w:r>
        <w:rPr>
          <w:rFonts w:hint="default" w:ascii="Times New Roman" w:hAnsi="Times New Roman" w:eastAsia="方正小标宋_GBK" w:cs="Times New Roman"/>
          <w:b w:val="0"/>
          <w:color w:val="000000" w:themeColor="text1"/>
          <w:sz w:val="24"/>
          <w:szCs w:val="24"/>
          <w14:textFill>
            <w14:solidFill>
              <w14:schemeClr w14:val="tx1"/>
            </w14:solidFill>
          </w14:textFill>
        </w:rPr>
        <w:t>4</w:t>
      </w:r>
      <w:bookmarkStart w:id="496" w:name="_Toc296503057"/>
      <w:bookmarkStart w:id="497" w:name="_Toc296346558"/>
      <w:bookmarkStart w:id="498" w:name="_Toc337558757"/>
      <w:r>
        <w:rPr>
          <w:rFonts w:hint="default" w:ascii="Times New Roman" w:hAnsi="Times New Roman" w:eastAsia="方正小标宋_GBK" w:cs="Times New Roman"/>
          <w:b w:val="0"/>
          <w:color w:val="000000" w:themeColor="text1"/>
          <w:sz w:val="24"/>
          <w:szCs w:val="24"/>
          <w14:textFill>
            <w14:solidFill>
              <w14:schemeClr w14:val="tx1"/>
            </w14:solidFill>
          </w14:textFill>
        </w:rPr>
        <w:t>.4 商定或确定</w:t>
      </w:r>
      <w:bookmarkEnd w:id="495"/>
    </w:p>
    <w:bookmarkEnd w:id="496"/>
    <w:bookmarkEnd w:id="497"/>
    <w:bookmarkEnd w:id="498"/>
    <w:p w14:paraId="72504AD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合同当事人进行商定或确定时，总监理工程师应当会同合同当事人尽量通过协商达成一致，不能达成一致的，由总监理工程师按照合同约定审慎</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作出</w:t>
      </w:r>
      <w:r>
        <w:rPr>
          <w:rFonts w:hint="default" w:ascii="Times New Roman" w:hAnsi="Times New Roman" w:eastAsia="方正仿宋_GBK" w:cs="Times New Roman"/>
          <w:color w:val="000000" w:themeColor="text1"/>
          <w:kern w:val="0"/>
          <w:sz w:val="24"/>
          <w:szCs w:val="24"/>
          <w14:textFill>
            <w14:solidFill>
              <w14:schemeClr w14:val="tx1"/>
            </w14:solidFill>
          </w14:textFill>
        </w:rPr>
        <w:t>公正的确定。</w:t>
      </w:r>
    </w:p>
    <w:p w14:paraId="7E9EC8B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70E2C783">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499" w:name="_Toc351203532"/>
      <w:r>
        <w:rPr>
          <w:rFonts w:hint="default" w:ascii="Times New Roman" w:hAnsi="Times New Roman" w:eastAsia="方正小标宋_GBK" w:cs="Times New Roman"/>
          <w:b w:val="0"/>
          <w:color w:val="000000" w:themeColor="text1"/>
          <w:sz w:val="24"/>
          <w:szCs w:val="24"/>
          <w14:textFill>
            <w14:solidFill>
              <w14:schemeClr w14:val="tx1"/>
            </w14:solidFill>
          </w14:textFill>
        </w:rPr>
        <w:t>5</w:t>
      </w:r>
      <w:bookmarkStart w:id="500" w:name="_Toc337558758"/>
      <w:r>
        <w:rPr>
          <w:rFonts w:hint="default" w:ascii="Times New Roman" w:hAnsi="Times New Roman" w:eastAsia="方正小标宋_GBK" w:cs="Times New Roman"/>
          <w:b w:val="0"/>
          <w:color w:val="000000" w:themeColor="text1"/>
          <w:sz w:val="24"/>
          <w:szCs w:val="24"/>
          <w14:textFill>
            <w14:solidFill>
              <w14:schemeClr w14:val="tx1"/>
            </w14:solidFill>
          </w14:textFill>
        </w:rPr>
        <w:t>. 工程质量</w:t>
      </w:r>
      <w:bookmarkEnd w:id="499"/>
    </w:p>
    <w:bookmarkEnd w:id="500"/>
    <w:p w14:paraId="00C65994">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01" w:name="_Toc351203533"/>
      <w:r>
        <w:rPr>
          <w:rFonts w:hint="default" w:ascii="Times New Roman" w:hAnsi="Times New Roman" w:eastAsia="方正仿宋_GBK" w:cs="Times New Roman"/>
          <w:b w:val="0"/>
          <w:color w:val="000000" w:themeColor="text1"/>
          <w:sz w:val="24"/>
          <w:szCs w:val="24"/>
          <w14:textFill>
            <w14:solidFill>
              <w14:schemeClr w14:val="tx1"/>
            </w14:solidFill>
          </w14:textFill>
        </w:rPr>
        <w:t>5</w:t>
      </w:r>
      <w:bookmarkStart w:id="502" w:name="_Toc337558759"/>
      <w:r>
        <w:rPr>
          <w:rFonts w:hint="default" w:ascii="Times New Roman" w:hAnsi="Times New Roman" w:eastAsia="方正仿宋_GBK" w:cs="Times New Roman"/>
          <w:b w:val="0"/>
          <w:color w:val="000000" w:themeColor="text1"/>
          <w:sz w:val="24"/>
          <w:szCs w:val="24"/>
          <w14:textFill>
            <w14:solidFill>
              <w14:schemeClr w14:val="tx1"/>
            </w14:solidFill>
          </w14:textFill>
        </w:rPr>
        <w:t>.1质量要求</w:t>
      </w:r>
      <w:bookmarkEnd w:id="501"/>
    </w:p>
    <w:bookmarkEnd w:id="502"/>
    <w:p w14:paraId="4270817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5.1.1 工程质量标准必须符合现行国家有关工程施工质量验收规范和标准的要求。有关工程质量的特殊标准或要求由合同当事人在专用合同条款中约定。</w:t>
      </w:r>
    </w:p>
    <w:p w14:paraId="4D5104D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5.1.2 因发包人原因造成工程质量未达到合同约定标准的，由发包人承担由此增加的费用和（或）延误的工期，并支付承包人合理的利润。</w:t>
      </w:r>
    </w:p>
    <w:p w14:paraId="6633374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5.1.3 因承包人原因造成工程质量未达到合同约定标准的，发包人有权要求承包人返工直至工程质量达到合同约定的标准为止，并由承包人承担由此增加的费用和（或）延误的工期。</w:t>
      </w:r>
    </w:p>
    <w:p w14:paraId="5843ACDF">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03" w:name="_Toc351203534"/>
      <w:r>
        <w:rPr>
          <w:rFonts w:hint="default" w:ascii="Times New Roman" w:hAnsi="Times New Roman" w:eastAsia="方正仿宋_GBK" w:cs="Times New Roman"/>
          <w:b w:val="0"/>
          <w:color w:val="000000" w:themeColor="text1"/>
          <w:sz w:val="24"/>
          <w:szCs w:val="24"/>
          <w14:textFill>
            <w14:solidFill>
              <w14:schemeClr w14:val="tx1"/>
            </w14:solidFill>
          </w14:textFill>
        </w:rPr>
        <w:t>5</w:t>
      </w:r>
      <w:bookmarkStart w:id="504" w:name="_Toc337558760"/>
      <w:r>
        <w:rPr>
          <w:rFonts w:hint="default" w:ascii="Times New Roman" w:hAnsi="Times New Roman" w:eastAsia="方正仿宋_GBK" w:cs="Times New Roman"/>
          <w:b w:val="0"/>
          <w:color w:val="000000" w:themeColor="text1"/>
          <w:sz w:val="24"/>
          <w:szCs w:val="24"/>
          <w14:textFill>
            <w14:solidFill>
              <w14:schemeClr w14:val="tx1"/>
            </w14:solidFill>
          </w14:textFill>
        </w:rPr>
        <w:t>.2质量保证措施</w:t>
      </w:r>
      <w:bookmarkEnd w:id="503"/>
    </w:p>
    <w:bookmarkEnd w:id="504"/>
    <w:p w14:paraId="772F760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outlineLvl w:val="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5.2.1 发包人的质量管理</w:t>
      </w:r>
    </w:p>
    <w:p w14:paraId="2498523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发包人应按照法律规定及合同约定完成与工程质量有关的各项工作。</w:t>
      </w:r>
    </w:p>
    <w:p w14:paraId="22A4FF3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5.2.2 承包人的质量管理</w:t>
      </w:r>
    </w:p>
    <w:p w14:paraId="06AD837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71B7CDD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承包人应对施工人员进行质量教育和技术培训，定期考核施工人员的劳动技能，严格执行施工规范和操作规程。</w:t>
      </w:r>
    </w:p>
    <w:p w14:paraId="686D379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承包人应按照法律规定和发包人的要求，对材料、工程设备以及工程的所有部位及其施工工艺进行全过程的质量检查和检验，并</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做</w:t>
      </w:r>
      <w:r>
        <w:rPr>
          <w:rFonts w:hint="default" w:ascii="Times New Roman" w:hAnsi="Times New Roman" w:eastAsia="方正仿宋_GBK" w:cs="Times New Roman"/>
          <w:color w:val="000000" w:themeColor="text1"/>
          <w:kern w:val="0"/>
          <w:sz w:val="24"/>
          <w:szCs w:val="24"/>
          <w14:textFill>
            <w14:solidFill>
              <w14:schemeClr w14:val="tx1"/>
            </w14:solidFill>
          </w14:textFill>
        </w:rPr>
        <w:t>详细记录，编制工程质量报表，报送监理人审查。此外，承包人还应按照法律规定和发包人的要求，进行施工现场取样试验、工程复核测量和设备性能检测，提供试验样品、提交试验报告和测量成果以及其他工作。</w:t>
      </w:r>
    </w:p>
    <w:p w14:paraId="499A608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outlineLvl w:val="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5.2.3 监理人的质量检查和检验</w:t>
      </w:r>
    </w:p>
    <w:p w14:paraId="6179892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监理人按照法律规定和发包人授权对工程的所有部位及其施工工艺、材料和工程设备进行检查和检验。承包人应为监理人的检查和检验提供方便，包括监理人到施工现场，或制造、加工地点，或合同约定的其他地方进行</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查看</w:t>
      </w:r>
      <w:r>
        <w:rPr>
          <w:rFonts w:hint="default" w:ascii="Times New Roman" w:hAnsi="Times New Roman" w:eastAsia="方正仿宋_GBK" w:cs="Times New Roman"/>
          <w:color w:val="000000" w:themeColor="text1"/>
          <w:kern w:val="0"/>
          <w:sz w:val="24"/>
          <w:szCs w:val="24"/>
          <w14:textFill>
            <w14:solidFill>
              <w14:schemeClr w14:val="tx1"/>
            </w14:solidFill>
          </w14:textFill>
        </w:rPr>
        <w:t>和查阅施工原始记录。监理人为此进行的检查和检验，不免除或减轻承包人按照合同约定应当承担的责任。</w:t>
      </w:r>
    </w:p>
    <w:p w14:paraId="49D7DD5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43548C26">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05" w:name="_Toc351203535"/>
      <w:r>
        <w:rPr>
          <w:rFonts w:hint="default" w:ascii="Times New Roman" w:hAnsi="Times New Roman" w:eastAsia="方正仿宋_GBK" w:cs="Times New Roman"/>
          <w:b w:val="0"/>
          <w:color w:val="000000" w:themeColor="text1"/>
          <w:sz w:val="24"/>
          <w:szCs w:val="24"/>
          <w14:textFill>
            <w14:solidFill>
              <w14:schemeClr w14:val="tx1"/>
            </w14:solidFill>
          </w14:textFill>
        </w:rPr>
        <w:t>5</w:t>
      </w:r>
      <w:bookmarkStart w:id="506" w:name="_Toc337558761"/>
      <w:r>
        <w:rPr>
          <w:rFonts w:hint="default" w:ascii="Times New Roman" w:hAnsi="Times New Roman" w:eastAsia="方正仿宋_GBK" w:cs="Times New Roman"/>
          <w:b w:val="0"/>
          <w:color w:val="000000" w:themeColor="text1"/>
          <w:sz w:val="24"/>
          <w:szCs w:val="24"/>
          <w14:textFill>
            <w14:solidFill>
              <w14:schemeClr w14:val="tx1"/>
            </w14:solidFill>
          </w14:textFill>
        </w:rPr>
        <w:t>.3 隐蔽工程检查</w:t>
      </w:r>
      <w:bookmarkEnd w:id="505"/>
    </w:p>
    <w:bookmarkEnd w:id="506"/>
    <w:p w14:paraId="5310A20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5.3.1承包人自检</w:t>
      </w:r>
    </w:p>
    <w:p w14:paraId="6D0A64F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承包人应当对工程隐蔽部位进行自检，并经自检确认是否具备覆盖条件。</w:t>
      </w:r>
    </w:p>
    <w:p w14:paraId="1C07A46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5.3.2检查程序</w:t>
      </w:r>
    </w:p>
    <w:p w14:paraId="7EAA8E0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52BAC28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7257A06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做</w:t>
      </w:r>
      <w:r>
        <w:rPr>
          <w:rFonts w:hint="default" w:ascii="Times New Roman" w:hAnsi="Times New Roman" w:eastAsia="方正仿宋_GBK" w:cs="Times New Roman"/>
          <w:color w:val="000000" w:themeColor="text1"/>
          <w:kern w:val="0"/>
          <w:sz w:val="24"/>
          <w:szCs w:val="24"/>
          <w14:textFill>
            <w14:solidFill>
              <w14:schemeClr w14:val="tx1"/>
            </w14:solidFill>
          </w14:textFill>
        </w:rPr>
        <w:t>相应记录报送监理人，监理人应签字确认。监理人事后对检查记录有疑问的，可按第5.3.3项〔重新检查〕的约定重新检查。</w:t>
      </w:r>
    </w:p>
    <w:p w14:paraId="4BEB7CE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5.3.3 重新检查</w:t>
      </w:r>
    </w:p>
    <w:p w14:paraId="3C48A02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1FE0F28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5.3.4 承包人私自覆盖</w:t>
      </w:r>
    </w:p>
    <w:p w14:paraId="2D202A6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承包人未通知监理人到场检查，私自将工程隐蔽部位覆盖的，监理人有权指示承包人钻孔探测或揭开检查，无论工程隐蔽部位质量是否合格，由此增加的费用和（或）延误的工期均由承包人承担。</w:t>
      </w:r>
    </w:p>
    <w:p w14:paraId="1A5C7696">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07" w:name="_Toc351203536"/>
      <w:r>
        <w:rPr>
          <w:rFonts w:hint="default" w:ascii="Times New Roman" w:hAnsi="Times New Roman" w:eastAsia="方正仿宋_GBK" w:cs="Times New Roman"/>
          <w:b w:val="0"/>
          <w:color w:val="000000" w:themeColor="text1"/>
          <w:sz w:val="24"/>
          <w:szCs w:val="24"/>
          <w14:textFill>
            <w14:solidFill>
              <w14:schemeClr w14:val="tx1"/>
            </w14:solidFill>
          </w14:textFill>
        </w:rPr>
        <w:t>5</w:t>
      </w:r>
      <w:bookmarkStart w:id="508" w:name="_Toc337558762"/>
      <w:r>
        <w:rPr>
          <w:rFonts w:hint="default" w:ascii="Times New Roman" w:hAnsi="Times New Roman" w:eastAsia="方正仿宋_GBK" w:cs="Times New Roman"/>
          <w:b w:val="0"/>
          <w:color w:val="000000" w:themeColor="text1"/>
          <w:sz w:val="24"/>
          <w:szCs w:val="24"/>
          <w14:textFill>
            <w14:solidFill>
              <w14:schemeClr w14:val="tx1"/>
            </w14:solidFill>
          </w14:textFill>
        </w:rPr>
        <w:t>.4不合格工程的处理</w:t>
      </w:r>
      <w:bookmarkEnd w:id="507"/>
    </w:p>
    <w:bookmarkEnd w:id="508"/>
    <w:p w14:paraId="67B930E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269916E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5.4.2 因发包人原因造成工程不合格的，由此增加的费用和（或）延误的工期由发包人承担，并支付承包人合理的利润。</w:t>
      </w:r>
    </w:p>
    <w:p w14:paraId="33FC65B9">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09" w:name="_Toc351203537"/>
      <w:r>
        <w:rPr>
          <w:rFonts w:hint="default" w:ascii="Times New Roman" w:hAnsi="Times New Roman" w:eastAsia="方正仿宋_GBK" w:cs="Times New Roman"/>
          <w:b w:val="0"/>
          <w:color w:val="000000" w:themeColor="text1"/>
          <w:sz w:val="24"/>
          <w:szCs w:val="24"/>
          <w14:textFill>
            <w14:solidFill>
              <w14:schemeClr w14:val="tx1"/>
            </w14:solidFill>
          </w14:textFill>
        </w:rPr>
        <w:t>5.5 质量争议检测</w:t>
      </w:r>
      <w:bookmarkEnd w:id="509"/>
    </w:p>
    <w:p w14:paraId="61B95FF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合同当事人对工程质量有争议的，由双方协商确定的工程质量检测机构鉴定，由此产生的费用及因此造成的损失，由责任方承担。</w:t>
      </w:r>
    </w:p>
    <w:p w14:paraId="5EEC1219">
      <w:pPr>
        <w:pageBreakBefore w:val="0"/>
        <w:widowControl w:val="0"/>
        <w:kinsoku/>
        <w:wordWrap/>
        <w:overflowPunct/>
        <w:topLinePunct w:val="0"/>
        <w:autoSpaceDE w:val="0"/>
        <w:autoSpaceDN w:val="0"/>
        <w:bidi w:val="0"/>
        <w:adjustRightInd w:val="0"/>
        <w:snapToGrid/>
        <w:spacing w:line="400" w:lineRule="exact"/>
        <w:ind w:left="0" w:leftChars="0" w:right="0" w:rightChars="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合同当事人均有责任的，由双方根据其责任分别承担。合同当事人无法达成一致的，按照第4.4款〔商定或确定〕执行。</w:t>
      </w:r>
    </w:p>
    <w:p w14:paraId="5D8C8F19">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510" w:name="_Toc351203538"/>
      <w:r>
        <w:rPr>
          <w:rFonts w:hint="default" w:ascii="Times New Roman" w:hAnsi="Times New Roman" w:eastAsia="方正小标宋_GBK" w:cs="Times New Roman"/>
          <w:b w:val="0"/>
          <w:color w:val="000000" w:themeColor="text1"/>
          <w:sz w:val="24"/>
          <w:szCs w:val="24"/>
          <w14:textFill>
            <w14:solidFill>
              <w14:schemeClr w14:val="tx1"/>
            </w14:solidFill>
          </w14:textFill>
        </w:rPr>
        <w:t>6</w:t>
      </w:r>
      <w:bookmarkStart w:id="511" w:name="_Toc337558763"/>
      <w:r>
        <w:rPr>
          <w:rFonts w:hint="default" w:ascii="Times New Roman" w:hAnsi="Times New Roman" w:eastAsia="方正小标宋_GBK" w:cs="Times New Roman"/>
          <w:b w:val="0"/>
          <w:color w:val="000000" w:themeColor="text1"/>
          <w:sz w:val="24"/>
          <w:szCs w:val="24"/>
          <w14:textFill>
            <w14:solidFill>
              <w14:schemeClr w14:val="tx1"/>
            </w14:solidFill>
          </w14:textFill>
        </w:rPr>
        <w:t>. 安全文明施工与环境保护</w:t>
      </w:r>
      <w:bookmarkEnd w:id="510"/>
    </w:p>
    <w:bookmarkEnd w:id="511"/>
    <w:p w14:paraId="1CEA16FC">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12" w:name="_Toc351203539"/>
      <w:r>
        <w:rPr>
          <w:rFonts w:hint="default" w:ascii="Times New Roman" w:hAnsi="Times New Roman" w:eastAsia="方正仿宋_GBK" w:cs="Times New Roman"/>
          <w:b w:val="0"/>
          <w:color w:val="000000" w:themeColor="text1"/>
          <w:sz w:val="24"/>
          <w:szCs w:val="24"/>
          <w14:textFill>
            <w14:solidFill>
              <w14:schemeClr w14:val="tx1"/>
            </w14:solidFill>
          </w14:textFill>
        </w:rPr>
        <w:t>6</w:t>
      </w:r>
      <w:bookmarkStart w:id="513" w:name="_Toc337558764"/>
      <w:r>
        <w:rPr>
          <w:rFonts w:hint="default" w:ascii="Times New Roman" w:hAnsi="Times New Roman" w:eastAsia="方正仿宋_GBK" w:cs="Times New Roman"/>
          <w:b w:val="0"/>
          <w:color w:val="000000" w:themeColor="text1"/>
          <w:sz w:val="24"/>
          <w:szCs w:val="24"/>
          <w14:textFill>
            <w14:solidFill>
              <w14:schemeClr w14:val="tx1"/>
            </w14:solidFill>
          </w14:textFill>
        </w:rPr>
        <w:t>.1安全文明施工</w:t>
      </w:r>
      <w:bookmarkEnd w:id="512"/>
    </w:p>
    <w:bookmarkEnd w:id="513"/>
    <w:p w14:paraId="4615892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6.1.1安全生产要求</w:t>
      </w:r>
    </w:p>
    <w:p w14:paraId="115F06F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5A175115">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在施工过程中，如遇到突发的地质变动、事先未知的地下施工障碍等影响施工安全的紧急情况，承包人应及时报告监理人和发包人，发包人应当及时下令停工并报</w:t>
      </w:r>
      <w:r>
        <w:rPr>
          <w:rFonts w:hint="default" w:ascii="Times New Roman" w:hAnsi="Times New Roman" w:eastAsia="方正仿宋_GBK" w:cs="Times New Roman"/>
          <w:color w:val="000000" w:themeColor="text1"/>
          <w:kern w:val="0"/>
          <w:sz w:val="24"/>
          <w:szCs w:val="24"/>
          <w14:textFill>
            <w14:solidFill>
              <w14:schemeClr w14:val="tx1"/>
            </w14:solidFill>
          </w14:textFill>
        </w:rPr>
        <w:t>政府有关行政管理部门</w:t>
      </w:r>
      <w:r>
        <w:rPr>
          <w:rFonts w:hint="default" w:ascii="Times New Roman" w:hAnsi="Times New Roman" w:eastAsia="方正仿宋_GBK" w:cs="Times New Roman"/>
          <w:color w:val="000000" w:themeColor="text1"/>
          <w:sz w:val="24"/>
          <w:szCs w:val="24"/>
          <w14:textFill>
            <w14:solidFill>
              <w14:schemeClr w14:val="tx1"/>
            </w14:solidFill>
          </w14:textFill>
        </w:rPr>
        <w:t>采取应急措施。</w:t>
      </w:r>
    </w:p>
    <w:p w14:paraId="5F16EA61">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因安全生产需要暂停施工的，按照第7.8款〔暂停施工〕的约定执行。</w:t>
      </w:r>
    </w:p>
    <w:p w14:paraId="284C8E8A">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6.1.2 安全生产保证措施</w:t>
      </w:r>
    </w:p>
    <w:p w14:paraId="2E8ED1F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承包人应当按照有关</w:t>
      </w:r>
      <w:r>
        <w:rPr>
          <w:rFonts w:hint="default" w:ascii="Times New Roman" w:hAnsi="Times New Roman" w:eastAsia="方正仿宋_GBK" w:cs="Times New Roman"/>
          <w:color w:val="000000" w:themeColor="text1"/>
          <w:kern w:val="0"/>
          <w:sz w:val="24"/>
          <w:szCs w:val="24"/>
          <w14:textFill>
            <w14:solidFill>
              <w14:schemeClr w14:val="tx1"/>
            </w14:solidFill>
          </w14:textFill>
        </w:rPr>
        <w:t>规定编制安全技术措施或者专项施工方案，</w:t>
      </w:r>
      <w:r>
        <w:rPr>
          <w:rFonts w:hint="default" w:ascii="Times New Roman" w:hAnsi="Times New Roman" w:eastAsia="方正仿宋_GBK" w:cs="Times New Roman"/>
          <w:color w:val="000000" w:themeColor="text1"/>
          <w:sz w:val="24"/>
          <w:szCs w:val="24"/>
          <w14:textFill>
            <w14:solidFill>
              <w14:schemeClr w14:val="tx1"/>
            </w14:solidFill>
          </w14:textFill>
        </w:rPr>
        <w:t>建立安全生产责任制度、治安保卫制度及安全生产教育培训制度，并</w:t>
      </w:r>
      <w:r>
        <w:rPr>
          <w:rFonts w:hint="default" w:ascii="Times New Roman" w:hAnsi="Times New Roman" w:eastAsia="方正仿宋_GBK" w:cs="Times New Roman"/>
          <w:color w:val="000000" w:themeColor="text1"/>
          <w:kern w:val="0"/>
          <w:sz w:val="24"/>
          <w:szCs w:val="24"/>
          <w14:textFill>
            <w14:solidFill>
              <w14:schemeClr w14:val="tx1"/>
            </w14:solidFill>
          </w14:textFill>
        </w:rPr>
        <w:t>按安全生产法律规定及合同约定履行安全职责，如实</w:t>
      </w:r>
      <w:r>
        <w:rPr>
          <w:rFonts w:hint="default" w:ascii="Times New Roman" w:hAnsi="Times New Roman" w:eastAsia="方正仿宋_GBK" w:cs="Times New Roman"/>
          <w:color w:val="000000" w:themeColor="text1"/>
          <w:sz w:val="24"/>
          <w:szCs w:val="24"/>
          <w14:textFill>
            <w14:solidFill>
              <w14:schemeClr w14:val="tx1"/>
            </w14:solidFill>
          </w14:textFill>
        </w:rPr>
        <w:t>编制工程安全生产的有关记录，</w:t>
      </w:r>
      <w:r>
        <w:rPr>
          <w:rFonts w:hint="default" w:ascii="Times New Roman" w:hAnsi="Times New Roman" w:eastAsia="方正仿宋_GBK" w:cs="Times New Roman"/>
          <w:color w:val="000000" w:themeColor="text1"/>
          <w:kern w:val="0"/>
          <w:sz w:val="24"/>
          <w:szCs w:val="24"/>
          <w14:textFill>
            <w14:solidFill>
              <w14:schemeClr w14:val="tx1"/>
            </w14:solidFill>
          </w14:textFill>
        </w:rPr>
        <w:t>接受发包人、监理人及政府安全监督部门的检查与监督。</w:t>
      </w:r>
    </w:p>
    <w:p w14:paraId="003DFB9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6.1.3特别安全生产事项</w:t>
      </w:r>
    </w:p>
    <w:p w14:paraId="17D8B079">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承包人应按照法律规定进行施工，开工前做好安全技术交底工作</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，在</w:t>
      </w:r>
      <w:r>
        <w:rPr>
          <w:rFonts w:hint="default" w:ascii="Times New Roman" w:hAnsi="Times New Roman" w:eastAsia="方正仿宋_GBK" w:cs="Times New Roman"/>
          <w:color w:val="000000" w:themeColor="text1"/>
          <w:sz w:val="24"/>
          <w:szCs w:val="24"/>
          <w14:textFill>
            <w14:solidFill>
              <w14:schemeClr w14:val="tx1"/>
            </w14:solidFill>
          </w14:textFill>
        </w:rPr>
        <w:t>施工过程中做好各项安全防护措施。承包人为实施合同而雇用的特殊工种的人员应受过专门的培训并已取得政府有关管理机构颁发的上岗证书。</w:t>
      </w:r>
    </w:p>
    <w:p w14:paraId="551CB33D">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承包人在动力设备、输电线路、地下管道、密封防震车间、易燃易爆地段以及临街交通要道附近施工时，施工开始前应向发包人和监理人提出安全防护措施，经发包人认可后实施。 </w:t>
      </w:r>
    </w:p>
    <w:p w14:paraId="3366BD49">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实施爆破作业，在放射、毒害性环境中施工（含储存、运输、使用）及使用毒害性、腐蚀性物品施工时，承包人应在施工前7天以书面通知发包人和监理人，并报送相应的安全防护措施，经发包人认可后实施。</w:t>
      </w:r>
    </w:p>
    <w:p w14:paraId="785A8847">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需单独编制危险性较大分部分项专项工程施工方案的</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，以</w:t>
      </w:r>
      <w:r>
        <w:rPr>
          <w:rFonts w:hint="default" w:ascii="Times New Roman" w:hAnsi="Times New Roman" w:eastAsia="方正仿宋_GBK" w:cs="Times New Roman"/>
          <w:color w:val="000000" w:themeColor="text1"/>
          <w:sz w:val="24"/>
          <w:szCs w:val="24"/>
          <w14:textFill>
            <w14:solidFill>
              <w14:schemeClr w14:val="tx1"/>
            </w14:solidFill>
          </w14:textFill>
        </w:rPr>
        <w:t>及要求进行专家论证的超过一定规模的危险性较大的分部分项工程，承包人应及时编制和组织论证。</w:t>
      </w:r>
    </w:p>
    <w:p w14:paraId="0EA94AE3">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6.1.4 治安保卫</w:t>
      </w:r>
    </w:p>
    <w:p w14:paraId="2827503C">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除专用合同条款另有约定外，发包人应与当地公安部门协商，在现场建立治安管理机构或联防组织，统一管理施工场地的治安保卫事项，履行合同工程的治安保卫职责。</w:t>
      </w:r>
    </w:p>
    <w:p w14:paraId="615A659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发包人和承包人除应协助现场治安管理机构或联防组织维护施工场地的社会治安外，还应做好包括生活区在内的各自管辖区的治安保卫工作。</w:t>
      </w:r>
    </w:p>
    <w:p w14:paraId="7B1DA82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7AFDA3C4">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6.1.5 文明施工</w:t>
      </w:r>
    </w:p>
    <w:p w14:paraId="62DAC36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08897C8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6DC808EA">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6.1.6 安全文明施工费</w:t>
      </w:r>
    </w:p>
    <w:p w14:paraId="0391367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安全文明施工费由发包人承担，发包人不得以任何形式扣减该部分费用。因基准日期后合同所适用的法律或政府有关规定发生变化，增加的安全文明施工费由发包人承担。</w:t>
      </w:r>
    </w:p>
    <w:p w14:paraId="37B0343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3A8D9D3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5B98982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5801831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6.1.7 紧急情况处理</w:t>
      </w:r>
    </w:p>
    <w:p w14:paraId="10D6705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3F46B52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6.1.8 事故处理</w:t>
      </w:r>
    </w:p>
    <w:p w14:paraId="367F63B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06DF73F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6.1.9 安全生产责任</w:t>
      </w:r>
    </w:p>
    <w:p w14:paraId="3B066B4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6.1.9.1 发包人的安全责任</w:t>
      </w:r>
    </w:p>
    <w:p w14:paraId="3DC380F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发包人应负责赔偿以下各种情况造成的损失：</w:t>
      </w:r>
    </w:p>
    <w:p w14:paraId="5C8EE72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（1）工程或工程的任何部分对土地的占用所造成的第三者财产损失；</w:t>
      </w:r>
    </w:p>
    <w:p w14:paraId="170016F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（2）由于发包人原因在施工场地及其毗邻地带造成的第三者人身伤亡和财产损失；</w:t>
      </w:r>
    </w:p>
    <w:p w14:paraId="3110CEA5">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（3）由于发包人原因对承包人、监理人造成的人员人身伤亡和财产损失；</w:t>
      </w:r>
    </w:p>
    <w:p w14:paraId="676ED5DC">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（4）由于发包人原因造成的发包人自身人员的人身伤害以及财产损失。</w:t>
      </w:r>
    </w:p>
    <w:p w14:paraId="0E42452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6.1.9.2 承包人的安全责任</w:t>
      </w:r>
    </w:p>
    <w:p w14:paraId="107D83E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由于承包人原因在施工场地内及其毗邻地带造成的发包人、监理人以及第三者人员伤亡和财产损失，由承包人负责赔偿。</w:t>
      </w:r>
    </w:p>
    <w:p w14:paraId="47B9F968">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14" w:name="_Toc351203540"/>
      <w:r>
        <w:rPr>
          <w:rFonts w:hint="default" w:ascii="Times New Roman" w:hAnsi="Times New Roman" w:eastAsia="方正仿宋_GBK" w:cs="Times New Roman"/>
          <w:b w:val="0"/>
          <w:color w:val="000000" w:themeColor="text1"/>
          <w:sz w:val="24"/>
          <w:szCs w:val="24"/>
          <w14:textFill>
            <w14:solidFill>
              <w14:schemeClr w14:val="tx1"/>
            </w14:solidFill>
          </w14:textFill>
        </w:rPr>
        <w:t>6</w:t>
      </w:r>
      <w:bookmarkStart w:id="515" w:name="_Toc337558765"/>
      <w:r>
        <w:rPr>
          <w:rFonts w:hint="default" w:ascii="Times New Roman" w:hAnsi="Times New Roman" w:eastAsia="方正仿宋_GBK" w:cs="Times New Roman"/>
          <w:b w:val="0"/>
          <w:color w:val="000000" w:themeColor="text1"/>
          <w:sz w:val="24"/>
          <w:szCs w:val="24"/>
          <w14:textFill>
            <w14:solidFill>
              <w14:schemeClr w14:val="tx1"/>
            </w14:solidFill>
          </w14:textFill>
        </w:rPr>
        <w:t>.2 职业健康</w:t>
      </w:r>
      <w:bookmarkEnd w:id="514"/>
    </w:p>
    <w:bookmarkEnd w:id="515"/>
    <w:p w14:paraId="187BF3A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6.2.1 劳动保护</w:t>
      </w:r>
    </w:p>
    <w:p w14:paraId="2EF927B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74A6D30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承包人应按照法律规定保障现场施工人员的劳动安全，并提供劳动保护</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24"/>
          <w:szCs w:val="24"/>
          <w14:textFill>
            <w14:solidFill>
              <w14:schemeClr w14:val="tx1"/>
            </w14:solidFill>
          </w14:textFill>
        </w:rPr>
        <w:t>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20C9AB5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承包人应按法律规定安排工作时间，保证其雇佣人员享有休息和休假的权利。因工程施工的特殊需要占用休假日或延长工作时间的，应不超过法律规定的限度，并按法律规定给予补休或付酬。</w:t>
      </w:r>
    </w:p>
    <w:p w14:paraId="5A79A2D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6.2.2 生活条件</w:t>
      </w:r>
    </w:p>
    <w:p w14:paraId="55BC7AE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 在远离城镇的施工场地，还应配备必要的伤病防治和急救的医务人员与医疗设施。</w:t>
      </w:r>
    </w:p>
    <w:p w14:paraId="4C129FFE">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16" w:name="_Toc351203541"/>
      <w:r>
        <w:rPr>
          <w:rFonts w:hint="default" w:ascii="Times New Roman" w:hAnsi="Times New Roman" w:eastAsia="方正仿宋_GBK" w:cs="Times New Roman"/>
          <w:b w:val="0"/>
          <w:color w:val="000000" w:themeColor="text1"/>
          <w:sz w:val="24"/>
          <w:szCs w:val="24"/>
          <w14:textFill>
            <w14:solidFill>
              <w14:schemeClr w14:val="tx1"/>
            </w14:solidFill>
          </w14:textFill>
        </w:rPr>
        <w:t>6</w:t>
      </w:r>
      <w:bookmarkStart w:id="517" w:name="_Toc337558766"/>
      <w:r>
        <w:rPr>
          <w:rFonts w:hint="default" w:ascii="Times New Roman" w:hAnsi="Times New Roman" w:eastAsia="方正仿宋_GBK" w:cs="Times New Roman"/>
          <w:b w:val="0"/>
          <w:color w:val="000000" w:themeColor="text1"/>
          <w:sz w:val="24"/>
          <w:szCs w:val="24"/>
          <w14:textFill>
            <w14:solidFill>
              <w14:schemeClr w14:val="tx1"/>
            </w14:solidFill>
          </w14:textFill>
        </w:rPr>
        <w:t>.3 环境保护</w:t>
      </w:r>
      <w:bookmarkEnd w:id="516"/>
    </w:p>
    <w:bookmarkEnd w:id="517"/>
    <w:p w14:paraId="5A86C23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承包人应在施工组织设计中列明环境保护的具体措施。在合同履行期间，承包人应采取合理措施保护施工现场环境。对施工作业过程中可能引起的大气、水、</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噪声</w:t>
      </w:r>
      <w:r>
        <w:rPr>
          <w:rFonts w:hint="default" w:ascii="Times New Roman" w:hAnsi="Times New Roman" w:eastAsia="方正仿宋_GBK" w:cs="Times New Roman"/>
          <w:color w:val="000000" w:themeColor="text1"/>
          <w:kern w:val="0"/>
          <w:sz w:val="24"/>
          <w:szCs w:val="24"/>
          <w14:textFill>
            <w14:solidFill>
              <w14:schemeClr w14:val="tx1"/>
            </w14:solidFill>
          </w14:textFill>
        </w:rPr>
        <w:t>以及固体废物污染采取具体可行的防范措施。</w:t>
      </w:r>
    </w:p>
    <w:p w14:paraId="546D0B7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承包人应当承担因其原因引起的环境污染侵权损害赔偿责任，因上述环境污染引起纠纷而导致暂停施工的，由此增加的费用和（或）延误的工期由承包人承担。</w:t>
      </w:r>
    </w:p>
    <w:p w14:paraId="1474CA4D">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518" w:name="_Toc351203542"/>
      <w:r>
        <w:rPr>
          <w:rFonts w:hint="default" w:ascii="Times New Roman" w:hAnsi="Times New Roman" w:eastAsia="方正小标宋_GBK" w:cs="Times New Roman"/>
          <w:b w:val="0"/>
          <w:color w:val="000000" w:themeColor="text1"/>
          <w:sz w:val="24"/>
          <w:szCs w:val="24"/>
          <w14:textFill>
            <w14:solidFill>
              <w14:schemeClr w14:val="tx1"/>
            </w14:solidFill>
          </w14:textFill>
        </w:rPr>
        <w:t>7</w:t>
      </w:r>
      <w:bookmarkStart w:id="519" w:name="_Toc337558767"/>
      <w:r>
        <w:rPr>
          <w:rFonts w:hint="default" w:ascii="Times New Roman" w:hAnsi="Times New Roman" w:eastAsia="方正小标宋_GBK" w:cs="Times New Roman"/>
          <w:b w:val="0"/>
          <w:color w:val="000000" w:themeColor="text1"/>
          <w:sz w:val="24"/>
          <w:szCs w:val="24"/>
          <w14:textFill>
            <w14:solidFill>
              <w14:schemeClr w14:val="tx1"/>
            </w14:solidFill>
          </w14:textFill>
        </w:rPr>
        <w:t>. 工期和进度</w:t>
      </w:r>
      <w:bookmarkEnd w:id="518"/>
    </w:p>
    <w:bookmarkEnd w:id="519"/>
    <w:p w14:paraId="1EE3CE1A">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20" w:name="_Toc351203543"/>
      <w:r>
        <w:rPr>
          <w:rFonts w:hint="default" w:ascii="Times New Roman" w:hAnsi="Times New Roman" w:eastAsia="方正仿宋_GBK" w:cs="Times New Roman"/>
          <w:b w:val="0"/>
          <w:color w:val="000000" w:themeColor="text1"/>
          <w:sz w:val="24"/>
          <w:szCs w:val="24"/>
          <w14:textFill>
            <w14:solidFill>
              <w14:schemeClr w14:val="tx1"/>
            </w14:solidFill>
          </w14:textFill>
        </w:rPr>
        <w:t>7</w:t>
      </w:r>
      <w:bookmarkStart w:id="521" w:name="_Toc337558768"/>
      <w:bookmarkStart w:id="522" w:name="_Toc296503066"/>
      <w:bookmarkStart w:id="523" w:name="_Toc296346567"/>
      <w:r>
        <w:rPr>
          <w:rFonts w:hint="default" w:ascii="Times New Roman" w:hAnsi="Times New Roman" w:eastAsia="方正仿宋_GBK" w:cs="Times New Roman"/>
          <w:b w:val="0"/>
          <w:color w:val="000000" w:themeColor="text1"/>
          <w:sz w:val="24"/>
          <w:szCs w:val="24"/>
          <w14:textFill>
            <w14:solidFill>
              <w14:schemeClr w14:val="tx1"/>
            </w14:solidFill>
          </w14:textFill>
        </w:rPr>
        <w:t>.1施工组织设计</w:t>
      </w:r>
      <w:bookmarkEnd w:id="520"/>
    </w:p>
    <w:bookmarkEnd w:id="521"/>
    <w:p w14:paraId="1594B3F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7.1.1 </w:t>
      </w:r>
      <w:r>
        <w:rPr>
          <w:rFonts w:hint="default" w:ascii="Times New Roman" w:hAnsi="Times New Roman" w:eastAsia="方正仿宋_GBK" w:cs="Times New Roman"/>
          <w:color w:val="000000" w:themeColor="text1"/>
          <w:kern w:val="0"/>
          <w:sz w:val="24"/>
          <w:szCs w:val="24"/>
          <w14:textFill>
            <w14:solidFill>
              <w14:schemeClr w14:val="tx1"/>
            </w14:solidFill>
          </w14:textFill>
        </w:rPr>
        <w:t>施工组织设计的内容</w:t>
      </w:r>
    </w:p>
    <w:p w14:paraId="6C31DBB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施工组织设计应包含以下内容：</w:t>
      </w:r>
    </w:p>
    <w:p w14:paraId="69515F6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（1）施工方案； </w:t>
      </w:r>
    </w:p>
    <w:p w14:paraId="4593220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（2）施工现场平面布置图；</w:t>
      </w:r>
    </w:p>
    <w:p w14:paraId="5ECE5C6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（3）施工进度计划和保证措施； </w:t>
      </w:r>
    </w:p>
    <w:p w14:paraId="5986A14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（4）劳动力及材料供应计划；</w:t>
      </w:r>
    </w:p>
    <w:p w14:paraId="6D5E648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（5）施工机械设备的选用；</w:t>
      </w:r>
    </w:p>
    <w:p w14:paraId="4450787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（6）质量保证体系及措施；</w:t>
      </w:r>
    </w:p>
    <w:p w14:paraId="4661DE3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（7）安全生产、文明施工措施；</w:t>
      </w:r>
    </w:p>
    <w:p w14:paraId="4665C4A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（8）环境保护、成本控制措施；</w:t>
      </w:r>
    </w:p>
    <w:p w14:paraId="524514D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（9）合同当事人约定的其他内容。</w:t>
      </w:r>
    </w:p>
    <w:p w14:paraId="00A6E7E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7.1.2 </w:t>
      </w:r>
      <w:r>
        <w:rPr>
          <w:rFonts w:hint="default" w:ascii="Times New Roman" w:hAnsi="Times New Roman" w:eastAsia="方正仿宋_GBK" w:cs="Times New Roman"/>
          <w:color w:val="000000" w:themeColor="text1"/>
          <w:kern w:val="0"/>
          <w:sz w:val="24"/>
          <w:szCs w:val="24"/>
          <w14:textFill>
            <w14:solidFill>
              <w14:schemeClr w14:val="tx1"/>
            </w14:solidFill>
          </w14:textFill>
        </w:rPr>
        <w:t>施工组织设计的提交和修改</w:t>
      </w:r>
    </w:p>
    <w:p w14:paraId="01EBE0D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55AC339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施工进度计划的编制和修改按照第7.2款〔施工进度计划〕执行。</w:t>
      </w:r>
    </w:p>
    <w:p w14:paraId="1C9411C5">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24" w:name="_Toc351203544"/>
      <w:r>
        <w:rPr>
          <w:rFonts w:hint="default" w:ascii="Times New Roman" w:hAnsi="Times New Roman" w:eastAsia="方正仿宋_GBK" w:cs="Times New Roman"/>
          <w:b w:val="0"/>
          <w:color w:val="000000" w:themeColor="text1"/>
          <w:sz w:val="24"/>
          <w:szCs w:val="24"/>
          <w14:textFill>
            <w14:solidFill>
              <w14:schemeClr w14:val="tx1"/>
            </w14:solidFill>
          </w14:textFill>
        </w:rPr>
        <w:t>7</w:t>
      </w:r>
      <w:bookmarkStart w:id="525" w:name="_Toc337558769"/>
      <w:r>
        <w:rPr>
          <w:rFonts w:hint="default" w:ascii="Times New Roman" w:hAnsi="Times New Roman" w:eastAsia="方正仿宋_GBK" w:cs="Times New Roman"/>
          <w:b w:val="0"/>
          <w:color w:val="000000" w:themeColor="text1"/>
          <w:sz w:val="24"/>
          <w:szCs w:val="24"/>
          <w14:textFill>
            <w14:solidFill>
              <w14:schemeClr w14:val="tx1"/>
            </w14:solidFill>
          </w14:textFill>
        </w:rPr>
        <w:t>.2 施工进度计划</w:t>
      </w:r>
      <w:bookmarkEnd w:id="524"/>
    </w:p>
    <w:bookmarkEnd w:id="525"/>
    <w:p w14:paraId="107D850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7.2.1 施工进度计划的编制</w:t>
      </w:r>
    </w:p>
    <w:p w14:paraId="473AB47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27C3811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7.2.2 施工进度计划的修订</w:t>
      </w:r>
    </w:p>
    <w:p w14:paraId="6F31A9E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3531CFA7">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26" w:name="_Toc351203545"/>
      <w:r>
        <w:rPr>
          <w:rFonts w:hint="default" w:ascii="Times New Roman" w:hAnsi="Times New Roman" w:eastAsia="方正仿宋_GBK" w:cs="Times New Roman"/>
          <w:b w:val="0"/>
          <w:color w:val="000000" w:themeColor="text1"/>
          <w:sz w:val="24"/>
          <w:szCs w:val="24"/>
          <w14:textFill>
            <w14:solidFill>
              <w14:schemeClr w14:val="tx1"/>
            </w14:solidFill>
          </w14:textFill>
        </w:rPr>
        <w:t>7</w:t>
      </w:r>
      <w:bookmarkStart w:id="527" w:name="_Toc337558770"/>
      <w:r>
        <w:rPr>
          <w:rFonts w:hint="default" w:ascii="Times New Roman" w:hAnsi="Times New Roman" w:eastAsia="方正仿宋_GBK" w:cs="Times New Roman"/>
          <w:b w:val="0"/>
          <w:color w:val="000000" w:themeColor="text1"/>
          <w:sz w:val="24"/>
          <w:szCs w:val="24"/>
          <w14:textFill>
            <w14:solidFill>
              <w14:schemeClr w14:val="tx1"/>
            </w14:solidFill>
          </w14:textFill>
        </w:rPr>
        <w:t>.3 开工</w:t>
      </w:r>
      <w:bookmarkEnd w:id="526"/>
    </w:p>
    <w:p w14:paraId="54C2277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7.3.1 开工准备</w:t>
      </w:r>
    </w:p>
    <w:p w14:paraId="73A753B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2AE9935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除专用合同条款另有约定外，合同当事人应按约定完成开工准备工作。</w:t>
      </w:r>
    </w:p>
    <w:p w14:paraId="49E1D02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7.3.2 开工通知</w:t>
      </w:r>
    </w:p>
    <w:bookmarkEnd w:id="527"/>
    <w:p w14:paraId="1FC586E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5FB1003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4DC077F7">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28" w:name="_Toc351203546"/>
      <w:r>
        <w:rPr>
          <w:rFonts w:hint="default" w:ascii="Times New Roman" w:hAnsi="Times New Roman" w:eastAsia="方正仿宋_GBK" w:cs="Times New Roman"/>
          <w:b w:val="0"/>
          <w:color w:val="000000" w:themeColor="text1"/>
          <w:sz w:val="24"/>
          <w:szCs w:val="24"/>
          <w14:textFill>
            <w14:solidFill>
              <w14:schemeClr w14:val="tx1"/>
            </w14:solidFill>
          </w14:textFill>
        </w:rPr>
        <w:t>7.4测量放线</w:t>
      </w:r>
      <w:bookmarkEnd w:id="528"/>
    </w:p>
    <w:p w14:paraId="66129E5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64D75AA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1FFBDDA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7.4.2 承包人负责施工过程中的全部施工测量放线工作，并配置具有相应资质的人员、合格的仪器、设备和其他物品。承包人应</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校正</w:t>
      </w:r>
      <w:r>
        <w:rPr>
          <w:rFonts w:hint="default" w:ascii="Times New Roman" w:hAnsi="Times New Roman" w:eastAsia="方正仿宋_GBK" w:cs="Times New Roman"/>
          <w:color w:val="000000" w:themeColor="text1"/>
          <w:kern w:val="0"/>
          <w:sz w:val="24"/>
          <w:szCs w:val="24"/>
          <w14:textFill>
            <w14:solidFill>
              <w14:schemeClr w14:val="tx1"/>
            </w14:solidFill>
          </w14:textFill>
        </w:rPr>
        <w:t>工程的位置、标高、尺寸或准线中出现的任何差错，并对工程各部分的定位负责。</w:t>
      </w:r>
    </w:p>
    <w:p w14:paraId="6BB5A16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施工过程中对施工现场内水准点等测量标志物的保护工作由承包人负责。</w:t>
      </w:r>
      <w:bookmarkStart w:id="529" w:name="_Toc351203547"/>
    </w:p>
    <w:p w14:paraId="1C188C2A">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r>
        <w:rPr>
          <w:rFonts w:hint="default" w:ascii="Times New Roman" w:hAnsi="Times New Roman" w:eastAsia="方正仿宋_GBK" w:cs="Times New Roman"/>
          <w:b w:val="0"/>
          <w:color w:val="000000" w:themeColor="text1"/>
          <w:sz w:val="24"/>
          <w:szCs w:val="24"/>
          <w14:textFill>
            <w14:solidFill>
              <w14:schemeClr w14:val="tx1"/>
            </w14:solidFill>
          </w14:textFill>
        </w:rPr>
        <w:t>7</w:t>
      </w:r>
      <w:bookmarkEnd w:id="522"/>
      <w:bookmarkEnd w:id="523"/>
      <w:bookmarkStart w:id="530" w:name="_Toc296346574"/>
      <w:bookmarkStart w:id="531" w:name="_Toc337558772"/>
      <w:bookmarkStart w:id="532" w:name="_Toc296503073"/>
      <w:r>
        <w:rPr>
          <w:rFonts w:hint="default" w:ascii="Times New Roman" w:hAnsi="Times New Roman" w:eastAsia="方正仿宋_GBK" w:cs="Times New Roman"/>
          <w:b w:val="0"/>
          <w:color w:val="000000" w:themeColor="text1"/>
          <w:sz w:val="24"/>
          <w:szCs w:val="24"/>
          <w14:textFill>
            <w14:solidFill>
              <w14:schemeClr w14:val="tx1"/>
            </w14:solidFill>
          </w14:textFill>
        </w:rPr>
        <w:t>.5 工期延误</w:t>
      </w:r>
      <w:bookmarkEnd w:id="529"/>
    </w:p>
    <w:bookmarkEnd w:id="530"/>
    <w:bookmarkEnd w:id="531"/>
    <w:bookmarkEnd w:id="532"/>
    <w:p w14:paraId="19ED923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7.5.1 因发包人原因导致工期延误</w:t>
      </w:r>
    </w:p>
    <w:p w14:paraId="79AB9C9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在合同履行过程中，因下列情况导致工期延误和（或）费用增加的，由发包人承担由此延误的工期和（或）增加的费用，且发包人应支付承包人合理的利润： </w:t>
      </w:r>
    </w:p>
    <w:p w14:paraId="73C63EF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（1）发包人未能按合同约定提供图纸或所提供图纸不符合合同约定的；</w:t>
      </w:r>
    </w:p>
    <w:p w14:paraId="07EFBCB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（2）发包人未能按合同约定提供施工现场、施工条件、基础资料、许可、批准等开工条件的；</w:t>
      </w:r>
    </w:p>
    <w:p w14:paraId="64A90E4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（3）发包人提供的测量基准点、基准线和水准点及其书面资料存在错误或疏漏的；</w:t>
      </w:r>
    </w:p>
    <w:p w14:paraId="760A847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（4）发包人未能在计划开工日期之日起7天内同意下达开工通知的；</w:t>
      </w:r>
    </w:p>
    <w:p w14:paraId="15D15B9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（5）发包人未能按合同约定日期支付工程预付款、进度款或竣工结算款的；</w:t>
      </w:r>
    </w:p>
    <w:p w14:paraId="41604D1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（6）监理人未按合同约定发出指示、批准等文件的；</w:t>
      </w:r>
    </w:p>
    <w:p w14:paraId="04F0091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（7）专用合同条款中约定的其他情形。</w:t>
      </w:r>
    </w:p>
    <w:p w14:paraId="404273D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0E0B201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7.5.2 因承包人原因导致工期延误</w:t>
      </w:r>
    </w:p>
    <w:p w14:paraId="445C5B0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bookmarkStart w:id="533" w:name="_Toc296346577"/>
      <w:bookmarkStart w:id="534" w:name="_Toc296503076"/>
      <w:r>
        <w:rPr>
          <w:rFonts w:hint="default" w:ascii="Times New Roman" w:hAnsi="Times New Roman" w:eastAsia="方正仿宋_GBK" w:cs="Times New Roman"/>
          <w:color w:val="000000" w:themeColor="text1"/>
          <w:kern w:val="0"/>
          <w:sz w:val="24"/>
          <w:szCs w:val="24"/>
          <w14:textFill>
            <w14:solidFill>
              <w14:schemeClr w14:val="tx1"/>
            </w14:solidFill>
          </w14:textFill>
        </w:rPr>
        <w:t>因</w:t>
      </w:r>
      <w:bookmarkEnd w:id="533"/>
      <w:bookmarkEnd w:id="534"/>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承包人原因造成工期延误的，可以在专用合同条款中约定逾期竣工违约金的计算方法和逾期竣工违约金的上限。承包人支付逾期竣工违约金后，不免除承包人继续完成工程及修补缺陷的义务。</w:t>
      </w:r>
    </w:p>
    <w:p w14:paraId="2F6B2508">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35" w:name="_Toc351203548"/>
      <w:r>
        <w:rPr>
          <w:rFonts w:hint="default" w:ascii="Times New Roman" w:hAnsi="Times New Roman" w:eastAsia="方正仿宋_GBK" w:cs="Times New Roman"/>
          <w:b w:val="0"/>
          <w:color w:val="000000" w:themeColor="text1"/>
          <w:sz w:val="24"/>
          <w:szCs w:val="24"/>
          <w14:textFill>
            <w14:solidFill>
              <w14:schemeClr w14:val="tx1"/>
            </w14:solidFill>
          </w14:textFill>
        </w:rPr>
        <w:t>7</w:t>
      </w:r>
      <w:bookmarkStart w:id="536" w:name="_Toc296346575"/>
      <w:bookmarkStart w:id="537" w:name="_Toc337558773"/>
      <w:bookmarkStart w:id="538" w:name="_Toc296503074"/>
      <w:bookmarkStart w:id="539" w:name="_Toc296346578"/>
      <w:bookmarkStart w:id="540" w:name="_Toc296503077"/>
      <w:r>
        <w:rPr>
          <w:rFonts w:hint="default" w:ascii="Times New Roman" w:hAnsi="Times New Roman" w:eastAsia="方正仿宋_GBK" w:cs="Times New Roman"/>
          <w:b w:val="0"/>
          <w:color w:val="000000" w:themeColor="text1"/>
          <w:sz w:val="24"/>
          <w:szCs w:val="24"/>
          <w14:textFill>
            <w14:solidFill>
              <w14:schemeClr w14:val="tx1"/>
            </w14:solidFill>
          </w14:textFill>
        </w:rPr>
        <w:t>.6 不利物质条件</w:t>
      </w:r>
      <w:bookmarkEnd w:id="535"/>
    </w:p>
    <w:bookmarkEnd w:id="536"/>
    <w:bookmarkEnd w:id="537"/>
    <w:bookmarkEnd w:id="538"/>
    <w:p w14:paraId="63B880A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33391C8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3FE96CD7">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41" w:name="_Toc351203549"/>
      <w:r>
        <w:rPr>
          <w:rFonts w:hint="default" w:ascii="Times New Roman" w:hAnsi="Times New Roman" w:eastAsia="方正仿宋_GBK" w:cs="Times New Roman"/>
          <w:b w:val="0"/>
          <w:color w:val="000000" w:themeColor="text1"/>
          <w:sz w:val="24"/>
          <w:szCs w:val="24"/>
          <w14:textFill>
            <w14:solidFill>
              <w14:schemeClr w14:val="tx1"/>
            </w14:solidFill>
          </w14:textFill>
        </w:rPr>
        <w:t>7</w:t>
      </w:r>
      <w:bookmarkStart w:id="542" w:name="_Toc337558774"/>
      <w:bookmarkStart w:id="543" w:name="_Toc296346576"/>
      <w:bookmarkStart w:id="544" w:name="_Toc296503075"/>
      <w:r>
        <w:rPr>
          <w:rFonts w:hint="default" w:ascii="Times New Roman" w:hAnsi="Times New Roman" w:eastAsia="方正仿宋_GBK" w:cs="Times New Roman"/>
          <w:b w:val="0"/>
          <w:color w:val="000000" w:themeColor="text1"/>
          <w:sz w:val="24"/>
          <w:szCs w:val="24"/>
          <w14:textFill>
            <w14:solidFill>
              <w14:schemeClr w14:val="tx1"/>
            </w14:solidFill>
          </w14:textFill>
        </w:rPr>
        <w:t>.7 异常恶劣的气候条件</w:t>
      </w:r>
      <w:bookmarkEnd w:id="541"/>
    </w:p>
    <w:bookmarkEnd w:id="542"/>
    <w:bookmarkEnd w:id="543"/>
    <w:bookmarkEnd w:id="544"/>
    <w:p w14:paraId="7779E7F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3755273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545" w:name="_Toc351203550"/>
    </w:p>
    <w:p w14:paraId="199F2CC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outlineLvl w:val="0"/>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7</w:t>
      </w:r>
      <w:bookmarkStart w:id="546" w:name="_Toc337558775"/>
      <w:r>
        <w:rPr>
          <w:rFonts w:hint="default" w:ascii="Times New Roman" w:hAnsi="Times New Roman" w:eastAsia="方正仿宋_GBK" w:cs="Times New Roman"/>
          <w:bCs/>
          <w:color w:val="000000" w:themeColor="text1"/>
          <w:sz w:val="24"/>
          <w:szCs w:val="24"/>
          <w14:textFill>
            <w14:solidFill>
              <w14:schemeClr w14:val="tx1"/>
            </w14:solidFill>
          </w14:textFill>
        </w:rPr>
        <w:t>.8 暂停施工</w:t>
      </w:r>
      <w:bookmarkEnd w:id="545"/>
    </w:p>
    <w:bookmarkEnd w:id="539"/>
    <w:bookmarkEnd w:id="540"/>
    <w:bookmarkEnd w:id="546"/>
    <w:p w14:paraId="73210AB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7.8.1发包人原因引起的暂停施工</w:t>
      </w:r>
    </w:p>
    <w:p w14:paraId="27E287C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因发包人原因引起暂停施工的，监理人经发包人同意后，应及时下达暂停施工指示。情况紧急且监理人未及时下达暂停施工指示的，按照第7.8.4项〔紧急情况下的暂停施工〕执行。</w:t>
      </w:r>
    </w:p>
    <w:p w14:paraId="1C5794C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因发包人原因引起的暂停施工，发包人应承担由此增加的费用和（或）延误的工期，并支付承包人合理的利润。</w:t>
      </w:r>
    </w:p>
    <w:p w14:paraId="7EAF1DD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7.8.2 承包人原因引起的暂停施工</w:t>
      </w:r>
    </w:p>
    <w:p w14:paraId="7A19FA4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0512344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7.8.3 指示暂停施工</w:t>
      </w:r>
    </w:p>
    <w:p w14:paraId="1F95C26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监理人认为有必要时，并经发包人批准后，可向承包人作出暂停施工的指示，承包人应按监理人指示暂停施工。</w:t>
      </w:r>
    </w:p>
    <w:p w14:paraId="3950431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7.8.4 紧急情况下的暂停施工</w:t>
      </w:r>
    </w:p>
    <w:p w14:paraId="40DCCF9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0F7E124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7.8.5 暂停施工后的复工</w:t>
      </w:r>
    </w:p>
    <w:p w14:paraId="67249B2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194089C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承包人无故拖延和拒绝复工的，承包人承担由此增加的费用和（或）延误的工期；因发包人原因无法按时复工的，按照第7.5.1项〔因发包人原因导致工期延误〕约定办理。</w:t>
      </w:r>
    </w:p>
    <w:p w14:paraId="2A1165E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7.8.6 暂停施工持续56天以上</w:t>
      </w:r>
    </w:p>
    <w:p w14:paraId="0C39B814">
      <w:pPr>
        <w:pageBreakBefore w:val="0"/>
        <w:widowControl w:val="0"/>
        <w:kinsoku/>
        <w:wordWrap/>
        <w:overflowPunct/>
        <w:topLinePunct w:val="0"/>
        <w:bidi w:val="0"/>
        <w:snapToGrid/>
        <w:spacing w:line="400" w:lineRule="exact"/>
        <w:ind w:left="0" w:leftChars="0" w:right="0" w:rightChars="0" w:firstLine="468" w:firstLineChars="195"/>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7E6318C2">
      <w:pPr>
        <w:pageBreakBefore w:val="0"/>
        <w:widowControl w:val="0"/>
        <w:kinsoku/>
        <w:wordWrap/>
        <w:overflowPunct/>
        <w:topLinePunct w:val="0"/>
        <w:bidi w:val="0"/>
        <w:snapToGrid/>
        <w:spacing w:line="400" w:lineRule="exact"/>
        <w:ind w:left="0" w:leftChars="0" w:right="0" w:rightChars="0" w:firstLine="468" w:firstLineChars="195"/>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12F829C7">
      <w:pPr>
        <w:pageBreakBefore w:val="0"/>
        <w:widowControl w:val="0"/>
        <w:kinsoku/>
        <w:wordWrap/>
        <w:overflowPunct/>
        <w:topLinePunct w:val="0"/>
        <w:bidi w:val="0"/>
        <w:snapToGrid/>
        <w:spacing w:line="400" w:lineRule="exact"/>
        <w:ind w:left="0" w:leftChars="0" w:right="0" w:rightChars="0" w:firstLine="468" w:firstLineChars="195"/>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7.8.7 暂停施工期间的工程照管</w:t>
      </w:r>
    </w:p>
    <w:p w14:paraId="1BEAE1B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暂停施工期间，承包人应负责妥善照管工程并提供安全保障，由此增加的费用由责任方承担。</w:t>
      </w:r>
    </w:p>
    <w:p w14:paraId="2FDCCEF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7.8.8 暂停施工的措施</w:t>
      </w:r>
    </w:p>
    <w:p w14:paraId="05287AA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暂停施工期间，发包人和承包人均应采取必要的措施确保工程质量及安全，防止因暂停施工扩大损失。</w:t>
      </w:r>
    </w:p>
    <w:p w14:paraId="5CBA868B">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47" w:name="_Toc351203551"/>
      <w:r>
        <w:rPr>
          <w:rFonts w:hint="default" w:ascii="Times New Roman" w:hAnsi="Times New Roman" w:eastAsia="方正仿宋_GBK" w:cs="Times New Roman"/>
          <w:b w:val="0"/>
          <w:color w:val="000000" w:themeColor="text1"/>
          <w:sz w:val="24"/>
          <w:szCs w:val="24"/>
          <w14:textFill>
            <w14:solidFill>
              <w14:schemeClr w14:val="tx1"/>
            </w14:solidFill>
          </w14:textFill>
        </w:rPr>
        <w:t>7.9提前竣工</w:t>
      </w:r>
      <w:bookmarkEnd w:id="547"/>
    </w:p>
    <w:p w14:paraId="5CB200B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28F19D5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7.9.2 发包人要求承包人提前竣工，或承包人提出提前竣工的建议能够给发包人带来效益的，合同当事人可以在专用合同条款中约定提前竣工的奖励。</w:t>
      </w:r>
    </w:p>
    <w:p w14:paraId="0C2048D5">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548" w:name="_Toc351203552"/>
      <w:r>
        <w:rPr>
          <w:rFonts w:hint="default" w:ascii="Times New Roman" w:hAnsi="Times New Roman" w:eastAsia="方正小标宋_GBK" w:cs="Times New Roman"/>
          <w:b w:val="0"/>
          <w:color w:val="000000" w:themeColor="text1"/>
          <w:sz w:val="24"/>
          <w:szCs w:val="24"/>
          <w14:textFill>
            <w14:solidFill>
              <w14:schemeClr w14:val="tx1"/>
            </w14:solidFill>
          </w14:textFill>
        </w:rPr>
        <w:t>8</w:t>
      </w:r>
      <w:bookmarkStart w:id="549" w:name="_Toc296346559"/>
      <w:bookmarkStart w:id="550" w:name="_Toc337558776"/>
      <w:bookmarkStart w:id="551" w:name="_Toc296503058"/>
      <w:r>
        <w:rPr>
          <w:rFonts w:hint="default" w:ascii="Times New Roman" w:hAnsi="Times New Roman" w:eastAsia="方正小标宋_GBK" w:cs="Times New Roman"/>
          <w:b w:val="0"/>
          <w:color w:val="000000" w:themeColor="text1"/>
          <w:sz w:val="24"/>
          <w:szCs w:val="24"/>
          <w14:textFill>
            <w14:solidFill>
              <w14:schemeClr w14:val="tx1"/>
            </w14:solidFill>
          </w14:textFill>
        </w:rPr>
        <w:t>. 材料与设备</w:t>
      </w:r>
      <w:bookmarkEnd w:id="548"/>
    </w:p>
    <w:bookmarkEnd w:id="549"/>
    <w:bookmarkEnd w:id="550"/>
    <w:bookmarkEnd w:id="551"/>
    <w:p w14:paraId="146AA2D9">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52" w:name="_Toc351203553"/>
      <w:r>
        <w:rPr>
          <w:rFonts w:hint="default" w:ascii="Times New Roman" w:hAnsi="Times New Roman" w:eastAsia="方正仿宋_GBK" w:cs="Times New Roman"/>
          <w:b w:val="0"/>
          <w:color w:val="000000" w:themeColor="text1"/>
          <w:sz w:val="24"/>
          <w:szCs w:val="24"/>
          <w14:textFill>
            <w14:solidFill>
              <w14:schemeClr w14:val="tx1"/>
            </w14:solidFill>
          </w14:textFill>
        </w:rPr>
        <w:t>8</w:t>
      </w:r>
      <w:bookmarkStart w:id="553" w:name="_Toc296346560"/>
      <w:bookmarkStart w:id="554" w:name="_Toc337558777"/>
      <w:bookmarkStart w:id="555" w:name="_Toc296503059"/>
      <w:bookmarkStart w:id="556" w:name="_Toc468936960"/>
      <w:r>
        <w:rPr>
          <w:rFonts w:hint="default" w:ascii="Times New Roman" w:hAnsi="Times New Roman" w:eastAsia="方正仿宋_GBK" w:cs="Times New Roman"/>
          <w:b w:val="0"/>
          <w:color w:val="000000" w:themeColor="text1"/>
          <w:sz w:val="24"/>
          <w:szCs w:val="24"/>
          <w14:textFill>
            <w14:solidFill>
              <w14:schemeClr w14:val="tx1"/>
            </w14:solidFill>
          </w14:textFill>
        </w:rPr>
        <w:t>.1发包人供应材料与工程设备</w:t>
      </w:r>
      <w:bookmarkEnd w:id="552"/>
    </w:p>
    <w:bookmarkEnd w:id="553"/>
    <w:bookmarkEnd w:id="554"/>
    <w:bookmarkEnd w:id="555"/>
    <w:p w14:paraId="5D208C0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发包人自行供应材料、工程设备的，应在签订合同时在专用合同条款的附件《发包人供应材料设备一览表》中明确材料、工程设备的品种、规格、型号、数量、单价、质量等级和送达地点。</w:t>
      </w:r>
    </w:p>
    <w:p w14:paraId="36F3442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67D99010">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bookmarkStart w:id="557" w:name="_Toc351203554"/>
      <w:r>
        <w:rPr>
          <w:rFonts w:hint="default" w:ascii="Times New Roman" w:hAnsi="Times New Roman" w:eastAsia="方正仿宋_GBK" w:cs="Times New Roman"/>
          <w:b w:val="0"/>
          <w:color w:val="000000" w:themeColor="text1"/>
          <w:sz w:val="24"/>
          <w:szCs w:val="24"/>
          <w14:textFill>
            <w14:solidFill>
              <w14:schemeClr w14:val="tx1"/>
            </w14:solidFill>
          </w14:textFill>
        </w:rPr>
        <w:t>8</w:t>
      </w:r>
      <w:bookmarkStart w:id="558" w:name="_Toc296346561"/>
      <w:bookmarkStart w:id="559" w:name="_Toc296503060"/>
      <w:bookmarkStart w:id="560" w:name="_Toc337558778"/>
      <w:r>
        <w:rPr>
          <w:rFonts w:hint="default" w:ascii="Times New Roman" w:hAnsi="Times New Roman" w:eastAsia="方正仿宋_GBK" w:cs="Times New Roman"/>
          <w:b w:val="0"/>
          <w:color w:val="000000" w:themeColor="text1"/>
          <w:sz w:val="24"/>
          <w:szCs w:val="24"/>
          <w14:textFill>
            <w14:solidFill>
              <w14:schemeClr w14:val="tx1"/>
            </w14:solidFill>
          </w14:textFill>
        </w:rPr>
        <w:t>.2承包人采购材料与工程设备</w:t>
      </w:r>
      <w:bookmarkEnd w:id="557"/>
    </w:p>
    <w:bookmarkEnd w:id="558"/>
    <w:bookmarkEnd w:id="559"/>
    <w:bookmarkEnd w:id="560"/>
    <w:p w14:paraId="01A7C3F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5788014F">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61" w:name="_Toc351203555"/>
      <w:r>
        <w:rPr>
          <w:rFonts w:hint="default" w:ascii="Times New Roman" w:hAnsi="Times New Roman" w:eastAsia="方正仿宋_GBK" w:cs="Times New Roman"/>
          <w:b w:val="0"/>
          <w:color w:val="000000" w:themeColor="text1"/>
          <w:sz w:val="24"/>
          <w:szCs w:val="24"/>
          <w14:textFill>
            <w14:solidFill>
              <w14:schemeClr w14:val="tx1"/>
            </w14:solidFill>
          </w14:textFill>
        </w:rPr>
        <w:t>8</w:t>
      </w:r>
      <w:bookmarkStart w:id="562" w:name="_Toc296346562"/>
      <w:bookmarkStart w:id="563" w:name="_Toc337558779"/>
      <w:bookmarkStart w:id="564" w:name="_Toc296503061"/>
      <w:r>
        <w:rPr>
          <w:rFonts w:hint="default" w:ascii="Times New Roman" w:hAnsi="Times New Roman" w:eastAsia="方正仿宋_GBK" w:cs="Times New Roman"/>
          <w:b w:val="0"/>
          <w:color w:val="000000" w:themeColor="text1"/>
          <w:sz w:val="24"/>
          <w:szCs w:val="24"/>
          <w14:textFill>
            <w14:solidFill>
              <w14:schemeClr w14:val="tx1"/>
            </w14:solidFill>
          </w14:textFill>
        </w:rPr>
        <w:t>.3材料与工程设备的接收与拒收</w:t>
      </w:r>
      <w:bookmarkEnd w:id="561"/>
    </w:p>
    <w:bookmarkEnd w:id="562"/>
    <w:bookmarkEnd w:id="563"/>
    <w:bookmarkEnd w:id="564"/>
    <w:p w14:paraId="1FBFBBB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17C7486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发包人提供的材料和工程设备的规格、数量或质量不符合合同约定的，或因发包人原因导致交货日期延误或交货地点变更等情况的，按照第16.1款〔发包人违约〕约定办理。</w:t>
      </w:r>
    </w:p>
    <w:p w14:paraId="2C4FC5F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8.3.2 承包人采购的材料和工程设备，应保证产品质量合格，承包人应在材料和工程设备到货前24小时通知监理人检验。承</w:t>
      </w:r>
      <w:bookmarkStart w:id="565" w:name="_Toc250655469"/>
      <w:r>
        <w:rPr>
          <w:rFonts w:hint="default" w:ascii="Times New Roman" w:hAnsi="Times New Roman" w:eastAsia="方正仿宋_GBK" w:cs="Times New Roman"/>
          <w:color w:val="000000" w:themeColor="text1"/>
          <w:kern w:val="0"/>
          <w:sz w:val="24"/>
          <w:szCs w:val="24"/>
          <w14:textFill>
            <w14:solidFill>
              <w14:schemeClr w14:val="tx1"/>
            </w14:solidFill>
          </w14:textFill>
        </w:rPr>
        <w:t>包人进行永久设备、材料的制造和生产的，应符合相关质量标准，并向监理人提交材料的样本以及有关资料，并应在使用该材料或工程设备之前获得监理人同意。</w:t>
      </w:r>
    </w:p>
    <w:bookmarkEnd w:id="565"/>
    <w:p w14:paraId="3221A3A3">
      <w:pPr>
        <w:pageBreakBefore w:val="0"/>
        <w:widowControl w:val="0"/>
        <w:kinsoku/>
        <w:wordWrap/>
        <w:overflowPunct/>
        <w:topLinePunct w:val="0"/>
        <w:autoSpaceDE w:val="0"/>
        <w:autoSpaceDN w:val="0"/>
        <w:bidi w:val="0"/>
        <w:adjustRightInd w:val="0"/>
        <w:snapToGrid/>
        <w:spacing w:line="400" w:lineRule="exact"/>
        <w:ind w:left="0" w:leftChars="0" w:right="0" w:rightChars="0" w:firstLine="360" w:firstLineChars="15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5B6D7DD2">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66" w:name="_Toc351203556"/>
      <w:r>
        <w:rPr>
          <w:rFonts w:hint="default" w:ascii="Times New Roman" w:hAnsi="Times New Roman" w:eastAsia="方正仿宋_GBK" w:cs="Times New Roman"/>
          <w:b w:val="0"/>
          <w:color w:val="000000" w:themeColor="text1"/>
          <w:sz w:val="24"/>
          <w:szCs w:val="24"/>
          <w14:textFill>
            <w14:solidFill>
              <w14:schemeClr w14:val="tx1"/>
            </w14:solidFill>
          </w14:textFill>
        </w:rPr>
        <w:t>8</w:t>
      </w:r>
      <w:bookmarkStart w:id="567" w:name="_Toc337558780"/>
      <w:bookmarkStart w:id="568" w:name="_Toc296346563"/>
      <w:bookmarkStart w:id="569" w:name="_Toc296503062"/>
      <w:r>
        <w:rPr>
          <w:rFonts w:hint="default" w:ascii="Times New Roman" w:hAnsi="Times New Roman" w:eastAsia="方正仿宋_GBK" w:cs="Times New Roman"/>
          <w:b w:val="0"/>
          <w:color w:val="000000" w:themeColor="text1"/>
          <w:sz w:val="24"/>
          <w:szCs w:val="24"/>
          <w14:textFill>
            <w14:solidFill>
              <w14:schemeClr w14:val="tx1"/>
            </w14:solidFill>
          </w14:textFill>
        </w:rPr>
        <w:t>.4材料与工程设备的保管与使用</w:t>
      </w:r>
      <w:bookmarkEnd w:id="566"/>
    </w:p>
    <w:bookmarkEnd w:id="567"/>
    <w:bookmarkEnd w:id="568"/>
    <w:bookmarkEnd w:id="569"/>
    <w:p w14:paraId="1D23496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8.4.1 发包人供应</w:t>
      </w:r>
      <w:r>
        <w:rPr>
          <w:rFonts w:hint="default" w:ascii="Times New Roman" w:hAnsi="Times New Roman" w:eastAsia="方正仿宋_GBK" w:cs="Times New Roman"/>
          <w:color w:val="000000" w:themeColor="text1"/>
          <w:sz w:val="24"/>
          <w:szCs w:val="24"/>
          <w14:textFill>
            <w14:solidFill>
              <w14:schemeClr w14:val="tx1"/>
            </w14:solidFill>
          </w14:textFill>
        </w:rPr>
        <w:t>材料与</w:t>
      </w:r>
      <w:r>
        <w:rPr>
          <w:rFonts w:hint="default" w:ascii="Times New Roman" w:hAnsi="Times New Roman" w:eastAsia="方正仿宋_GBK" w:cs="Times New Roman"/>
          <w:color w:val="000000" w:themeColor="text1"/>
          <w:kern w:val="0"/>
          <w:sz w:val="24"/>
          <w:szCs w:val="24"/>
          <w14:textFill>
            <w14:solidFill>
              <w14:schemeClr w14:val="tx1"/>
            </w14:solidFill>
          </w14:textFill>
        </w:rPr>
        <w:t>工程</w:t>
      </w:r>
      <w:r>
        <w:rPr>
          <w:rFonts w:hint="default" w:ascii="Times New Roman" w:hAnsi="Times New Roman" w:eastAsia="方正仿宋_GBK" w:cs="Times New Roman"/>
          <w:color w:val="000000" w:themeColor="text1"/>
          <w:sz w:val="24"/>
          <w:szCs w:val="24"/>
          <w14:textFill>
            <w14:solidFill>
              <w14:schemeClr w14:val="tx1"/>
            </w14:solidFill>
          </w14:textFill>
        </w:rPr>
        <w:t>设备的保管与使用</w:t>
      </w:r>
    </w:p>
    <w:p w14:paraId="30F02A3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1D4D907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发包人供应的材料和工程设备使用前，由承包人负责检验，检验费用由发包人承担，不合格的不得使用。</w:t>
      </w:r>
    </w:p>
    <w:p w14:paraId="652C4C4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8.4.2 承包人采购</w:t>
      </w:r>
      <w:r>
        <w:rPr>
          <w:rFonts w:hint="default" w:ascii="Times New Roman" w:hAnsi="Times New Roman" w:eastAsia="方正仿宋_GBK" w:cs="Times New Roman"/>
          <w:color w:val="000000" w:themeColor="text1"/>
          <w:sz w:val="24"/>
          <w:szCs w:val="24"/>
          <w14:textFill>
            <w14:solidFill>
              <w14:schemeClr w14:val="tx1"/>
            </w14:solidFill>
          </w14:textFill>
        </w:rPr>
        <w:t>材料与</w:t>
      </w:r>
      <w:r>
        <w:rPr>
          <w:rFonts w:hint="default" w:ascii="Times New Roman" w:hAnsi="Times New Roman" w:eastAsia="方正仿宋_GBK" w:cs="Times New Roman"/>
          <w:color w:val="000000" w:themeColor="text1"/>
          <w:kern w:val="0"/>
          <w:sz w:val="24"/>
          <w:szCs w:val="24"/>
          <w14:textFill>
            <w14:solidFill>
              <w14:schemeClr w14:val="tx1"/>
            </w14:solidFill>
          </w14:textFill>
        </w:rPr>
        <w:t>工程</w:t>
      </w:r>
      <w:r>
        <w:rPr>
          <w:rFonts w:hint="default" w:ascii="Times New Roman" w:hAnsi="Times New Roman" w:eastAsia="方正仿宋_GBK" w:cs="Times New Roman"/>
          <w:color w:val="000000" w:themeColor="text1"/>
          <w:sz w:val="24"/>
          <w:szCs w:val="24"/>
          <w14:textFill>
            <w14:solidFill>
              <w14:schemeClr w14:val="tx1"/>
            </w14:solidFill>
          </w14:textFill>
        </w:rPr>
        <w:t>设备的保管与使用</w:t>
      </w:r>
    </w:p>
    <w:p w14:paraId="210DF28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2D8C14C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发包人或监理人发现承包人使用不符合设计或有关标准要求的材料和工程设备时，有权要求承包人进行修复、拆除或重新采购，由此增加的费用和（或）延误的工期，由承包人承担。</w:t>
      </w:r>
    </w:p>
    <w:p w14:paraId="4705A2F2">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70" w:name="_Toc351203557"/>
      <w:r>
        <w:rPr>
          <w:rFonts w:hint="default" w:ascii="Times New Roman" w:hAnsi="Times New Roman" w:eastAsia="方正仿宋_GBK" w:cs="Times New Roman"/>
          <w:b w:val="0"/>
          <w:color w:val="000000" w:themeColor="text1"/>
          <w:sz w:val="24"/>
          <w:szCs w:val="24"/>
          <w14:textFill>
            <w14:solidFill>
              <w14:schemeClr w14:val="tx1"/>
            </w14:solidFill>
          </w14:textFill>
        </w:rPr>
        <w:t>8.5禁止使用不合格的材料和工程设备</w:t>
      </w:r>
      <w:bookmarkEnd w:id="570"/>
    </w:p>
    <w:p w14:paraId="77FE1FD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8.5.1 监理人有权拒绝承包人提供的不合格材料或工程设备，并要求承包人立即进行更换。监理人应在更换后再次进行检查和检验，由此增加的费用和（或）延误的工期由承包人承担。</w:t>
      </w:r>
    </w:p>
    <w:p w14:paraId="066F9C2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8.5.2 监理人发现承包人使用了不合格的材料和工程设备，承包人应按照监理人的指示立即改正，并禁止在工程中继续使用不合格的材料和工程设备。</w:t>
      </w:r>
    </w:p>
    <w:p w14:paraId="5A94BC1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8.5.3 发包人提供的材料或工程设备不符合合同要求的，承包人有权拒绝，并可要求发包人更换，由此增加的费用和（或）延误的工期由发包人承担，并支付承包人合理的利润。</w:t>
      </w:r>
    </w:p>
    <w:p w14:paraId="7B594DB7">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71" w:name="_Toc351203558"/>
      <w:r>
        <w:rPr>
          <w:rFonts w:hint="default" w:ascii="Times New Roman" w:hAnsi="Times New Roman" w:eastAsia="方正仿宋_GBK" w:cs="Times New Roman"/>
          <w:b w:val="0"/>
          <w:color w:val="000000" w:themeColor="text1"/>
          <w:sz w:val="24"/>
          <w:szCs w:val="24"/>
          <w14:textFill>
            <w14:solidFill>
              <w14:schemeClr w14:val="tx1"/>
            </w14:solidFill>
          </w14:textFill>
        </w:rPr>
        <w:t>8.6 样品</w:t>
      </w:r>
      <w:bookmarkEnd w:id="571"/>
    </w:p>
    <w:p w14:paraId="1987D98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8.6.1</w:t>
      </w:r>
      <w:r>
        <w:rPr>
          <w:rFonts w:hint="default" w:ascii="Times New Roman" w:hAnsi="Times New Roman" w:eastAsia="方正仿宋_GBK" w:cs="Times New Roman"/>
          <w:color w:val="000000" w:themeColor="text1"/>
          <w:kern w:val="0"/>
          <w:sz w:val="24"/>
          <w:szCs w:val="24"/>
          <w14:textFill>
            <w14:solidFill>
              <w14:schemeClr w14:val="tx1"/>
            </w14:solidFill>
          </w14:textFill>
        </w:rPr>
        <w:tab/>
      </w:r>
      <w:r>
        <w:rPr>
          <w:rFonts w:hint="default" w:ascii="Times New Roman" w:hAnsi="Times New Roman" w:eastAsia="方正仿宋_GBK" w:cs="Times New Roman"/>
          <w:color w:val="000000" w:themeColor="text1"/>
          <w:kern w:val="0"/>
          <w:sz w:val="24"/>
          <w:szCs w:val="24"/>
          <w14:textFill>
            <w14:solidFill>
              <w14:schemeClr w14:val="tx1"/>
            </w14:solidFill>
          </w14:textFill>
        </w:rPr>
        <w:t>样品的报送与封存</w:t>
      </w:r>
    </w:p>
    <w:p w14:paraId="6F2D525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需要承包人报送样品的材料或工程设备，样品的种类、名称、规格、数量等要求均应在专用合同条款中约定。样品的报送程序如下：</w:t>
      </w:r>
    </w:p>
    <w:p w14:paraId="053F53A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1077FE9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（2）承包人每次报送样品时应随附申报单，申报单应载明报送样品的相关数据和资料，并标明每件样品对应的图纸号，预留监理人批复意见栏。监理人应在收到承包人报送的样品后7</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天内</w:t>
      </w:r>
      <w:r>
        <w:rPr>
          <w:rFonts w:hint="default" w:ascii="Times New Roman" w:hAnsi="Times New Roman" w:eastAsia="方正仿宋_GBK" w:cs="Times New Roman"/>
          <w:color w:val="000000" w:themeColor="text1"/>
          <w:kern w:val="0"/>
          <w:sz w:val="24"/>
          <w:szCs w:val="24"/>
          <w14:textFill>
            <w14:solidFill>
              <w14:schemeClr w14:val="tx1"/>
            </w14:solidFill>
          </w14:textFill>
        </w:rPr>
        <w:t>向承包人回复经发包人签认的样品审批意见。</w:t>
      </w:r>
    </w:p>
    <w:p w14:paraId="376E70B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（3）经发包人和监理人审批确认的样品应按约定的方法封样，封存的样品作为检验工程相关部分的标准之一。承包人在施工过程中不得使用与样品不符的材料或工程设备。</w:t>
      </w:r>
    </w:p>
    <w:p w14:paraId="04E6D16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（4）发包人和监理人对样品的审批确认仅为确认相关材料或工程设备的特征或用途，不得被理解为对合同的修改或改变，也并不减轻或免除承包人</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任何</w:t>
      </w:r>
      <w:r>
        <w:rPr>
          <w:rFonts w:hint="default" w:ascii="Times New Roman" w:hAnsi="Times New Roman" w:eastAsia="方正仿宋_GBK" w:cs="Times New Roman"/>
          <w:color w:val="000000" w:themeColor="text1"/>
          <w:kern w:val="0"/>
          <w:sz w:val="24"/>
          <w:szCs w:val="24"/>
          <w14:textFill>
            <w14:solidFill>
              <w14:schemeClr w14:val="tx1"/>
            </w14:solidFill>
          </w14:textFill>
        </w:rPr>
        <w:t>责任和义务。如果封存的样品修改或改变了合同约定，合同当事人应当以书面协议予以确认。</w:t>
      </w:r>
    </w:p>
    <w:p w14:paraId="15E296B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8.6.2 样品的保管</w:t>
      </w:r>
    </w:p>
    <w:p w14:paraId="5D537C1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经批准的样品应由监理人负责封存于现场，承包人应在现场为保存样品提供适当和固定的场所并保持适当和良好的存储环境条件。</w:t>
      </w:r>
    </w:p>
    <w:p w14:paraId="090DD1E9">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72" w:name="_Toc351203559"/>
      <w:r>
        <w:rPr>
          <w:rFonts w:hint="default" w:ascii="Times New Roman" w:hAnsi="Times New Roman" w:eastAsia="方正仿宋_GBK" w:cs="Times New Roman"/>
          <w:b w:val="0"/>
          <w:color w:val="000000" w:themeColor="text1"/>
          <w:sz w:val="24"/>
          <w:szCs w:val="24"/>
          <w14:textFill>
            <w14:solidFill>
              <w14:schemeClr w14:val="tx1"/>
            </w14:solidFill>
          </w14:textFill>
        </w:rPr>
        <w:t>8.7材料与工程设备的替代</w:t>
      </w:r>
      <w:bookmarkEnd w:id="572"/>
    </w:p>
    <w:p w14:paraId="6EA6E77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8.7.1 出现下列情况需要使用替代材料和工程设备的，承包人应按照第8.7.2项约定的程序执行：</w:t>
      </w:r>
    </w:p>
    <w:p w14:paraId="5778861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（1）基准日期后生效的法律规定禁止使用的；</w:t>
      </w:r>
    </w:p>
    <w:p w14:paraId="1177B83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（2）发包人要求使用替代品的；</w:t>
      </w:r>
    </w:p>
    <w:p w14:paraId="63E4F0C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（3）因其他原因必须使用替代品的。</w:t>
      </w:r>
    </w:p>
    <w:p w14:paraId="182D366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8.7.2 承包人应在使用替代材料和工程设备28天前书面通知监理人，并附下列文件：</w:t>
      </w:r>
    </w:p>
    <w:p w14:paraId="794BBDE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（1）被替代的材料和工程设备的名称、数量、规格、型号、品牌、性能、价格及其他相关资料；</w:t>
      </w:r>
    </w:p>
    <w:p w14:paraId="602582E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（2）替代品的名称、数量、规格、型号、品牌、性能、价格及其他相关资料；</w:t>
      </w:r>
    </w:p>
    <w:p w14:paraId="0404E53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（3）替代品与被替代产品之间的差异以及使用替代品可能对工程产生的影响；</w:t>
      </w:r>
    </w:p>
    <w:p w14:paraId="2C94FA6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（4）替代品与被替代产品的价格差异；</w:t>
      </w:r>
    </w:p>
    <w:p w14:paraId="3A5BE61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（5）使用替代品的理由和原因说明；</w:t>
      </w:r>
    </w:p>
    <w:p w14:paraId="2E32FD2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（6）监理人要求的其他文件。</w:t>
      </w:r>
    </w:p>
    <w:p w14:paraId="063F654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监理人应在收到通知后14天内向承包人发出经发包人签认的书面指示；监理人逾期发出书面指示的，视为发包人和监理人同意使用替代品。</w:t>
      </w:r>
    </w:p>
    <w:p w14:paraId="36181A6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3FFD62FD">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73" w:name="_Toc351203560"/>
      <w:r>
        <w:rPr>
          <w:rFonts w:hint="default" w:ascii="Times New Roman" w:hAnsi="Times New Roman" w:eastAsia="方正仿宋_GBK" w:cs="Times New Roman"/>
          <w:b w:val="0"/>
          <w:color w:val="000000" w:themeColor="text1"/>
          <w:sz w:val="24"/>
          <w:szCs w:val="24"/>
          <w14:textFill>
            <w14:solidFill>
              <w14:schemeClr w14:val="tx1"/>
            </w14:solidFill>
          </w14:textFill>
        </w:rPr>
        <w:t>8.8施工设备和临时设施</w:t>
      </w:r>
      <w:bookmarkEnd w:id="573"/>
    </w:p>
    <w:p w14:paraId="7CE8D92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8.8.1 承包人提供的施工设备和临时设施</w:t>
      </w:r>
    </w:p>
    <w:p w14:paraId="0413A1B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承包人应按合同进度计划的要求，及时配置施工设备和修建临时设施。进入施工场地的承包人设备需经监理人核查后才能投入使用。承包人更换合同约定的承包人设备的，应报监理人批准。</w:t>
      </w:r>
    </w:p>
    <w:p w14:paraId="0531D1F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除专用合同条款另有约定外，承包人应自行承担修建临时设施的费用，需要临时占地的，应由发包人办理申请手续并承担相应费用。</w:t>
      </w:r>
    </w:p>
    <w:p w14:paraId="732E14D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8.8.2发包人提供的施工设备和临时设施</w:t>
      </w:r>
    </w:p>
    <w:p w14:paraId="709ADA0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发包人提供的施工设备或临时设施在专用合同条款中约定。</w:t>
      </w:r>
    </w:p>
    <w:p w14:paraId="5280165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8.8.3要求承包人增加或更换施工设备</w:t>
      </w:r>
    </w:p>
    <w:p w14:paraId="680998A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承包人使用的施工设备不能满足合同进度计划和（或）质量要求时，监理人有权要求承包人增加或更换施工设备，承包人应及时增加或更换，由此增加的费用和（或）延误的工期由承包人承担。</w:t>
      </w:r>
    </w:p>
    <w:p w14:paraId="5DD0650D">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74" w:name="_Toc351203561"/>
      <w:r>
        <w:rPr>
          <w:rFonts w:hint="default" w:ascii="Times New Roman" w:hAnsi="Times New Roman" w:eastAsia="方正仿宋_GBK" w:cs="Times New Roman"/>
          <w:b w:val="0"/>
          <w:color w:val="000000" w:themeColor="text1"/>
          <w:sz w:val="24"/>
          <w:szCs w:val="24"/>
          <w14:textFill>
            <w14:solidFill>
              <w14:schemeClr w14:val="tx1"/>
            </w14:solidFill>
          </w14:textFill>
        </w:rPr>
        <w:t>8</w:t>
      </w:r>
      <w:bookmarkStart w:id="575" w:name="_Toc296346564"/>
      <w:bookmarkStart w:id="576" w:name="_Toc296503063"/>
      <w:bookmarkStart w:id="577" w:name="_Toc337558781"/>
      <w:r>
        <w:rPr>
          <w:rFonts w:hint="default" w:ascii="Times New Roman" w:hAnsi="Times New Roman" w:eastAsia="方正仿宋_GBK" w:cs="Times New Roman"/>
          <w:b w:val="0"/>
          <w:color w:val="000000" w:themeColor="text1"/>
          <w:sz w:val="24"/>
          <w:szCs w:val="24"/>
          <w14:textFill>
            <w14:solidFill>
              <w14:schemeClr w14:val="tx1"/>
            </w14:solidFill>
          </w14:textFill>
        </w:rPr>
        <w:t>.9材料与设备专用</w:t>
      </w:r>
      <w:bookmarkEnd w:id="574"/>
      <w:r>
        <w:rPr>
          <w:rFonts w:hint="default" w:ascii="Times New Roman" w:hAnsi="Times New Roman" w:eastAsia="方正仿宋_GBK" w:cs="Times New Roman"/>
          <w:b w:val="0"/>
          <w:color w:val="000000" w:themeColor="text1"/>
          <w:sz w:val="24"/>
          <w:szCs w:val="24"/>
          <w14:textFill>
            <w14:solidFill>
              <w14:schemeClr w14:val="tx1"/>
            </w14:solidFill>
          </w14:textFill>
        </w:rPr>
        <w:t>要求</w:t>
      </w:r>
    </w:p>
    <w:bookmarkEnd w:id="575"/>
    <w:bookmarkEnd w:id="576"/>
    <w:bookmarkEnd w:id="577"/>
    <w:p w14:paraId="33908B2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进入</w:t>
      </w:r>
      <w:r>
        <w:rPr>
          <w:rFonts w:hint="default" w:ascii="Times New Roman" w:hAnsi="Times New Roman" w:eastAsia="方正仿宋_GBK" w:cs="Times New Roman"/>
          <w:color w:val="000000" w:themeColor="text1"/>
          <w:kern w:val="0"/>
          <w:sz w:val="24"/>
          <w:szCs w:val="24"/>
          <w14:textFill>
            <w14:solidFill>
              <w14:schemeClr w14:val="tx1"/>
            </w14:solidFill>
          </w14:textFill>
        </w:rPr>
        <w:t>施工现场的材料、工程设备、施工设备以及在施工场地建设的临时设施，包括备品备件、安装工具与资料，必须专用于工程。未经发包人批准，承包人不得运出施工现场或挪作他用；</w:t>
      </w:r>
      <w:bookmarkEnd w:id="556"/>
      <w:r>
        <w:rPr>
          <w:rFonts w:hint="default" w:ascii="Times New Roman" w:hAnsi="Times New Roman" w:eastAsia="方正仿宋_GBK" w:cs="Times New Roman"/>
          <w:color w:val="000000" w:themeColor="text1"/>
          <w:kern w:val="0"/>
          <w:sz w:val="24"/>
          <w:szCs w:val="24"/>
          <w14:textFill>
            <w14:solidFill>
              <w14:schemeClr w14:val="tx1"/>
            </w14:solidFill>
          </w14:textFill>
        </w:rPr>
        <w:t>经发包人批准，承包人可以根据施工进度计划撤走闲置的施工设备和其他物品。</w:t>
      </w:r>
    </w:p>
    <w:p w14:paraId="7C5EBB52">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578" w:name="_Toc351203562"/>
      <w:r>
        <w:rPr>
          <w:rFonts w:hint="default" w:ascii="Times New Roman" w:hAnsi="Times New Roman" w:eastAsia="方正小标宋_GBK" w:cs="Times New Roman"/>
          <w:b w:val="0"/>
          <w:color w:val="000000" w:themeColor="text1"/>
          <w:sz w:val="24"/>
          <w:szCs w:val="24"/>
          <w14:textFill>
            <w14:solidFill>
              <w14:schemeClr w14:val="tx1"/>
            </w14:solidFill>
          </w14:textFill>
        </w:rPr>
        <w:t>9</w:t>
      </w:r>
      <w:bookmarkStart w:id="579" w:name="_Toc337558782"/>
      <w:bookmarkStart w:id="580" w:name="_Toc296503083"/>
      <w:bookmarkStart w:id="581" w:name="_Toc296346584"/>
      <w:r>
        <w:rPr>
          <w:rFonts w:hint="default" w:ascii="Times New Roman" w:hAnsi="Times New Roman" w:eastAsia="方正小标宋_GBK" w:cs="Times New Roman"/>
          <w:b w:val="0"/>
          <w:color w:val="000000" w:themeColor="text1"/>
          <w:sz w:val="24"/>
          <w:szCs w:val="24"/>
          <w14:textFill>
            <w14:solidFill>
              <w14:schemeClr w14:val="tx1"/>
            </w14:solidFill>
          </w14:textFill>
        </w:rPr>
        <w:t>. 试验与检验</w:t>
      </w:r>
      <w:bookmarkEnd w:id="578"/>
    </w:p>
    <w:bookmarkEnd w:id="579"/>
    <w:p w14:paraId="181DA920">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82" w:name="_Toc351203563"/>
      <w:r>
        <w:rPr>
          <w:rFonts w:hint="default" w:ascii="Times New Roman" w:hAnsi="Times New Roman" w:eastAsia="方正仿宋_GBK" w:cs="Times New Roman"/>
          <w:b w:val="0"/>
          <w:color w:val="000000" w:themeColor="text1"/>
          <w:sz w:val="24"/>
          <w:szCs w:val="24"/>
          <w14:textFill>
            <w14:solidFill>
              <w14:schemeClr w14:val="tx1"/>
            </w14:solidFill>
          </w14:textFill>
        </w:rPr>
        <w:t>9</w:t>
      </w:r>
      <w:bookmarkStart w:id="583" w:name="_Toc337558783"/>
      <w:r>
        <w:rPr>
          <w:rFonts w:hint="default" w:ascii="Times New Roman" w:hAnsi="Times New Roman" w:eastAsia="方正仿宋_GBK" w:cs="Times New Roman"/>
          <w:b w:val="0"/>
          <w:color w:val="000000" w:themeColor="text1"/>
          <w:sz w:val="24"/>
          <w:szCs w:val="24"/>
          <w14:textFill>
            <w14:solidFill>
              <w14:schemeClr w14:val="tx1"/>
            </w14:solidFill>
          </w14:textFill>
        </w:rPr>
        <w:t>.1试验设备与试验人员</w:t>
      </w:r>
      <w:bookmarkEnd w:id="582"/>
    </w:p>
    <w:bookmarkEnd w:id="583"/>
    <w:p w14:paraId="550253E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0ED595C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9.1.2 承包人应按专用合同条款的约定提供试验设备、取样装置、试验场所和试验条件，并向监理人提交相应进场计划表。</w:t>
      </w:r>
    </w:p>
    <w:p w14:paraId="56C515F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承包人配置的试验设备要符合相应试验规程的要求并经过具有资质的检测单位检测，且在正式使用该试验设备前，需要经过监理人与承包人共同校定。</w:t>
      </w:r>
    </w:p>
    <w:p w14:paraId="7F2B32F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9.1.3 承包人应向监理人提交试验人员的名单及其岗位、资格等证明资料，试验人员必须能够熟练进行相应的检测试验，承包人对试验人员的试验程序和试验结果的正确性负责。</w:t>
      </w:r>
    </w:p>
    <w:p w14:paraId="1CD1E677">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84" w:name="_Toc351203564"/>
      <w:r>
        <w:rPr>
          <w:rFonts w:hint="default" w:ascii="Times New Roman" w:hAnsi="Times New Roman" w:eastAsia="方正仿宋_GBK" w:cs="Times New Roman"/>
          <w:b w:val="0"/>
          <w:color w:val="000000" w:themeColor="text1"/>
          <w:sz w:val="24"/>
          <w:szCs w:val="24"/>
          <w14:textFill>
            <w14:solidFill>
              <w14:schemeClr w14:val="tx1"/>
            </w14:solidFill>
          </w14:textFill>
        </w:rPr>
        <w:t>9</w:t>
      </w:r>
      <w:bookmarkStart w:id="585" w:name="_Toc337558784"/>
      <w:r>
        <w:rPr>
          <w:rFonts w:hint="default" w:ascii="Times New Roman" w:hAnsi="Times New Roman" w:eastAsia="方正仿宋_GBK" w:cs="Times New Roman"/>
          <w:b w:val="0"/>
          <w:color w:val="000000" w:themeColor="text1"/>
          <w:sz w:val="24"/>
          <w:szCs w:val="24"/>
          <w14:textFill>
            <w14:solidFill>
              <w14:schemeClr w14:val="tx1"/>
            </w14:solidFill>
          </w14:textFill>
        </w:rPr>
        <w:t>.2取样</w:t>
      </w:r>
      <w:bookmarkEnd w:id="584"/>
    </w:p>
    <w:bookmarkEnd w:id="585"/>
    <w:p w14:paraId="29F92A9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试验属于自检性质的，承包人可以单独取样。试验属于监理人抽检性质的，可由监理人取样，也可由承包人的试验人员在监理人的监督下取样。</w:t>
      </w:r>
    </w:p>
    <w:p w14:paraId="4AA147B0">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86" w:name="_Toc351203565"/>
      <w:r>
        <w:rPr>
          <w:rFonts w:hint="default" w:ascii="Times New Roman" w:hAnsi="Times New Roman" w:eastAsia="方正仿宋_GBK" w:cs="Times New Roman"/>
          <w:b w:val="0"/>
          <w:color w:val="000000" w:themeColor="text1"/>
          <w:sz w:val="24"/>
          <w:szCs w:val="24"/>
          <w14:textFill>
            <w14:solidFill>
              <w14:schemeClr w14:val="tx1"/>
            </w14:solidFill>
          </w14:textFill>
        </w:rPr>
        <w:t>9</w:t>
      </w:r>
      <w:bookmarkStart w:id="587" w:name="_Toc337558785"/>
      <w:r>
        <w:rPr>
          <w:rFonts w:hint="default" w:ascii="Times New Roman" w:hAnsi="Times New Roman" w:eastAsia="方正仿宋_GBK" w:cs="Times New Roman"/>
          <w:b w:val="0"/>
          <w:color w:val="000000" w:themeColor="text1"/>
          <w:sz w:val="24"/>
          <w:szCs w:val="24"/>
          <w14:textFill>
            <w14:solidFill>
              <w14:schemeClr w14:val="tx1"/>
            </w14:solidFill>
          </w14:textFill>
        </w:rPr>
        <w:t>.3材料、工程设备和工程的试验和检验</w:t>
      </w:r>
      <w:bookmarkEnd w:id="586"/>
    </w:p>
    <w:bookmarkEnd w:id="587"/>
    <w:p w14:paraId="5340137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2944CE6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7C81458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4D0C2889">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88" w:name="_Toc351203566"/>
      <w:r>
        <w:rPr>
          <w:rFonts w:hint="default" w:ascii="Times New Roman" w:hAnsi="Times New Roman" w:eastAsia="方正仿宋_GBK" w:cs="Times New Roman"/>
          <w:b w:val="0"/>
          <w:color w:val="000000" w:themeColor="text1"/>
          <w:sz w:val="24"/>
          <w:szCs w:val="24"/>
          <w14:textFill>
            <w14:solidFill>
              <w14:schemeClr w14:val="tx1"/>
            </w14:solidFill>
          </w14:textFill>
        </w:rPr>
        <w:t>9</w:t>
      </w:r>
      <w:bookmarkStart w:id="589" w:name="_Toc337558786"/>
      <w:r>
        <w:rPr>
          <w:rFonts w:hint="default" w:ascii="Times New Roman" w:hAnsi="Times New Roman" w:eastAsia="方正仿宋_GBK" w:cs="Times New Roman"/>
          <w:b w:val="0"/>
          <w:color w:val="000000" w:themeColor="text1"/>
          <w:sz w:val="24"/>
          <w:szCs w:val="24"/>
          <w14:textFill>
            <w14:solidFill>
              <w14:schemeClr w14:val="tx1"/>
            </w14:solidFill>
          </w14:textFill>
        </w:rPr>
        <w:t>.4现场工艺试验</w:t>
      </w:r>
      <w:bookmarkEnd w:id="588"/>
    </w:p>
    <w:bookmarkEnd w:id="589"/>
    <w:p w14:paraId="1153BCD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承包人应按合同约定或监理人指示进行现场工艺试验。对大型的现场工艺试验，监理人认为必要时，承包人应根据监理人提出的工艺试验要求，编制工艺试验措施计划，报送监理人审查。</w:t>
      </w:r>
    </w:p>
    <w:p w14:paraId="1463E65D">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590" w:name="_Toc351203567"/>
      <w:r>
        <w:rPr>
          <w:rFonts w:hint="default" w:ascii="Times New Roman" w:hAnsi="Times New Roman" w:eastAsia="方正小标宋_GBK" w:cs="Times New Roman"/>
          <w:b w:val="0"/>
          <w:color w:val="000000" w:themeColor="text1"/>
          <w:sz w:val="24"/>
          <w:szCs w:val="24"/>
          <w14:textFill>
            <w14:solidFill>
              <w14:schemeClr w14:val="tx1"/>
            </w14:solidFill>
          </w14:textFill>
        </w:rPr>
        <w:t>1</w:t>
      </w:r>
      <w:bookmarkStart w:id="591" w:name="_Toc337558787"/>
      <w:r>
        <w:rPr>
          <w:rFonts w:hint="default" w:ascii="Times New Roman" w:hAnsi="Times New Roman" w:eastAsia="方正小标宋_GBK" w:cs="Times New Roman"/>
          <w:b w:val="0"/>
          <w:color w:val="000000" w:themeColor="text1"/>
          <w:sz w:val="24"/>
          <w:szCs w:val="24"/>
          <w14:textFill>
            <w14:solidFill>
              <w14:schemeClr w14:val="tx1"/>
            </w14:solidFill>
          </w14:textFill>
        </w:rPr>
        <w:t>0. 变更</w:t>
      </w:r>
      <w:bookmarkEnd w:id="580"/>
      <w:bookmarkEnd w:id="581"/>
      <w:bookmarkEnd w:id="590"/>
    </w:p>
    <w:bookmarkEnd w:id="591"/>
    <w:p w14:paraId="03619F3A">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92" w:name="_Toc351203568"/>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593" w:name="_Toc296346585"/>
      <w:bookmarkStart w:id="594" w:name="_Toc337558788"/>
      <w:bookmarkStart w:id="595" w:name="_Toc296503084"/>
      <w:r>
        <w:rPr>
          <w:rFonts w:hint="default" w:ascii="Times New Roman" w:hAnsi="Times New Roman" w:eastAsia="方正仿宋_GBK" w:cs="Times New Roman"/>
          <w:b w:val="0"/>
          <w:color w:val="000000" w:themeColor="text1"/>
          <w:sz w:val="24"/>
          <w:szCs w:val="24"/>
          <w14:textFill>
            <w14:solidFill>
              <w14:schemeClr w14:val="tx1"/>
            </w14:solidFill>
          </w14:textFill>
        </w:rPr>
        <w:t>0.1变更的范围</w:t>
      </w:r>
      <w:bookmarkEnd w:id="592"/>
    </w:p>
    <w:bookmarkEnd w:id="593"/>
    <w:bookmarkEnd w:id="594"/>
    <w:bookmarkEnd w:id="595"/>
    <w:p w14:paraId="3646BAA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除专用合同条款另有约定外，合同履行过程中发生以下情形的，应按照本条约定进行变更：</w:t>
      </w:r>
    </w:p>
    <w:p w14:paraId="047099A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（1）增加或减少合同中任何工作，或追加额外的工作；</w:t>
      </w:r>
    </w:p>
    <w:p w14:paraId="628918B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（2）取消合同中任何工作，但转由他人实施的工作除外；</w:t>
      </w:r>
    </w:p>
    <w:p w14:paraId="1A5C715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（3）改变合同中任何工作的质量标准或其他特性；</w:t>
      </w:r>
    </w:p>
    <w:p w14:paraId="45728A6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（4）改变工程的基线、标高、位置和尺寸；</w:t>
      </w:r>
    </w:p>
    <w:p w14:paraId="5C8C4F5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（5）改变工程的时间安排或实施顺序。</w:t>
      </w:r>
    </w:p>
    <w:p w14:paraId="4F175CAD">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596" w:name="_Toc351203569"/>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597" w:name="_Toc296346586"/>
      <w:bookmarkStart w:id="598" w:name="_Toc337558789"/>
      <w:bookmarkStart w:id="599" w:name="_Toc296503085"/>
      <w:r>
        <w:rPr>
          <w:rFonts w:hint="default" w:ascii="Times New Roman" w:hAnsi="Times New Roman" w:eastAsia="方正仿宋_GBK" w:cs="Times New Roman"/>
          <w:b w:val="0"/>
          <w:color w:val="000000" w:themeColor="text1"/>
          <w:sz w:val="24"/>
          <w:szCs w:val="24"/>
          <w14:textFill>
            <w14:solidFill>
              <w14:schemeClr w14:val="tx1"/>
            </w14:solidFill>
          </w14:textFill>
        </w:rPr>
        <w:t>0.2变更权</w:t>
      </w:r>
      <w:bookmarkEnd w:id="596"/>
    </w:p>
    <w:bookmarkEnd w:id="597"/>
    <w:bookmarkEnd w:id="598"/>
    <w:bookmarkEnd w:id="599"/>
    <w:p w14:paraId="13EE136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3F99900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涉及设计变更的，应由设计人提供变更后的图纸和说明。如变更超过原设计标准或批准的建设规模时，发包人应及时办理规划、设计变更等审批手续。</w:t>
      </w:r>
    </w:p>
    <w:p w14:paraId="45EE67B2">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00" w:name="_Toc351203570"/>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601" w:name="_Toc296503086"/>
      <w:bookmarkStart w:id="602" w:name="_Toc337558790"/>
      <w:bookmarkStart w:id="603" w:name="_Toc296346587"/>
      <w:r>
        <w:rPr>
          <w:rFonts w:hint="default" w:ascii="Times New Roman" w:hAnsi="Times New Roman" w:eastAsia="方正仿宋_GBK" w:cs="Times New Roman"/>
          <w:b w:val="0"/>
          <w:color w:val="000000" w:themeColor="text1"/>
          <w:sz w:val="24"/>
          <w:szCs w:val="24"/>
          <w14:textFill>
            <w14:solidFill>
              <w14:schemeClr w14:val="tx1"/>
            </w14:solidFill>
          </w14:textFill>
        </w:rPr>
        <w:t>0.3变更程序</w:t>
      </w:r>
      <w:bookmarkEnd w:id="600"/>
    </w:p>
    <w:bookmarkEnd w:id="601"/>
    <w:bookmarkEnd w:id="602"/>
    <w:bookmarkEnd w:id="603"/>
    <w:p w14:paraId="5E31D2B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10</w:t>
      </w:r>
      <w:r>
        <w:rPr>
          <w:rFonts w:hint="default" w:ascii="Times New Roman" w:hAnsi="Times New Roman" w:eastAsia="方正仿宋_GBK" w:cs="Times New Roman"/>
          <w:color w:val="000000" w:themeColor="text1"/>
          <w:kern w:val="0"/>
          <w:sz w:val="24"/>
          <w:szCs w:val="24"/>
          <w14:textFill>
            <w14:solidFill>
              <w14:schemeClr w14:val="tx1"/>
            </w14:solidFill>
          </w14:textFill>
        </w:rPr>
        <w:t>.3.1 发包人提出变更</w:t>
      </w:r>
    </w:p>
    <w:p w14:paraId="0A2A7A0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发包人提出变更的，应通过监理人向承包人发出变更指示，变更指示应说明计划变更的工程范围和变更的内容。</w:t>
      </w:r>
    </w:p>
    <w:p w14:paraId="7036284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10</w:t>
      </w:r>
      <w:r>
        <w:rPr>
          <w:rFonts w:hint="default" w:ascii="Times New Roman" w:hAnsi="Times New Roman" w:eastAsia="方正仿宋_GBK" w:cs="Times New Roman"/>
          <w:color w:val="000000" w:themeColor="text1"/>
          <w:kern w:val="0"/>
          <w:sz w:val="24"/>
          <w:szCs w:val="24"/>
          <w14:textFill>
            <w14:solidFill>
              <w14:schemeClr w14:val="tx1"/>
            </w14:solidFill>
          </w14:textFill>
        </w:rPr>
        <w:t>.3.2 监理人提出变更建议</w:t>
      </w:r>
    </w:p>
    <w:p w14:paraId="3C77D8E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2F0B352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10.3.3 变更执行</w:t>
      </w:r>
    </w:p>
    <w:p w14:paraId="63AB2A7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25D0E977">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04" w:name="_Toc351203571"/>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605" w:name="_Toc296346588"/>
      <w:bookmarkStart w:id="606" w:name="_Toc296503087"/>
      <w:bookmarkStart w:id="607" w:name="_Toc337558791"/>
      <w:r>
        <w:rPr>
          <w:rFonts w:hint="default" w:ascii="Times New Roman" w:hAnsi="Times New Roman" w:eastAsia="方正仿宋_GBK" w:cs="Times New Roman"/>
          <w:b w:val="0"/>
          <w:color w:val="000000" w:themeColor="text1"/>
          <w:sz w:val="24"/>
          <w:szCs w:val="24"/>
          <w14:textFill>
            <w14:solidFill>
              <w14:schemeClr w14:val="tx1"/>
            </w14:solidFill>
          </w14:textFill>
        </w:rPr>
        <w:t>0.4变更估价</w:t>
      </w:r>
      <w:bookmarkEnd w:id="604"/>
    </w:p>
    <w:bookmarkEnd w:id="605"/>
    <w:bookmarkEnd w:id="606"/>
    <w:bookmarkEnd w:id="607"/>
    <w:p w14:paraId="02783FD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10.4.1 变更估价原则</w:t>
      </w:r>
    </w:p>
    <w:p w14:paraId="1D0F758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除专用合同条款另有约定外，变更估价按照本款约定处理：</w:t>
      </w:r>
    </w:p>
    <w:p w14:paraId="677CB1C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（1）已标价工程量清单或预算书有相同项目的，按照相同项目单价认定；</w:t>
      </w:r>
    </w:p>
    <w:p w14:paraId="452ED5D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（2）已标价工程量清单或预算书中无相同项目，但有类似项目的，参照类似项目的单价认定；</w:t>
      </w:r>
    </w:p>
    <w:p w14:paraId="2B334A5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3E74EA0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10.4.2 变更估价程序</w:t>
      </w:r>
    </w:p>
    <w:p w14:paraId="08B2B63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7D2D1F6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因变更引起的价格调整应计入最近一期的进度款中支付。</w:t>
      </w:r>
    </w:p>
    <w:p w14:paraId="0B62AD42">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08" w:name="_Toc351203572"/>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609" w:name="_Toc296346595"/>
      <w:bookmarkStart w:id="610" w:name="_Toc296503094"/>
      <w:bookmarkStart w:id="611" w:name="_Toc337558792"/>
      <w:r>
        <w:rPr>
          <w:rFonts w:hint="default" w:ascii="Times New Roman" w:hAnsi="Times New Roman" w:eastAsia="方正仿宋_GBK" w:cs="Times New Roman"/>
          <w:b w:val="0"/>
          <w:color w:val="000000" w:themeColor="text1"/>
          <w:sz w:val="24"/>
          <w:szCs w:val="24"/>
          <w14:textFill>
            <w14:solidFill>
              <w14:schemeClr w14:val="tx1"/>
            </w14:solidFill>
          </w14:textFill>
        </w:rPr>
        <w:t>0.5承包人的合理化建议</w:t>
      </w:r>
      <w:bookmarkEnd w:id="608"/>
    </w:p>
    <w:bookmarkEnd w:id="609"/>
    <w:bookmarkEnd w:id="610"/>
    <w:bookmarkEnd w:id="611"/>
    <w:p w14:paraId="3061088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承包人提出合理化建议的，应向监理人提交合理化建议说明，说明建议的内容和理由，以及实施该建议对合同价格和工期的影响。</w:t>
      </w:r>
    </w:p>
    <w:p w14:paraId="3F7BEC3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737199E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合理化建议降低了合同价格或者提高了工程经济效益的，发包人可对承包人给予奖励，奖励的方法和金额在专用合同条款中约定。</w:t>
      </w:r>
    </w:p>
    <w:p w14:paraId="6D435087">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bookmarkStart w:id="612" w:name="_Toc351203573"/>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613" w:name="_Toc337558793"/>
      <w:r>
        <w:rPr>
          <w:rFonts w:hint="default" w:ascii="Times New Roman" w:hAnsi="Times New Roman" w:eastAsia="方正仿宋_GBK" w:cs="Times New Roman"/>
          <w:b w:val="0"/>
          <w:color w:val="000000" w:themeColor="text1"/>
          <w:sz w:val="24"/>
          <w:szCs w:val="24"/>
          <w14:textFill>
            <w14:solidFill>
              <w14:schemeClr w14:val="tx1"/>
            </w14:solidFill>
          </w14:textFill>
        </w:rPr>
        <w:t>0.6变更引起的工期调整</w:t>
      </w:r>
      <w:bookmarkEnd w:id="612"/>
      <w:r>
        <w:rPr>
          <w:rFonts w:hint="default" w:ascii="Times New Roman" w:hAnsi="Times New Roman" w:eastAsia="方正仿宋_GBK" w:cs="Times New Roman"/>
          <w:b w:val="0"/>
          <w:color w:val="000000" w:themeColor="text1"/>
          <w:sz w:val="24"/>
          <w:szCs w:val="24"/>
          <w14:textFill>
            <w14:solidFill>
              <w14:schemeClr w14:val="tx1"/>
            </w14:solidFill>
          </w14:textFill>
        </w:rPr>
        <w:t xml:space="preserve"> </w:t>
      </w:r>
      <w:bookmarkEnd w:id="613"/>
      <w:r>
        <w:rPr>
          <w:rFonts w:hint="default" w:ascii="Times New Roman" w:hAnsi="Times New Roman" w:eastAsia="方正仿宋_GBK" w:cs="Times New Roman"/>
          <w:b w:val="0"/>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040A267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因变更引起工期变化的，合同当事人均可要求调整合同工期，由合同当事人按照第4.4款〔商定或确定〕并参考工程所在地的工期定额标准确定增减工期天数。</w:t>
      </w:r>
    </w:p>
    <w:p w14:paraId="3CC458DD">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14" w:name="_Toc351203574"/>
      <w:r>
        <w:rPr>
          <w:rFonts w:hint="default" w:ascii="Times New Roman" w:hAnsi="Times New Roman" w:eastAsia="方正仿宋_GBK" w:cs="Times New Roman"/>
          <w:b w:val="0"/>
          <w:color w:val="000000" w:themeColor="text1"/>
          <w:sz w:val="24"/>
          <w:szCs w:val="24"/>
          <w14:textFill>
            <w14:solidFill>
              <w14:schemeClr w14:val="tx1"/>
            </w14:solidFill>
          </w14:textFill>
        </w:rPr>
        <w:t>10.7暂估价</w:t>
      </w:r>
      <w:bookmarkEnd w:id="614"/>
    </w:p>
    <w:p w14:paraId="17131A2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暂估价专业分包工程、服务、材料和工程设备的明细由合同当事人在专用合同条款中约定。</w:t>
      </w:r>
    </w:p>
    <w:p w14:paraId="7EFDFC8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10.7.1</w:t>
      </w: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 依法必须招标的暂估价项目</w:t>
      </w:r>
    </w:p>
    <w:p w14:paraId="3682EF9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对于依法必须招标的暂估价项目，采取以下第1种方式确定。合同当事人也可以在专用合同条款中选择其他招标方式。</w:t>
      </w:r>
    </w:p>
    <w:p w14:paraId="004F36B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第1种方式：对于依法必须招标的暂估价项目，由承包人招标，对该暂估价项目的确认和批准按照以下约定执行：</w:t>
      </w:r>
    </w:p>
    <w:p w14:paraId="0A97383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04C1EEA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1EF568DE">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0068CBF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1FB7B2C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10.7.2</w:t>
      </w:r>
      <w:r>
        <w:rPr>
          <w:rFonts w:hint="default" w:ascii="Times New Roman" w:hAnsi="Times New Roman" w:eastAsia="方正仿宋_GBK" w:cs="Times New Roman"/>
          <w:color w:val="000000" w:themeColor="text1"/>
          <w:kern w:val="0"/>
          <w:sz w:val="24"/>
          <w:szCs w:val="24"/>
          <w14:textFill>
            <w14:solidFill>
              <w14:schemeClr w14:val="tx1"/>
            </w14:solidFill>
          </w14:textFill>
        </w:rPr>
        <w:t>不属于依法必须招标的暂估价项目</w:t>
      </w:r>
    </w:p>
    <w:p w14:paraId="2A59F5D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除专用合同条款另有约定外，对于不属于依法必须招标的暂估价项目，采取以下第1种方式确定： </w:t>
      </w:r>
    </w:p>
    <w:p w14:paraId="5EBF6EB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第1种方式：对于不属于依法必须招标的暂估价项目，按本项约定确认和批准：</w:t>
      </w:r>
    </w:p>
    <w:p w14:paraId="0373AD9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02D16CE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（2）发包人认为承包人确定的供应商、分包人无法满足工程质量或合同要求的，发包人可以要求承包人重新确定暂估价项目的供应商、分包人</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w:t>
      </w:r>
    </w:p>
    <w:p w14:paraId="757C717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（3）承包人应当在签订暂估价合同后7天内，将暂估价合同副本报送发包人留存。</w:t>
      </w:r>
    </w:p>
    <w:p w14:paraId="52B68B6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第2种方式：承包人按照第10.7.1项〔依法必须招标的暂估价项目〕约定的第1种方式确定暂估价项目。</w:t>
      </w:r>
    </w:p>
    <w:p w14:paraId="65FE80B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第3种方式：</w:t>
      </w: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承包人直接实施的暂估价项目</w:t>
      </w:r>
    </w:p>
    <w:p w14:paraId="1B446A7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承包人具备实施暂估价项目的资格和条件的，经发包人和承包人协商一致后，可由承包人自行实施暂估价项目，合同当事人可以在专用合同条</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款中</w:t>
      </w:r>
      <w:r>
        <w:rPr>
          <w:rFonts w:hint="default" w:ascii="Times New Roman" w:hAnsi="Times New Roman" w:eastAsia="方正仿宋_GBK" w:cs="Times New Roman"/>
          <w:color w:val="000000" w:themeColor="text1"/>
          <w:kern w:val="0"/>
          <w:sz w:val="24"/>
          <w:szCs w:val="24"/>
          <w14:textFill>
            <w14:solidFill>
              <w14:schemeClr w14:val="tx1"/>
            </w14:solidFill>
          </w14:textFill>
        </w:rPr>
        <w:t>约定具体事项。</w:t>
      </w:r>
    </w:p>
    <w:p w14:paraId="2610B58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4449356F">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15" w:name="_Toc351203575"/>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616" w:name="_Toc337558794"/>
      <w:bookmarkStart w:id="617" w:name="_Toc296346591"/>
      <w:bookmarkStart w:id="618" w:name="_Toc296503090"/>
      <w:bookmarkStart w:id="619" w:name="_Toc322522561"/>
      <w:r>
        <w:rPr>
          <w:rFonts w:hint="default" w:ascii="Times New Roman" w:hAnsi="Times New Roman" w:eastAsia="方正仿宋_GBK" w:cs="Times New Roman"/>
          <w:b w:val="0"/>
          <w:color w:val="000000" w:themeColor="text1"/>
          <w:sz w:val="24"/>
          <w:szCs w:val="24"/>
          <w14:textFill>
            <w14:solidFill>
              <w14:schemeClr w14:val="tx1"/>
            </w14:solidFill>
          </w14:textFill>
        </w:rPr>
        <w:t>0.8暂列金额</w:t>
      </w:r>
      <w:bookmarkEnd w:id="615"/>
    </w:p>
    <w:bookmarkEnd w:id="616"/>
    <w:p w14:paraId="1E39E93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暂列金额应按照发包人的要求使用，发包人的要求应通过监理人发出。合同当事人可以在专用合同条款中协商确定有关事项。</w:t>
      </w:r>
    </w:p>
    <w:bookmarkEnd w:id="617"/>
    <w:bookmarkEnd w:id="618"/>
    <w:bookmarkEnd w:id="619"/>
    <w:p w14:paraId="5AA0843D">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20" w:name="_Toc351203576"/>
      <w:r>
        <w:rPr>
          <w:rFonts w:hint="default" w:ascii="Times New Roman" w:hAnsi="Times New Roman" w:eastAsia="方正仿宋_GBK" w:cs="Times New Roman"/>
          <w:b w:val="0"/>
          <w:color w:val="000000" w:themeColor="text1"/>
          <w:sz w:val="24"/>
          <w:szCs w:val="24"/>
          <w14:textFill>
            <w14:solidFill>
              <w14:schemeClr w14:val="tx1"/>
            </w14:solidFill>
          </w14:textFill>
        </w:rPr>
        <w:t>1</w:t>
      </w:r>
      <w:bookmarkStart w:id="621" w:name="_Toc296503091"/>
      <w:bookmarkStart w:id="622" w:name="_Toc296346592"/>
      <w:bookmarkStart w:id="623" w:name="_Toc337558796"/>
      <w:r>
        <w:rPr>
          <w:rFonts w:hint="default" w:ascii="Times New Roman" w:hAnsi="Times New Roman" w:eastAsia="方正仿宋_GBK" w:cs="Times New Roman"/>
          <w:b w:val="0"/>
          <w:color w:val="000000" w:themeColor="text1"/>
          <w:sz w:val="24"/>
          <w:szCs w:val="24"/>
          <w14:textFill>
            <w14:solidFill>
              <w14:schemeClr w14:val="tx1"/>
            </w14:solidFill>
          </w14:textFill>
        </w:rPr>
        <w:t>0.9计日工</w:t>
      </w:r>
      <w:bookmarkEnd w:id="620"/>
      <w:r>
        <w:rPr>
          <w:rFonts w:hint="default" w:ascii="Times New Roman" w:hAnsi="Times New Roman" w:eastAsia="方正仿宋_GBK" w:cs="Times New Roman"/>
          <w:b w:val="0"/>
          <w:color w:val="000000" w:themeColor="text1"/>
          <w:sz w:val="24"/>
          <w:szCs w:val="24"/>
          <w14:textFill>
            <w14:solidFill>
              <w14:schemeClr w14:val="tx1"/>
            </w14:solidFill>
          </w14:textFill>
        </w:rPr>
        <w:t xml:space="preserve"> </w:t>
      </w:r>
      <w:bookmarkEnd w:id="621"/>
      <w:bookmarkEnd w:id="622"/>
      <w:bookmarkEnd w:id="623"/>
    </w:p>
    <w:p w14:paraId="756BC65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34A1A69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采用计日工计价的任何一项工作，承包人应在该项工作实施过程中，每天提交以下报表和有关凭证报送监理人审查：</w:t>
      </w:r>
    </w:p>
    <w:p w14:paraId="18103576">
      <w:pPr>
        <w:pageBreakBefore w:val="0"/>
        <w:widowControl w:val="0"/>
        <w:kinsoku/>
        <w:wordWrap/>
        <w:overflowPunct/>
        <w:topLinePunct w:val="0"/>
        <w:bidi w:val="0"/>
        <w:snapToGrid/>
        <w:spacing w:line="400" w:lineRule="exact"/>
        <w:ind w:left="0" w:leftChars="0" w:right="0" w:rightChars="0" w:firstLine="360" w:firstLineChars="15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（1）工作名称、内容和数量；</w:t>
      </w:r>
    </w:p>
    <w:p w14:paraId="1DB82830">
      <w:pPr>
        <w:pageBreakBefore w:val="0"/>
        <w:widowControl w:val="0"/>
        <w:kinsoku/>
        <w:wordWrap/>
        <w:overflowPunct/>
        <w:topLinePunct w:val="0"/>
        <w:bidi w:val="0"/>
        <w:snapToGrid/>
        <w:spacing w:line="400" w:lineRule="exact"/>
        <w:ind w:left="0" w:leftChars="0" w:right="0" w:rightChars="0" w:firstLine="360" w:firstLineChars="15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（2）投入该工作的所有人员的姓名、专业、工种、级别和耗用工时；</w:t>
      </w:r>
    </w:p>
    <w:p w14:paraId="08C52493">
      <w:pPr>
        <w:pageBreakBefore w:val="0"/>
        <w:widowControl w:val="0"/>
        <w:kinsoku/>
        <w:wordWrap/>
        <w:overflowPunct/>
        <w:topLinePunct w:val="0"/>
        <w:bidi w:val="0"/>
        <w:snapToGrid/>
        <w:spacing w:line="400" w:lineRule="exact"/>
        <w:ind w:left="0" w:leftChars="0" w:right="0" w:rightChars="0" w:firstLine="360" w:firstLineChars="15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（3）投入该工作的材料类别和数量；</w:t>
      </w:r>
    </w:p>
    <w:p w14:paraId="5E02094B">
      <w:pPr>
        <w:pageBreakBefore w:val="0"/>
        <w:widowControl w:val="0"/>
        <w:kinsoku/>
        <w:wordWrap/>
        <w:overflowPunct/>
        <w:topLinePunct w:val="0"/>
        <w:bidi w:val="0"/>
        <w:snapToGrid/>
        <w:spacing w:line="400" w:lineRule="exact"/>
        <w:ind w:left="0" w:leftChars="0" w:right="0" w:rightChars="0" w:firstLine="360" w:firstLineChars="15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（4）投入该工作的施工设备型号、台数和耗用台时；</w:t>
      </w:r>
    </w:p>
    <w:p w14:paraId="6C7F4345">
      <w:pPr>
        <w:pageBreakBefore w:val="0"/>
        <w:widowControl w:val="0"/>
        <w:kinsoku/>
        <w:wordWrap/>
        <w:overflowPunct/>
        <w:topLinePunct w:val="0"/>
        <w:bidi w:val="0"/>
        <w:snapToGrid/>
        <w:spacing w:line="400" w:lineRule="exact"/>
        <w:ind w:left="0" w:leftChars="0" w:right="0" w:rightChars="0" w:firstLine="360" w:firstLineChars="15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（5）其他有关资料和凭证。</w:t>
      </w:r>
    </w:p>
    <w:p w14:paraId="67B0B21A">
      <w:pPr>
        <w:pageBreakBefore w:val="0"/>
        <w:widowControl w:val="0"/>
        <w:kinsoku/>
        <w:wordWrap/>
        <w:overflowPunct/>
        <w:topLinePunct w:val="0"/>
        <w:bidi w:val="0"/>
        <w:snapToGrid/>
        <w:spacing w:line="400" w:lineRule="exact"/>
        <w:ind w:left="0" w:leftChars="0" w:right="0" w:rightChars="0" w:firstLine="360" w:firstLineChars="15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 计日工由承包人汇总后，列入最近一期进度付款申请单，由监理人审查并经发包人批准后列入进度付款。</w:t>
      </w:r>
    </w:p>
    <w:p w14:paraId="1CA3A049">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624" w:name="_Toc351203577"/>
      <w:r>
        <w:rPr>
          <w:rFonts w:hint="default" w:ascii="Times New Roman" w:hAnsi="Times New Roman" w:eastAsia="方正小标宋_GBK" w:cs="Times New Roman"/>
          <w:b w:val="0"/>
          <w:color w:val="000000" w:themeColor="text1"/>
          <w:sz w:val="24"/>
          <w:szCs w:val="24"/>
          <w14:textFill>
            <w14:solidFill>
              <w14:schemeClr w14:val="tx1"/>
            </w14:solidFill>
          </w14:textFill>
        </w:rPr>
        <w:t>11. 价格调整</w:t>
      </w:r>
      <w:bookmarkEnd w:id="624"/>
    </w:p>
    <w:p w14:paraId="4CB45D4F">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25" w:name="_Toc351203578"/>
      <w:bookmarkStart w:id="626" w:name="_Toc296503092"/>
      <w:bookmarkStart w:id="627" w:name="_Toc337558797"/>
      <w:bookmarkStart w:id="628" w:name="_Toc296346593"/>
      <w:r>
        <w:rPr>
          <w:rFonts w:hint="default" w:ascii="Times New Roman" w:hAnsi="Times New Roman" w:eastAsia="方正仿宋_GBK" w:cs="Times New Roman"/>
          <w:b w:val="0"/>
          <w:color w:val="000000" w:themeColor="text1"/>
          <w:sz w:val="24"/>
          <w:szCs w:val="24"/>
          <w14:textFill>
            <w14:solidFill>
              <w14:schemeClr w14:val="tx1"/>
            </w14:solidFill>
          </w14:textFill>
        </w:rPr>
        <w:t>11.1市场价格波动引起的调整</w:t>
      </w:r>
      <w:bookmarkEnd w:id="625"/>
    </w:p>
    <w:bookmarkEnd w:id="626"/>
    <w:bookmarkEnd w:id="627"/>
    <w:bookmarkEnd w:id="628"/>
    <w:p w14:paraId="2927846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5F9C8141">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第1种方式：采用价格指数进行价格调整。</w:t>
      </w:r>
    </w:p>
    <w:p w14:paraId="235BC21E">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（1）价格调整公式</w:t>
      </w:r>
    </w:p>
    <w:p w14:paraId="78C8ECF7">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因人工、材料和设备等价格波动影响合同价格时，根据专用合同条款中约定的数据，按以下公式计算差额并调整合同价格：</w:t>
      </w:r>
    </w:p>
    <w:p w14:paraId="111D5D33">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position w:val="-30"/>
          <w:sz w:val="24"/>
          <w:szCs w:val="24"/>
          <w14:textFill>
            <w14:solidFill>
              <w14:schemeClr w14:val="tx1"/>
            </w14:solidFill>
          </w14:textFill>
        </w:rPr>
        <w:object>
          <v:shape id="_x0000_i1025" o:spt="75" type="#_x0000_t75" style="height:43.9pt;width:359.85pt;" o:ole="t" filled="f" o:preferrelative="t" stroked="f" coordsize="21600,21600">
            <v:path/>
            <v:fill on="f" focussize="0,0"/>
            <v:stroke on="f"/>
            <v:imagedata r:id="rId13" o:title=""/>
            <o:lock v:ext="edit" aspectratio="t"/>
            <w10:wrap type="none"/>
            <w10:anchorlock/>
          </v:shape>
          <o:OLEObject Type="Embed" ProgID="Equation.KSEE3" ShapeID="_x0000_i1025" DrawAspect="Content" ObjectID="_1468075725" r:id="rId12">
            <o:LockedField>false</o:LockedField>
          </o:OLEObject>
        </w:object>
      </w:r>
    </w:p>
    <w:p w14:paraId="4663896C">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64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公式中：ΔP——需调整的价格差额；</w:t>
      </w:r>
    </w:p>
    <w:p w14:paraId="28607462">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1440" w:firstLineChars="6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position w:val="-6"/>
          <w:sz w:val="24"/>
          <w:szCs w:val="24"/>
          <w14:textFill>
            <w14:solidFill>
              <w14:schemeClr w14:val="tx1"/>
            </w14:solidFill>
          </w14:textFill>
        </w:rPr>
        <w:object>
          <v:shape id="_x0000_i1026" o:spt="75" type="#_x0000_t75" style="height:17.95pt;width:17.95pt;" o:ole="t" filled="f" stroked="f" coordsize="21600,21600">
            <v:path/>
            <v:fill on="f" focussize="0,0"/>
            <v:stroke on="f"/>
            <v:imagedata r:id="rId15" o:title=""/>
            <o:lock v:ext="edit" grouping="f" rotation="f" text="f" aspectratio="t"/>
            <w10:wrap type="none"/>
            <w10:anchorlock/>
          </v:shape>
          <o:OLEObject Type="Embed" ProgID="Equation.KSEE3" ShapeID="_x0000_i1026" DrawAspect="Content" ObjectID="_1468075726" r:id="rId14">
            <o:LockedField>false</o:LockedField>
          </o:OLEObject>
        </w:object>
      </w:r>
      <w:r>
        <w:rPr>
          <w:rFonts w:hint="default" w:ascii="Times New Roman" w:hAnsi="Times New Roman" w:eastAsia="方正仿宋_GBK" w:cs="Times New Roman"/>
          <w:color w:val="000000" w:themeColor="text1"/>
          <w:sz w:val="24"/>
          <w:szCs w:val="24"/>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14:paraId="3BC483A6">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A——定值权重（即不调部分的权重）；</w:t>
      </w:r>
    </w:p>
    <w:p w14:paraId="496CEE4F">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position w:val="-10"/>
          <w:sz w:val="24"/>
          <w:szCs w:val="24"/>
          <w14:textFill>
            <w14:solidFill>
              <w14:schemeClr w14:val="tx1"/>
            </w14:solidFill>
          </w14:textFill>
        </w:rPr>
        <w:object>
          <v:shape id="_x0000_i1027" o:spt="75" type="#_x0000_t75" style="height:21.05pt;width:101pt;" o:ole="t" filled="f" stroked="f" coordsize="21600,21600">
            <v:path/>
            <v:fill on="f" focussize="0,0"/>
            <v:stroke on="f"/>
            <v:imagedata r:id="rId17" o:title=""/>
            <o:lock v:ext="edit" grouping="f" rotation="f" text="f" aspectratio="t"/>
            <w10:wrap type="none"/>
            <w10:anchorlock/>
          </v:shape>
          <o:OLEObject Type="Embed" ProgID="Equation.KSEE3" ShapeID="_x0000_i1027" DrawAspect="Content" ObjectID="_1468075727" r:id="rId16">
            <o:LockedField>false</o:LockedField>
          </o:OLEObject>
        </w:object>
      </w:r>
      <w:r>
        <w:rPr>
          <w:rFonts w:hint="default" w:ascii="Times New Roman" w:hAnsi="Times New Roman" w:eastAsia="方正仿宋_GBK" w:cs="Times New Roman"/>
          <w:color w:val="000000" w:themeColor="text1"/>
          <w:sz w:val="24"/>
          <w:szCs w:val="24"/>
          <w14:textFill>
            <w14:solidFill>
              <w14:schemeClr w14:val="tx1"/>
            </w14:solidFill>
          </w14:textFill>
        </w:rPr>
        <w:t>——各可调因子的变值权重（即可调部分的权重），为各可调因子在签约合同价中所占的比例；</w:t>
      </w:r>
    </w:p>
    <w:p w14:paraId="48AD66DF">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position w:val="-10"/>
          <w:sz w:val="24"/>
          <w:szCs w:val="24"/>
          <w14:textFill>
            <w14:solidFill>
              <w14:schemeClr w14:val="tx1"/>
            </w14:solidFill>
          </w14:textFill>
        </w:rPr>
        <w:object>
          <v:shape id="_x0000_i1028" o:spt="75" type="#_x0000_t75" style="height:20.6pt;width:102.05pt;" o:ole="t" filled="f" stroked="f" coordsize="21600,21600">
            <v:path/>
            <v:fill on="f" focussize="0,0"/>
            <v:stroke on="f"/>
            <v:imagedata r:id="rId19" o:title=""/>
            <o:lock v:ext="edit" grouping="f" rotation="f" text="f" aspectratio="t"/>
            <w10:wrap type="none"/>
            <w10:anchorlock/>
          </v:shape>
          <o:OLEObject Type="Embed" ProgID="Equation.KSEE3" ShapeID="_x0000_i1028" DrawAspect="Content" ObjectID="_1468075728" r:id="rId18">
            <o:LockedField>false</o:LockedField>
          </o:OLEObject>
        </w:object>
      </w:r>
      <w:r>
        <w:rPr>
          <w:rFonts w:hint="default" w:ascii="Times New Roman" w:hAnsi="Times New Roman" w:eastAsia="方正仿宋_GBK" w:cs="Times New Roman"/>
          <w:color w:val="000000" w:themeColor="text1"/>
          <w:sz w:val="24"/>
          <w:szCs w:val="24"/>
          <w14:textFill>
            <w14:solidFill>
              <w14:schemeClr w14:val="tx1"/>
            </w14:solidFill>
          </w14:textFill>
        </w:rPr>
        <w:t>——各可调因子的现行价格指数，指约定的付款证书相关周期最后一天的前42天的各可调因子的价格指数；</w:t>
      </w:r>
    </w:p>
    <w:p w14:paraId="3731790C">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position w:val="-10"/>
          <w:sz w:val="24"/>
          <w:szCs w:val="24"/>
          <w14:textFill>
            <w14:solidFill>
              <w14:schemeClr w14:val="tx1"/>
            </w14:solidFill>
          </w14:textFill>
        </w:rPr>
        <w:object>
          <v:shape id="_x0000_i1029" o:spt="75" type="#_x0000_t75" style="height:20.2pt;width:108pt;" o:ole="t" filled="f" stroked="f" coordsize="21600,21600">
            <v:path/>
            <v:fill on="f" focussize="0,0"/>
            <v:stroke on="f"/>
            <v:imagedata r:id="rId21" o:title=""/>
            <o:lock v:ext="edit" grouping="f" rotation="f" text="f" aspectratio="t"/>
            <w10:wrap type="none"/>
            <w10:anchorlock/>
          </v:shape>
          <o:OLEObject Type="Embed" ProgID="Equation.KSEE3" ShapeID="_x0000_i1029" DrawAspect="Content" ObjectID="_1468075729" r:id="rId20">
            <o:LockedField>false</o:LockedField>
          </o:OLEObject>
        </w:object>
      </w:r>
      <w:r>
        <w:rPr>
          <w:rFonts w:hint="default" w:ascii="Times New Roman" w:hAnsi="Times New Roman" w:eastAsia="方正仿宋_GBK" w:cs="Times New Roman"/>
          <w:color w:val="000000" w:themeColor="text1"/>
          <w:sz w:val="24"/>
          <w:szCs w:val="24"/>
          <w14:textFill>
            <w14:solidFill>
              <w14:schemeClr w14:val="tx1"/>
            </w14:solidFill>
          </w14:textFill>
        </w:rPr>
        <w:t>——各可调因子的基本价格指数，指基准日期的各可调因子的价格指数。</w:t>
      </w:r>
    </w:p>
    <w:p w14:paraId="762F1EC6">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7D322552">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（2）暂时确定调整差额</w:t>
      </w:r>
    </w:p>
    <w:p w14:paraId="780CBBD9">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在计算调整差额时无现行价格指数的，合同当事人同意暂用前次价格指数计算。实际价格指数有调整的，合同当事人进行相应调整。</w:t>
      </w:r>
    </w:p>
    <w:p w14:paraId="66E55564">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（3）权重的调整</w:t>
      </w:r>
    </w:p>
    <w:p w14:paraId="321FBB8D">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因变更导致合同约定的权重不合理时，按照第4.4款〔商定或确定〕执行。</w:t>
      </w:r>
    </w:p>
    <w:p w14:paraId="10065ECA">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（4）因承包人原因工期延误后的价格调整</w:t>
      </w:r>
    </w:p>
    <w:p w14:paraId="7B656D1B">
      <w:pPr>
        <w:pageBreakBefore w:val="0"/>
        <w:widowControl w:val="0"/>
        <w:tabs>
          <w:tab w:val="left" w:pos="0"/>
          <w:tab w:val="left" w:pos="360"/>
          <w:tab w:val="left" w:pos="540"/>
        </w:tabs>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因承包人原因未按期竣工的，对合同约定的竣工日期后继续施工的工程，在使用价格调整公式时，应采用计划竣工日期与实际竣工日期的两个价格指数中较低的一个作为现行价格指数。</w:t>
      </w:r>
    </w:p>
    <w:p w14:paraId="1C05505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第2种方式：采用造价信息进行价格调整。</w:t>
      </w:r>
    </w:p>
    <w:p w14:paraId="742B32C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5993B9D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5D1E11F3">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（2）材料、工程设备价格变化的价款调整按照发包人提供的基准价格，按以下风险范围规定执行</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p>
    <w:p w14:paraId="1188FD7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12A433E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610A8E0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③承包人在已标价工程量清单或预算书中载明材料单价等于基准价格的：除专用合同条款另有约定外，合同履行期间材料单价涨跌幅以基准价格为基础超过±5%时，其超过部分据实调整。</w:t>
      </w:r>
    </w:p>
    <w:p w14:paraId="418F83D5">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0FAA936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bookmarkStart w:id="629" w:name="OLE_LINK3"/>
      <w:r>
        <w:rPr>
          <w:rFonts w:hint="default" w:ascii="Times New Roman" w:hAnsi="Times New Roman" w:eastAsia="方正仿宋_GBK" w:cs="Times New Roman"/>
          <w:color w:val="000000" w:themeColor="text1"/>
          <w:sz w:val="24"/>
          <w:szCs w:val="24"/>
          <w14:textFill>
            <w14:solidFill>
              <w14:schemeClr w14:val="tx1"/>
            </w14:solidFill>
          </w14:textFill>
        </w:rPr>
        <w:t>前述基准价格是指由发包人在招标文件或专用合同条款中给定的材料、工程设备的价格，该价格原则上应当按照省级或行业建设主管部门或其授权的工程造价管理机构发布的信息价编制。</w:t>
      </w:r>
    </w:p>
    <w:p w14:paraId="5CB3EB4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41E2DA2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第3种方式：专用合同条款约定的其他方式。</w:t>
      </w:r>
    </w:p>
    <w:p w14:paraId="73E5DB04">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30" w:name="_Toc351203579"/>
      <w:bookmarkStart w:id="631" w:name="_Toc296346594"/>
      <w:bookmarkStart w:id="632" w:name="_Toc296503093"/>
      <w:bookmarkStart w:id="633" w:name="_Toc337558798"/>
      <w:r>
        <w:rPr>
          <w:rFonts w:hint="default" w:ascii="Times New Roman" w:hAnsi="Times New Roman" w:eastAsia="方正仿宋_GBK" w:cs="Times New Roman"/>
          <w:b w:val="0"/>
          <w:color w:val="000000" w:themeColor="text1"/>
          <w:sz w:val="24"/>
          <w:szCs w:val="24"/>
          <w14:textFill>
            <w14:solidFill>
              <w14:schemeClr w14:val="tx1"/>
            </w14:solidFill>
          </w14:textFill>
        </w:rPr>
        <w:t>11.2法律变化引起的调整</w:t>
      </w:r>
      <w:bookmarkEnd w:id="630"/>
    </w:p>
    <w:bookmarkEnd w:id="631"/>
    <w:bookmarkEnd w:id="632"/>
    <w:bookmarkEnd w:id="633"/>
    <w:p w14:paraId="37D4366C">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12BEA6D9">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因法律变化引起的合同价格和工期调整，合同当事人无法达成一致的，由总监理工程师按第4.4款〔商定或确定〕的约定处理。</w:t>
      </w:r>
    </w:p>
    <w:p w14:paraId="0980686D">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因承包人原因造成工期延误，在工期延误期间出现法律变化的，由此增加的费用和（或）延误的工期由承包人承担。</w:t>
      </w:r>
    </w:p>
    <w:p w14:paraId="3E0EE0FB">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634" w:name="_Toc351203580"/>
      <w:bookmarkStart w:id="635" w:name="_Toc337558799"/>
      <w:bookmarkStart w:id="636" w:name="_Toc296346597"/>
      <w:bookmarkStart w:id="637" w:name="_Toc296503096"/>
      <w:r>
        <w:rPr>
          <w:rFonts w:hint="default" w:ascii="Times New Roman" w:hAnsi="Times New Roman" w:eastAsia="方正小标宋_GBK" w:cs="Times New Roman"/>
          <w:b w:val="0"/>
          <w:color w:val="000000" w:themeColor="text1"/>
          <w:sz w:val="24"/>
          <w:szCs w:val="24"/>
          <w14:textFill>
            <w14:solidFill>
              <w14:schemeClr w14:val="tx1"/>
            </w14:solidFill>
          </w14:textFill>
        </w:rPr>
        <w:t>12. 合同价格、计量与支付</w:t>
      </w:r>
      <w:bookmarkEnd w:id="634"/>
    </w:p>
    <w:bookmarkEnd w:id="635"/>
    <w:p w14:paraId="14C0D042">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38" w:name="_Toc351203581"/>
      <w:bookmarkStart w:id="639" w:name="_Toc337558800"/>
      <w:r>
        <w:rPr>
          <w:rFonts w:hint="default" w:ascii="Times New Roman" w:hAnsi="Times New Roman" w:eastAsia="方正仿宋_GBK" w:cs="Times New Roman"/>
          <w:b w:val="0"/>
          <w:color w:val="000000" w:themeColor="text1"/>
          <w:sz w:val="24"/>
          <w:szCs w:val="24"/>
          <w14:textFill>
            <w14:solidFill>
              <w14:schemeClr w14:val="tx1"/>
            </w14:solidFill>
          </w14:textFill>
        </w:rPr>
        <w:t>12.1 合同价</w:t>
      </w:r>
      <w:bookmarkEnd w:id="636"/>
      <w:bookmarkEnd w:id="637"/>
      <w:r>
        <w:rPr>
          <w:rFonts w:hint="default" w:ascii="Times New Roman" w:hAnsi="Times New Roman" w:eastAsia="方正仿宋_GBK" w:cs="Times New Roman"/>
          <w:b w:val="0"/>
          <w:color w:val="000000" w:themeColor="text1"/>
          <w:sz w:val="24"/>
          <w:szCs w:val="24"/>
          <w14:textFill>
            <w14:solidFill>
              <w14:schemeClr w14:val="tx1"/>
            </w14:solidFill>
          </w14:textFill>
        </w:rPr>
        <w:t>格形式</w:t>
      </w:r>
      <w:bookmarkEnd w:id="638"/>
    </w:p>
    <w:bookmarkEnd w:id="639"/>
    <w:p w14:paraId="1154433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发包人和承包人应在合同协议书中选择下列一种合同价格形式： </w:t>
      </w:r>
    </w:p>
    <w:p w14:paraId="3AB5B9F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w:t>
      </w:r>
      <w:r>
        <w:rPr>
          <w:rFonts w:hint="default" w:ascii="Times New Roman" w:hAnsi="Times New Roman" w:eastAsia="方正仿宋_GBK" w:cs="Times New Roman"/>
          <w:color w:val="000000" w:themeColor="text1"/>
          <w:kern w:val="0"/>
          <w:sz w:val="24"/>
          <w:szCs w:val="24"/>
          <w:lang w:val="en-US" w:eastAsia="zh-CN"/>
          <w14:textFill>
            <w14:solidFill>
              <w14:schemeClr w14:val="tx1"/>
            </w14:solidFill>
          </w14:textFill>
        </w:rPr>
        <w:t>.</w:t>
      </w:r>
      <w:r>
        <w:rPr>
          <w:rFonts w:hint="default" w:ascii="Times New Roman" w:hAnsi="Times New Roman" w:eastAsia="方正仿宋_GBK" w:cs="Times New Roman"/>
          <w:color w:val="000000" w:themeColor="text1"/>
          <w:kern w:val="0"/>
          <w:sz w:val="24"/>
          <w:szCs w:val="24"/>
          <w14:textFill>
            <w14:solidFill>
              <w14:schemeClr w14:val="tx1"/>
            </w14:solidFill>
          </w14:textFill>
        </w:rPr>
        <w:t>单价合同</w:t>
      </w:r>
    </w:p>
    <w:p w14:paraId="7667DEE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单价合同是指合同当事人约定以工程量清单及其综合单价进行合同价格计算、调整和确认的建设工程施工合同，</w:t>
      </w:r>
      <w:r>
        <w:rPr>
          <w:rFonts w:hint="default" w:ascii="Times New Roman" w:hAnsi="Times New Roman" w:eastAsia="方正仿宋_GBK" w:cs="Times New Roman"/>
          <w:color w:val="000000" w:themeColor="text1"/>
          <w:sz w:val="24"/>
          <w:szCs w:val="24"/>
          <w14:textFill>
            <w14:solidFill>
              <w14:schemeClr w14:val="tx1"/>
            </w14:solidFill>
          </w14:textFill>
        </w:rPr>
        <w:t>在约定的范围内合同单价不作调整</w:t>
      </w: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。合同当事人应在专用合同条款中约定综合单价包含的风险范围和风险费用的计算方法</w:t>
      </w:r>
      <w:r>
        <w:rPr>
          <w:rFonts w:hint="default" w:ascii="Times New Roman" w:hAnsi="Times New Roman" w:eastAsia="方正仿宋_GBK" w:cs="Times New Roman"/>
          <w:color w:val="000000" w:themeColor="text1"/>
          <w:sz w:val="24"/>
          <w:szCs w:val="24"/>
          <w14:textFill>
            <w14:solidFill>
              <w14:schemeClr w14:val="tx1"/>
            </w14:solidFill>
          </w14:textFill>
        </w:rPr>
        <w:t>，</w:t>
      </w:r>
      <w:r>
        <w:rPr>
          <w:rFonts w:hint="default" w:ascii="Times New Roman" w:hAnsi="Times New Roman" w:eastAsia="方正仿宋_GBK" w:cs="Times New Roman"/>
          <w:color w:val="000000" w:themeColor="text1"/>
          <w:kern w:val="0"/>
          <w:sz w:val="24"/>
          <w:szCs w:val="24"/>
          <w14:textFill>
            <w14:solidFill>
              <w14:schemeClr w14:val="tx1"/>
            </w14:solidFill>
          </w14:textFill>
        </w:rPr>
        <w:t>并约定风险范围以外的合同价格的调整方法，其中因市场价格波动引起的调整按第11.1款〔市场价格波动引起的调整〕约定执行。</w:t>
      </w:r>
    </w:p>
    <w:p w14:paraId="0A6BB5B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w:t>
      </w:r>
      <w:r>
        <w:rPr>
          <w:rFonts w:hint="default" w:ascii="Times New Roman" w:hAnsi="Times New Roman" w:eastAsia="方正仿宋_GBK" w:cs="Times New Roman"/>
          <w:color w:val="000000" w:themeColor="text1"/>
          <w:kern w:val="0"/>
          <w:sz w:val="24"/>
          <w:szCs w:val="24"/>
          <w:lang w:val="en-US" w:eastAsia="zh-CN"/>
          <w14:textFill>
            <w14:solidFill>
              <w14:schemeClr w14:val="tx1"/>
            </w14:solidFill>
          </w14:textFill>
        </w:rPr>
        <w:t>.</w:t>
      </w:r>
      <w:r>
        <w:rPr>
          <w:rFonts w:hint="default" w:ascii="Times New Roman" w:hAnsi="Times New Roman" w:eastAsia="方正仿宋_GBK" w:cs="Times New Roman"/>
          <w:color w:val="000000" w:themeColor="text1"/>
          <w:kern w:val="0"/>
          <w:sz w:val="24"/>
          <w:szCs w:val="24"/>
          <w14:textFill>
            <w14:solidFill>
              <w14:schemeClr w14:val="tx1"/>
            </w14:solidFill>
          </w14:textFill>
        </w:rPr>
        <w:t>总价合同</w:t>
      </w:r>
    </w:p>
    <w:p w14:paraId="7A48919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总价合同是指合同当事人约定以施工图、已标价工程量清单或预算书及有关条件进行合同价格计算、调整和确认的建设工程施工合同，</w:t>
      </w:r>
      <w:r>
        <w:rPr>
          <w:rFonts w:hint="default" w:ascii="Times New Roman" w:hAnsi="Times New Roman" w:eastAsia="方正仿宋_GBK" w:cs="Times New Roman"/>
          <w:color w:val="000000" w:themeColor="text1"/>
          <w:sz w:val="24"/>
          <w:szCs w:val="24"/>
          <w14:textFill>
            <w14:solidFill>
              <w14:schemeClr w14:val="tx1"/>
            </w14:solidFill>
          </w14:textFill>
        </w:rPr>
        <w:t>在约定的范围内合同总价不作调整</w:t>
      </w: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0304D0F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w:t>
      </w:r>
      <w:r>
        <w:rPr>
          <w:rFonts w:hint="default" w:ascii="Times New Roman" w:hAnsi="Times New Roman" w:eastAsia="方正仿宋_GBK" w:cs="Times New Roman"/>
          <w:color w:val="000000" w:themeColor="text1"/>
          <w:kern w:val="0"/>
          <w:sz w:val="24"/>
          <w:szCs w:val="24"/>
          <w:lang w:val="en-US" w:eastAsia="zh-CN"/>
          <w14:textFill>
            <w14:solidFill>
              <w14:schemeClr w14:val="tx1"/>
            </w14:solidFill>
          </w14:textFill>
        </w:rPr>
        <w:t>.其他</w:t>
      </w:r>
      <w:r>
        <w:rPr>
          <w:rFonts w:hint="default" w:ascii="Times New Roman" w:hAnsi="Times New Roman" w:eastAsia="方正仿宋_GBK" w:cs="Times New Roman"/>
          <w:color w:val="000000" w:themeColor="text1"/>
          <w:kern w:val="0"/>
          <w:sz w:val="24"/>
          <w:szCs w:val="24"/>
          <w14:textFill>
            <w14:solidFill>
              <w14:schemeClr w14:val="tx1"/>
            </w14:solidFill>
          </w14:textFill>
        </w:rPr>
        <w:t>价格形式</w:t>
      </w:r>
    </w:p>
    <w:p w14:paraId="7DEB774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合同当事人可在专用合同条款中约定其他合同价格形式。</w:t>
      </w:r>
    </w:p>
    <w:p w14:paraId="3F6C8E91">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40" w:name="_Toc296503097"/>
      <w:bookmarkStart w:id="641" w:name="_Toc296346598"/>
      <w:bookmarkStart w:id="642" w:name="_Toc351203582"/>
      <w:bookmarkStart w:id="643" w:name="_Toc337558801"/>
      <w:r>
        <w:rPr>
          <w:rFonts w:hint="default" w:ascii="Times New Roman" w:hAnsi="Times New Roman" w:eastAsia="方正仿宋_GBK" w:cs="Times New Roman"/>
          <w:b w:val="0"/>
          <w:color w:val="000000" w:themeColor="text1"/>
          <w:sz w:val="24"/>
          <w:szCs w:val="24"/>
          <w14:textFill>
            <w14:solidFill>
              <w14:schemeClr w14:val="tx1"/>
            </w14:solidFill>
          </w14:textFill>
        </w:rPr>
        <w:t>12.2预</w:t>
      </w:r>
      <w:bookmarkEnd w:id="640"/>
      <w:bookmarkEnd w:id="641"/>
      <w:bookmarkStart w:id="644" w:name="_Toc296503100"/>
      <w:bookmarkStart w:id="645" w:name="_Toc296346601"/>
      <w:r>
        <w:rPr>
          <w:rFonts w:hint="default" w:ascii="Times New Roman" w:hAnsi="Times New Roman" w:eastAsia="方正仿宋_GBK" w:cs="Times New Roman"/>
          <w:b w:val="0"/>
          <w:color w:val="000000" w:themeColor="text1"/>
          <w:sz w:val="24"/>
          <w:szCs w:val="24"/>
          <w14:textFill>
            <w14:solidFill>
              <w14:schemeClr w14:val="tx1"/>
            </w14:solidFill>
          </w14:textFill>
        </w:rPr>
        <w:t>付款</w:t>
      </w:r>
      <w:bookmarkEnd w:id="642"/>
    </w:p>
    <w:bookmarkEnd w:id="643"/>
    <w:bookmarkEnd w:id="644"/>
    <w:bookmarkEnd w:id="645"/>
    <w:p w14:paraId="3EC6C03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12.2.</w:t>
      </w:r>
      <w:r>
        <w:rPr>
          <w:rFonts w:hint="default" w:ascii="Times New Roman" w:hAnsi="Times New Roman" w:eastAsia="方正仿宋_GBK" w:cs="Times New Roman"/>
          <w:color w:val="000000" w:themeColor="text1"/>
          <w:kern w:val="0"/>
          <w:sz w:val="24"/>
          <w:szCs w:val="24"/>
          <w14:textFill>
            <w14:solidFill>
              <w14:schemeClr w14:val="tx1"/>
            </w14:solidFill>
          </w14:textFill>
        </w:rPr>
        <w:t>1预付款的支付</w:t>
      </w:r>
    </w:p>
    <w:p w14:paraId="4157B62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预付款的支付按照专用合同条款约定执行，但至迟应在开工通知载明的开工日期7天前支付。预付款应当用于材料、工程设备、施工设备的采购及修建临时工程、组织施工队伍进场等。</w:t>
      </w:r>
    </w:p>
    <w:p w14:paraId="3166911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除专用合同条款另有约定外，预付款在进度付款中同比例扣回。</w:t>
      </w:r>
      <w:bookmarkEnd w:id="629"/>
      <w:r>
        <w:rPr>
          <w:rFonts w:hint="default" w:ascii="Times New Roman" w:hAnsi="Times New Roman" w:eastAsia="方正仿宋_GBK" w:cs="Times New Roman"/>
          <w:color w:val="000000" w:themeColor="text1"/>
          <w:kern w:val="0"/>
          <w:sz w:val="24"/>
          <w:szCs w:val="24"/>
          <w14:textFill>
            <w14:solidFill>
              <w14:schemeClr w14:val="tx1"/>
            </w14:solidFill>
          </w14:textFill>
        </w:rPr>
        <w:t>在颁发工程接收证书前，提前解除合同的，尚未扣完的预付款应与合同价款一并结算。</w:t>
      </w:r>
    </w:p>
    <w:p w14:paraId="66E895B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发包人逾期支付预付款超过7天的，承包人有权向发包人发出要求预付的催告通知，发包人收到通知后7天内仍未支付的，承包人有权暂停施工，并按第16.1.1项〔发包人违约的情形〕执行。</w:t>
      </w:r>
    </w:p>
    <w:p w14:paraId="37DEE2C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12.2.2 预付款担保</w:t>
      </w:r>
    </w:p>
    <w:p w14:paraId="2BF3638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3BF359B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发包人在工程款中逐期扣回预付款后，预付款担保额度应相应减少，但剩余的预付款担保金额不得低于未被扣回的预付款金额。</w:t>
      </w:r>
    </w:p>
    <w:p w14:paraId="6B819001">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46" w:name="_Toc351203583"/>
      <w:bookmarkStart w:id="647" w:name="_Toc337558802"/>
      <w:r>
        <w:rPr>
          <w:rFonts w:hint="default" w:ascii="Times New Roman" w:hAnsi="Times New Roman" w:eastAsia="方正仿宋_GBK" w:cs="Times New Roman"/>
          <w:b w:val="0"/>
          <w:color w:val="000000" w:themeColor="text1"/>
          <w:sz w:val="24"/>
          <w:szCs w:val="24"/>
          <w14:textFill>
            <w14:solidFill>
              <w14:schemeClr w14:val="tx1"/>
            </w14:solidFill>
          </w14:textFill>
        </w:rPr>
        <w:t>12.3计量</w:t>
      </w:r>
      <w:bookmarkEnd w:id="646"/>
    </w:p>
    <w:bookmarkEnd w:id="647"/>
    <w:p w14:paraId="5B47BB0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12.3.1 计量原则</w:t>
      </w:r>
    </w:p>
    <w:p w14:paraId="75B92AC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工程量计量按照合同约定的工程量计算规则、图纸及变更指示等进行计量。工程量计算规则应以相关的国家标准、行业标准等为依据，由合同当事人在专用合同条款中约定。</w:t>
      </w:r>
    </w:p>
    <w:p w14:paraId="3CCBAAA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12.3.2 计量周期</w:t>
      </w:r>
    </w:p>
    <w:p w14:paraId="659789A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除专用合同条款另有约定外，工程量的计量按月进行。</w:t>
      </w:r>
    </w:p>
    <w:p w14:paraId="6216BCC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12.3.3 单价合同的计量</w:t>
      </w:r>
    </w:p>
    <w:p w14:paraId="2F0E310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除专用合同条款另有约定外，单价合同的计量按照本项约定执行：</w:t>
      </w:r>
    </w:p>
    <w:p w14:paraId="2641EB8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（1）承包人应于每月25日向监理人报送上月20日至当月19日已完成的工程量报告，并附具进度付款申请单、已完成工程量报表和有关资料。</w:t>
      </w:r>
    </w:p>
    <w:p w14:paraId="05B6819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17FA9EA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（3）监理人未在收到承包人提交的工程量报表后的7天内完成审核的，承包人报送的工程量报告中的工程量视为承包人实际完成的工程量，据此计算工程价款。</w:t>
      </w:r>
    </w:p>
    <w:p w14:paraId="667B256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12.3.4 总价合同的计量</w:t>
      </w:r>
    </w:p>
    <w:p w14:paraId="3728678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除专用合同条款另有约定外，按月计量支付的总价合同，按照本项约定执行：</w:t>
      </w:r>
    </w:p>
    <w:p w14:paraId="73E4F5C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（1）承包人应于每月25日向监理人报送上月20日至当月19日已完成的工程量报告，并附具进度付款申请单、已完成工程量报表和有关资料。</w:t>
      </w:r>
    </w:p>
    <w:p w14:paraId="085695C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7035F0B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（3）监理人未在收到承包人提交的工程量报表后的7天内完成复核的，承包人提交的工程量报告中的工程量视为承包人实际完成的工程量。</w:t>
      </w:r>
    </w:p>
    <w:p w14:paraId="0B2249C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12.3.5 总价合同采用支付分解表计量支付的，可以按照第12.3.4项〔总价合同的计量〕约定进行计量，但合同价款按照支付分解表进行支付。</w:t>
      </w:r>
    </w:p>
    <w:p w14:paraId="7D5EBFC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12.3.6 其他价格形式合同的计量</w:t>
      </w:r>
    </w:p>
    <w:p w14:paraId="3CF7A4A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合同当事人可在专用合同条款中约定其他价格形式合同的计量方式和程序。</w:t>
      </w:r>
    </w:p>
    <w:p w14:paraId="628C6E56">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48" w:name="_Toc296346602"/>
      <w:bookmarkStart w:id="649" w:name="_Toc296503101"/>
      <w:bookmarkStart w:id="650" w:name="_Toc351203584"/>
      <w:bookmarkStart w:id="651" w:name="_Toc337558803"/>
      <w:r>
        <w:rPr>
          <w:rFonts w:hint="default" w:ascii="Times New Roman" w:hAnsi="Times New Roman" w:eastAsia="方正仿宋_GBK" w:cs="Times New Roman"/>
          <w:b w:val="0"/>
          <w:color w:val="000000" w:themeColor="text1"/>
          <w:sz w:val="24"/>
          <w:szCs w:val="24"/>
          <w14:textFill>
            <w14:solidFill>
              <w14:schemeClr w14:val="tx1"/>
            </w14:solidFill>
          </w14:textFill>
        </w:rPr>
        <w:t>12.4工程进度款支</w:t>
      </w:r>
      <w:bookmarkEnd w:id="648"/>
      <w:bookmarkEnd w:id="649"/>
      <w:r>
        <w:rPr>
          <w:rFonts w:hint="default" w:ascii="Times New Roman" w:hAnsi="Times New Roman" w:eastAsia="方正仿宋_GBK" w:cs="Times New Roman"/>
          <w:b w:val="0"/>
          <w:color w:val="000000" w:themeColor="text1"/>
          <w:sz w:val="24"/>
          <w:szCs w:val="24"/>
          <w14:textFill>
            <w14:solidFill>
              <w14:schemeClr w14:val="tx1"/>
            </w14:solidFill>
          </w14:textFill>
        </w:rPr>
        <w:t>付</w:t>
      </w:r>
      <w:bookmarkEnd w:id="650"/>
    </w:p>
    <w:bookmarkEnd w:id="651"/>
    <w:p w14:paraId="3081DD5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outlineLvl w:val="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12.4</w:t>
      </w:r>
      <w:r>
        <w:rPr>
          <w:rFonts w:hint="default" w:ascii="Times New Roman" w:hAnsi="Times New Roman" w:eastAsia="方正仿宋_GBK" w:cs="Times New Roman"/>
          <w:color w:val="000000" w:themeColor="text1"/>
          <w:kern w:val="0"/>
          <w:sz w:val="24"/>
          <w:szCs w:val="24"/>
          <w14:textFill>
            <w14:solidFill>
              <w14:schemeClr w14:val="tx1"/>
            </w14:solidFill>
          </w14:textFill>
        </w:rPr>
        <w:t>.1 付款周期</w:t>
      </w:r>
    </w:p>
    <w:p w14:paraId="66F90C9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除专用合同条款另有约定外，付款周期应按照第12.3.2项〔计量周期〕的约定与计量周期保持一致。</w:t>
      </w:r>
    </w:p>
    <w:p w14:paraId="4CA75E5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12.4</w:t>
      </w:r>
      <w:r>
        <w:rPr>
          <w:rFonts w:hint="default" w:ascii="Times New Roman" w:hAnsi="Times New Roman" w:eastAsia="方正仿宋_GBK" w:cs="Times New Roman"/>
          <w:color w:val="000000" w:themeColor="text1"/>
          <w:kern w:val="0"/>
          <w:sz w:val="24"/>
          <w:szCs w:val="24"/>
          <w14:textFill>
            <w14:solidFill>
              <w14:schemeClr w14:val="tx1"/>
            </w14:solidFill>
          </w14:textFill>
        </w:rPr>
        <w:t>.2 进度付款申请单的编制</w:t>
      </w:r>
    </w:p>
    <w:p w14:paraId="2349B7F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除专用合同条款另有约定外，进度付款申请单应包括下列内容：</w:t>
      </w:r>
    </w:p>
    <w:p w14:paraId="6AD38C3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（1）截至本次付款周期已完成工作对应的金额；</w:t>
      </w:r>
    </w:p>
    <w:p w14:paraId="2E0C5D7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（2）根据第10条〔变更〕应增加和扣减的变更金额；</w:t>
      </w:r>
    </w:p>
    <w:p w14:paraId="42A95A3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（3）根据第12.2款〔预付款〕约定应支付的预付款和扣减的返还预付款；</w:t>
      </w:r>
    </w:p>
    <w:p w14:paraId="1838220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（4）根据第15.3款〔质量保证金〕约定应扣减的质量保证金；</w:t>
      </w:r>
    </w:p>
    <w:p w14:paraId="7B10AE4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（5）根据第19条〔索赔〕应增加和扣减的索赔金额；</w:t>
      </w:r>
    </w:p>
    <w:p w14:paraId="6BF3A62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（6）对已签发的进度款支付证书中出现错误的修正，应在本次进度付款中支付或扣除的金额；</w:t>
      </w:r>
    </w:p>
    <w:p w14:paraId="06BCB49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（7）根据合同约定应增加和扣减的其他金额。</w:t>
      </w:r>
    </w:p>
    <w:p w14:paraId="21BE1EF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outlineLvl w:val="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12.4.3 进度付款申请单的提交</w:t>
      </w:r>
    </w:p>
    <w:p w14:paraId="05E718F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（1）单价合同进度付款申请单的提交</w:t>
      </w:r>
    </w:p>
    <w:p w14:paraId="116A68B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31AC038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（2）总价合同进度付款申请单的提交</w:t>
      </w:r>
    </w:p>
    <w:p w14:paraId="73CDCE2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总价合同按月计量支付的，承包人按照第12.3.4项〔总价合同的计量〕约定的时间按月向监理人提交进度付款申请单，并附上已完成工程量报表和有关资料。</w:t>
      </w:r>
    </w:p>
    <w:p w14:paraId="747AF87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总价合同按支付分解表支付的，承包人应按照第12.4.6项〔支付分解表〕及第12.4.2项〔进度付款申请单的编制〕的约定向监理人提交进度付款申请单。</w:t>
      </w:r>
    </w:p>
    <w:p w14:paraId="03B0639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（3）其他价格形式合同的进度付款申请单的提交</w:t>
      </w:r>
    </w:p>
    <w:p w14:paraId="321811E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合同当事人可在专用合同条款中约定其他价格形式合同的进度付款申请单的编制和提交程序。</w:t>
      </w:r>
    </w:p>
    <w:p w14:paraId="4F1370B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12.4</w:t>
      </w:r>
      <w:r>
        <w:rPr>
          <w:rFonts w:hint="default" w:ascii="Times New Roman" w:hAnsi="Times New Roman" w:eastAsia="方正仿宋_GBK" w:cs="Times New Roman"/>
          <w:color w:val="000000" w:themeColor="text1"/>
          <w:kern w:val="0"/>
          <w:sz w:val="24"/>
          <w:szCs w:val="24"/>
          <w14:textFill>
            <w14:solidFill>
              <w14:schemeClr w14:val="tx1"/>
            </w14:solidFill>
          </w14:textFill>
        </w:rPr>
        <w:t>.4 进度款审核和支付</w:t>
      </w:r>
    </w:p>
    <w:p w14:paraId="496078A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07A45B9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7C02331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（2）除专用合同条款另有约定外，发包人应在进度款支付证书或临时进度款支付证书签发后14天内完成支付，发包人逾期支付进度款的，应按照中国人民银行发布的同期同类贷款基准利率支付违约金。</w:t>
      </w:r>
    </w:p>
    <w:p w14:paraId="4DEB393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（3）发包人签发进度款支付证书或临时进度款支付证书，不表明发包人已同意、批准或接受了承包人完成的相应部分的工作。</w:t>
      </w:r>
    </w:p>
    <w:p w14:paraId="563C1A7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12.4.5 进度付款的修正</w:t>
      </w:r>
    </w:p>
    <w:p w14:paraId="2932D71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257C0E4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12.4.6 支付分解表</w:t>
      </w:r>
    </w:p>
    <w:p w14:paraId="4948B7A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w:t>
      </w:r>
      <w:r>
        <w:rPr>
          <w:rFonts w:hint="default" w:ascii="Times New Roman" w:hAnsi="Times New Roman" w:eastAsia="方正仿宋_GBK" w:cs="Times New Roman"/>
          <w:color w:val="000000" w:themeColor="text1"/>
          <w:kern w:val="0"/>
          <w:sz w:val="24"/>
          <w:szCs w:val="24"/>
          <w:lang w:val="en-US" w:eastAsia="zh-CN"/>
          <w14:textFill>
            <w14:solidFill>
              <w14:schemeClr w14:val="tx1"/>
            </w14:solidFill>
          </w14:textFill>
        </w:rPr>
        <w:t>.</w:t>
      </w:r>
      <w:r>
        <w:rPr>
          <w:rFonts w:hint="default" w:ascii="Times New Roman" w:hAnsi="Times New Roman" w:eastAsia="方正仿宋_GBK" w:cs="Times New Roman"/>
          <w:color w:val="000000" w:themeColor="text1"/>
          <w:kern w:val="0"/>
          <w:sz w:val="24"/>
          <w:szCs w:val="24"/>
          <w14:textFill>
            <w14:solidFill>
              <w14:schemeClr w14:val="tx1"/>
            </w14:solidFill>
          </w14:textFill>
        </w:rPr>
        <w:t>支付分解表的编制要求</w:t>
      </w:r>
    </w:p>
    <w:p w14:paraId="5F4F4D7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（1）支付分解表中所列的每期付款金额，应为第12.4.2项〔进度付款申请单的编制〕第（1）目的估算金额；</w:t>
      </w:r>
    </w:p>
    <w:p w14:paraId="7BDF17B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（2）实际进度与施工进度计划不一致的，合同当事人可按照第4.4款〔商定或确定〕修改支付分解表；</w:t>
      </w:r>
    </w:p>
    <w:p w14:paraId="4F35D86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（3）不采用支付分解表的，承包人应向发包人和监理人提交按季度编制的支付估算分解表，用于支付参考。</w:t>
      </w:r>
    </w:p>
    <w:p w14:paraId="64CD1FE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w:t>
      </w:r>
      <w:r>
        <w:rPr>
          <w:rFonts w:hint="default" w:ascii="Times New Roman" w:hAnsi="Times New Roman" w:eastAsia="方正仿宋_GBK" w:cs="Times New Roman"/>
          <w:color w:val="000000" w:themeColor="text1"/>
          <w:kern w:val="0"/>
          <w:sz w:val="24"/>
          <w:szCs w:val="24"/>
          <w:lang w:val="en-US" w:eastAsia="zh-CN"/>
          <w14:textFill>
            <w14:solidFill>
              <w14:schemeClr w14:val="tx1"/>
            </w14:solidFill>
          </w14:textFill>
        </w:rPr>
        <w:t>.</w:t>
      </w:r>
      <w:r>
        <w:rPr>
          <w:rFonts w:hint="default" w:ascii="Times New Roman" w:hAnsi="Times New Roman" w:eastAsia="方正仿宋_GBK" w:cs="Times New Roman"/>
          <w:color w:val="000000" w:themeColor="text1"/>
          <w:kern w:val="0"/>
          <w:sz w:val="24"/>
          <w:szCs w:val="24"/>
          <w14:textFill>
            <w14:solidFill>
              <w14:schemeClr w14:val="tx1"/>
            </w14:solidFill>
          </w14:textFill>
        </w:rPr>
        <w:t>总价合同支付分解表的编制与审批</w:t>
      </w:r>
    </w:p>
    <w:p w14:paraId="16AD27E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23C5854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（2）监理人应在收到支付分解表后7天内完成审核并报送发包人。发包人应在收到经监理人审核的支付分解表后7天内完成审批，经发包人批准的支付分解表为有约束力的支付分解表。</w:t>
      </w:r>
    </w:p>
    <w:p w14:paraId="424C59EB">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    （3）发包人逾期未完成支付分解表审批的，也未及时要求承包人进行修正和提供补充资料的，则承包人提交的支付分解表视为已经获得发包人批准。</w:t>
      </w:r>
    </w:p>
    <w:p w14:paraId="0B53DF3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w:t>
      </w:r>
      <w:r>
        <w:rPr>
          <w:rFonts w:hint="default" w:ascii="Times New Roman" w:hAnsi="Times New Roman" w:eastAsia="方正仿宋_GBK" w:cs="Times New Roman"/>
          <w:color w:val="000000" w:themeColor="text1"/>
          <w:kern w:val="0"/>
          <w:sz w:val="24"/>
          <w:szCs w:val="24"/>
          <w:lang w:val="en-US" w:eastAsia="zh-CN"/>
          <w14:textFill>
            <w14:solidFill>
              <w14:schemeClr w14:val="tx1"/>
            </w14:solidFill>
          </w14:textFill>
        </w:rPr>
        <w:t>.</w:t>
      </w:r>
      <w:r>
        <w:rPr>
          <w:rFonts w:hint="default" w:ascii="Times New Roman" w:hAnsi="Times New Roman" w:eastAsia="方正仿宋_GBK" w:cs="Times New Roman"/>
          <w:color w:val="000000" w:themeColor="text1"/>
          <w:kern w:val="0"/>
          <w:sz w:val="24"/>
          <w:szCs w:val="24"/>
          <w14:textFill>
            <w14:solidFill>
              <w14:schemeClr w14:val="tx1"/>
            </w14:solidFill>
          </w14:textFill>
        </w:rPr>
        <w:t>单价合同的总价项目支付分解表的编制与审批</w:t>
      </w:r>
    </w:p>
    <w:p w14:paraId="3E1F155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7BFDE0E5">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52" w:name="_Toc351203585"/>
      <w:r>
        <w:rPr>
          <w:rFonts w:hint="default" w:ascii="Times New Roman" w:hAnsi="Times New Roman" w:eastAsia="方正仿宋_GBK" w:cs="Times New Roman"/>
          <w:b w:val="0"/>
          <w:color w:val="000000" w:themeColor="text1"/>
          <w:sz w:val="24"/>
          <w:szCs w:val="24"/>
          <w14:textFill>
            <w14:solidFill>
              <w14:schemeClr w14:val="tx1"/>
            </w14:solidFill>
          </w14:textFill>
        </w:rPr>
        <w:t>12.5支付账户</w:t>
      </w:r>
      <w:bookmarkEnd w:id="652"/>
    </w:p>
    <w:p w14:paraId="749D7FC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发包人应将合同价款支付至合同协议书中约定的承包人账户。</w:t>
      </w:r>
    </w:p>
    <w:p w14:paraId="16FE2463">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653" w:name="_Toc351203586"/>
      <w:bookmarkStart w:id="654" w:name="_Toc322522574"/>
      <w:bookmarkStart w:id="655" w:name="_Toc337558804"/>
      <w:bookmarkStart w:id="656" w:name="_Toc296346607"/>
      <w:bookmarkStart w:id="657" w:name="_Toc296503106"/>
      <w:r>
        <w:rPr>
          <w:rFonts w:hint="default" w:ascii="Times New Roman" w:hAnsi="Times New Roman" w:eastAsia="方正小标宋_GBK" w:cs="Times New Roman"/>
          <w:b w:val="0"/>
          <w:color w:val="000000" w:themeColor="text1"/>
          <w:sz w:val="24"/>
          <w:szCs w:val="24"/>
          <w14:textFill>
            <w14:solidFill>
              <w14:schemeClr w14:val="tx1"/>
            </w14:solidFill>
          </w14:textFill>
        </w:rPr>
        <w:t>13. 验收和工程试车</w:t>
      </w:r>
      <w:bookmarkEnd w:id="653"/>
    </w:p>
    <w:bookmarkEnd w:id="654"/>
    <w:bookmarkEnd w:id="655"/>
    <w:bookmarkEnd w:id="656"/>
    <w:bookmarkEnd w:id="657"/>
    <w:p w14:paraId="35CCF031">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58" w:name="_Toc351203587"/>
      <w:bookmarkStart w:id="659" w:name="_Toc337558805"/>
      <w:bookmarkStart w:id="660" w:name="_Toc296503110"/>
      <w:bookmarkStart w:id="661" w:name="_Toc296346611"/>
      <w:r>
        <w:rPr>
          <w:rFonts w:hint="default" w:ascii="Times New Roman" w:hAnsi="Times New Roman" w:eastAsia="方正仿宋_GBK" w:cs="Times New Roman"/>
          <w:b w:val="0"/>
          <w:color w:val="000000" w:themeColor="text1"/>
          <w:sz w:val="24"/>
          <w:szCs w:val="24"/>
          <w14:textFill>
            <w14:solidFill>
              <w14:schemeClr w14:val="tx1"/>
            </w14:solidFill>
          </w14:textFill>
        </w:rPr>
        <w:t>13.1分部分项工程验收</w:t>
      </w:r>
      <w:bookmarkEnd w:id="658"/>
    </w:p>
    <w:bookmarkEnd w:id="659"/>
    <w:p w14:paraId="1BE55D97">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13.1.1 分部分项工程质量应符合国家有关工程施工验收规范、标准及合同约定，承包人应按照施工组织设计的要求完成分部分项工程施工。</w:t>
      </w:r>
    </w:p>
    <w:p w14:paraId="25A4A5A3">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13.1.2 除专用合同条款另有约定外，分部分项工程经承包人自检合格并具备验收条件的，承包人应提前48小时通知监理人进行验收。</w:t>
      </w:r>
      <w:r>
        <w:rPr>
          <w:rFonts w:hint="default" w:ascii="Times New Roman" w:hAnsi="Times New Roman" w:eastAsia="方正仿宋_GBK" w:cs="Times New Roman"/>
          <w:color w:val="000000" w:themeColor="text1"/>
          <w:kern w:val="0"/>
          <w:sz w:val="24"/>
          <w:szCs w:val="24"/>
          <w14:textFill>
            <w14:solidFill>
              <w14:schemeClr w14:val="tx1"/>
            </w14:solidFill>
          </w14:textFill>
        </w:rPr>
        <w:t>监理人不能按时进行验收的，应在验收前24小时向承包人提交书面延期要求，但延期不能超过48小时。监理人未按时进行验收，也未提出延期要求的，承包人有权自行验收，监理人应认可验收结果。</w:t>
      </w:r>
      <w:r>
        <w:rPr>
          <w:rFonts w:hint="default" w:ascii="Times New Roman" w:hAnsi="Times New Roman" w:eastAsia="方正仿宋_GBK" w:cs="Times New Roman"/>
          <w:color w:val="000000" w:themeColor="text1"/>
          <w:sz w:val="24"/>
          <w:szCs w:val="24"/>
          <w14:textFill>
            <w14:solidFill>
              <w14:schemeClr w14:val="tx1"/>
            </w14:solidFill>
          </w14:textFill>
        </w:rPr>
        <w:t>分部分项工程未经验收的，不得进入下一道工序施工。</w:t>
      </w:r>
    </w:p>
    <w:p w14:paraId="64E6C02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分部分项工程的验收资料应当作为竣工资料的组成部分。</w:t>
      </w:r>
    </w:p>
    <w:p w14:paraId="1482612D">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62" w:name="_Toc351203588"/>
      <w:bookmarkStart w:id="663" w:name="_Toc337558806"/>
      <w:r>
        <w:rPr>
          <w:rFonts w:hint="default" w:ascii="Times New Roman" w:hAnsi="Times New Roman" w:eastAsia="方正仿宋_GBK" w:cs="Times New Roman"/>
          <w:b w:val="0"/>
          <w:color w:val="000000" w:themeColor="text1"/>
          <w:sz w:val="24"/>
          <w:szCs w:val="24"/>
          <w14:textFill>
            <w14:solidFill>
              <w14:schemeClr w14:val="tx1"/>
            </w14:solidFill>
          </w14:textFill>
        </w:rPr>
        <w:t>13.2竣工验收</w:t>
      </w:r>
      <w:bookmarkEnd w:id="662"/>
    </w:p>
    <w:bookmarkEnd w:id="660"/>
    <w:bookmarkEnd w:id="661"/>
    <w:bookmarkEnd w:id="663"/>
    <w:p w14:paraId="702D668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13.2.1竣工验收条件</w:t>
      </w:r>
    </w:p>
    <w:p w14:paraId="0159F13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工程具备以下条件的，承包人可以申请竣工验收：</w:t>
      </w:r>
    </w:p>
    <w:p w14:paraId="305D5B6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（1）除发包人同意的甩项工作和缺陷修补工作外，合同范围内的全部工程以及有关工作，包括合同要求的试验、试运行以及检验均已完成，并符合合同要求；</w:t>
      </w:r>
    </w:p>
    <w:p w14:paraId="246B377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（2）已按合同约定编制了甩项工作和缺陷修补工作清单以及相应的施工计划；</w:t>
      </w:r>
    </w:p>
    <w:p w14:paraId="43F5D8C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（3）已按合同约定的内容和份数备齐竣工资料。</w:t>
      </w:r>
    </w:p>
    <w:p w14:paraId="1CF1D01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13.2.2竣工验收程序</w:t>
      </w:r>
    </w:p>
    <w:p w14:paraId="0E8799D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除专用合同条款另有约定外，承包人申请竣工验收的，应当按照以下程序进行：</w:t>
      </w:r>
    </w:p>
    <w:p w14:paraId="15EF353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046282F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6F93C4A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5B73058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548660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28CD665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除专用合同条款另有约定外，发包人不按照本项约定组织竣工验收、颁发工程接收证书的，每逾期一天，应以签约合同价为基数，按照中国人民银行发布的同期同类贷款基准利率支付违约金。</w:t>
      </w:r>
    </w:p>
    <w:p w14:paraId="5862B8B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13.2.3竣工日期</w:t>
      </w:r>
    </w:p>
    <w:p w14:paraId="160D9EB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664" w:name="#go14"/>
      <w:bookmarkEnd w:id="664"/>
      <w:r>
        <w:rPr>
          <w:rFonts w:hint="default" w:ascii="Times New Roman" w:hAnsi="Times New Roman" w:eastAsia="方正仿宋_GBK" w:cs="Times New Roman"/>
          <w:color w:val="000000" w:themeColor="text1"/>
          <w:kern w:val="0"/>
          <w:sz w:val="24"/>
          <w:szCs w:val="24"/>
          <w14:textFill>
            <w14:solidFill>
              <w14:schemeClr w14:val="tx1"/>
            </w14:solidFill>
          </w14:textFill>
        </w:rPr>
        <w:t>收申请报告的日期为实际竣工日期；工程未经竣工验收，发包人擅自使用的，以转移占有工程之日为实际竣工日期。</w:t>
      </w:r>
    </w:p>
    <w:p w14:paraId="1F4F706C">
      <w:pPr>
        <w:pageBreakBefore w:val="0"/>
        <w:widowControl w:val="0"/>
        <w:kinsoku/>
        <w:wordWrap/>
        <w:overflowPunct/>
        <w:topLinePunct w:val="0"/>
        <w:bidi w:val="0"/>
        <w:snapToGrid/>
        <w:spacing w:line="400" w:lineRule="exact"/>
        <w:ind w:left="0" w:leftChars="0" w:right="0" w:rightChars="0" w:firstLine="480" w:firstLineChars="200"/>
        <w:jc w:val="left"/>
        <w:outlineLvl w:val="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13.2.4 拒绝接收全部或部分工程</w:t>
      </w:r>
    </w:p>
    <w:p w14:paraId="5CBE11B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19CC516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13.2.5 移交、接收全部与部分工程</w:t>
      </w:r>
    </w:p>
    <w:p w14:paraId="47EC4A3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除专用合同条款另有约定外，合同当事人应当在颁发工程接收证书后7天内完成工程的移交。</w:t>
      </w:r>
    </w:p>
    <w:p w14:paraId="5B142B4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发包人无正当理由不接收工程的，发包人自应当接收工程之日起，承担工程照管、成品保护、保管等与工程有关的各项费用，合同当事人可以在专用合同条款中另行约定发包人逾期接收工程的违约责任。</w:t>
      </w:r>
    </w:p>
    <w:p w14:paraId="403C8A0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承包人无正当理由不移交工程的，承包人应承担工程照管、成品保护、保管等与工程有关的各项费用，合同当事人可以在专用合同条款中另行约定承包人无正当理由不移交工程的违约责任。</w:t>
      </w:r>
    </w:p>
    <w:p w14:paraId="440AE0A4">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65" w:name="_Toc351203589"/>
      <w:bookmarkStart w:id="666" w:name="_Toc337558807"/>
      <w:bookmarkStart w:id="667" w:name="_Toc296346612"/>
      <w:bookmarkStart w:id="668" w:name="_Toc296503111"/>
      <w:r>
        <w:rPr>
          <w:rFonts w:hint="default" w:ascii="Times New Roman" w:hAnsi="Times New Roman" w:eastAsia="方正仿宋_GBK" w:cs="Times New Roman"/>
          <w:b w:val="0"/>
          <w:color w:val="000000" w:themeColor="text1"/>
          <w:sz w:val="24"/>
          <w:szCs w:val="24"/>
          <w14:textFill>
            <w14:solidFill>
              <w14:schemeClr w14:val="tx1"/>
            </w14:solidFill>
          </w14:textFill>
        </w:rPr>
        <w:t>13.3工程试车</w:t>
      </w:r>
      <w:bookmarkEnd w:id="665"/>
    </w:p>
    <w:bookmarkEnd w:id="666"/>
    <w:bookmarkEnd w:id="667"/>
    <w:bookmarkEnd w:id="668"/>
    <w:p w14:paraId="5D9EE78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13.3.1试车程序</w:t>
      </w:r>
    </w:p>
    <w:p w14:paraId="5DB34A1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工程需要试车的，除专用合同条款另有约定外，试车内容应与承包人承包范围相一致，试车费用由承包人承担。工程试车应按如下程序进行：</w:t>
      </w:r>
    </w:p>
    <w:p w14:paraId="4993983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2713AAD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39142F4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556B0B6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13.3.2 试车中的责任</w:t>
      </w:r>
    </w:p>
    <w:p w14:paraId="60D65AE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2CB1B05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46595FE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13.3.3 投料试车</w:t>
      </w:r>
    </w:p>
    <w:p w14:paraId="40CEA20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如需进行投料试车的，发包人应在工程竣工验收后组织投料试车。发包人要求在工程竣工验收前进行或需要承包人配合时，应征得承包人同意，并在专用合同条款中约定有关事项。</w:t>
      </w:r>
    </w:p>
    <w:p w14:paraId="73A85CC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62AF3BF9">
      <w:pPr>
        <w:pStyle w:val="6"/>
        <w:pageBreakBefore w:val="0"/>
        <w:widowControl w:val="0"/>
        <w:kinsoku/>
        <w:wordWrap/>
        <w:overflowPunct/>
        <w:topLinePunct w:val="0"/>
        <w:bidi w:val="0"/>
        <w:snapToGrid/>
        <w:spacing w:before="0" w:beforeLines="0" w:after="0" w:afterLines="0" w:line="400" w:lineRule="exact"/>
        <w:ind w:left="0" w:leftChars="0" w:right="0" w:rightChars="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69" w:name="_Toc337558808"/>
      <w:r>
        <w:rPr>
          <w:rFonts w:hint="default" w:ascii="Times New Roman" w:hAnsi="Times New Roman" w:eastAsia="方正仿宋_GBK" w:cs="Times New Roman"/>
          <w:b w:val="0"/>
          <w:color w:val="000000" w:themeColor="text1"/>
          <w:sz w:val="24"/>
          <w:szCs w:val="24"/>
          <w14:textFill>
            <w14:solidFill>
              <w14:schemeClr w14:val="tx1"/>
            </w14:solidFill>
          </w14:textFill>
        </w:rPr>
        <w:t xml:space="preserve">    </w:t>
      </w:r>
      <w:bookmarkStart w:id="670" w:name="_Toc351203590"/>
      <w:r>
        <w:rPr>
          <w:rFonts w:hint="default" w:ascii="Times New Roman" w:hAnsi="Times New Roman" w:eastAsia="方正仿宋_GBK" w:cs="Times New Roman"/>
          <w:b w:val="0"/>
          <w:color w:val="000000" w:themeColor="text1"/>
          <w:sz w:val="24"/>
          <w:szCs w:val="24"/>
          <w14:textFill>
            <w14:solidFill>
              <w14:schemeClr w14:val="tx1"/>
            </w14:solidFill>
          </w14:textFill>
        </w:rPr>
        <w:t>13.4提前交付单位工程的验收</w:t>
      </w:r>
      <w:bookmarkEnd w:id="670"/>
    </w:p>
    <w:bookmarkEnd w:id="669"/>
    <w:p w14:paraId="5DC1D5B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13.4.1 发包人需要在工程竣工前使用单位工程的，或承包人提出提前交付已经竣工的单位工程且经发包人同意的，可进行单位工程验收，验收的程序按照第13.2款〔竣工验收〕的约定进行。</w:t>
      </w:r>
    </w:p>
    <w:p w14:paraId="4EAAABC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验收合格后，由监理人向承包人出具经发包人签认的单位工程接收证书。已签发单位工程接收证书的单位工程由发包人负责照管。单位工程的验收成果和结论作为整体工程竣工验收申请报告的附件。</w:t>
      </w:r>
    </w:p>
    <w:p w14:paraId="14177D5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13.4.2 发包人要求在工程竣工前交付单位工程，由此导致承包人费用增加和（或）工期延误的，由发包人承担由此增加的费用和（或）延误的工期，并支付承包人合理的利润。</w:t>
      </w:r>
    </w:p>
    <w:p w14:paraId="6C7CA828">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71" w:name="_Toc351203591"/>
      <w:r>
        <w:rPr>
          <w:rFonts w:hint="default" w:ascii="Times New Roman" w:hAnsi="Times New Roman" w:eastAsia="方正仿宋_GBK" w:cs="Times New Roman"/>
          <w:b w:val="0"/>
          <w:color w:val="000000" w:themeColor="text1"/>
          <w:sz w:val="24"/>
          <w:szCs w:val="24"/>
          <w14:textFill>
            <w14:solidFill>
              <w14:schemeClr w14:val="tx1"/>
            </w14:solidFill>
          </w14:textFill>
        </w:rPr>
        <w:t>13.5 施工期运行</w:t>
      </w:r>
      <w:bookmarkEnd w:id="671"/>
    </w:p>
    <w:p w14:paraId="442A5C9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122FB96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13.5.2 在施工期运行中发现工程或工程设备损坏或存在缺陷的，由承包人按第15.2款〔缺陷责任期〕约定进行修复。</w:t>
      </w:r>
    </w:p>
    <w:p w14:paraId="0E5124C2">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72" w:name="_Toc296346613"/>
      <w:bookmarkStart w:id="673" w:name="_Toc296503112"/>
      <w:bookmarkStart w:id="674" w:name="_Toc351203592"/>
      <w:bookmarkStart w:id="675" w:name="_Toc337558809"/>
      <w:r>
        <w:rPr>
          <w:rFonts w:hint="default" w:ascii="Times New Roman" w:hAnsi="Times New Roman" w:eastAsia="方正仿宋_GBK" w:cs="Times New Roman"/>
          <w:b w:val="0"/>
          <w:color w:val="000000" w:themeColor="text1"/>
          <w:sz w:val="24"/>
          <w:szCs w:val="24"/>
          <w14:textFill>
            <w14:solidFill>
              <w14:schemeClr w14:val="tx1"/>
            </w14:solidFill>
          </w14:textFill>
        </w:rPr>
        <w:t>13.6 竣工退</w:t>
      </w:r>
      <w:bookmarkEnd w:id="672"/>
      <w:bookmarkEnd w:id="673"/>
      <w:r>
        <w:rPr>
          <w:rFonts w:hint="default" w:ascii="Times New Roman" w:hAnsi="Times New Roman" w:eastAsia="方正仿宋_GBK" w:cs="Times New Roman"/>
          <w:b w:val="0"/>
          <w:color w:val="000000" w:themeColor="text1"/>
          <w:sz w:val="24"/>
          <w:szCs w:val="24"/>
          <w14:textFill>
            <w14:solidFill>
              <w14:schemeClr w14:val="tx1"/>
            </w14:solidFill>
          </w14:textFill>
        </w:rPr>
        <w:t>场</w:t>
      </w:r>
      <w:bookmarkEnd w:id="674"/>
    </w:p>
    <w:bookmarkEnd w:id="675"/>
    <w:p w14:paraId="734436D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13.6.1 竣工退场</w:t>
      </w:r>
    </w:p>
    <w:p w14:paraId="25DA951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颁发工程接收证书后，承包人应按以下要求对施工现场进行清理：</w:t>
      </w:r>
    </w:p>
    <w:p w14:paraId="0780AA9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（1）施工现场内残留的垃圾已全部清除出场；</w:t>
      </w:r>
    </w:p>
    <w:p w14:paraId="07BE3FD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（2）临时工程已拆除，场地已进行清理、平整或复原；</w:t>
      </w:r>
    </w:p>
    <w:p w14:paraId="1B6C4F3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（3）按合同约定应撤离的人员、承包人施工设备和剩余的材料，包括废弃的施工设备和材料，已按计划撤离施工现场；</w:t>
      </w:r>
    </w:p>
    <w:p w14:paraId="59A368C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（4）施工现场周边及其附近道路、河道的施工堆积物，已全部清理；</w:t>
      </w:r>
    </w:p>
    <w:p w14:paraId="7D34B72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（5）施工现场其他场地清理工作已全部完成。</w:t>
      </w:r>
    </w:p>
    <w:p w14:paraId="1340628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29E7AA0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13.6.2 地表还原</w:t>
      </w:r>
    </w:p>
    <w:p w14:paraId="6810ECB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承包人应按发包人要求恢复临时占地及清理场地，承包人未按发包人的要求恢复临时占地，或者场地清理未达到合同约定要求的，发包人有权委托其他人恢复或清理，所发生的费用由承包人承担。</w:t>
      </w:r>
    </w:p>
    <w:p w14:paraId="245D10FB">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676" w:name="_Toc351203593"/>
      <w:bookmarkStart w:id="677" w:name="_Toc337558810"/>
      <w:bookmarkStart w:id="678" w:name="_Toc296346614"/>
      <w:bookmarkStart w:id="679" w:name="_Toc296503113"/>
      <w:r>
        <w:rPr>
          <w:rFonts w:hint="default" w:ascii="Times New Roman" w:hAnsi="Times New Roman" w:eastAsia="方正小标宋_GBK" w:cs="Times New Roman"/>
          <w:b w:val="0"/>
          <w:color w:val="000000" w:themeColor="text1"/>
          <w:sz w:val="24"/>
          <w:szCs w:val="24"/>
          <w14:textFill>
            <w14:solidFill>
              <w14:schemeClr w14:val="tx1"/>
            </w14:solidFill>
          </w14:textFill>
        </w:rPr>
        <w:t>14. 竣工结算</w:t>
      </w:r>
      <w:bookmarkEnd w:id="676"/>
    </w:p>
    <w:bookmarkEnd w:id="677"/>
    <w:p w14:paraId="2D65C2A4">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80" w:name="_Toc351203594"/>
      <w:bookmarkStart w:id="681" w:name="_Toc337558811"/>
      <w:r>
        <w:rPr>
          <w:rFonts w:hint="default" w:ascii="Times New Roman" w:hAnsi="Times New Roman" w:eastAsia="方正仿宋_GBK" w:cs="Times New Roman"/>
          <w:b w:val="0"/>
          <w:color w:val="000000" w:themeColor="text1"/>
          <w:sz w:val="24"/>
          <w:szCs w:val="24"/>
          <w14:textFill>
            <w14:solidFill>
              <w14:schemeClr w14:val="tx1"/>
            </w14:solidFill>
          </w14:textFill>
        </w:rPr>
        <w:t>14.1 竣工结算申请</w:t>
      </w:r>
      <w:bookmarkEnd w:id="680"/>
    </w:p>
    <w:bookmarkEnd w:id="681"/>
    <w:p w14:paraId="581DA45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w:t>
      </w:r>
      <w:r>
        <w:rPr>
          <w:rFonts w:hint="default" w:ascii="Times New Roman" w:hAnsi="Times New Roman" w:eastAsia="方正仿宋_GBK" w:cs="Times New Roman"/>
          <w:color w:val="000000" w:themeColor="text1"/>
          <w:sz w:val="24"/>
          <w:szCs w:val="24"/>
          <w14:textFill>
            <w14:solidFill>
              <w14:schemeClr w14:val="tx1"/>
            </w14:solidFill>
          </w14:textFill>
        </w:rPr>
        <w:t>承包人应在工程竣工验收合格后28天内向发包人和监理人提交竣工结算申请单，并提交完整的结算资料，有关竣工结算申请单的资料清单和份数等要求由合同当事人在专用合同条款中约定。</w:t>
      </w:r>
    </w:p>
    <w:p w14:paraId="7834397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除专用合同条款另有约定外，竣工结算申请单应包括以下内容：</w:t>
      </w:r>
    </w:p>
    <w:p w14:paraId="08CF9A3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（1）竣工结算合同价格；</w:t>
      </w:r>
    </w:p>
    <w:p w14:paraId="1D0BB3F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（2）发包人已支付承包人的款项；</w:t>
      </w:r>
    </w:p>
    <w:p w14:paraId="0F1CA31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（3）应扣留的质量保证金。已缴纳履约保证金的或提供其他工程质量担保方式的除外； </w:t>
      </w:r>
    </w:p>
    <w:p w14:paraId="3AF1793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（4）发包人应支付承包人的合同价款。</w:t>
      </w:r>
    </w:p>
    <w:p w14:paraId="15639906">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82" w:name="_Toc351203595"/>
      <w:bookmarkStart w:id="683" w:name="_Toc337558812"/>
      <w:r>
        <w:rPr>
          <w:rFonts w:hint="default" w:ascii="Times New Roman" w:hAnsi="Times New Roman" w:eastAsia="方正仿宋_GBK" w:cs="Times New Roman"/>
          <w:b w:val="0"/>
          <w:color w:val="000000" w:themeColor="text1"/>
          <w:sz w:val="24"/>
          <w:szCs w:val="24"/>
          <w14:textFill>
            <w14:solidFill>
              <w14:schemeClr w14:val="tx1"/>
            </w14:solidFill>
          </w14:textFill>
        </w:rPr>
        <w:t>14.2 竣工结算审核</w:t>
      </w:r>
      <w:bookmarkEnd w:id="682"/>
    </w:p>
    <w:bookmarkEnd w:id="683"/>
    <w:p w14:paraId="07B41C0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default" w:ascii="Times New Roman" w:hAnsi="Times New Roman" w:eastAsia="方正仿宋_GBK" w:cs="Times New Roman"/>
          <w:color w:val="000000" w:themeColor="text1"/>
          <w:sz w:val="24"/>
          <w:szCs w:val="24"/>
          <w14:textFill>
            <w14:solidFill>
              <w14:schemeClr w14:val="tx1"/>
            </w14:solidFill>
          </w14:textFill>
        </w:rPr>
        <w:t>发包人对竣工</w:t>
      </w:r>
      <w:r>
        <w:rPr>
          <w:rFonts w:hint="default" w:ascii="Times New Roman" w:hAnsi="Times New Roman" w:eastAsia="方正仿宋_GBK" w:cs="Times New Roman"/>
          <w:color w:val="000000" w:themeColor="text1"/>
          <w:kern w:val="0"/>
          <w:sz w:val="24"/>
          <w:szCs w:val="24"/>
          <w14:textFill>
            <w14:solidFill>
              <w14:schemeClr w14:val="tx1"/>
            </w14:solidFill>
          </w14:textFill>
        </w:rPr>
        <w:t>结算</w:t>
      </w:r>
      <w:r>
        <w:rPr>
          <w:rFonts w:hint="default" w:ascii="Times New Roman" w:hAnsi="Times New Roman" w:eastAsia="方正仿宋_GBK" w:cs="Times New Roman"/>
          <w:color w:val="000000" w:themeColor="text1"/>
          <w:sz w:val="24"/>
          <w:szCs w:val="24"/>
          <w14:textFill>
            <w14:solidFill>
              <w14:schemeClr w14:val="tx1"/>
            </w14:solidFill>
          </w14:textFill>
        </w:rPr>
        <w:t>申请单有异议的，有权要求承包人进行修正和提供补充资料，承包人应提交修正后的竣工</w:t>
      </w:r>
      <w:r>
        <w:rPr>
          <w:rFonts w:hint="default" w:ascii="Times New Roman" w:hAnsi="Times New Roman" w:eastAsia="方正仿宋_GBK" w:cs="Times New Roman"/>
          <w:color w:val="000000" w:themeColor="text1"/>
          <w:kern w:val="0"/>
          <w:sz w:val="24"/>
          <w:szCs w:val="24"/>
          <w14:textFill>
            <w14:solidFill>
              <w14:schemeClr w14:val="tx1"/>
            </w14:solidFill>
          </w14:textFill>
        </w:rPr>
        <w:t>结算</w:t>
      </w:r>
      <w:r>
        <w:rPr>
          <w:rFonts w:hint="default" w:ascii="Times New Roman" w:hAnsi="Times New Roman" w:eastAsia="方正仿宋_GBK" w:cs="Times New Roman"/>
          <w:color w:val="000000" w:themeColor="text1"/>
          <w:sz w:val="24"/>
          <w:szCs w:val="24"/>
          <w14:textFill>
            <w14:solidFill>
              <w14:schemeClr w14:val="tx1"/>
            </w14:solidFill>
          </w14:textFill>
        </w:rPr>
        <w:t>申请单。</w:t>
      </w:r>
    </w:p>
    <w:p w14:paraId="2E530DA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405DC56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6CF3DBB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3178562B">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84" w:name="_Toc351203596"/>
      <w:bookmarkStart w:id="685" w:name="_Toc337558813"/>
      <w:r>
        <w:rPr>
          <w:rFonts w:hint="default" w:ascii="Times New Roman" w:hAnsi="Times New Roman" w:eastAsia="方正仿宋_GBK" w:cs="Times New Roman"/>
          <w:b w:val="0"/>
          <w:color w:val="000000" w:themeColor="text1"/>
          <w:sz w:val="24"/>
          <w:szCs w:val="24"/>
          <w14:textFill>
            <w14:solidFill>
              <w14:schemeClr w14:val="tx1"/>
            </w14:solidFill>
          </w14:textFill>
        </w:rPr>
        <w:t>14.3 甩项竣工协议</w:t>
      </w:r>
      <w:bookmarkEnd w:id="684"/>
    </w:p>
    <w:bookmarkEnd w:id="685"/>
    <w:p w14:paraId="74A422FD">
      <w:pPr>
        <w:pageBreakBefore w:val="0"/>
        <w:widowControl w:val="0"/>
        <w:kinsoku/>
        <w:wordWrap/>
        <w:overflowPunct/>
        <w:topLinePunct w:val="0"/>
        <w:autoSpaceDE w:val="0"/>
        <w:autoSpaceDN w:val="0"/>
        <w:bidi w:val="0"/>
        <w:adjustRightInd w:val="0"/>
        <w:snapToGrid/>
        <w:spacing w:line="400" w:lineRule="exact"/>
        <w:ind w:left="0" w:leftChars="0" w:right="0" w:rightChars="0" w:firstLine="470" w:firstLineChars="196"/>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要求甩项竣工的，合同当事人应签订甩项竣工协议。在甩项竣工协议中应明确，合同当事人按照第14.1款〔竣工结算申请〕及14.2款〔竣工结算审核〕的约定，对已完合格工程进行结算，并支付相应合同价款。</w:t>
      </w:r>
    </w:p>
    <w:p w14:paraId="7CB8C682">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86" w:name="_Toc351203597"/>
      <w:bookmarkStart w:id="687" w:name="_Toc337558814"/>
      <w:r>
        <w:rPr>
          <w:rFonts w:hint="default" w:ascii="Times New Roman" w:hAnsi="Times New Roman" w:eastAsia="方正仿宋_GBK" w:cs="Times New Roman"/>
          <w:b w:val="0"/>
          <w:color w:val="000000" w:themeColor="text1"/>
          <w:sz w:val="24"/>
          <w:szCs w:val="24"/>
          <w14:textFill>
            <w14:solidFill>
              <w14:schemeClr w14:val="tx1"/>
            </w14:solidFill>
          </w14:textFill>
        </w:rPr>
        <w:t>14.4 最终结清</w:t>
      </w:r>
      <w:bookmarkEnd w:id="686"/>
    </w:p>
    <w:bookmarkEnd w:id="687"/>
    <w:p w14:paraId="5D40ED7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14.4.1 最终结清申请单</w:t>
      </w:r>
    </w:p>
    <w:p w14:paraId="0E2347C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（1）除专用合同条款另有约定外，承包人应在缺陷责任期终止证书颁发后7天内，按专用合同条款约定的份数向发包人提交最终结清申请单，并提供相关证明材料。</w:t>
      </w:r>
    </w:p>
    <w:p w14:paraId="71FD921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除专用合同条款另有约定外，</w:t>
      </w:r>
      <w:r>
        <w:rPr>
          <w:rFonts w:hint="default" w:ascii="Times New Roman" w:hAnsi="Times New Roman" w:eastAsia="方正仿宋_GBK" w:cs="Times New Roman"/>
          <w:color w:val="000000" w:themeColor="text1"/>
          <w:kern w:val="0"/>
          <w:sz w:val="24"/>
          <w:szCs w:val="24"/>
          <w14:textFill>
            <w14:solidFill>
              <w14:schemeClr w14:val="tx1"/>
            </w14:solidFill>
          </w14:textFill>
        </w:rPr>
        <w:t>最终结清申请单</w:t>
      </w:r>
      <w:r>
        <w:rPr>
          <w:rFonts w:hint="default" w:ascii="Times New Roman" w:hAnsi="Times New Roman" w:eastAsia="方正仿宋_GBK" w:cs="Times New Roman"/>
          <w:color w:val="000000" w:themeColor="text1"/>
          <w:sz w:val="24"/>
          <w:szCs w:val="24"/>
          <w14:textFill>
            <w14:solidFill>
              <w14:schemeClr w14:val="tx1"/>
            </w14:solidFill>
          </w14:textFill>
        </w:rPr>
        <w:t>应列明质量保证金、应扣除的质量保证金、缺陷责任期内发生的增减费用。</w:t>
      </w:r>
    </w:p>
    <w:p w14:paraId="7011A74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（2）发包人对最终结清申请单内容有异议的，有权要求承包人进行修正和提供补充资料，承包人应向发包人提交修正后的最终结清申请单。</w:t>
      </w:r>
    </w:p>
    <w:p w14:paraId="128C0AF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14.4.2 最终结清证书和支付</w:t>
      </w:r>
    </w:p>
    <w:p w14:paraId="6684C90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62AFAAE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03E6DC7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（3）承包人对发包人颁发的最终结清证书有异议的，按第20条〔争议解决〕的约定办理。</w:t>
      </w:r>
    </w:p>
    <w:p w14:paraId="70E9310A">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688" w:name="_Toc351203598"/>
      <w:bookmarkStart w:id="689" w:name="_Toc337558815"/>
      <w:r>
        <w:rPr>
          <w:rFonts w:hint="default" w:ascii="Times New Roman" w:hAnsi="Times New Roman" w:eastAsia="方正小标宋_GBK" w:cs="Times New Roman"/>
          <w:b w:val="0"/>
          <w:color w:val="000000" w:themeColor="text1"/>
          <w:sz w:val="24"/>
          <w:szCs w:val="24"/>
          <w14:textFill>
            <w14:solidFill>
              <w14:schemeClr w14:val="tx1"/>
            </w14:solidFill>
          </w14:textFill>
        </w:rPr>
        <w:t>15. 缺陷责任与保修</w:t>
      </w:r>
      <w:bookmarkEnd w:id="688"/>
    </w:p>
    <w:bookmarkEnd w:id="678"/>
    <w:bookmarkEnd w:id="679"/>
    <w:bookmarkEnd w:id="689"/>
    <w:p w14:paraId="7969509F">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90" w:name="_Toc351203599"/>
      <w:bookmarkStart w:id="691" w:name="_Toc337558816"/>
      <w:bookmarkStart w:id="692" w:name="_Toc296503114"/>
      <w:bookmarkStart w:id="693" w:name="_Toc296346615"/>
      <w:r>
        <w:rPr>
          <w:rFonts w:hint="default" w:ascii="Times New Roman" w:hAnsi="Times New Roman" w:eastAsia="方正仿宋_GBK" w:cs="Times New Roman"/>
          <w:b w:val="0"/>
          <w:color w:val="000000" w:themeColor="text1"/>
          <w:sz w:val="24"/>
          <w:szCs w:val="24"/>
          <w14:textFill>
            <w14:solidFill>
              <w14:schemeClr w14:val="tx1"/>
            </w14:solidFill>
          </w14:textFill>
        </w:rPr>
        <w:t>15.1 工程保修的原则</w:t>
      </w:r>
      <w:bookmarkEnd w:id="690"/>
    </w:p>
    <w:bookmarkEnd w:id="691"/>
    <w:p w14:paraId="417A84E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53BC72CD">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94" w:name="_Toc351203600"/>
      <w:bookmarkStart w:id="695" w:name="_Toc337558817"/>
      <w:r>
        <w:rPr>
          <w:rFonts w:hint="default" w:ascii="Times New Roman" w:hAnsi="Times New Roman" w:eastAsia="方正仿宋_GBK" w:cs="Times New Roman"/>
          <w:b w:val="0"/>
          <w:color w:val="000000" w:themeColor="text1"/>
          <w:sz w:val="24"/>
          <w:szCs w:val="24"/>
          <w14:textFill>
            <w14:solidFill>
              <w14:schemeClr w14:val="tx1"/>
            </w14:solidFill>
          </w14:textFill>
        </w:rPr>
        <w:t>15.2 缺陷责任期</w:t>
      </w:r>
      <w:bookmarkEnd w:id="692"/>
      <w:bookmarkEnd w:id="693"/>
      <w:bookmarkEnd w:id="694"/>
    </w:p>
    <w:bookmarkEnd w:id="695"/>
    <w:p w14:paraId="7C2164A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15.2.1 缺陷责任期从工程通过竣工验收之日起计算，合同当事人应在专用合同条</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款中</w:t>
      </w:r>
      <w:r>
        <w:rPr>
          <w:rFonts w:hint="default" w:ascii="Times New Roman" w:hAnsi="Times New Roman" w:eastAsia="方正仿宋_GBK" w:cs="Times New Roman"/>
          <w:color w:val="000000" w:themeColor="text1"/>
          <w:kern w:val="0"/>
          <w:sz w:val="24"/>
          <w:szCs w:val="24"/>
          <w14:textFill>
            <w14:solidFill>
              <w14:schemeClr w14:val="tx1"/>
            </w14:solidFill>
          </w14:textFill>
        </w:rPr>
        <w:t>约定缺陷责任期的具体期限，但该期限最长不超过24个月。</w:t>
      </w:r>
    </w:p>
    <w:p w14:paraId="61D6933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3C3877F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default" w:ascii="Times New Roman" w:hAnsi="Times New Roman" w:eastAsia="方正仿宋_GBK" w:cs="Times New Roman"/>
          <w:bCs/>
          <w:color w:val="000000" w:themeColor="text1"/>
          <w:sz w:val="24"/>
          <w:szCs w:val="24"/>
          <w14:textFill>
            <w14:solidFill>
              <w14:schemeClr w14:val="tx1"/>
            </w14:solidFill>
          </w14:textFill>
        </w:rPr>
        <w:t>包人延长缺陷责任期，</w:t>
      </w:r>
      <w:r>
        <w:rPr>
          <w:rFonts w:hint="default" w:ascii="Times New Roman" w:hAnsi="Times New Roman" w:eastAsia="方正仿宋_GBK" w:cs="Times New Roman"/>
          <w:color w:val="000000" w:themeColor="text1"/>
          <w:kern w:val="0"/>
          <w:sz w:val="24"/>
          <w:szCs w:val="24"/>
          <w14:textFill>
            <w14:solidFill>
              <w14:schemeClr w14:val="tx1"/>
            </w14:solidFill>
          </w14:textFill>
        </w:rPr>
        <w:t>并应在原缺陷责任期届满前发出延长通知</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w:t>
      </w:r>
      <w:r>
        <w:rPr>
          <w:rFonts w:hint="default" w:ascii="Times New Roman" w:hAnsi="Times New Roman" w:eastAsia="方正仿宋_GBK" w:cs="Times New Roman"/>
          <w:bCs/>
          <w:color w:val="000000" w:themeColor="text1"/>
          <w:sz w:val="24"/>
          <w:szCs w:val="24"/>
          <w14:textFill>
            <w14:solidFill>
              <w14:schemeClr w14:val="tx1"/>
            </w14:solidFill>
          </w14:textFill>
        </w:rPr>
        <w:t>但缺陷责任期</w:t>
      </w:r>
      <w:r>
        <w:rPr>
          <w:rFonts w:hint="default" w:ascii="Times New Roman" w:hAnsi="Times New Roman" w:eastAsia="方正仿宋_GBK" w:cs="Times New Roman"/>
          <w:bCs/>
          <w:color w:val="000000" w:themeColor="text1"/>
          <w:sz w:val="24"/>
          <w:szCs w:val="24"/>
          <w:lang w:eastAsia="zh-CN"/>
          <w14:textFill>
            <w14:solidFill>
              <w14:schemeClr w14:val="tx1"/>
            </w14:solidFill>
          </w14:textFill>
        </w:rPr>
        <w:t>（含延长部分）</w:t>
      </w:r>
      <w:r>
        <w:rPr>
          <w:rFonts w:hint="default" w:ascii="Times New Roman" w:hAnsi="Times New Roman" w:eastAsia="方正仿宋_GBK" w:cs="Times New Roman"/>
          <w:bCs/>
          <w:color w:val="000000" w:themeColor="text1"/>
          <w:sz w:val="24"/>
          <w:szCs w:val="24"/>
          <w14:textFill>
            <w14:solidFill>
              <w14:schemeClr w14:val="tx1"/>
            </w14:solidFill>
          </w14:textFill>
        </w:rPr>
        <w:t>最长</w:t>
      </w:r>
      <w:r>
        <w:rPr>
          <w:rFonts w:hint="default" w:ascii="Times New Roman" w:hAnsi="Times New Roman" w:eastAsia="方正仿宋_GBK" w:cs="Times New Roman"/>
          <w:color w:val="000000" w:themeColor="text1"/>
          <w:kern w:val="0"/>
          <w:sz w:val="24"/>
          <w:szCs w:val="24"/>
          <w14:textFill>
            <w14:solidFill>
              <w14:schemeClr w14:val="tx1"/>
            </w14:solidFill>
          </w14:textFill>
        </w:rPr>
        <w:t>不能超过24个月。</w:t>
      </w:r>
    </w:p>
    <w:p w14:paraId="5687742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由他人原因造成的缺陷，发包人负责组织维修，承包人不承担费用，且发包人不得从保证金中扣除费用。</w:t>
      </w:r>
    </w:p>
    <w:p w14:paraId="27DBD61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15.2.3 任何一项缺陷或损坏修复后，经检查证明其影响了工程或工程设备的使用性能，承包人应重新进行合同约定的试验和试运行，试验和试运行的全部费用应由责任方承担。</w:t>
      </w:r>
    </w:p>
    <w:p w14:paraId="0A9C70C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3878224E">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696" w:name="_Toc351203601"/>
      <w:bookmarkStart w:id="697" w:name="_Toc337558818"/>
      <w:bookmarkStart w:id="698" w:name="_Toc296346616"/>
      <w:bookmarkStart w:id="699" w:name="_Toc296503115"/>
      <w:r>
        <w:rPr>
          <w:rFonts w:hint="default" w:ascii="Times New Roman" w:hAnsi="Times New Roman" w:eastAsia="方正仿宋_GBK" w:cs="Times New Roman"/>
          <w:b w:val="0"/>
          <w:color w:val="000000" w:themeColor="text1"/>
          <w:sz w:val="24"/>
          <w:szCs w:val="24"/>
          <w14:textFill>
            <w14:solidFill>
              <w14:schemeClr w14:val="tx1"/>
            </w14:solidFill>
          </w14:textFill>
        </w:rPr>
        <w:t>15.3 质量保证金</w:t>
      </w:r>
      <w:bookmarkEnd w:id="696"/>
    </w:p>
    <w:bookmarkEnd w:id="697"/>
    <w:p w14:paraId="5C5E83F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经合同当事人协商一致扣留质量保证金的，应在专用合同条款中予以明确。</w:t>
      </w:r>
    </w:p>
    <w:p w14:paraId="12D6258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在工程项目竣工前，承包人已经提供履约担保的，发包人不得同时预留工程质量保证金。</w:t>
      </w:r>
    </w:p>
    <w:p w14:paraId="6749CB0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p>
    <w:p w14:paraId="0D2353F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15.3.1 承包人提供质量保证金的方式</w:t>
      </w:r>
    </w:p>
    <w:p w14:paraId="1DC7E93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承包人提供质量保证金有以下三种方式：</w:t>
      </w:r>
    </w:p>
    <w:p w14:paraId="0A9F4F9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（1）质量保证金保函； </w:t>
      </w:r>
    </w:p>
    <w:p w14:paraId="56C3F80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（2）相应比例的工程款；</w:t>
      </w:r>
    </w:p>
    <w:p w14:paraId="68B78F4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（3）双方约定的其他方式。</w:t>
      </w:r>
    </w:p>
    <w:p w14:paraId="5687351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除专用合同条款另有约定外，质量保证金原则上采用上述第（1）种方式。</w:t>
      </w:r>
    </w:p>
    <w:p w14:paraId="571F1C5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15.3.2 质量保证金的扣留</w:t>
      </w:r>
    </w:p>
    <w:p w14:paraId="0253165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质量保证金的扣留有以下三种方式：</w:t>
      </w:r>
    </w:p>
    <w:p w14:paraId="466FEF2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（1）在支付工程进度款时逐次扣留，在此情形下，质量保证金的计算基数不包括预付款的支付、扣回以及价格调整的金额；</w:t>
      </w:r>
    </w:p>
    <w:p w14:paraId="5BA9E90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（2）工</w:t>
      </w:r>
      <w:bookmarkStart w:id="700" w:name="#go6"/>
      <w:bookmarkEnd w:id="700"/>
      <w:r>
        <w:rPr>
          <w:rFonts w:hint="default" w:ascii="Times New Roman" w:hAnsi="Times New Roman" w:eastAsia="方正仿宋_GBK" w:cs="Times New Roman"/>
          <w:color w:val="000000" w:themeColor="text1"/>
          <w:kern w:val="0"/>
          <w:sz w:val="24"/>
          <w:szCs w:val="24"/>
          <w14:textFill>
            <w14:solidFill>
              <w14:schemeClr w14:val="tx1"/>
            </w14:solidFill>
          </w14:textFill>
        </w:rPr>
        <w:t>程竣工结算时一次性扣留质量保证金；</w:t>
      </w:r>
    </w:p>
    <w:p w14:paraId="4FBD214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（3）双方约定的其他扣留方式。</w:t>
      </w:r>
    </w:p>
    <w:p w14:paraId="566AB91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除专用合同条款另有约定外，质量保证金的扣留原则上采用上述第（1）种方式。</w:t>
      </w:r>
    </w:p>
    <w:p w14:paraId="02ED1ED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w:t>
      </w:r>
      <w:bookmarkStart w:id="701" w:name="#go4"/>
      <w:bookmarkEnd w:id="701"/>
      <w:r>
        <w:rPr>
          <w:rFonts w:hint="default" w:ascii="Times New Roman" w:hAnsi="Times New Roman" w:eastAsia="方正仿宋_GBK" w:cs="Times New Roman"/>
          <w:color w:val="000000" w:themeColor="text1"/>
          <w:kern w:val="0"/>
          <w:sz w:val="24"/>
          <w:szCs w:val="24"/>
          <w14:textFill>
            <w14:solidFill>
              <w14:schemeClr w14:val="tx1"/>
            </w14:solidFill>
          </w14:textFill>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304AE5D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发包人在退还质量保证金的同时按照中国人民银行发布的同期同类贷款基准利率支付利息。</w:t>
      </w:r>
    </w:p>
    <w:p w14:paraId="7B00414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15.3.3 </w:t>
      </w:r>
      <w:r>
        <w:rPr>
          <w:rFonts w:hint="default" w:ascii="Times New Roman" w:hAnsi="Times New Roman" w:eastAsia="方正仿宋_GBK" w:cs="Times New Roman"/>
          <w:color w:val="000000" w:themeColor="text1"/>
          <w:sz w:val="24"/>
          <w:szCs w:val="24"/>
          <w14:textFill>
            <w14:solidFill>
              <w14:schemeClr w14:val="tx1"/>
            </w14:solidFill>
          </w14:textFill>
        </w:rPr>
        <w:t>质量保证金</w:t>
      </w:r>
      <w:r>
        <w:rPr>
          <w:rFonts w:hint="default" w:ascii="Times New Roman" w:hAnsi="Times New Roman" w:eastAsia="方正仿宋_GBK" w:cs="Times New Roman"/>
          <w:color w:val="000000" w:themeColor="text1"/>
          <w:kern w:val="0"/>
          <w:sz w:val="24"/>
          <w:szCs w:val="24"/>
          <w14:textFill>
            <w14:solidFill>
              <w14:schemeClr w14:val="tx1"/>
            </w14:solidFill>
          </w14:textFill>
        </w:rPr>
        <w:t>的退还</w:t>
      </w:r>
    </w:p>
    <w:p w14:paraId="5021931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缺陷责任期内，承包人认真履行合同约定的责任，到期后，承包人可向发包人申请返还保证金。</w:t>
      </w:r>
    </w:p>
    <w:p w14:paraId="4C9A508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6BBE451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发包人和承包人对保证金预留、返还以及工程维修质量、费用有争议的，按本合同第20条约定的争议和纠纷解决程序处理。</w:t>
      </w:r>
    </w:p>
    <w:p w14:paraId="26C7F8F7">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02" w:name="_Toc351203602"/>
      <w:bookmarkStart w:id="703" w:name="_Toc337558819"/>
      <w:r>
        <w:rPr>
          <w:rFonts w:hint="default" w:ascii="Times New Roman" w:hAnsi="Times New Roman" w:eastAsia="方正仿宋_GBK" w:cs="Times New Roman"/>
          <w:b w:val="0"/>
          <w:color w:val="000000" w:themeColor="text1"/>
          <w:sz w:val="24"/>
          <w:szCs w:val="24"/>
          <w14:textFill>
            <w14:solidFill>
              <w14:schemeClr w14:val="tx1"/>
            </w14:solidFill>
          </w14:textFill>
        </w:rPr>
        <w:t>15.4 保修</w:t>
      </w:r>
      <w:bookmarkEnd w:id="702"/>
    </w:p>
    <w:bookmarkEnd w:id="698"/>
    <w:bookmarkEnd w:id="699"/>
    <w:bookmarkEnd w:id="703"/>
    <w:p w14:paraId="42BE4A8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15.4.1保修责任</w:t>
      </w:r>
    </w:p>
    <w:p w14:paraId="662572F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5D37F3A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发包人未经竣工验收擅自使用工程的，保修期自</w:t>
      </w:r>
      <w:r>
        <w:rPr>
          <w:rFonts w:hint="default" w:ascii="Times New Roman" w:hAnsi="Times New Roman" w:eastAsia="方正仿宋_GBK" w:cs="Times New Roman"/>
          <w:color w:val="000000" w:themeColor="text1"/>
          <w:kern w:val="0"/>
          <w:sz w:val="24"/>
          <w:szCs w:val="24"/>
          <w14:textFill>
            <w14:solidFill>
              <w14:schemeClr w14:val="tx1"/>
            </w14:solidFill>
          </w14:textFill>
        </w:rPr>
        <w:t>转移占有之日起算</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BA9028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15.4.2 修复费用</w:t>
      </w:r>
    </w:p>
    <w:p w14:paraId="0B1C80D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保修期内，修复的费用按照以下约定处理：</w:t>
      </w:r>
    </w:p>
    <w:p w14:paraId="2AB9ECD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（1）保修期内，因承包人原因造成工程的缺陷、损坏，承包人应负责修复，并承担修复的费用以及因工程的缺陷、损坏造成的人身伤害和财产损失；</w:t>
      </w:r>
    </w:p>
    <w:p w14:paraId="6E59917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（2）保修期内，因发包人使用不当造成工程的缺陷、损坏，可以委托承包人修复，但发包人应承担修复的费用，并支付承包人合理利润；</w:t>
      </w:r>
    </w:p>
    <w:p w14:paraId="7DF39BA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（3）因其他原因造成工程的缺陷、损坏，可以委托承包人修复，发包人应承担修复的费用，并支付承包人合理的利润，因工程的缺陷、损坏造成的人身伤害和财产损失由责任方承担。</w:t>
      </w:r>
    </w:p>
    <w:p w14:paraId="632FE77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15.4.3 修复通知</w:t>
      </w:r>
    </w:p>
    <w:p w14:paraId="69C6163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0E7B0CC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15.4.4 未能修复</w:t>
      </w:r>
    </w:p>
    <w:p w14:paraId="2D124D9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2065FA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15.4.5 承包人出入权</w:t>
      </w:r>
    </w:p>
    <w:p w14:paraId="26A17B3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5F14CD16">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704" w:name="_Toc351203603"/>
      <w:bookmarkStart w:id="705" w:name="_Toc337558820"/>
      <w:r>
        <w:rPr>
          <w:rFonts w:hint="default" w:ascii="Times New Roman" w:hAnsi="Times New Roman" w:eastAsia="方正小标宋_GBK" w:cs="Times New Roman"/>
          <w:b w:val="0"/>
          <w:color w:val="000000" w:themeColor="text1"/>
          <w:sz w:val="24"/>
          <w:szCs w:val="24"/>
          <w14:textFill>
            <w14:solidFill>
              <w14:schemeClr w14:val="tx1"/>
            </w14:solidFill>
          </w14:textFill>
        </w:rPr>
        <w:t>16. 违约</w:t>
      </w:r>
      <w:bookmarkEnd w:id="704"/>
    </w:p>
    <w:bookmarkEnd w:id="705"/>
    <w:p w14:paraId="7F7D235E">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06" w:name="_Toc296346630"/>
      <w:bookmarkStart w:id="707" w:name="_Toc296503129"/>
      <w:bookmarkStart w:id="708" w:name="_Toc351203604"/>
      <w:bookmarkStart w:id="709" w:name="_Toc337558821"/>
      <w:r>
        <w:rPr>
          <w:rFonts w:hint="default" w:ascii="Times New Roman" w:hAnsi="Times New Roman" w:eastAsia="方正仿宋_GBK" w:cs="Times New Roman"/>
          <w:b w:val="0"/>
          <w:color w:val="000000" w:themeColor="text1"/>
          <w:sz w:val="24"/>
          <w:szCs w:val="24"/>
          <w14:textFill>
            <w14:solidFill>
              <w14:schemeClr w14:val="tx1"/>
            </w14:solidFill>
          </w14:textFill>
        </w:rPr>
        <w:t>16.1 发</w:t>
      </w:r>
      <w:bookmarkEnd w:id="706"/>
      <w:bookmarkEnd w:id="707"/>
      <w:r>
        <w:rPr>
          <w:rFonts w:hint="default" w:ascii="Times New Roman" w:hAnsi="Times New Roman" w:eastAsia="方正仿宋_GBK" w:cs="Times New Roman"/>
          <w:b w:val="0"/>
          <w:color w:val="000000" w:themeColor="text1"/>
          <w:sz w:val="24"/>
          <w:szCs w:val="24"/>
          <w14:textFill>
            <w14:solidFill>
              <w14:schemeClr w14:val="tx1"/>
            </w14:solidFill>
          </w14:textFill>
        </w:rPr>
        <w:t>包人违约</w:t>
      </w:r>
      <w:bookmarkEnd w:id="708"/>
    </w:p>
    <w:bookmarkEnd w:id="709"/>
    <w:p w14:paraId="589B008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16.1.1 发包人违约的情形</w:t>
      </w:r>
    </w:p>
    <w:p w14:paraId="03EA2E6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在合同履行过程中发生的下列情形，属于发包人违约：</w:t>
      </w:r>
    </w:p>
    <w:p w14:paraId="70396F0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（1）因发包人原因未能在计划开工日期前7天内下达开工通知的；</w:t>
      </w:r>
    </w:p>
    <w:p w14:paraId="0F7D2D3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（2）因发包人原因未能按合同约定支付合同价款的；</w:t>
      </w:r>
    </w:p>
    <w:p w14:paraId="637B48D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（3）发包人违反第10.1款〔变更的范围〕第（2）项约定，自行实施被取消的工作或转由他人实施的；</w:t>
      </w:r>
    </w:p>
    <w:p w14:paraId="74BA484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（4）发包人提供的材料、工程设备的规格、数量或质量不符合合同约定，或因发包人原因导致交货日期延误或交货地点变更等情况的；</w:t>
      </w:r>
    </w:p>
    <w:p w14:paraId="1436676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（5）因发包人违反合同约定造成暂停施工的；</w:t>
      </w:r>
    </w:p>
    <w:p w14:paraId="5A3217D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（6）发包人无正当理由没有在约定期限内发出复工指示，导致承包人无法复工的；</w:t>
      </w:r>
    </w:p>
    <w:p w14:paraId="5A59C63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（7）发包人明确表示或者以其行为表明不履行合同主要义务的；</w:t>
      </w:r>
    </w:p>
    <w:p w14:paraId="5C77880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（8）发包人未能按照合同约定履行其他义务的。</w:t>
      </w:r>
    </w:p>
    <w:p w14:paraId="3D2063A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243A65C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16.1.2 发包人违约的责任</w:t>
      </w:r>
    </w:p>
    <w:p w14:paraId="10E2458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发包人应承担因其违约给承包人增加的费用和（或）延误的工期，并支付承包人合理的利润。此外，合同当事人可在专用合同条款中另行约定发包人违约责任的承担方式和计算方法。</w:t>
      </w:r>
    </w:p>
    <w:p w14:paraId="3A1E310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16.1.3 因发包人违约解除合同</w:t>
      </w:r>
    </w:p>
    <w:p w14:paraId="088081E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5EE1245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16.1.4 因发包人违约解除合同后的付款</w:t>
      </w:r>
    </w:p>
    <w:p w14:paraId="1DF858B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承包人按照本款约定解除合同的，发包人应在解除合同后28天内支付下列款项，并解除履约担保：</w:t>
      </w:r>
    </w:p>
    <w:p w14:paraId="258CE13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（1）合同解除前所完成工作的价款；</w:t>
      </w:r>
    </w:p>
    <w:p w14:paraId="0E394B6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（2）承包人为工程施工订购并已付款的材料、工程设备和其他物品的价款；</w:t>
      </w:r>
    </w:p>
    <w:p w14:paraId="6E1FEB8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（3）承包人撤离施工现场以及遣散承包人人员的款项；</w:t>
      </w:r>
    </w:p>
    <w:p w14:paraId="182E146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（4）按照合同约定在合同解除前应支付的违约金；</w:t>
      </w:r>
    </w:p>
    <w:p w14:paraId="6A70ACC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（5）按照合同约定应当支付给承包人的其他款项；</w:t>
      </w:r>
    </w:p>
    <w:p w14:paraId="09F36EA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（6）按照合同约定应退还的质量保证金；</w:t>
      </w:r>
    </w:p>
    <w:p w14:paraId="5C20041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（7）因解除合同给承包人造成的损失。</w:t>
      </w:r>
    </w:p>
    <w:p w14:paraId="72E4E9F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合同当事人未能就解除合同后的结清达成一致的，按照第20条〔争议解决〕的约定处理。</w:t>
      </w:r>
    </w:p>
    <w:p w14:paraId="13A7752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27336CF6">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10" w:name="_Toc351203605"/>
      <w:bookmarkStart w:id="711" w:name="_Toc337558822"/>
      <w:bookmarkStart w:id="712" w:name="_Toc296503131"/>
      <w:bookmarkStart w:id="713" w:name="_Toc296346632"/>
      <w:r>
        <w:rPr>
          <w:rFonts w:hint="default" w:ascii="Times New Roman" w:hAnsi="Times New Roman" w:eastAsia="方正仿宋_GBK" w:cs="Times New Roman"/>
          <w:b w:val="0"/>
          <w:color w:val="000000" w:themeColor="text1"/>
          <w:sz w:val="24"/>
          <w:szCs w:val="24"/>
          <w14:textFill>
            <w14:solidFill>
              <w14:schemeClr w14:val="tx1"/>
            </w14:solidFill>
          </w14:textFill>
        </w:rPr>
        <w:t>16.2 承包人违约</w:t>
      </w:r>
      <w:bookmarkEnd w:id="710"/>
    </w:p>
    <w:bookmarkEnd w:id="711"/>
    <w:bookmarkEnd w:id="712"/>
    <w:bookmarkEnd w:id="713"/>
    <w:p w14:paraId="08F7BC8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16.2.1 承包人违约的情形</w:t>
      </w:r>
    </w:p>
    <w:p w14:paraId="4FA52A9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在合同履行过程中发生的下列情形，属于承包人违约：</w:t>
      </w:r>
    </w:p>
    <w:p w14:paraId="5856869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（1）承包人违反合同约定进行转包或违法分包的；</w:t>
      </w:r>
    </w:p>
    <w:p w14:paraId="28C2AA3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（2）承包人违反合同约定采购和使用不合格的材料和工程设备的；</w:t>
      </w:r>
    </w:p>
    <w:p w14:paraId="374CAD9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（3）因承包人原因导致工程质量不符合合同要求的； </w:t>
      </w:r>
    </w:p>
    <w:p w14:paraId="2F1FB8D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（4）承包人违反第8.9款〔材料与设备专用要求〕的约定，未经批准，私自将已按照合同约定进入施工现场的材料或设备撤离施工现场的；</w:t>
      </w:r>
    </w:p>
    <w:p w14:paraId="686EFE8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（5）承包人未能按施工进度计划及时完成合同约定的工作，造成工期延误的；</w:t>
      </w:r>
    </w:p>
    <w:p w14:paraId="798E96A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（6）承包人在缺陷责任期及保修期内，未能在合理期</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限内</w:t>
      </w:r>
      <w:r>
        <w:rPr>
          <w:rFonts w:hint="default" w:ascii="Times New Roman" w:hAnsi="Times New Roman" w:eastAsia="方正仿宋_GBK" w:cs="Times New Roman"/>
          <w:color w:val="000000" w:themeColor="text1"/>
          <w:kern w:val="0"/>
          <w:sz w:val="24"/>
          <w:szCs w:val="24"/>
          <w14:textFill>
            <w14:solidFill>
              <w14:schemeClr w14:val="tx1"/>
            </w14:solidFill>
          </w14:textFill>
        </w:rPr>
        <w:t>对工程缺陷进行修复，或拒绝按发包人要求进行修复的；</w:t>
      </w:r>
    </w:p>
    <w:p w14:paraId="06A3E67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（7）承包人明确表示或者以其行为表明不履行合同主要义务的；</w:t>
      </w:r>
    </w:p>
    <w:p w14:paraId="1404E7B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（8）承包人未能按照合同约定履行其他义务的。</w:t>
      </w:r>
    </w:p>
    <w:p w14:paraId="67C10CC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承包人发生除本项第（7）目约定以外的其他违约情况时，监理人可向承包人发出整改通知，要求其在指定的期限内改正。</w:t>
      </w:r>
    </w:p>
    <w:p w14:paraId="61AF0CD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16.2.2 承包人违约的责任</w:t>
      </w:r>
    </w:p>
    <w:p w14:paraId="022D30D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承包人应承担因其违约行为而增加的费用和（或）延误的工期。此外，合同当事人可在专用合同条款中另行约定承包人违约责任的承担方式和计算方法。</w:t>
      </w:r>
    </w:p>
    <w:p w14:paraId="445854E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16.2.3 因承包人违约解除合同</w:t>
      </w:r>
    </w:p>
    <w:p w14:paraId="0089342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款中</w:t>
      </w:r>
      <w:r>
        <w:rPr>
          <w:rFonts w:hint="default" w:ascii="Times New Roman" w:hAnsi="Times New Roman" w:eastAsia="方正仿宋_GBK" w:cs="Times New Roman"/>
          <w:color w:val="000000" w:themeColor="text1"/>
          <w:kern w:val="0"/>
          <w:sz w:val="24"/>
          <w:szCs w:val="24"/>
          <w14:textFill>
            <w14:solidFill>
              <w14:schemeClr w14:val="tx1"/>
            </w14:solidFill>
          </w14:textFill>
        </w:rPr>
        <w:t>约定相应费用的承担方式。发包人继续使用的行为不免除或减轻承包人应承担的违约责任。</w:t>
      </w:r>
    </w:p>
    <w:p w14:paraId="49B6CDE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16.2.4因承包人违约解除合同后的处理</w:t>
      </w:r>
    </w:p>
    <w:p w14:paraId="7DECB7B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因承包人原因导致合同解除的，则合同当事人应在合同解除后28天内完成估价、付款和清算，并按以下约定执行：</w:t>
      </w:r>
    </w:p>
    <w:p w14:paraId="51C65BA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（1）合同解除后，按第4.4款〔商定或确定〕商定或确定承包人实际完成工作对应的合同价款，以及承包人已提供的材料、工程设备、施工设备和临时工程等的价值；</w:t>
      </w:r>
    </w:p>
    <w:p w14:paraId="047D7B6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（2）合同解除后，承包人应支付的违约金；</w:t>
      </w:r>
    </w:p>
    <w:p w14:paraId="5853341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（3）合同解除后，因解除合同给发包人造成的损失；</w:t>
      </w:r>
    </w:p>
    <w:p w14:paraId="2A8E81E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（4）合同解除后，承包人应按照发包人要求和监理人的指示完成现场的清理和撤离；</w:t>
      </w:r>
    </w:p>
    <w:p w14:paraId="4DE8CC4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（5）发包人和承包人应在合同解除后进行清算，出具最终结清付款证书，结清全部款项。</w:t>
      </w:r>
    </w:p>
    <w:p w14:paraId="5BB995A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因承包人违约解除合同的，发包人有权暂停对承包人的付款，查清各项付款和已扣款项。发包人和承包人未能就合同解除后的清算和款项支付达成一致的，按照第20条〔争议解决〕的约定处理。</w:t>
      </w:r>
    </w:p>
    <w:p w14:paraId="66864F2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16.2.5采购合同权益转让</w:t>
      </w:r>
    </w:p>
    <w:p w14:paraId="0F7FC51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2D317903">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14" w:name="_Toc351203606"/>
      <w:r>
        <w:rPr>
          <w:rFonts w:hint="default" w:ascii="Times New Roman" w:hAnsi="Times New Roman" w:eastAsia="方正仿宋_GBK" w:cs="Times New Roman"/>
          <w:b w:val="0"/>
          <w:color w:val="000000" w:themeColor="text1"/>
          <w:sz w:val="24"/>
          <w:szCs w:val="24"/>
          <w14:textFill>
            <w14:solidFill>
              <w14:schemeClr w14:val="tx1"/>
            </w14:solidFill>
          </w14:textFill>
        </w:rPr>
        <w:t>16.3 第三人造成的违约</w:t>
      </w:r>
      <w:bookmarkEnd w:id="714"/>
    </w:p>
    <w:p w14:paraId="759777A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15B04B49">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715" w:name="_Toc351203607"/>
      <w:bookmarkStart w:id="716" w:name="_Toc296346617"/>
      <w:bookmarkStart w:id="717" w:name="_Toc337558823"/>
      <w:bookmarkStart w:id="718" w:name="_Toc296503116"/>
      <w:r>
        <w:rPr>
          <w:rFonts w:hint="default" w:ascii="Times New Roman" w:hAnsi="Times New Roman" w:eastAsia="方正小标宋_GBK" w:cs="Times New Roman"/>
          <w:b w:val="0"/>
          <w:color w:val="000000" w:themeColor="text1"/>
          <w:sz w:val="24"/>
          <w:szCs w:val="24"/>
          <w14:textFill>
            <w14:solidFill>
              <w14:schemeClr w14:val="tx1"/>
            </w14:solidFill>
          </w14:textFill>
        </w:rPr>
        <w:t>17. 不可抗力</w:t>
      </w:r>
      <w:bookmarkEnd w:id="715"/>
      <w:r>
        <w:rPr>
          <w:rFonts w:hint="default" w:ascii="Times New Roman" w:hAnsi="Times New Roman" w:eastAsia="方正小标宋_GBK" w:cs="Times New Roman"/>
          <w:b w:val="0"/>
          <w:color w:val="000000" w:themeColor="text1"/>
          <w:sz w:val="24"/>
          <w:szCs w:val="24"/>
          <w14:textFill>
            <w14:solidFill>
              <w14:schemeClr w14:val="tx1"/>
            </w14:solidFill>
          </w14:textFill>
        </w:rPr>
        <w:t xml:space="preserve"> </w:t>
      </w:r>
      <w:bookmarkEnd w:id="716"/>
      <w:bookmarkEnd w:id="717"/>
      <w:bookmarkEnd w:id="718"/>
    </w:p>
    <w:p w14:paraId="16756DDE">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19" w:name="_Toc351203608"/>
      <w:bookmarkStart w:id="720" w:name="_Toc296503117"/>
      <w:bookmarkStart w:id="721" w:name="_Toc296346618"/>
      <w:bookmarkStart w:id="722" w:name="_Toc337558824"/>
      <w:r>
        <w:rPr>
          <w:rFonts w:hint="default" w:ascii="Times New Roman" w:hAnsi="Times New Roman" w:eastAsia="方正仿宋_GBK" w:cs="Times New Roman"/>
          <w:b w:val="0"/>
          <w:color w:val="000000" w:themeColor="text1"/>
          <w:sz w:val="24"/>
          <w:szCs w:val="24"/>
          <w14:textFill>
            <w14:solidFill>
              <w14:schemeClr w14:val="tx1"/>
            </w14:solidFill>
          </w14:textFill>
        </w:rPr>
        <w:t>17.1 不可抗力的确认</w:t>
      </w:r>
      <w:bookmarkEnd w:id="719"/>
    </w:p>
    <w:bookmarkEnd w:id="720"/>
    <w:bookmarkEnd w:id="721"/>
    <w:bookmarkEnd w:id="722"/>
    <w:p w14:paraId="1470A49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不可抗力是指合同当事人在签订合同时不可预见，在合同履行过程中不可避免且不能克服的自然灾害和社会性突发事件，如地震、海啸、瘟疫、骚乱、戒严、暴动、战争和专用合同条款中约定的其他情形。</w:t>
      </w:r>
    </w:p>
    <w:p w14:paraId="5EF1046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05D945AA">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23" w:name="_Toc351203609"/>
      <w:bookmarkStart w:id="724" w:name="_Toc296503118"/>
      <w:bookmarkStart w:id="725" w:name="_Toc337558825"/>
      <w:bookmarkStart w:id="726" w:name="_Toc296346619"/>
      <w:r>
        <w:rPr>
          <w:rFonts w:hint="default" w:ascii="Times New Roman" w:hAnsi="Times New Roman" w:eastAsia="方正仿宋_GBK" w:cs="Times New Roman"/>
          <w:b w:val="0"/>
          <w:color w:val="000000" w:themeColor="text1"/>
          <w:sz w:val="24"/>
          <w:szCs w:val="24"/>
          <w14:textFill>
            <w14:solidFill>
              <w14:schemeClr w14:val="tx1"/>
            </w14:solidFill>
          </w14:textFill>
        </w:rPr>
        <w:t>17.2 不可抗力的通知</w:t>
      </w:r>
      <w:bookmarkEnd w:id="723"/>
    </w:p>
    <w:bookmarkEnd w:id="724"/>
    <w:bookmarkEnd w:id="725"/>
    <w:bookmarkEnd w:id="726"/>
    <w:p w14:paraId="41C2901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合同一方当事人遇到不可抗力事件，使其履行合同义务受到阻碍时，应立即通知合同另一方当事人和监理人，书面说明不可抗力和受阻碍的详细情况，并提供必要的证明。</w:t>
      </w:r>
    </w:p>
    <w:p w14:paraId="118ABC0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不可抗力持续发生的，合同一方当事人应及时向合同另一方当事人和监理人提交中间报告，说明不可抗力和履行合同受阻的情况，并于不可抗力事件结束后28天内提交最终报告及有关资料。</w:t>
      </w:r>
    </w:p>
    <w:p w14:paraId="7923AA35">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27" w:name="_Toc351203610"/>
      <w:bookmarkStart w:id="728" w:name="_Toc296346620"/>
      <w:bookmarkStart w:id="729" w:name="_Toc296503119"/>
      <w:bookmarkStart w:id="730" w:name="_Toc337558826"/>
      <w:r>
        <w:rPr>
          <w:rFonts w:hint="default" w:ascii="Times New Roman" w:hAnsi="Times New Roman" w:eastAsia="方正仿宋_GBK" w:cs="Times New Roman"/>
          <w:b w:val="0"/>
          <w:color w:val="000000" w:themeColor="text1"/>
          <w:sz w:val="24"/>
          <w:szCs w:val="24"/>
          <w14:textFill>
            <w14:solidFill>
              <w14:schemeClr w14:val="tx1"/>
            </w14:solidFill>
          </w14:textFill>
        </w:rPr>
        <w:t>17.3 不可抗力后果的承担</w:t>
      </w:r>
      <w:bookmarkEnd w:id="727"/>
    </w:p>
    <w:bookmarkEnd w:id="728"/>
    <w:bookmarkEnd w:id="729"/>
    <w:bookmarkEnd w:id="730"/>
    <w:p w14:paraId="7F27C90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17.3.1 不可抗力引起的后果及造成的损失由合同当事人按照法律规定及合同约定各自承担。不可抗力发生前已完成的工程应当按照合同约定进行计量支付。</w:t>
      </w:r>
    </w:p>
    <w:p w14:paraId="75F4A81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17.3.2 不可抗力导致的人员伤亡、财产损失、费用增加和（或）工期延误等后果，由合同当事人按以下原则承担：</w:t>
      </w:r>
    </w:p>
    <w:p w14:paraId="1B29386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（1）永久工程、已运至施工现场的材料和工程设备的损坏，以及因工程损坏造成的第三人人员伤亡和财产损失由发包人承担；</w:t>
      </w:r>
    </w:p>
    <w:p w14:paraId="647B741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（2）承包人施工设备的损坏由承包人承担；</w:t>
      </w:r>
    </w:p>
    <w:p w14:paraId="1647F06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（3）发包人和承包人承担各自人员伤亡和财产的损失；</w:t>
      </w:r>
    </w:p>
    <w:p w14:paraId="448A39C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（4）因不可抗力影响承包人履行合同约定的义务，已经引起或将引起工期延误的，应当顺延工期，由此导致承包人停工的费用损失由发包人和承包人合理分担，停工期间必须支付的工人工资由发包人承担；</w:t>
      </w:r>
    </w:p>
    <w:p w14:paraId="4631281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（5）因不可抗力引起或将引起工期延误，发包人要求赶工的，由此增加的赶工费用由发包人承担；</w:t>
      </w:r>
    </w:p>
    <w:p w14:paraId="2296782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（6）承包人在停工期间按照发包人要求照管、清理和修复工程的费用由发包人承担。</w:t>
      </w:r>
    </w:p>
    <w:p w14:paraId="06A036E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不可抗力发生后，合同当事人均应采取措施尽量避免和减少损失的扩大，任何一方当事人没有采取有效措施导致损失扩大的，应对扩大的损失承担责任。</w:t>
      </w:r>
    </w:p>
    <w:p w14:paraId="6CE62AE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因合同一方迟延履行合同义务，在迟延履行期间遭遇不可抗力的，不免除其违约责任。</w:t>
      </w:r>
    </w:p>
    <w:p w14:paraId="64E27497">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31" w:name="_Toc351203611"/>
      <w:bookmarkStart w:id="732" w:name="_Toc337558827"/>
      <w:r>
        <w:rPr>
          <w:rFonts w:hint="default" w:ascii="Times New Roman" w:hAnsi="Times New Roman" w:eastAsia="方正仿宋_GBK" w:cs="Times New Roman"/>
          <w:b w:val="0"/>
          <w:color w:val="000000" w:themeColor="text1"/>
          <w:sz w:val="24"/>
          <w:szCs w:val="24"/>
          <w14:textFill>
            <w14:solidFill>
              <w14:schemeClr w14:val="tx1"/>
            </w14:solidFill>
          </w14:textFill>
        </w:rPr>
        <w:t>17.4 因不可抗力解除合同</w:t>
      </w:r>
      <w:bookmarkEnd w:id="731"/>
    </w:p>
    <w:bookmarkEnd w:id="732"/>
    <w:p w14:paraId="317429A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因不可抗力导致合同无法履行连续超过84天或累计超过140天的，发包人和承包人均有权解除合同。合同解除后，由双方当事人按照第4.4款〔商定或确定〕商定或确定发包人应支付的款项，该款项包括：</w:t>
      </w:r>
    </w:p>
    <w:p w14:paraId="5A6643E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（1）合同解除前承包人已完成工作的价款；</w:t>
      </w:r>
    </w:p>
    <w:p w14:paraId="73F052D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（2）承包人为工程订购的并已交付给承包人，或承包人有责任接受交付的材料、工程设备和其他物品的价款；</w:t>
      </w:r>
    </w:p>
    <w:p w14:paraId="041E956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（3）发包人要求承包人退货或解除订货合同而产生的费用，或因不能退货或解除合同而产生的损失；</w:t>
      </w:r>
    </w:p>
    <w:p w14:paraId="7C285B8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（4）承包人撤离施工现场以及遣散承包人人员的费用；</w:t>
      </w:r>
    </w:p>
    <w:p w14:paraId="12D0CAF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（5）按照合同约定在合同解除前应支付给承包人的其他款项；</w:t>
      </w:r>
    </w:p>
    <w:p w14:paraId="54C6F8F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（6）扣减承包人按照合同约定应向发包人支付的款项；</w:t>
      </w:r>
    </w:p>
    <w:p w14:paraId="10CCA21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（7）双方商定或确定的其他款项。</w:t>
      </w:r>
    </w:p>
    <w:p w14:paraId="2FD0D36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除专用合同条款另有约定外，合同解除后，发包人应在商定或确定上述款项后28天内完成上述款项的支付。</w:t>
      </w:r>
    </w:p>
    <w:p w14:paraId="1B01016D">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733" w:name="_Toc351203612"/>
      <w:bookmarkStart w:id="734" w:name="_Toc296346621"/>
      <w:bookmarkStart w:id="735" w:name="_Toc337558828"/>
      <w:bookmarkStart w:id="736" w:name="_Toc296503120"/>
      <w:r>
        <w:rPr>
          <w:rFonts w:hint="default" w:ascii="Times New Roman" w:hAnsi="Times New Roman" w:eastAsia="方正小标宋_GBK" w:cs="Times New Roman"/>
          <w:b w:val="0"/>
          <w:color w:val="000000" w:themeColor="text1"/>
          <w:sz w:val="24"/>
          <w:szCs w:val="24"/>
          <w14:textFill>
            <w14:solidFill>
              <w14:schemeClr w14:val="tx1"/>
            </w14:solidFill>
          </w14:textFill>
        </w:rPr>
        <w:t>18. 保险</w:t>
      </w:r>
      <w:bookmarkEnd w:id="733"/>
    </w:p>
    <w:bookmarkEnd w:id="734"/>
    <w:bookmarkEnd w:id="735"/>
    <w:bookmarkEnd w:id="736"/>
    <w:p w14:paraId="010C1E0D">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37" w:name="_Toc351203613"/>
      <w:bookmarkStart w:id="738" w:name="_Toc296346622"/>
      <w:bookmarkStart w:id="739" w:name="_Toc296503121"/>
      <w:bookmarkStart w:id="740" w:name="_Toc337558829"/>
      <w:r>
        <w:rPr>
          <w:rFonts w:hint="default" w:ascii="Times New Roman" w:hAnsi="Times New Roman" w:eastAsia="方正仿宋_GBK" w:cs="Times New Roman"/>
          <w:b w:val="0"/>
          <w:color w:val="000000" w:themeColor="text1"/>
          <w:sz w:val="24"/>
          <w:szCs w:val="24"/>
          <w14:textFill>
            <w14:solidFill>
              <w14:schemeClr w14:val="tx1"/>
            </w14:solidFill>
          </w14:textFill>
        </w:rPr>
        <w:t>18.1 工程保险</w:t>
      </w:r>
      <w:bookmarkEnd w:id="737"/>
    </w:p>
    <w:bookmarkEnd w:id="738"/>
    <w:bookmarkEnd w:id="739"/>
    <w:bookmarkEnd w:id="740"/>
    <w:p w14:paraId="3F88ADC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除专用合同条款另有约定外，发包人应投保建筑工程一切险或安装工程一切险；发包人委托承包人投保的，因投保产生的保险费和其他相关费用由发包人承担。</w:t>
      </w:r>
    </w:p>
    <w:p w14:paraId="6FF26F39">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41" w:name="_Toc351203614"/>
      <w:bookmarkStart w:id="742" w:name="_Toc296503122"/>
      <w:bookmarkStart w:id="743" w:name="_Toc296346623"/>
      <w:bookmarkStart w:id="744" w:name="_Toc337558830"/>
      <w:r>
        <w:rPr>
          <w:rFonts w:hint="default" w:ascii="Times New Roman" w:hAnsi="Times New Roman" w:eastAsia="方正仿宋_GBK" w:cs="Times New Roman"/>
          <w:b w:val="0"/>
          <w:color w:val="000000" w:themeColor="text1"/>
          <w:sz w:val="24"/>
          <w:szCs w:val="24"/>
          <w14:textFill>
            <w14:solidFill>
              <w14:schemeClr w14:val="tx1"/>
            </w14:solidFill>
          </w14:textFill>
        </w:rPr>
        <w:t>18.2 工伤保险</w:t>
      </w:r>
      <w:bookmarkEnd w:id="741"/>
    </w:p>
    <w:bookmarkEnd w:id="742"/>
    <w:bookmarkEnd w:id="743"/>
    <w:bookmarkEnd w:id="744"/>
    <w:p w14:paraId="4E60088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18.2.1 发包人应依照法律规定参加工伤保险，并为在施工现场的全部员工办理工伤保险，缴纳工伤保险费，并要求监理人及由发包人为履行合同聘请的第三方依法参加工伤保险。</w:t>
      </w:r>
    </w:p>
    <w:p w14:paraId="648BF92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18.2.2 承包人应依照法律规定参加工伤保险，并为其履行合同的全部员工办理工伤保险</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，并</w:t>
      </w:r>
      <w:r>
        <w:rPr>
          <w:rFonts w:hint="default" w:ascii="Times New Roman" w:hAnsi="Times New Roman" w:eastAsia="方正仿宋_GBK" w:cs="Times New Roman"/>
          <w:color w:val="000000" w:themeColor="text1"/>
          <w:kern w:val="0"/>
          <w:sz w:val="24"/>
          <w:szCs w:val="24"/>
          <w14:textFill>
            <w14:solidFill>
              <w14:schemeClr w14:val="tx1"/>
            </w14:solidFill>
          </w14:textFill>
        </w:rPr>
        <w:t>缴纳工伤保险费，并要求分包人及由承包人为履行合同聘请的第三方依法参加工伤保险。</w:t>
      </w:r>
    </w:p>
    <w:p w14:paraId="79327287">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45" w:name="_Toc351203615"/>
      <w:bookmarkStart w:id="746" w:name="_Toc296346626"/>
      <w:bookmarkStart w:id="747" w:name="_Toc337558831"/>
      <w:bookmarkStart w:id="748" w:name="_Toc296503125"/>
      <w:r>
        <w:rPr>
          <w:rFonts w:hint="default" w:ascii="Times New Roman" w:hAnsi="Times New Roman" w:eastAsia="方正仿宋_GBK" w:cs="Times New Roman"/>
          <w:b w:val="0"/>
          <w:color w:val="000000" w:themeColor="text1"/>
          <w:sz w:val="24"/>
          <w:szCs w:val="24"/>
          <w14:textFill>
            <w14:solidFill>
              <w14:schemeClr w14:val="tx1"/>
            </w14:solidFill>
          </w14:textFill>
        </w:rPr>
        <w:t>18.3其他保险</w:t>
      </w:r>
      <w:bookmarkEnd w:id="745"/>
    </w:p>
    <w:bookmarkEnd w:id="746"/>
    <w:bookmarkEnd w:id="747"/>
    <w:bookmarkEnd w:id="748"/>
    <w:p w14:paraId="521C1A0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发包人和承包人可以为其施工现场的全部人员办理意外伤害保险并支付保险费，包括其员工及为履行合同聘请的第三方的人员，具体事项由合同当事人在专用合同条款约定。</w:t>
      </w:r>
    </w:p>
    <w:p w14:paraId="763F978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除专用合同条款另有约定外，承包人应为其施工设备等办理财产保险。</w:t>
      </w:r>
    </w:p>
    <w:p w14:paraId="3F7DAC4A">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49" w:name="_Toc351203616"/>
      <w:r>
        <w:rPr>
          <w:rFonts w:hint="default" w:ascii="Times New Roman" w:hAnsi="Times New Roman" w:eastAsia="方正仿宋_GBK" w:cs="Times New Roman"/>
          <w:b w:val="0"/>
          <w:color w:val="000000" w:themeColor="text1"/>
          <w:sz w:val="24"/>
          <w:szCs w:val="24"/>
          <w14:textFill>
            <w14:solidFill>
              <w14:schemeClr w14:val="tx1"/>
            </w14:solidFill>
          </w14:textFill>
        </w:rPr>
        <w:t>18.4持续保险</w:t>
      </w:r>
      <w:bookmarkEnd w:id="749"/>
    </w:p>
    <w:p w14:paraId="1E51EBA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合同当事人应与保险人保持联系，使保险人能够随时了解工程实施中的变动，并确保按保险合同条款要求持续保险。</w:t>
      </w:r>
    </w:p>
    <w:p w14:paraId="2CFB012D">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50" w:name="_Toc351203617"/>
      <w:bookmarkStart w:id="751" w:name="_Toc337558832"/>
      <w:bookmarkStart w:id="752" w:name="_Toc296346627"/>
      <w:bookmarkStart w:id="753" w:name="_Toc296503126"/>
      <w:r>
        <w:rPr>
          <w:rFonts w:hint="default" w:ascii="Times New Roman" w:hAnsi="Times New Roman" w:eastAsia="方正仿宋_GBK" w:cs="Times New Roman"/>
          <w:b w:val="0"/>
          <w:color w:val="000000" w:themeColor="text1"/>
          <w:sz w:val="24"/>
          <w:szCs w:val="24"/>
          <w14:textFill>
            <w14:solidFill>
              <w14:schemeClr w14:val="tx1"/>
            </w14:solidFill>
          </w14:textFill>
        </w:rPr>
        <w:t>18.5 保险凭证</w:t>
      </w:r>
      <w:bookmarkEnd w:id="750"/>
    </w:p>
    <w:bookmarkEnd w:id="751"/>
    <w:bookmarkEnd w:id="752"/>
    <w:bookmarkEnd w:id="753"/>
    <w:p w14:paraId="57FA899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合同当事人应及时向另一方当事人提交其已投保的各项保险的凭证和保险单复印件。</w:t>
      </w:r>
    </w:p>
    <w:p w14:paraId="530789CB">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54" w:name="_Toc351203618"/>
      <w:bookmarkStart w:id="755" w:name="_Toc337558833"/>
      <w:bookmarkStart w:id="756" w:name="_Toc296346628"/>
      <w:bookmarkStart w:id="757" w:name="_Toc296503127"/>
      <w:r>
        <w:rPr>
          <w:rFonts w:hint="default" w:ascii="Times New Roman" w:hAnsi="Times New Roman" w:eastAsia="方正仿宋_GBK" w:cs="Times New Roman"/>
          <w:b w:val="0"/>
          <w:color w:val="000000" w:themeColor="text1"/>
          <w:sz w:val="24"/>
          <w:szCs w:val="24"/>
          <w14:textFill>
            <w14:solidFill>
              <w14:schemeClr w14:val="tx1"/>
            </w14:solidFill>
          </w14:textFill>
        </w:rPr>
        <w:t>18.6 未按约定投保的补救</w:t>
      </w:r>
      <w:bookmarkEnd w:id="754"/>
    </w:p>
    <w:bookmarkEnd w:id="755"/>
    <w:bookmarkEnd w:id="756"/>
    <w:bookmarkEnd w:id="757"/>
    <w:p w14:paraId="47DAD0B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18.6.1发包人未按合同约定办理保险，或未能使保险持续有效的，则承包人可代为办理，所需费用由发包人承担。发包人未按合同约定办理保险，导致未能得到足额赔偿的，由发包人负责补足。</w:t>
      </w:r>
    </w:p>
    <w:p w14:paraId="284D5E0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18.6.2承包人未按合同约定办理保险，或未能使保险持续有效的，则发包人可代为办理，所需费用由承包人承担。承包人未按合同约定办理保险，导致未能得到足额赔偿的，由承包人负责补足。</w:t>
      </w:r>
    </w:p>
    <w:p w14:paraId="04320DBE">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58" w:name="_Toc351203619"/>
      <w:bookmarkStart w:id="759" w:name="_Toc337558834"/>
      <w:r>
        <w:rPr>
          <w:rFonts w:hint="default" w:ascii="Times New Roman" w:hAnsi="Times New Roman" w:eastAsia="方正仿宋_GBK" w:cs="Times New Roman"/>
          <w:b w:val="0"/>
          <w:color w:val="000000" w:themeColor="text1"/>
          <w:sz w:val="24"/>
          <w:szCs w:val="24"/>
          <w14:textFill>
            <w14:solidFill>
              <w14:schemeClr w14:val="tx1"/>
            </w14:solidFill>
          </w14:textFill>
        </w:rPr>
        <w:t>18.7 通知义务</w:t>
      </w:r>
      <w:bookmarkEnd w:id="758"/>
    </w:p>
    <w:bookmarkEnd w:id="759"/>
    <w:p w14:paraId="41A781B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除专用合同条款另有约定外，发包人变更除工伤保险之外的保险合同时，应事先征得承包人同意，并通知监理人；承包人变更除工伤保险之外的保险合同时，应事先征得发包人同意，并通知监理人。</w:t>
      </w:r>
    </w:p>
    <w:p w14:paraId="52E3571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保险事故发生时，投保人应按照保险合同规定的条件和期限及时向保险人报告。发包人和承包人应当在知道保险事故发生后及时通知对方。</w:t>
      </w:r>
    </w:p>
    <w:p w14:paraId="1372B7EA">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760" w:name="_Toc351203620"/>
      <w:bookmarkStart w:id="761" w:name="_Toc296503140"/>
      <w:bookmarkStart w:id="762" w:name="_Toc337558835"/>
      <w:bookmarkStart w:id="763" w:name="_Toc296346641"/>
      <w:r>
        <w:rPr>
          <w:rFonts w:hint="default" w:ascii="Times New Roman" w:hAnsi="Times New Roman" w:eastAsia="方正小标宋_GBK" w:cs="Times New Roman"/>
          <w:b w:val="0"/>
          <w:color w:val="000000" w:themeColor="text1"/>
          <w:sz w:val="24"/>
          <w:szCs w:val="24"/>
          <w14:textFill>
            <w14:solidFill>
              <w14:schemeClr w14:val="tx1"/>
            </w14:solidFill>
          </w14:textFill>
        </w:rPr>
        <w:t>19. 索赔</w:t>
      </w:r>
      <w:bookmarkEnd w:id="760"/>
    </w:p>
    <w:bookmarkEnd w:id="761"/>
    <w:bookmarkEnd w:id="762"/>
    <w:bookmarkEnd w:id="763"/>
    <w:p w14:paraId="42A53752">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64" w:name="_Toc351203621"/>
      <w:bookmarkStart w:id="765" w:name="_Toc337558836"/>
      <w:bookmarkStart w:id="766" w:name="_Toc296503141"/>
      <w:bookmarkStart w:id="767" w:name="_Toc296346642"/>
      <w:r>
        <w:rPr>
          <w:rFonts w:hint="default" w:ascii="Times New Roman" w:hAnsi="Times New Roman" w:eastAsia="方正仿宋_GBK" w:cs="Times New Roman"/>
          <w:b w:val="0"/>
          <w:color w:val="000000" w:themeColor="text1"/>
          <w:sz w:val="24"/>
          <w:szCs w:val="24"/>
          <w14:textFill>
            <w14:solidFill>
              <w14:schemeClr w14:val="tx1"/>
            </w14:solidFill>
          </w14:textFill>
        </w:rPr>
        <w:t>19.1承包人的索赔</w:t>
      </w:r>
      <w:bookmarkEnd w:id="764"/>
    </w:p>
    <w:bookmarkEnd w:id="765"/>
    <w:bookmarkEnd w:id="766"/>
    <w:bookmarkEnd w:id="767"/>
    <w:p w14:paraId="359AB4C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根据合同约定，承包人认为有权得到追加付款和（或）延长工期的，应按以下程序向发包人提出索赔：</w:t>
      </w:r>
    </w:p>
    <w:p w14:paraId="254AC86C">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5F11FEF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（2）承包人应在发出索赔意向通知书后28天内，向监理人正式递交索赔报告；索赔报告应详细说明索赔理由以及要求追加的付款金额和（或）延长的工期，并附必要的记录和证明材料；</w:t>
      </w:r>
    </w:p>
    <w:p w14:paraId="44845B2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（3）索赔事件具有持续影响的，承包人应按合理时间间隔继续递交延续索赔通知，说明持续影响的实际情况和记录，列出累计的追加付款金额和（或）工期延长天数；</w:t>
      </w:r>
    </w:p>
    <w:p w14:paraId="77DBCFB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（4）在索赔事件影响结束后28天内，承包人应向监理人递交最终索赔报告，说明最终要求索赔的追加付款金额和（或）延长的工期，并附必要的记录和证明材料。</w:t>
      </w:r>
    </w:p>
    <w:p w14:paraId="146C77DA">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68" w:name="_Toc351203622"/>
      <w:bookmarkStart w:id="769" w:name="_Toc296346643"/>
      <w:bookmarkStart w:id="770" w:name="_Toc337558837"/>
      <w:bookmarkStart w:id="771" w:name="_Toc296503142"/>
      <w:r>
        <w:rPr>
          <w:rFonts w:hint="default" w:ascii="Times New Roman" w:hAnsi="Times New Roman" w:eastAsia="方正仿宋_GBK" w:cs="Times New Roman"/>
          <w:b w:val="0"/>
          <w:color w:val="000000" w:themeColor="text1"/>
          <w:sz w:val="24"/>
          <w:szCs w:val="24"/>
          <w14:textFill>
            <w14:solidFill>
              <w14:schemeClr w14:val="tx1"/>
            </w14:solidFill>
          </w14:textFill>
        </w:rPr>
        <w:t>19.2 对承包人索赔的处理</w:t>
      </w:r>
      <w:bookmarkEnd w:id="768"/>
    </w:p>
    <w:bookmarkEnd w:id="769"/>
    <w:bookmarkEnd w:id="770"/>
    <w:bookmarkEnd w:id="771"/>
    <w:p w14:paraId="772ED8D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对承包人索赔的处理如下：</w:t>
      </w:r>
    </w:p>
    <w:p w14:paraId="4931276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（1）监理人应在收到索赔报告后14天内完成审查并报送发包人。监理人对索赔报告存在异议的，有权要求承包人提交全部原始记录副本；</w:t>
      </w:r>
    </w:p>
    <w:p w14:paraId="0660989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（2）发包人应在监理人收到索赔报告或有关索赔的进一步证明材料后的28天内，由监理人向承包人出具经发包人签认的索赔处理结果。发包人逾期答复的，则视为认可承包人的索赔要求；</w:t>
      </w:r>
    </w:p>
    <w:p w14:paraId="0401ECD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（3）承包人接受索赔处理结果的，索赔款项在当期进度款中进行支付；承包人不接受索赔处理结果的，按照第20条〔争议解决〕约定处理。</w:t>
      </w:r>
    </w:p>
    <w:p w14:paraId="28B43A6A">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72" w:name="_Toc351203623"/>
      <w:bookmarkStart w:id="773" w:name="_Toc296346644"/>
      <w:bookmarkStart w:id="774" w:name="_Toc337558838"/>
      <w:bookmarkStart w:id="775" w:name="_Toc296503143"/>
      <w:r>
        <w:rPr>
          <w:rFonts w:hint="default" w:ascii="Times New Roman" w:hAnsi="Times New Roman" w:eastAsia="方正仿宋_GBK" w:cs="Times New Roman"/>
          <w:b w:val="0"/>
          <w:color w:val="000000" w:themeColor="text1"/>
          <w:sz w:val="24"/>
          <w:szCs w:val="24"/>
          <w14:textFill>
            <w14:solidFill>
              <w14:schemeClr w14:val="tx1"/>
            </w14:solidFill>
          </w14:textFill>
        </w:rPr>
        <w:t>19.3发包人的索赔</w:t>
      </w:r>
      <w:bookmarkEnd w:id="772"/>
    </w:p>
    <w:bookmarkEnd w:id="773"/>
    <w:bookmarkEnd w:id="774"/>
    <w:bookmarkEnd w:id="775"/>
    <w:p w14:paraId="0384C1B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根据合同约定，发包人认为有权得到赔付金额和（或）延长缺陷责任期的，监理人应向承包人发出通知并附有详细的证明。</w:t>
      </w:r>
    </w:p>
    <w:p w14:paraId="0A01AB1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3D7DA73F">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76" w:name="_Toc351203624"/>
      <w:bookmarkStart w:id="777" w:name="_Toc296346645"/>
      <w:bookmarkStart w:id="778" w:name="_Toc296503144"/>
      <w:bookmarkStart w:id="779" w:name="_Toc337558839"/>
      <w:r>
        <w:rPr>
          <w:rFonts w:hint="default" w:ascii="Times New Roman" w:hAnsi="Times New Roman" w:eastAsia="方正仿宋_GBK" w:cs="Times New Roman"/>
          <w:b w:val="0"/>
          <w:color w:val="000000" w:themeColor="text1"/>
          <w:sz w:val="24"/>
          <w:szCs w:val="24"/>
          <w14:textFill>
            <w14:solidFill>
              <w14:schemeClr w14:val="tx1"/>
            </w14:solidFill>
          </w14:textFill>
        </w:rPr>
        <w:t>19.4 对发包人索赔的处理</w:t>
      </w:r>
      <w:bookmarkEnd w:id="776"/>
    </w:p>
    <w:bookmarkEnd w:id="777"/>
    <w:bookmarkEnd w:id="778"/>
    <w:bookmarkEnd w:id="779"/>
    <w:p w14:paraId="392FB36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对发包人索赔的处理如下：</w:t>
      </w:r>
    </w:p>
    <w:p w14:paraId="050771E1">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（1）承包人收到发包人提交的索赔报告后，应及时审查索赔报告的内容、查验发包人证明材料；</w:t>
      </w:r>
    </w:p>
    <w:p w14:paraId="33F1542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（2）承包人应在收到索赔报告或有关索赔的进一步证明材料后28天内，将索赔处理结果答复发包人。如果承包人未在上述期限内作出答复的，则视为对发包人索赔要求的认可；</w:t>
      </w:r>
    </w:p>
    <w:p w14:paraId="2C82519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（3）承包人接受索赔处理结果的，发包人可从应支付给承包人的合同价款中扣除赔付的金额或延长缺陷责任期；发包人不接受索赔处理结果的，按第20条〔争议解决〕约定处理。</w:t>
      </w:r>
    </w:p>
    <w:p w14:paraId="21E92C6D">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80" w:name="_Toc351203625"/>
      <w:r>
        <w:rPr>
          <w:rFonts w:hint="default" w:ascii="Times New Roman" w:hAnsi="Times New Roman" w:eastAsia="方正仿宋_GBK" w:cs="Times New Roman"/>
          <w:b w:val="0"/>
          <w:color w:val="000000" w:themeColor="text1"/>
          <w:sz w:val="24"/>
          <w:szCs w:val="24"/>
          <w14:textFill>
            <w14:solidFill>
              <w14:schemeClr w14:val="tx1"/>
            </w14:solidFill>
          </w14:textFill>
        </w:rPr>
        <w:t>19.5 提出索赔的期限</w:t>
      </w:r>
      <w:bookmarkEnd w:id="780"/>
    </w:p>
    <w:p w14:paraId="50FA6F79">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（1）承包人按第14.2款〔竣工结算审核〕约定接收竣工付款证书后，应被视为已无权再提出在工程接收证书颁发前所发生的任何索赔。</w:t>
      </w:r>
    </w:p>
    <w:p w14:paraId="30608B51">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（2）承包人按第14.4款〔最终结清〕提交的最终结清申请单中，只限于提出工程接收证书颁发后发生的索赔。提出索赔的期限自接受最终结清证书时终止。</w:t>
      </w:r>
    </w:p>
    <w:p w14:paraId="6C097FCB">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781" w:name="_Toc351203626"/>
      <w:r>
        <w:rPr>
          <w:rFonts w:hint="default" w:ascii="Times New Roman" w:hAnsi="Times New Roman" w:eastAsia="方正小标宋_GBK" w:cs="Times New Roman"/>
          <w:b w:val="0"/>
          <w:color w:val="000000" w:themeColor="text1"/>
          <w:sz w:val="24"/>
          <w:szCs w:val="24"/>
          <w14:textFill>
            <w14:solidFill>
              <w14:schemeClr w14:val="tx1"/>
            </w14:solidFill>
          </w14:textFill>
        </w:rPr>
        <w:t>20</w:t>
      </w:r>
      <w:bookmarkStart w:id="782" w:name="_Toc296503146"/>
      <w:bookmarkStart w:id="783" w:name="_Toc337558840"/>
      <w:bookmarkStart w:id="784" w:name="_Toc296346647"/>
      <w:r>
        <w:rPr>
          <w:rFonts w:hint="default" w:ascii="Times New Roman" w:hAnsi="Times New Roman" w:eastAsia="方正小标宋_GBK" w:cs="Times New Roman"/>
          <w:b w:val="0"/>
          <w:color w:val="000000" w:themeColor="text1"/>
          <w:sz w:val="24"/>
          <w:szCs w:val="24"/>
          <w14:textFill>
            <w14:solidFill>
              <w14:schemeClr w14:val="tx1"/>
            </w14:solidFill>
          </w14:textFill>
        </w:rPr>
        <w:t>. 争议解决</w:t>
      </w:r>
      <w:bookmarkEnd w:id="781"/>
    </w:p>
    <w:bookmarkEnd w:id="782"/>
    <w:bookmarkEnd w:id="783"/>
    <w:bookmarkEnd w:id="784"/>
    <w:p w14:paraId="704BFB6F">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85" w:name="_Toc351203627"/>
      <w:bookmarkStart w:id="786" w:name="_Toc296346648"/>
      <w:bookmarkStart w:id="787" w:name="_Toc337558841"/>
      <w:bookmarkStart w:id="788" w:name="_Toc296503147"/>
      <w:r>
        <w:rPr>
          <w:rFonts w:hint="default" w:ascii="Times New Roman" w:hAnsi="Times New Roman" w:eastAsia="方正仿宋_GBK" w:cs="Times New Roman"/>
          <w:b w:val="0"/>
          <w:color w:val="000000" w:themeColor="text1"/>
          <w:sz w:val="24"/>
          <w:szCs w:val="24"/>
          <w14:textFill>
            <w14:solidFill>
              <w14:schemeClr w14:val="tx1"/>
            </w14:solidFill>
          </w14:textFill>
        </w:rPr>
        <w:t>20.1和解</w:t>
      </w:r>
      <w:bookmarkEnd w:id="785"/>
    </w:p>
    <w:bookmarkEnd w:id="786"/>
    <w:bookmarkEnd w:id="787"/>
    <w:bookmarkEnd w:id="788"/>
    <w:p w14:paraId="45400C08">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合同当事人可以就争议自行和解，自行和解达成协议的经双方签字并盖章后作为合同补充文件，双方均应遵照执行。</w:t>
      </w:r>
    </w:p>
    <w:p w14:paraId="610098C8">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89" w:name="_Toc351203628"/>
      <w:r>
        <w:rPr>
          <w:rFonts w:hint="default" w:ascii="Times New Roman" w:hAnsi="Times New Roman" w:eastAsia="方正仿宋_GBK" w:cs="Times New Roman"/>
          <w:b w:val="0"/>
          <w:color w:val="000000" w:themeColor="text1"/>
          <w:sz w:val="24"/>
          <w:szCs w:val="24"/>
          <w14:textFill>
            <w14:solidFill>
              <w14:schemeClr w14:val="tx1"/>
            </w14:solidFill>
          </w14:textFill>
        </w:rPr>
        <w:t>20</w:t>
      </w:r>
      <w:bookmarkStart w:id="790" w:name="_Toc296346649"/>
      <w:bookmarkStart w:id="791" w:name="_Toc296503148"/>
      <w:bookmarkStart w:id="792" w:name="_Toc337558842"/>
      <w:r>
        <w:rPr>
          <w:rFonts w:hint="default" w:ascii="Times New Roman" w:hAnsi="Times New Roman" w:eastAsia="方正仿宋_GBK" w:cs="Times New Roman"/>
          <w:b w:val="0"/>
          <w:color w:val="000000" w:themeColor="text1"/>
          <w:sz w:val="24"/>
          <w:szCs w:val="24"/>
          <w14:textFill>
            <w14:solidFill>
              <w14:schemeClr w14:val="tx1"/>
            </w14:solidFill>
          </w14:textFill>
        </w:rPr>
        <w:t>.2调解</w:t>
      </w:r>
      <w:bookmarkEnd w:id="789"/>
    </w:p>
    <w:bookmarkEnd w:id="790"/>
    <w:bookmarkEnd w:id="791"/>
    <w:bookmarkEnd w:id="792"/>
    <w:p w14:paraId="086B725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合同当事人可以就争议请求建设行政主管部门、行业协会或其他第三方进行调解，调解达成协议的，经双方签字并盖章后作为合同补充文件，双方均应遵照执行。</w:t>
      </w:r>
    </w:p>
    <w:p w14:paraId="382D98E9">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93" w:name="_Toc351203629"/>
      <w:bookmarkStart w:id="794" w:name="_Toc337558843"/>
      <w:bookmarkStart w:id="795" w:name="_Toc296503149"/>
      <w:bookmarkStart w:id="796" w:name="_Toc296346650"/>
      <w:r>
        <w:rPr>
          <w:rFonts w:hint="default" w:ascii="Times New Roman" w:hAnsi="Times New Roman" w:eastAsia="方正仿宋_GBK" w:cs="Times New Roman"/>
          <w:b w:val="0"/>
          <w:color w:val="000000" w:themeColor="text1"/>
          <w:sz w:val="24"/>
          <w:szCs w:val="24"/>
          <w14:textFill>
            <w14:solidFill>
              <w14:schemeClr w14:val="tx1"/>
            </w14:solidFill>
          </w14:textFill>
        </w:rPr>
        <w:t>20.3争议评审</w:t>
      </w:r>
      <w:bookmarkEnd w:id="793"/>
    </w:p>
    <w:bookmarkEnd w:id="794"/>
    <w:bookmarkEnd w:id="795"/>
    <w:bookmarkEnd w:id="796"/>
    <w:p w14:paraId="3559ED6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合同当事人在专用合同条款中约定采取争议评审方式解决争议以及评审规则，并按下列约定执行： </w:t>
      </w:r>
    </w:p>
    <w:p w14:paraId="733817E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20.3.1 争议评审小组的确定</w:t>
      </w:r>
    </w:p>
    <w:p w14:paraId="2503971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合同当事人可以共同选择一名或三名争议评审员，组成争议评审小组。除专用合同条款另有约定外，合同当事人应当自合同签订后28天内，或者争议发生后14天内，选定争议评审员。</w:t>
      </w:r>
    </w:p>
    <w:p w14:paraId="58E9F1C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62FE11E4">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除专用合同条款另有约定外，评审员报酬由发包人和承包人各承担一半。</w:t>
      </w:r>
    </w:p>
    <w:p w14:paraId="79E5C75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20.3.2 争议评审小组的决定</w:t>
      </w:r>
    </w:p>
    <w:p w14:paraId="73012DF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16D5936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20.3.3 争议评审小组决定的效力</w:t>
      </w:r>
    </w:p>
    <w:p w14:paraId="5B54FD1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争议评审小组作出的书面决定经合同当事人签字确认后，对双方具有约束力，双方应遵照执行。</w:t>
      </w:r>
    </w:p>
    <w:p w14:paraId="4D3E736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任何一方当事人不接受争议评审小组决定或不履行争议评审小组决定的，双方可选择采用其他争议解决方式。</w:t>
      </w:r>
    </w:p>
    <w:p w14:paraId="509E9059">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797" w:name="_Toc351203630"/>
      <w:bookmarkStart w:id="798" w:name="_Toc296503150"/>
      <w:bookmarkStart w:id="799" w:name="_Toc337558844"/>
      <w:bookmarkStart w:id="800" w:name="_Toc296346651"/>
      <w:r>
        <w:rPr>
          <w:rFonts w:hint="default" w:ascii="Times New Roman" w:hAnsi="Times New Roman" w:eastAsia="方正仿宋_GBK" w:cs="Times New Roman"/>
          <w:b w:val="0"/>
          <w:color w:val="000000" w:themeColor="text1"/>
          <w:sz w:val="24"/>
          <w:szCs w:val="24"/>
          <w14:textFill>
            <w14:solidFill>
              <w14:schemeClr w14:val="tx1"/>
            </w14:solidFill>
          </w14:textFill>
        </w:rPr>
        <w:t>20.4仲裁或诉讼</w:t>
      </w:r>
      <w:bookmarkEnd w:id="797"/>
    </w:p>
    <w:bookmarkEnd w:id="798"/>
    <w:bookmarkEnd w:id="799"/>
    <w:bookmarkEnd w:id="800"/>
    <w:p w14:paraId="1C0F2020">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因合同及合同有关事项产生的争议，合同当事人可以在专用合同条款中约定以下一种方式解决争议：</w:t>
      </w:r>
    </w:p>
    <w:p w14:paraId="490AEE2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（1）向约定的仲裁委员会申请仲裁；</w:t>
      </w:r>
    </w:p>
    <w:p w14:paraId="146A2C8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（2）向有管辖权的人民法院起诉。</w:t>
      </w:r>
    </w:p>
    <w:p w14:paraId="7CECA215">
      <w:pPr>
        <w:pStyle w:val="6"/>
        <w:pageBreakBefore w:val="0"/>
        <w:widowControl w:val="0"/>
        <w:kinsoku/>
        <w:wordWrap/>
        <w:overflowPunct/>
        <w:topLinePunct w:val="0"/>
        <w:bidi w:val="0"/>
        <w:snapToGrid/>
        <w:spacing w:before="0" w:beforeLines="0" w:after="0" w:afterLines="0" w:line="400" w:lineRule="exact"/>
        <w:ind w:left="0" w:leftChars="0" w:right="0" w:rightChars="0" w:firstLine="480" w:firstLineChars="200"/>
        <w:rPr>
          <w:rFonts w:hint="default" w:ascii="Times New Roman" w:hAnsi="Times New Roman" w:eastAsia="方正仿宋_GBK" w:cs="Times New Roman"/>
          <w:b w:val="0"/>
          <w:color w:val="000000" w:themeColor="text1"/>
          <w:sz w:val="24"/>
          <w:szCs w:val="24"/>
          <w14:textFill>
            <w14:solidFill>
              <w14:schemeClr w14:val="tx1"/>
            </w14:solidFill>
          </w14:textFill>
        </w:rPr>
      </w:pPr>
      <w:bookmarkStart w:id="801" w:name="_Toc351203631"/>
      <w:bookmarkStart w:id="802" w:name="_Toc337558845"/>
      <w:bookmarkStart w:id="803" w:name="_Toc296503152"/>
      <w:bookmarkStart w:id="804" w:name="_Toc296346653"/>
      <w:r>
        <w:rPr>
          <w:rFonts w:hint="default" w:ascii="Times New Roman" w:hAnsi="Times New Roman" w:eastAsia="方正仿宋_GBK" w:cs="Times New Roman"/>
          <w:b w:val="0"/>
          <w:color w:val="000000" w:themeColor="text1"/>
          <w:sz w:val="24"/>
          <w:szCs w:val="24"/>
          <w14:textFill>
            <w14:solidFill>
              <w14:schemeClr w14:val="tx1"/>
            </w14:solidFill>
          </w14:textFill>
        </w:rPr>
        <w:t>20.5争议解决条款效力</w:t>
      </w:r>
      <w:bookmarkEnd w:id="801"/>
    </w:p>
    <w:bookmarkEnd w:id="802"/>
    <w:bookmarkEnd w:id="803"/>
    <w:bookmarkEnd w:id="804"/>
    <w:p w14:paraId="0E49B3EA">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合同有关争议解决的条款独立存在，合同的变更、解除、终止、无效或者被撤销均不影响其效力。 </w:t>
      </w:r>
    </w:p>
    <w:p w14:paraId="57C6D186">
      <w:pPr>
        <w:pStyle w:val="4"/>
        <w:pageBreakBefore w:val="0"/>
        <w:widowControl w:val="0"/>
        <w:kinsoku/>
        <w:wordWrap/>
        <w:overflowPunct/>
        <w:topLinePunct w:val="0"/>
        <w:bidi w:val="0"/>
        <w:snapToGrid/>
        <w:spacing w:before="0" w:beforeLines="0" w:after="0" w:afterLines="0" w:line="400" w:lineRule="exact"/>
        <w:ind w:left="0" w:leftChars="0" w:right="0" w:rightChars="0"/>
        <w:jc w:val="center"/>
        <w:rPr>
          <w:rFonts w:hint="default" w:ascii="Times New Roman" w:hAnsi="Times New Roman" w:eastAsia="方正小标宋_GBK" w:cs="Times New Roman"/>
          <w:color w:val="000000" w:themeColor="text1"/>
          <w:sz w:val="28"/>
          <w:szCs w:val="28"/>
          <w14:textFill>
            <w14:solidFill>
              <w14:schemeClr w14:val="tx1"/>
            </w14:solidFill>
          </w14:textFill>
        </w:rPr>
      </w:pPr>
      <w:bookmarkStart w:id="805" w:name="_Toc351203632"/>
      <w:r>
        <w:rPr>
          <w:rFonts w:hint="default" w:ascii="Times New Roman" w:hAnsi="Times New Roman" w:eastAsia="方正仿宋_GBK" w:cs="Times New Roman"/>
          <w:color w:val="000000" w:themeColor="text1"/>
          <w:sz w:val="24"/>
          <w:szCs w:val="24"/>
          <w14:textFill>
            <w14:solidFill>
              <w14:schemeClr w14:val="tx1"/>
            </w14:solidFill>
          </w14:textFill>
        </w:rPr>
        <w:br w:type="page"/>
      </w:r>
      <w:r>
        <w:rPr>
          <w:rFonts w:hint="default" w:ascii="Times New Roman" w:hAnsi="Times New Roman" w:eastAsia="方正小标宋_GBK" w:cs="Times New Roman"/>
          <w:color w:val="000000" w:themeColor="text1"/>
          <w:sz w:val="28"/>
          <w:szCs w:val="28"/>
          <w14:textFill>
            <w14:solidFill>
              <w14:schemeClr w14:val="tx1"/>
            </w14:solidFill>
          </w14:textFill>
        </w:rPr>
        <w:t>第三部分 专用合同条款</w:t>
      </w:r>
      <w:bookmarkEnd w:id="805"/>
    </w:p>
    <w:p w14:paraId="5B930D8E">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806" w:name="_Toc351203633"/>
      <w:r>
        <w:rPr>
          <w:rFonts w:hint="default" w:ascii="Times New Roman" w:hAnsi="Times New Roman" w:eastAsia="方正小标宋_GBK" w:cs="Times New Roman"/>
          <w:b w:val="0"/>
          <w:color w:val="000000" w:themeColor="text1"/>
          <w:sz w:val="24"/>
          <w:szCs w:val="24"/>
          <w14:textFill>
            <w14:solidFill>
              <w14:schemeClr w14:val="tx1"/>
            </w14:solidFill>
          </w14:textFill>
        </w:rPr>
        <w:t>1</w:t>
      </w:r>
      <w:bookmarkStart w:id="807" w:name="_Toc292559361"/>
      <w:bookmarkStart w:id="808" w:name="_Toc296347155"/>
      <w:bookmarkStart w:id="809" w:name="_Toc296890984"/>
      <w:bookmarkStart w:id="810" w:name="_Toc292559866"/>
      <w:bookmarkStart w:id="811" w:name="_Toc296503156"/>
      <w:bookmarkStart w:id="812" w:name="_Toc297120456"/>
      <w:bookmarkStart w:id="813" w:name="_Toc296944495"/>
      <w:bookmarkStart w:id="814" w:name="_Toc296891196"/>
      <w:bookmarkStart w:id="815" w:name="_Toc297048342"/>
      <w:bookmarkStart w:id="816" w:name="_Toc296346657"/>
      <w:r>
        <w:rPr>
          <w:rFonts w:hint="default" w:ascii="Times New Roman" w:hAnsi="Times New Roman" w:eastAsia="方正小标宋_GBK" w:cs="Times New Roman"/>
          <w:b w:val="0"/>
          <w:color w:val="000000" w:themeColor="text1"/>
          <w:sz w:val="24"/>
          <w:szCs w:val="24"/>
          <w14:textFill>
            <w14:solidFill>
              <w14:schemeClr w14:val="tx1"/>
            </w14:solidFill>
          </w14:textFill>
        </w:rPr>
        <w:t>. 一般约定</w:t>
      </w:r>
      <w:bookmarkEnd w:id="806"/>
    </w:p>
    <w:bookmarkEnd w:id="807"/>
    <w:bookmarkEnd w:id="808"/>
    <w:bookmarkEnd w:id="809"/>
    <w:bookmarkEnd w:id="810"/>
    <w:bookmarkEnd w:id="811"/>
    <w:bookmarkEnd w:id="812"/>
    <w:bookmarkEnd w:id="813"/>
    <w:bookmarkEnd w:id="814"/>
    <w:bookmarkEnd w:id="815"/>
    <w:bookmarkEnd w:id="816"/>
    <w:p w14:paraId="5EEB03DA">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 词语定义</w:t>
      </w:r>
    </w:p>
    <w:p w14:paraId="59033992">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1.1.1合同</w:t>
      </w:r>
    </w:p>
    <w:p w14:paraId="0614914A">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u w:val="none"/>
          <w:lang w:eastAsia="zh-CN"/>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1.1.1.10其他合同文件包括：</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r>
        <w:rPr>
          <w:rFonts w:hint="default" w:ascii="Times New Roman" w:hAnsi="Times New Roman" w:eastAsia="方正仿宋_GBK" w:cs="Times New Roman"/>
          <w:color w:val="000000" w:themeColor="text1"/>
          <w:sz w:val="24"/>
          <w:szCs w:val="24"/>
          <w:u w:val="none"/>
          <w:lang w:eastAsia="zh-CN"/>
          <w14:textFill>
            <w14:solidFill>
              <w14:schemeClr w14:val="tx1"/>
            </w14:solidFill>
          </w14:textFill>
        </w:rPr>
        <w:t>。</w:t>
      </w:r>
    </w:p>
    <w:p w14:paraId="190E28E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1.1.2 合同当事人及其他相关方</w:t>
      </w:r>
    </w:p>
    <w:p w14:paraId="18B7427B">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1.1.2.4监理人：</w:t>
      </w:r>
    </w:p>
    <w:p w14:paraId="147F27D9">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名    称：</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944F1F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资质类别和等级：</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5BD316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联系电话：</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A59344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电子信箱：</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8DA7F62">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通信地址：</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E5308A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1.1.2.5 设计人：</w:t>
      </w:r>
    </w:p>
    <w:p w14:paraId="3747823B">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名    称：</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C6C6A7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资质类别和等级：</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6B68D3C">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联系电话：</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B63133D">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电子信箱：</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54536B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通信地址：</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EAA9207">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1.1.3 工程和设备</w:t>
      </w:r>
    </w:p>
    <w:p w14:paraId="2EE3EC2C">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1.1.3.7 作为施工现场组成部分的其他场所包括：</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4A35406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u w:val="single"/>
          <w14:textFill>
            <w14:solidFill>
              <w14:schemeClr w14:val="tx1"/>
            </w14:solidFill>
          </w14:textFill>
        </w:rPr>
        <w:t>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24BEB4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1.1.3.9 永久占地包括：</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     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6744E0F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1.1.3.10 临时占地包括：</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1D0FF6D3">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1.3法律 </w:t>
      </w:r>
    </w:p>
    <w:p w14:paraId="2C0459B2">
      <w:pPr>
        <w:pageBreakBefore w:val="0"/>
        <w:widowControl w:val="0"/>
        <w:kinsoku/>
        <w:wordWrap/>
        <w:overflowPunct/>
        <w:topLinePunct w:val="0"/>
        <w:autoSpaceDE w:val="0"/>
        <w:autoSpaceDN w:val="0"/>
        <w:bidi w:val="0"/>
        <w:adjustRightInd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适用于合同的其他规范性文件：</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p>
    <w:p w14:paraId="1F982766">
      <w:pPr>
        <w:pageBreakBefore w:val="0"/>
        <w:widowControl w:val="0"/>
        <w:kinsoku/>
        <w:wordWrap/>
        <w:overflowPunct/>
        <w:topLinePunct w:val="0"/>
        <w:autoSpaceDE w:val="0"/>
        <w:autoSpaceDN w:val="0"/>
        <w:bidi w:val="0"/>
        <w:adjustRightInd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8090A8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1.4 标准和规范</w:t>
      </w:r>
    </w:p>
    <w:p w14:paraId="0ECBC69C">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1.4.1适用于工程的标准规范包括：</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37B84DEA">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1.4.2 发包人提供国外标准、规范的名称：</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0F201AC5">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发包人提供国外标准、规范的份数：</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2B41D0B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发包人提供国外标准、规范的名称：</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572DB3D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1.4.3发包人对工程的技术标准和功能要求的特殊要求：</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7364B21">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1.5 合同文件的优先顺序</w:t>
      </w:r>
    </w:p>
    <w:p w14:paraId="3EBA858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合同文件组成及优先顺序为：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C81DDAF">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1.6 图纸和承包人文件</w:t>
      </w:r>
      <w:r>
        <w:rPr>
          <w:rFonts w:hint="default" w:ascii="Times New Roman" w:hAnsi="Times New Roman" w:eastAsia="方正仿宋_GBK" w:cs="Times New Roman"/>
          <w:color w:val="000000" w:themeColor="text1"/>
          <w:sz w:val="24"/>
          <w:szCs w:val="24"/>
          <w14:textFill>
            <w14:solidFill>
              <w14:schemeClr w14:val="tx1"/>
            </w14:solidFill>
          </w14:textFill>
        </w:rPr>
        <w:tab/>
      </w:r>
    </w:p>
    <w:p w14:paraId="49963E9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1.6.1 图纸的提供</w:t>
      </w:r>
    </w:p>
    <w:p w14:paraId="11647C6A">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发包人向承包人提供图纸的期限：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5E1A601">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发包人向承包人提供图纸的数量：</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EDD4A22">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发包人向承包人提供图纸的内容：</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687DA3B">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1.6.4 承包人文件</w:t>
      </w:r>
    </w:p>
    <w:p w14:paraId="22A9B59D">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需要由承包人提供的文件，包括：</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3F5B0D1">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承包人提供的文件的期限为：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0B6EF69">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承包人提供的文件的数量为：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42D7ACD">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承包人提供的文件的形式为：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7611673">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发包人审批承包人文件的期限：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B9F553D">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1.6.5 现场图纸准备</w:t>
      </w:r>
    </w:p>
    <w:p w14:paraId="562AB317">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关于现场图纸准备的约定：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1B8BC40">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1.7 联络</w:t>
      </w:r>
    </w:p>
    <w:p w14:paraId="6FDA5F5D">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1.7.1发包人和承包人应当在</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天内将与合同有关的通知、批准、证明、证书、指示、指令、要求、请求、同意、意见、确定和决定等书面函件送达对方当事人。</w:t>
      </w:r>
    </w:p>
    <w:p w14:paraId="2CF9273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1.7.2 发包人接收文件的地点：</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095FF53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发包人指定的接收人为：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6F36FD21">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承包人接收文件的地点：</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262E8294">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承包人指定的接收人为：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0FA19847">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监理人接收文件的地点：</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59F35C6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监理人指定的接收人为：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76245F47">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1.10 交通运输</w:t>
      </w:r>
    </w:p>
    <w:p w14:paraId="515B3B0C">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w:t>
      </w:r>
      <w:bookmarkStart w:id="817" w:name="_Toc300934943"/>
      <w:bookmarkStart w:id="818" w:name="_Toc312677986"/>
      <w:bookmarkStart w:id="819" w:name="_Toc304295521"/>
      <w:bookmarkStart w:id="820" w:name="_Toc318581155"/>
      <w:bookmarkStart w:id="821" w:name="_Toc303539100"/>
      <w:r>
        <w:rPr>
          <w:rFonts w:hint="default" w:ascii="Times New Roman" w:hAnsi="Times New Roman" w:eastAsia="方正仿宋_GBK" w:cs="Times New Roman"/>
          <w:color w:val="000000" w:themeColor="text1"/>
          <w:sz w:val="24"/>
          <w:szCs w:val="24"/>
          <w14:textFill>
            <w14:solidFill>
              <w14:schemeClr w14:val="tx1"/>
            </w14:solidFill>
          </w14:textFill>
        </w:rPr>
        <w:t>.10.1 出入现场的权利</w:t>
      </w:r>
    </w:p>
    <w:p w14:paraId="000806C9">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关于出入现场的权利的约定：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bookmarkEnd w:id="817"/>
    <w:bookmarkEnd w:id="818"/>
    <w:bookmarkEnd w:id="819"/>
    <w:bookmarkEnd w:id="820"/>
    <w:bookmarkEnd w:id="821"/>
    <w:p w14:paraId="1B9B6F53">
      <w:pPr>
        <w:pageBreakBefore w:val="0"/>
        <w:widowControl w:val="0"/>
        <w:kinsoku/>
        <w:wordWrap/>
        <w:overflowPunct/>
        <w:topLinePunct w:val="0"/>
        <w:bidi w:val="0"/>
        <w:snapToGrid/>
        <w:spacing w:line="400" w:lineRule="exact"/>
        <w:ind w:left="0" w:leftChars="0" w:right="0" w:rightChars="0" w:firstLine="480" w:firstLineChars="200"/>
        <w:jc w:val="left"/>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w:t>
      </w:r>
      <w:bookmarkStart w:id="822" w:name="_Toc312677987"/>
      <w:bookmarkStart w:id="823" w:name="_Toc300934944"/>
      <w:bookmarkStart w:id="824" w:name="_Toc304295522"/>
      <w:bookmarkStart w:id="825" w:name="_Toc318581156"/>
      <w:bookmarkStart w:id="826" w:name="_Toc303539101"/>
      <w:r>
        <w:rPr>
          <w:rFonts w:hint="default" w:ascii="Times New Roman" w:hAnsi="Times New Roman" w:eastAsia="方正仿宋_GBK" w:cs="Times New Roman"/>
          <w:color w:val="000000" w:themeColor="text1"/>
          <w:sz w:val="24"/>
          <w:szCs w:val="24"/>
          <w14:textFill>
            <w14:solidFill>
              <w14:schemeClr w14:val="tx1"/>
            </w14:solidFill>
          </w14:textFill>
        </w:rPr>
        <w:t>.10.3 场内交通</w:t>
      </w:r>
    </w:p>
    <w:p w14:paraId="6FFBB49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关于场外交通和场内交通的边界的约定：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AC732F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关于发包人向承包人免费提供满足工程施工需要的场内道路和交通设施的</w:t>
      </w:r>
    </w:p>
    <w:p w14:paraId="6CB62DF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bookmarkEnd w:id="822"/>
      <w:bookmarkEnd w:id="823"/>
      <w:bookmarkEnd w:id="824"/>
      <w:bookmarkEnd w:id="825"/>
      <w:bookmarkEnd w:id="826"/>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bookmarkStart w:id="827" w:name="_Toc318581157"/>
    </w:p>
    <w:p w14:paraId="7A1495B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1.10.4超大件和超重件的运输</w:t>
      </w:r>
    </w:p>
    <w:p w14:paraId="3446F1A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运输超大件或超重件所需的道路和桥梁临时加固改造费用和其他有关费用由</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承担。</w:t>
      </w:r>
    </w:p>
    <w:bookmarkEnd w:id="827"/>
    <w:p w14:paraId="688E0A19">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1.11 知识产权</w:t>
      </w:r>
    </w:p>
    <w:p w14:paraId="3AEB576D">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0B5694D">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关于发包人提供的上述文件的使用限制的要求：</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5E2BE17">
      <w:pPr>
        <w:pageBreakBefore w:val="0"/>
        <w:widowControl w:val="0"/>
        <w:kinsoku/>
        <w:wordWrap/>
        <w:overflowPunct/>
        <w:topLinePunct w:val="0"/>
        <w:bidi w:val="0"/>
        <w:snapToGrid/>
        <w:spacing w:line="400" w:lineRule="exact"/>
        <w:ind w:left="0" w:leftChars="0" w:right="0" w:rightChars="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1.11.2 关于承包人为实施工程所编制文件的著作权的归属：</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2EA2ECD">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关于承包人提供的上述文件的使用限制的要求：</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33AFDB0">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1.11.4 承包人在施工过程中所采用的专利、专有技术、技术秘密的使用费的承担方式：</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54896D6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1.13工程量清单错误的修正</w:t>
      </w:r>
    </w:p>
    <w:p w14:paraId="2B7CDAB7">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出现工程量清单错误时，是否调整合同价格：</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64D74437">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允许调整合同价格的工程量偏差范围：</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3200B0E3">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828" w:name="_Toc351203634"/>
      <w:r>
        <w:rPr>
          <w:rFonts w:hint="default" w:ascii="Times New Roman" w:hAnsi="Times New Roman" w:eastAsia="方正小标宋_GBK" w:cs="Times New Roman"/>
          <w:b w:val="0"/>
          <w:color w:val="000000" w:themeColor="text1"/>
          <w:sz w:val="24"/>
          <w:szCs w:val="24"/>
          <w14:textFill>
            <w14:solidFill>
              <w14:schemeClr w14:val="tx1"/>
            </w14:solidFill>
          </w14:textFill>
        </w:rPr>
        <w:t>2</w:t>
      </w:r>
      <w:bookmarkStart w:id="829" w:name="_Toc297120457"/>
      <w:bookmarkStart w:id="830" w:name="_Toc296503157"/>
      <w:bookmarkStart w:id="831" w:name="_Toc296346658"/>
      <w:bookmarkStart w:id="832" w:name="_Toc296944496"/>
      <w:bookmarkStart w:id="833" w:name="_Toc296891197"/>
      <w:bookmarkStart w:id="834" w:name="_Toc296890985"/>
      <w:bookmarkStart w:id="835" w:name="_Toc292559867"/>
      <w:bookmarkStart w:id="836" w:name="_Toc296347156"/>
      <w:bookmarkStart w:id="837" w:name="_Toc297048343"/>
      <w:bookmarkStart w:id="838" w:name="_Toc292559362"/>
      <w:r>
        <w:rPr>
          <w:rFonts w:hint="default" w:ascii="Times New Roman" w:hAnsi="Times New Roman" w:eastAsia="方正小标宋_GBK" w:cs="Times New Roman"/>
          <w:b w:val="0"/>
          <w:color w:val="000000" w:themeColor="text1"/>
          <w:sz w:val="24"/>
          <w:szCs w:val="24"/>
          <w14:textFill>
            <w14:solidFill>
              <w14:schemeClr w14:val="tx1"/>
            </w14:solidFill>
          </w14:textFill>
        </w:rPr>
        <w:t>. 发包人</w:t>
      </w:r>
      <w:bookmarkEnd w:id="828"/>
    </w:p>
    <w:bookmarkEnd w:id="829"/>
    <w:bookmarkEnd w:id="830"/>
    <w:bookmarkEnd w:id="831"/>
    <w:bookmarkEnd w:id="832"/>
    <w:bookmarkEnd w:id="833"/>
    <w:bookmarkEnd w:id="834"/>
    <w:bookmarkEnd w:id="835"/>
    <w:bookmarkEnd w:id="836"/>
    <w:bookmarkEnd w:id="837"/>
    <w:bookmarkEnd w:id="838"/>
    <w:p w14:paraId="239CB9E6">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2.2 发包人代表</w:t>
      </w:r>
    </w:p>
    <w:p w14:paraId="0C15AD3B">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发包人代表：</w:t>
      </w:r>
    </w:p>
    <w:p w14:paraId="3ECCCE5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姓    名：</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3E22915">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身份证号：</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E1E6A25">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职    务：</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6709F0A">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联系电话：</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415318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电子信箱：</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05C623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通信地址：</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39B8F2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b/>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发包人对发包人代表的授权范围如下：</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5FB217A">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2.4 施工现场、施工条件和基础资料的提供</w:t>
      </w:r>
    </w:p>
    <w:p w14:paraId="2654335A">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2.4.1 提供施工现场</w:t>
      </w:r>
    </w:p>
    <w:p w14:paraId="4B73A08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关于发包人移交施工现场的期限要求：</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5F033A5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2.4.2 提供施工条件</w:t>
      </w:r>
    </w:p>
    <w:p w14:paraId="6D1CD3F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关于发包人应负责提供施工所需要的条件，包括：</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AC42B8A">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2.5 资金来源证明及支付担保</w:t>
      </w:r>
    </w:p>
    <w:p w14:paraId="62DF9B12">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发包人提供资金来源证明的期限要求：</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BFF1BF9">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发包人是否提供支付担保：</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992848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发包人提供支付担保的形式：</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6CC273A">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839" w:name="_Toc351203635"/>
      <w:r>
        <w:rPr>
          <w:rFonts w:hint="default" w:ascii="Times New Roman" w:hAnsi="Times New Roman" w:eastAsia="方正小标宋_GBK" w:cs="Times New Roman"/>
          <w:b w:val="0"/>
          <w:color w:val="000000" w:themeColor="text1"/>
          <w:sz w:val="24"/>
          <w:szCs w:val="24"/>
          <w14:textFill>
            <w14:solidFill>
              <w14:schemeClr w14:val="tx1"/>
            </w14:solidFill>
          </w14:textFill>
        </w:rPr>
        <w:t>3</w:t>
      </w:r>
      <w:bookmarkStart w:id="840" w:name="_Toc297048344"/>
      <w:bookmarkStart w:id="841" w:name="_Toc292559363"/>
      <w:bookmarkStart w:id="842" w:name="_Toc292559868"/>
      <w:bookmarkStart w:id="843" w:name="_Toc296346659"/>
      <w:bookmarkStart w:id="844" w:name="_Toc296891198"/>
      <w:bookmarkStart w:id="845" w:name="_Toc297120458"/>
      <w:bookmarkStart w:id="846" w:name="_Toc296347157"/>
      <w:bookmarkStart w:id="847" w:name="_Toc296944497"/>
      <w:bookmarkStart w:id="848" w:name="_Toc296890986"/>
      <w:bookmarkStart w:id="849" w:name="_Toc296503158"/>
      <w:r>
        <w:rPr>
          <w:rFonts w:hint="default" w:ascii="Times New Roman" w:hAnsi="Times New Roman" w:eastAsia="方正小标宋_GBK" w:cs="Times New Roman"/>
          <w:b w:val="0"/>
          <w:color w:val="000000" w:themeColor="text1"/>
          <w:sz w:val="24"/>
          <w:szCs w:val="24"/>
          <w14:textFill>
            <w14:solidFill>
              <w14:schemeClr w14:val="tx1"/>
            </w14:solidFill>
          </w14:textFill>
        </w:rPr>
        <w:t>. 承包人</w:t>
      </w:r>
      <w:bookmarkEnd w:id="839"/>
    </w:p>
    <w:bookmarkEnd w:id="840"/>
    <w:bookmarkEnd w:id="841"/>
    <w:bookmarkEnd w:id="842"/>
    <w:bookmarkEnd w:id="843"/>
    <w:bookmarkEnd w:id="844"/>
    <w:bookmarkEnd w:id="845"/>
    <w:bookmarkEnd w:id="846"/>
    <w:bookmarkEnd w:id="847"/>
    <w:bookmarkEnd w:id="848"/>
    <w:bookmarkEnd w:id="849"/>
    <w:p w14:paraId="32CB17B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3.1 承包人的一般义务</w:t>
      </w:r>
    </w:p>
    <w:p w14:paraId="7355B91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（9）</w:t>
      </w:r>
      <w:r>
        <w:rPr>
          <w:rFonts w:hint="default" w:ascii="Times New Roman" w:hAnsi="Times New Roman" w:eastAsia="方正仿宋_GBK" w:cs="Times New Roman"/>
          <w:color w:val="000000" w:themeColor="text1"/>
          <w:sz w:val="24"/>
          <w:szCs w:val="24"/>
          <w14:textFill>
            <w14:solidFill>
              <w14:schemeClr w14:val="tx1"/>
            </w14:solidFill>
          </w14:textFill>
        </w:rPr>
        <w:t>承包人提交的竣工资料的内容：</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6A8F76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承包人需要提交的竣工资料套数：</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D5B5357">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承包人提交的竣工资料的费用承担：</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FBBCF56">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承包人提交的竣工资料移交时间：</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CE4CF0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承包人提交的竣工资料形式要求：</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2230AB7">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lang w:eastAsia="zh-CN"/>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（10）承包人应履行的其他义务：</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u w:val="single"/>
          <w:lang w:eastAsia="zh-CN"/>
          <w14:textFill>
            <w14:solidFill>
              <w14:schemeClr w14:val="tx1"/>
            </w14:solidFill>
          </w14:textFill>
        </w:rPr>
        <w:t>。</w:t>
      </w:r>
    </w:p>
    <w:p w14:paraId="03B941D7">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3.2 项目经理</w:t>
      </w:r>
    </w:p>
    <w:p w14:paraId="4EE4F28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3.2.1 </w:t>
      </w:r>
      <w:r>
        <w:rPr>
          <w:rFonts w:hint="default" w:ascii="Times New Roman" w:hAnsi="Times New Roman" w:eastAsia="方正仿宋_GBK" w:cs="Times New Roman"/>
          <w:color w:val="000000" w:themeColor="text1"/>
          <w:sz w:val="24"/>
          <w:szCs w:val="24"/>
          <w14:textFill>
            <w14:solidFill>
              <w14:schemeClr w14:val="tx1"/>
            </w14:solidFill>
          </w14:textFill>
        </w:rPr>
        <w:t>项目经理：</w:t>
      </w:r>
    </w:p>
    <w:p w14:paraId="6AF019C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姓    名：</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38BE75B">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身份证号：</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E2C63D9">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建造师执业资格等级：</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C526CD4">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建造师注册证书号：</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C382232">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建造师执业印章号：</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80256A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安全生产考核合格证书号：</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05B3202">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联系电话：</w:t>
      </w:r>
      <w:r>
        <w:rPr>
          <w:rFonts w:hint="default" w:ascii="Times New Roman" w:hAnsi="Times New Roman" w:eastAsia="方正仿宋_GBK" w:cs="Times New Roman"/>
          <w:color w:val="000000" w:themeColor="text1"/>
          <w:sz w:val="24"/>
          <w:szCs w:val="24"/>
          <w:u w:val="single"/>
          <w14:textFill>
            <w14:solidFill>
              <w14:schemeClr w14:val="tx1"/>
            </w14:solidFill>
          </w14:textFill>
        </w:rPr>
        <w:t>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2969B8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电子信箱：</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9CE203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通信地址：</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08B4BA7">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承包人对项目经理的授权范围如下：</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A4FFA1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关于项目经理每月在施工现场的时间要求：</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0E23F3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承包人未提交劳动合同，以及没有为项目经理缴纳社会保险证明的违约责任：</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C66A4FC">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项目经理未经批准，擅自离开施工现场的违约责任：</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738FFA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3.2.3 承包人擅自更换项目经理的违约责任：</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8F119EF">
      <w:pPr>
        <w:pageBreakBefore w:val="0"/>
        <w:widowControl w:val="0"/>
        <w:kinsoku/>
        <w:wordWrap/>
        <w:overflowPunct/>
        <w:topLinePunct w:val="0"/>
        <w:bidi w:val="0"/>
        <w:snapToGrid/>
        <w:spacing w:line="400" w:lineRule="exact"/>
        <w:ind w:left="0" w:leftChars="0" w:right="0" w:rightChars="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    3.2.4 承包人无正当理由拒绝更换项目经理的违约责任：</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16F06DC">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3.3 承包人人员</w:t>
      </w:r>
    </w:p>
    <w:p w14:paraId="44D217F1">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3.3.1 承包人提交项目管理机构及施工现场管理人员安排报告的期限：</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A4517FB">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3.3.3 承包人无正当理由拒绝撤换主要施工管理人员的违约责任：</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194C215">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3.3.4 承包人主要施工管理人员离开施工现场的批准要求：</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FDA1573">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3.3.5承包人擅自更换主要施工管理人员的违约责任：</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A9BA77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承包人主要施工管理人员擅自离开施工现场的违约责任：</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B9DEE6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w:t>
      </w:r>
      <w:bookmarkStart w:id="850" w:name="_Toc296347158"/>
      <w:bookmarkStart w:id="851" w:name="_Toc312677988"/>
      <w:bookmarkStart w:id="852" w:name="_Toc292559869"/>
      <w:bookmarkStart w:id="853" w:name="_Toc297120459"/>
      <w:bookmarkStart w:id="854" w:name="_Toc300934945"/>
      <w:bookmarkStart w:id="855" w:name="_Toc296891199"/>
      <w:bookmarkStart w:id="856" w:name="_Toc296346660"/>
      <w:bookmarkStart w:id="857" w:name="_Toc296944498"/>
      <w:bookmarkStart w:id="858" w:name="_Toc297048345"/>
      <w:bookmarkStart w:id="859" w:name="_Toc296890987"/>
      <w:bookmarkStart w:id="860" w:name="_Toc292559364"/>
      <w:bookmarkStart w:id="861" w:name="_Toc304295523"/>
      <w:bookmarkStart w:id="862" w:name="_Toc303539102"/>
      <w:bookmarkStart w:id="863" w:name="_Toc297123492"/>
      <w:bookmarkStart w:id="864" w:name="_Toc297216151"/>
      <w:bookmarkStart w:id="865" w:name="_Toc296503159"/>
      <w:r>
        <w:rPr>
          <w:rFonts w:hint="default" w:ascii="Times New Roman" w:hAnsi="Times New Roman" w:eastAsia="方正仿宋_GBK" w:cs="Times New Roman"/>
          <w:color w:val="000000" w:themeColor="text1"/>
          <w:sz w:val="24"/>
          <w:szCs w:val="24"/>
          <w14:textFill>
            <w14:solidFill>
              <w14:schemeClr w14:val="tx1"/>
            </w14:solidFill>
          </w14:textFill>
        </w:rPr>
        <w:t>.5 分包</w:t>
      </w:r>
    </w:p>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14:paraId="33CB73DD">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w:t>
      </w:r>
      <w:bookmarkStart w:id="866" w:name="_Toc297048346"/>
      <w:bookmarkStart w:id="867" w:name="_Toc296503160"/>
      <w:bookmarkStart w:id="868" w:name="_Toc297120460"/>
      <w:bookmarkStart w:id="869" w:name="_Toc292559365"/>
      <w:bookmarkStart w:id="870" w:name="_Toc292559870"/>
      <w:bookmarkStart w:id="871" w:name="_Toc296347159"/>
      <w:bookmarkStart w:id="872" w:name="_Toc304295524"/>
      <w:bookmarkStart w:id="873" w:name="_Toc297216152"/>
      <w:bookmarkStart w:id="874" w:name="_Toc296890988"/>
      <w:bookmarkStart w:id="875" w:name="_Toc296346661"/>
      <w:bookmarkStart w:id="876" w:name="_Toc297123493"/>
      <w:bookmarkStart w:id="877" w:name="_Toc300934946"/>
      <w:bookmarkStart w:id="878" w:name="_Toc296891200"/>
      <w:bookmarkStart w:id="879" w:name="_Toc303539103"/>
      <w:bookmarkStart w:id="880" w:name="_Toc296944499"/>
      <w:bookmarkStart w:id="881" w:name="_Toc312677989"/>
      <w:bookmarkStart w:id="882" w:name="_Toc318581158"/>
      <w:r>
        <w:rPr>
          <w:rFonts w:hint="default" w:ascii="Times New Roman" w:hAnsi="Times New Roman" w:eastAsia="方正仿宋_GBK" w:cs="Times New Roman"/>
          <w:color w:val="000000" w:themeColor="text1"/>
          <w:sz w:val="24"/>
          <w:szCs w:val="24"/>
          <w14:textFill>
            <w14:solidFill>
              <w14:schemeClr w14:val="tx1"/>
            </w14:solidFill>
          </w14:textFill>
        </w:rPr>
        <w:t>.5.1 分包的一般约定</w:t>
      </w:r>
    </w:p>
    <w:p w14:paraId="6E246FF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禁止分包的工程包括：</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30B752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主体结构、关键性工作的范围：</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Start w:id="883" w:name="_Toc296944500"/>
      <w:bookmarkStart w:id="884" w:name="_Toc296346662"/>
      <w:bookmarkStart w:id="885" w:name="_Toc297216153"/>
      <w:bookmarkStart w:id="886" w:name="_Toc297120461"/>
      <w:bookmarkStart w:id="887" w:name="_Toc304295525"/>
      <w:bookmarkStart w:id="888" w:name="_Toc297123494"/>
      <w:bookmarkStart w:id="889" w:name="_Toc296347160"/>
      <w:bookmarkStart w:id="890" w:name="_Toc296890989"/>
      <w:bookmarkStart w:id="891" w:name="_Toc300934947"/>
      <w:bookmarkStart w:id="892" w:name="_Toc296503161"/>
      <w:bookmarkStart w:id="893" w:name="_Toc297048347"/>
      <w:bookmarkStart w:id="894" w:name="_Toc303539104"/>
      <w:bookmarkStart w:id="895" w:name="_Toc296891201"/>
    </w:p>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p w14:paraId="095D0416">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    3</w:t>
      </w:r>
      <w:bookmarkStart w:id="896" w:name="_Toc312677990"/>
      <w:bookmarkStart w:id="897" w:name="_Toc318581159"/>
      <w:r>
        <w:rPr>
          <w:rFonts w:hint="default" w:ascii="Times New Roman" w:hAnsi="Times New Roman" w:eastAsia="方正仿宋_GBK" w:cs="Times New Roman"/>
          <w:color w:val="000000" w:themeColor="text1"/>
          <w:sz w:val="24"/>
          <w:szCs w:val="24"/>
          <w14:textFill>
            <w14:solidFill>
              <w14:schemeClr w14:val="tx1"/>
            </w14:solidFill>
          </w14:textFill>
        </w:rPr>
        <w:t>.5.2分包的确定</w:t>
      </w:r>
    </w:p>
    <w:p w14:paraId="1D9B13F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允许分包的专业工程包括：</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769C71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其他关于分包的约定：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AD4D71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3.5.4 分包合同价款</w:t>
      </w:r>
    </w:p>
    <w:p w14:paraId="1FE050A7">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关于分包合同价款支付的约定：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bookmarkEnd w:id="896"/>
    <w:bookmarkEnd w:id="897"/>
    <w:p w14:paraId="2737BB41">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3.6 工程照管与成品、半成品保护</w:t>
      </w:r>
    </w:p>
    <w:p w14:paraId="3E6A2FF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承包人负责照管工程及工程相关的材料、工程设备的起始时间：</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4F738BBC">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3.7 履约担保</w:t>
      </w:r>
    </w:p>
    <w:p w14:paraId="52F816D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承包人是否提供履约担保：</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AB2BCA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承包人提供履约担保的形式、金额及</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期限</w:t>
      </w:r>
      <w:r>
        <w:rPr>
          <w:rFonts w:hint="default" w:ascii="Times New Roman" w:hAnsi="Times New Roman" w:eastAsia="方正仿宋_GBK" w:cs="Times New Roman"/>
          <w:color w:val="000000" w:themeColor="text1"/>
          <w:sz w:val="24"/>
          <w:szCs w:val="24"/>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7CC0225">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898" w:name="_Toc351203636"/>
      <w:r>
        <w:rPr>
          <w:rFonts w:hint="default" w:ascii="Times New Roman" w:hAnsi="Times New Roman" w:eastAsia="方正小标宋_GBK" w:cs="Times New Roman"/>
          <w:b w:val="0"/>
          <w:color w:val="000000" w:themeColor="text1"/>
          <w:sz w:val="24"/>
          <w:szCs w:val="24"/>
          <w14:textFill>
            <w14:solidFill>
              <w14:schemeClr w14:val="tx1"/>
            </w14:solidFill>
          </w14:textFill>
        </w:rPr>
        <w:t>4</w:t>
      </w:r>
      <w:bookmarkStart w:id="899" w:name="_Toc297120462"/>
      <w:bookmarkStart w:id="900" w:name="_Toc297048348"/>
      <w:bookmarkStart w:id="901" w:name="_Toc267251413"/>
      <w:bookmarkStart w:id="902" w:name="_Toc296891202"/>
      <w:bookmarkStart w:id="903" w:name="_Toc296346663"/>
      <w:bookmarkStart w:id="904" w:name="_Toc292559871"/>
      <w:bookmarkStart w:id="905" w:name="_Toc296890990"/>
      <w:bookmarkStart w:id="906" w:name="_Toc296944501"/>
      <w:bookmarkStart w:id="907" w:name="_Toc296347161"/>
      <w:bookmarkStart w:id="908" w:name="_Toc292559366"/>
      <w:bookmarkStart w:id="909" w:name="_Toc296503162"/>
      <w:r>
        <w:rPr>
          <w:rFonts w:hint="default" w:ascii="Times New Roman" w:hAnsi="Times New Roman" w:eastAsia="方正小标宋_GBK" w:cs="Times New Roman"/>
          <w:b w:val="0"/>
          <w:color w:val="000000" w:themeColor="text1"/>
          <w:sz w:val="24"/>
          <w:szCs w:val="24"/>
          <w14:textFill>
            <w14:solidFill>
              <w14:schemeClr w14:val="tx1"/>
            </w14:solidFill>
          </w14:textFill>
        </w:rPr>
        <w:t>. 监</w:t>
      </w:r>
      <w:bookmarkEnd w:id="899"/>
      <w:bookmarkEnd w:id="900"/>
      <w:bookmarkEnd w:id="901"/>
      <w:bookmarkEnd w:id="902"/>
      <w:bookmarkEnd w:id="903"/>
      <w:bookmarkEnd w:id="904"/>
      <w:bookmarkEnd w:id="905"/>
      <w:bookmarkEnd w:id="906"/>
      <w:bookmarkEnd w:id="907"/>
      <w:bookmarkEnd w:id="908"/>
      <w:bookmarkEnd w:id="909"/>
      <w:r>
        <w:rPr>
          <w:rFonts w:hint="default" w:ascii="Times New Roman" w:hAnsi="Times New Roman" w:eastAsia="方正小标宋_GBK" w:cs="Times New Roman"/>
          <w:b w:val="0"/>
          <w:color w:val="000000" w:themeColor="text1"/>
          <w:sz w:val="24"/>
          <w:szCs w:val="24"/>
          <w14:textFill>
            <w14:solidFill>
              <w14:schemeClr w14:val="tx1"/>
            </w14:solidFill>
          </w14:textFill>
        </w:rPr>
        <w:t>理人</w:t>
      </w:r>
      <w:bookmarkEnd w:id="898"/>
    </w:p>
    <w:p w14:paraId="2EBE1973">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4.1监理人的一般规定</w:t>
      </w:r>
    </w:p>
    <w:p w14:paraId="6802DC6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关于监理人的监理内容：</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AAC085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关于监理人的监理权限：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48930BD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关于监理人在施工现场的办公场所、生活场所的提供和费用承担的约定：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29C3ED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4.2 监理人员</w:t>
      </w:r>
    </w:p>
    <w:p w14:paraId="3C58027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总监理工程师：</w:t>
      </w:r>
    </w:p>
    <w:p w14:paraId="097DC41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姓    名：</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49A5FA7">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职    务：</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36498BA">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监理工程师执业资格证书号：</w:t>
      </w:r>
      <w:r>
        <w:rPr>
          <w:rFonts w:hint="default" w:ascii="Times New Roman" w:hAnsi="Times New Roman" w:eastAsia="方正仿宋_GBK" w:cs="Times New Roman"/>
          <w:color w:val="000000" w:themeColor="text1"/>
          <w:sz w:val="24"/>
          <w:szCs w:val="24"/>
          <w:u w:val="single"/>
          <w14:textFill>
            <w14:solidFill>
              <w14:schemeClr w14:val="tx1"/>
            </w14:solidFill>
          </w14:textFill>
        </w:rPr>
        <w:t>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1CE058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联系电话：</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D3AF1D4">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电子信箱：</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0F875DB">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通信地址：</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0D0499B">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关于监理人的其他约定：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A911FAB">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4.4 商定或确定</w:t>
      </w:r>
    </w:p>
    <w:p w14:paraId="06406015">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bookmarkStart w:id="910" w:name="_Toc267251418"/>
      <w:r>
        <w:rPr>
          <w:rFonts w:hint="default" w:ascii="Times New Roman" w:hAnsi="Times New Roman" w:eastAsia="方正仿宋_GBK" w:cs="Times New Roman"/>
          <w:color w:val="000000" w:themeColor="text1"/>
          <w:sz w:val="24"/>
          <w:szCs w:val="24"/>
          <w14:textFill>
            <w14:solidFill>
              <w14:schemeClr w14:val="tx1"/>
            </w14:solidFill>
          </w14:textFill>
        </w:rPr>
        <w:t>在发包人和承包人不能通过协商达成一致意见时，发包人授权监理人对以下事项进行确定：</w:t>
      </w:r>
    </w:p>
    <w:p w14:paraId="4EC29003">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eastAsia="zh-CN"/>
          <w14:textFill>
            <w14:solidFill>
              <w14:schemeClr w14:val="tx1"/>
            </w14:solidFill>
          </w14:textFill>
        </w:rPr>
        <w:t>;</w:t>
      </w:r>
    </w:p>
    <w:p w14:paraId="739EE2E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eastAsia="zh-CN"/>
          <w14:textFill>
            <w14:solidFill>
              <w14:schemeClr w14:val="tx1"/>
            </w14:solidFill>
          </w14:textFill>
        </w:rPr>
        <w:t>;</w:t>
      </w:r>
    </w:p>
    <w:p w14:paraId="4F479EC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eastAsia="zh-CN"/>
          <w14:textFill>
            <w14:solidFill>
              <w14:schemeClr w14:val="tx1"/>
            </w14:solidFill>
          </w14:textFill>
        </w:rPr>
        <w:t>.</w:t>
      </w:r>
    </w:p>
    <w:p w14:paraId="7194D1B9">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911" w:name="_Toc351203637"/>
      <w:r>
        <w:rPr>
          <w:rFonts w:hint="default" w:ascii="Times New Roman" w:hAnsi="Times New Roman" w:eastAsia="方正小标宋_GBK" w:cs="Times New Roman"/>
          <w:b w:val="0"/>
          <w:color w:val="000000" w:themeColor="text1"/>
          <w:sz w:val="24"/>
          <w:szCs w:val="24"/>
          <w14:textFill>
            <w14:solidFill>
              <w14:schemeClr w14:val="tx1"/>
            </w14:solidFill>
          </w14:textFill>
        </w:rPr>
        <w:t>5</w:t>
      </w:r>
      <w:bookmarkEnd w:id="910"/>
      <w:bookmarkStart w:id="912" w:name="_Toc292559872"/>
      <w:bookmarkStart w:id="913" w:name="_Toc296503163"/>
      <w:bookmarkStart w:id="914" w:name="_Toc296346664"/>
      <w:bookmarkStart w:id="915" w:name="_Toc296944502"/>
      <w:bookmarkStart w:id="916" w:name="_Toc296347162"/>
      <w:bookmarkStart w:id="917" w:name="_Toc297120463"/>
      <w:bookmarkStart w:id="918" w:name="_Toc296890991"/>
      <w:bookmarkStart w:id="919" w:name="_Toc296891203"/>
      <w:bookmarkStart w:id="920" w:name="_Toc292559367"/>
      <w:bookmarkStart w:id="921" w:name="_Toc297048349"/>
      <w:r>
        <w:rPr>
          <w:rFonts w:hint="default" w:ascii="Times New Roman" w:hAnsi="Times New Roman" w:eastAsia="方正小标宋_GBK" w:cs="Times New Roman"/>
          <w:b w:val="0"/>
          <w:color w:val="000000" w:themeColor="text1"/>
          <w:sz w:val="24"/>
          <w:szCs w:val="24"/>
          <w14:textFill>
            <w14:solidFill>
              <w14:schemeClr w14:val="tx1"/>
            </w14:solidFill>
          </w14:textFill>
        </w:rPr>
        <w:t>. 工程质量</w:t>
      </w:r>
      <w:bookmarkEnd w:id="911"/>
    </w:p>
    <w:p w14:paraId="734D4231">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5.1 质量要求</w:t>
      </w:r>
    </w:p>
    <w:p w14:paraId="1E9A243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5</w:t>
      </w:r>
      <w:bookmarkStart w:id="922" w:name="_Toc303539106"/>
      <w:bookmarkStart w:id="923" w:name="_Toc304295527"/>
      <w:bookmarkStart w:id="924" w:name="_Toc300934949"/>
      <w:bookmarkStart w:id="925" w:name="_Toc318581164"/>
      <w:bookmarkStart w:id="926" w:name="_Toc297216155"/>
      <w:bookmarkStart w:id="927" w:name="_Toc297123496"/>
      <w:bookmarkStart w:id="928" w:name="_Toc312677997"/>
      <w:r>
        <w:rPr>
          <w:rFonts w:hint="default" w:ascii="Times New Roman" w:hAnsi="Times New Roman" w:eastAsia="方正仿宋_GBK" w:cs="Times New Roman"/>
          <w:color w:val="000000" w:themeColor="text1"/>
          <w:sz w:val="24"/>
          <w:szCs w:val="24"/>
          <w14:textFill>
            <w14:solidFill>
              <w14:schemeClr w14:val="tx1"/>
            </w14:solidFill>
          </w14:textFill>
        </w:rPr>
        <w:t>.1.1 特殊质量标准和要求：</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1FDA79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关于工程奖项的约定：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E1FFBB7">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5.3 隐蔽工程检查</w:t>
      </w:r>
    </w:p>
    <w:p w14:paraId="3D2918B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5.3.2承包人提前通知监理人隐蔽工程检查的期限的约定：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272044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监理人不能按时进行检查时，应提前</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小时提交书面延期要求。</w:t>
      </w:r>
    </w:p>
    <w:p w14:paraId="7B3F9D9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关于延期最长不得超过：</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小时。</w:t>
      </w:r>
    </w:p>
    <w:p w14:paraId="14C15F0A">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929" w:name="_Toc351203638"/>
      <w:r>
        <w:rPr>
          <w:rFonts w:hint="default" w:ascii="Times New Roman" w:hAnsi="Times New Roman" w:eastAsia="方正小标宋_GBK" w:cs="Times New Roman"/>
          <w:b w:val="0"/>
          <w:color w:val="000000" w:themeColor="text1"/>
          <w:sz w:val="24"/>
          <w:szCs w:val="24"/>
          <w14:textFill>
            <w14:solidFill>
              <w14:schemeClr w14:val="tx1"/>
            </w14:solidFill>
          </w14:textFill>
        </w:rPr>
        <w:t>6. 安全文明施工与环境保护</w:t>
      </w:r>
      <w:bookmarkEnd w:id="929"/>
    </w:p>
    <w:p w14:paraId="7307802B">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6.1安全文明施工</w:t>
      </w:r>
    </w:p>
    <w:p w14:paraId="2DAA865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6.1.1 项目安全生产的达标目标及相应事项的约定：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01D694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6.1.4 关于治安保卫的特别约定：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3D15D0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关于编制施工场地治安管理计划的约定：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D0BDE2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6.1.5 文明施工</w:t>
      </w:r>
    </w:p>
    <w:p w14:paraId="2776E5B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合同当事人对文明施工的要求：</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9E433F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6.1.6 关于安全文明施工费支付比例和支付期限的约定：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bookmarkEnd w:id="922"/>
    <w:bookmarkEnd w:id="923"/>
    <w:bookmarkEnd w:id="924"/>
    <w:bookmarkEnd w:id="925"/>
    <w:bookmarkEnd w:id="926"/>
    <w:bookmarkEnd w:id="927"/>
    <w:bookmarkEnd w:id="928"/>
    <w:p w14:paraId="1778D0B4">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930" w:name="_Toc351203639"/>
      <w:r>
        <w:rPr>
          <w:rFonts w:hint="default" w:ascii="Times New Roman" w:hAnsi="Times New Roman" w:eastAsia="方正小标宋_GBK" w:cs="Times New Roman"/>
          <w:b w:val="0"/>
          <w:color w:val="000000" w:themeColor="text1"/>
          <w:sz w:val="24"/>
          <w:szCs w:val="24"/>
          <w14:textFill>
            <w14:solidFill>
              <w14:schemeClr w14:val="tx1"/>
            </w14:solidFill>
          </w14:textFill>
        </w:rPr>
        <w:t>7. 工期和进度</w:t>
      </w:r>
      <w:bookmarkEnd w:id="930"/>
    </w:p>
    <w:p w14:paraId="513C0C2C">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7.1 施工组织设计</w:t>
      </w:r>
    </w:p>
    <w:p w14:paraId="4E59A4D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7.1.1 合</w:t>
      </w:r>
      <w:r>
        <w:rPr>
          <w:rFonts w:hint="default" w:ascii="Times New Roman" w:hAnsi="Times New Roman" w:eastAsia="方正仿宋_GBK" w:cs="Times New Roman"/>
          <w:color w:val="000000" w:themeColor="text1"/>
          <w:kern w:val="0"/>
          <w:sz w:val="24"/>
          <w:szCs w:val="24"/>
          <w14:textFill>
            <w14:solidFill>
              <w14:schemeClr w14:val="tx1"/>
            </w14:solidFill>
          </w14:textFill>
        </w:rPr>
        <w:t>同当事人约定的施工组织设计应包括的其他内容：</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6392BD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7.1.2 </w:t>
      </w:r>
      <w:r>
        <w:rPr>
          <w:rFonts w:hint="default" w:ascii="Times New Roman" w:hAnsi="Times New Roman" w:eastAsia="方正仿宋_GBK" w:cs="Times New Roman"/>
          <w:color w:val="000000" w:themeColor="text1"/>
          <w:kern w:val="0"/>
          <w:sz w:val="24"/>
          <w:szCs w:val="24"/>
          <w14:textFill>
            <w14:solidFill>
              <w14:schemeClr w14:val="tx1"/>
            </w14:solidFill>
          </w14:textFill>
        </w:rPr>
        <w:t>施工组织设计的提交和修改</w:t>
      </w:r>
    </w:p>
    <w:p w14:paraId="0B9DF26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承包人提交详细施工组织设计的期限的约定：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2AA11B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发包人和监理人在收到详细的施工组织设计后确认或提出修改意见的期限：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CE252C4">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w:t>
      </w:r>
      <w:bookmarkStart w:id="931" w:name="_Toc312677479"/>
      <w:bookmarkStart w:id="932" w:name="_Toc297216173"/>
      <w:bookmarkStart w:id="933" w:name="_Toc300934966"/>
      <w:bookmarkStart w:id="934" w:name="_Toc303539123"/>
      <w:bookmarkStart w:id="935" w:name="_Toc312678005"/>
      <w:bookmarkStart w:id="936" w:name="_Toc297123514"/>
      <w:bookmarkStart w:id="937" w:name="_Toc304295541"/>
      <w:r>
        <w:rPr>
          <w:rFonts w:hint="default" w:ascii="Times New Roman" w:hAnsi="Times New Roman" w:eastAsia="方正仿宋_GBK" w:cs="Times New Roman"/>
          <w:color w:val="000000" w:themeColor="text1"/>
          <w:sz w:val="24"/>
          <w:szCs w:val="24"/>
          <w14:textFill>
            <w14:solidFill>
              <w14:schemeClr w14:val="tx1"/>
            </w14:solidFill>
          </w14:textFill>
        </w:rPr>
        <w:t>.2 施工进度计划</w:t>
      </w:r>
    </w:p>
    <w:p w14:paraId="0E4F7A3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7.2.2 施工进度计划的修订</w:t>
      </w:r>
    </w:p>
    <w:p w14:paraId="6CADD0C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发包人和监理人在收到修订的施工进度计划后确认或提出修改意见的期限：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2E4A0F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7.3 开工</w:t>
      </w:r>
    </w:p>
    <w:p w14:paraId="6B2A911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7.3.1 开工准备</w:t>
      </w:r>
    </w:p>
    <w:p w14:paraId="15791251">
      <w:pPr>
        <w:pageBreakBefore w:val="0"/>
        <w:widowControl w:val="0"/>
        <w:kinsoku/>
        <w:wordWrap/>
        <w:overflowPunct/>
        <w:topLinePunct w:val="0"/>
        <w:bidi w:val="0"/>
        <w:snapToGrid/>
        <w:spacing w:line="400" w:lineRule="exact"/>
        <w:ind w:left="0" w:leftChars="0" w:right="0" w:rightChars="0" w:firstLine="645"/>
        <w:jc w:val="left"/>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关于承包人提交</w:t>
      </w:r>
      <w:r>
        <w:rPr>
          <w:rFonts w:hint="default" w:ascii="Times New Roman" w:hAnsi="Times New Roman" w:eastAsia="方正仿宋_GBK" w:cs="Times New Roman"/>
          <w:color w:val="000000" w:themeColor="text1"/>
          <w:kern w:val="0"/>
          <w:sz w:val="24"/>
          <w:szCs w:val="24"/>
          <w14:textFill>
            <w14:solidFill>
              <w14:schemeClr w14:val="tx1"/>
            </w14:solidFill>
          </w14:textFill>
        </w:rPr>
        <w:t>工程开工报审表的期限：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367CA5C">
      <w:pPr>
        <w:pageBreakBefore w:val="0"/>
        <w:widowControl w:val="0"/>
        <w:kinsoku/>
        <w:wordWrap/>
        <w:overflowPunct/>
        <w:topLinePunct w:val="0"/>
        <w:bidi w:val="0"/>
        <w:snapToGrid/>
        <w:spacing w:line="400" w:lineRule="exact"/>
        <w:ind w:left="0" w:leftChars="0" w:right="0" w:rightChars="0" w:firstLine="645"/>
        <w:jc w:val="left"/>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关于发包人应完成的其他开工准备工作及期限：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3F6A00AA">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2C44C4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关于承包人应完成的其他开工准备工作及期限：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A1A1B7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7.3.2开工通知</w:t>
      </w:r>
    </w:p>
    <w:p w14:paraId="1304825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因发包人原因造成监理人未能在计划开工日期之日起</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天内发出开工通知的，承包人有权提出价格调整要求，或者解除合同。</w:t>
      </w:r>
    </w:p>
    <w:bookmarkEnd w:id="931"/>
    <w:bookmarkEnd w:id="932"/>
    <w:bookmarkEnd w:id="933"/>
    <w:bookmarkEnd w:id="934"/>
    <w:bookmarkEnd w:id="935"/>
    <w:bookmarkEnd w:id="936"/>
    <w:bookmarkEnd w:id="937"/>
    <w:p w14:paraId="1AF7EE6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7.4 测量放线</w:t>
      </w:r>
    </w:p>
    <w:p w14:paraId="581DB86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7.4.1发包人通过监理人向承包人提供测量基准点、基准线和水准点及其书面资料的期限：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3FE1BB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w:t>
      </w:r>
      <w:bookmarkStart w:id="938" w:name="_Toc297216175"/>
      <w:bookmarkStart w:id="939" w:name="_Toc304295546"/>
      <w:bookmarkStart w:id="940" w:name="_Toc312677484"/>
      <w:bookmarkStart w:id="941" w:name="_Toc303539125"/>
      <w:bookmarkStart w:id="942" w:name="_Toc312678010"/>
      <w:bookmarkStart w:id="943" w:name="_Toc300934968"/>
      <w:bookmarkStart w:id="944" w:name="_Toc297123516"/>
      <w:r>
        <w:rPr>
          <w:rFonts w:hint="default" w:ascii="Times New Roman" w:hAnsi="Times New Roman" w:eastAsia="方正仿宋_GBK" w:cs="Times New Roman"/>
          <w:color w:val="000000" w:themeColor="text1"/>
          <w:sz w:val="24"/>
          <w:szCs w:val="24"/>
          <w14:textFill>
            <w14:solidFill>
              <w14:schemeClr w14:val="tx1"/>
            </w14:solidFill>
          </w14:textFill>
        </w:rPr>
        <w:t>.5 工期延误</w:t>
      </w:r>
    </w:p>
    <w:bookmarkEnd w:id="938"/>
    <w:bookmarkEnd w:id="939"/>
    <w:bookmarkEnd w:id="940"/>
    <w:bookmarkEnd w:id="941"/>
    <w:bookmarkEnd w:id="942"/>
    <w:bookmarkEnd w:id="943"/>
    <w:bookmarkEnd w:id="944"/>
    <w:p w14:paraId="1FBC38B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7.5.1 因发包人原因导致工期延误</w:t>
      </w:r>
    </w:p>
    <w:p w14:paraId="0B0838A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（7）因发包人原因导致工期延误的其他情形：</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53AA33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w:t>
      </w:r>
      <w:bookmarkStart w:id="945" w:name="_Toc312677486"/>
      <w:bookmarkStart w:id="946" w:name="_Toc318581169"/>
      <w:bookmarkStart w:id="947" w:name="_Toc312678012"/>
      <w:bookmarkStart w:id="948" w:name="_Toc304295548"/>
      <w:bookmarkStart w:id="949" w:name="_Toc300934970"/>
      <w:bookmarkStart w:id="950" w:name="_Toc297216177"/>
      <w:bookmarkStart w:id="951" w:name="_Toc297123518"/>
      <w:bookmarkStart w:id="952" w:name="_Toc303539127"/>
      <w:r>
        <w:rPr>
          <w:rFonts w:hint="default" w:ascii="Times New Roman" w:hAnsi="Times New Roman" w:eastAsia="方正仿宋_GBK" w:cs="Times New Roman"/>
          <w:color w:val="000000" w:themeColor="text1"/>
          <w:sz w:val="24"/>
          <w:szCs w:val="24"/>
          <w14:textFill>
            <w14:solidFill>
              <w14:schemeClr w14:val="tx1"/>
            </w14:solidFill>
          </w14:textFill>
        </w:rPr>
        <w:t>.5.2 因承包人原因导致工期延误</w:t>
      </w:r>
    </w:p>
    <w:bookmarkEnd w:id="945"/>
    <w:bookmarkEnd w:id="946"/>
    <w:bookmarkEnd w:id="947"/>
    <w:p w14:paraId="4947CAF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因</w:t>
      </w:r>
      <w:bookmarkStart w:id="953" w:name="_Toc312678013"/>
      <w:bookmarkStart w:id="954" w:name="_Toc312677487"/>
      <w:bookmarkStart w:id="955" w:name="_Toc318581170"/>
      <w:r>
        <w:rPr>
          <w:rFonts w:hint="default" w:ascii="Times New Roman" w:hAnsi="Times New Roman" w:eastAsia="方正仿宋_GBK" w:cs="Times New Roman"/>
          <w:color w:val="000000" w:themeColor="text1"/>
          <w:sz w:val="24"/>
          <w:szCs w:val="24"/>
          <w14:textFill>
            <w14:solidFill>
              <w14:schemeClr w14:val="tx1"/>
            </w14:solidFill>
          </w14:textFill>
        </w:rPr>
        <w:t>承包人原因造成工期延误，逾期竣工违约金的计算方法为：</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bookmarkEnd w:id="948"/>
      <w:bookmarkEnd w:id="949"/>
      <w:bookmarkEnd w:id="950"/>
      <w:bookmarkEnd w:id="951"/>
      <w:bookmarkEnd w:id="952"/>
      <w:bookmarkEnd w:id="953"/>
      <w:bookmarkEnd w:id="954"/>
    </w:p>
    <w:bookmarkEnd w:id="955"/>
    <w:p w14:paraId="58D16DA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lang w:eastAsia="zh-CN"/>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因承包人原因造成工期延误，逾</w:t>
      </w:r>
      <w:bookmarkStart w:id="956" w:name="_Toc318581171"/>
      <w:bookmarkStart w:id="957" w:name="_Toc312678014"/>
      <w:r>
        <w:rPr>
          <w:rFonts w:hint="default" w:ascii="Times New Roman" w:hAnsi="Times New Roman" w:eastAsia="方正仿宋_GBK" w:cs="Times New Roman"/>
          <w:color w:val="000000" w:themeColor="text1"/>
          <w:sz w:val="24"/>
          <w:szCs w:val="24"/>
          <w14:textFill>
            <w14:solidFill>
              <w14:schemeClr w14:val="tx1"/>
            </w14:solidFill>
          </w14:textFill>
        </w:rPr>
        <w:t>期竣工违约金的上限：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eastAsia="zh-CN"/>
          <w14:textFill>
            <w14:solidFill>
              <w14:schemeClr w14:val="tx1"/>
            </w14:solidFill>
          </w14:textFill>
        </w:rPr>
        <w:t>。</w:t>
      </w:r>
    </w:p>
    <w:bookmarkEnd w:id="956"/>
    <w:bookmarkEnd w:id="957"/>
    <w:p w14:paraId="4894778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w:t>
      </w:r>
      <w:bookmarkStart w:id="958" w:name="_Toc312678015"/>
      <w:bookmarkStart w:id="959" w:name="_Toc297216178"/>
      <w:bookmarkStart w:id="960" w:name="_Toc303539128"/>
      <w:bookmarkStart w:id="961" w:name="_Toc304295549"/>
      <w:bookmarkStart w:id="962" w:name="_Toc297123519"/>
      <w:bookmarkStart w:id="963" w:name="_Toc300934971"/>
      <w:r>
        <w:rPr>
          <w:rFonts w:hint="default" w:ascii="Times New Roman" w:hAnsi="Times New Roman" w:eastAsia="方正仿宋_GBK" w:cs="Times New Roman"/>
          <w:color w:val="000000" w:themeColor="text1"/>
          <w:sz w:val="24"/>
          <w:szCs w:val="24"/>
          <w14:textFill>
            <w14:solidFill>
              <w14:schemeClr w14:val="tx1"/>
            </w14:solidFill>
          </w14:textFill>
        </w:rPr>
        <w:t>.6 不</w:t>
      </w:r>
      <w:bookmarkEnd w:id="958"/>
      <w:bookmarkEnd w:id="959"/>
      <w:bookmarkEnd w:id="960"/>
      <w:bookmarkEnd w:id="961"/>
      <w:bookmarkEnd w:id="962"/>
      <w:bookmarkEnd w:id="963"/>
      <w:r>
        <w:rPr>
          <w:rFonts w:hint="default" w:ascii="Times New Roman" w:hAnsi="Times New Roman" w:eastAsia="方正仿宋_GBK" w:cs="Times New Roman"/>
          <w:color w:val="000000" w:themeColor="text1"/>
          <w:sz w:val="24"/>
          <w:szCs w:val="24"/>
          <w14:textFill>
            <w14:solidFill>
              <w14:schemeClr w14:val="tx1"/>
            </w14:solidFill>
          </w14:textFill>
        </w:rPr>
        <w:t>利物质条件</w:t>
      </w:r>
    </w:p>
    <w:p w14:paraId="2352087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bookmarkStart w:id="964" w:name="_Toc297123520"/>
      <w:bookmarkStart w:id="965" w:name="_Toc318581172"/>
      <w:bookmarkStart w:id="966" w:name="_Toc300934972"/>
      <w:bookmarkStart w:id="967" w:name="_Toc312678016"/>
      <w:bookmarkStart w:id="968" w:name="_Toc297216179"/>
      <w:bookmarkStart w:id="969" w:name="_Toc304295550"/>
      <w:bookmarkStart w:id="970" w:name="_Toc303539129"/>
      <w:r>
        <w:rPr>
          <w:rFonts w:hint="default" w:ascii="Times New Roman" w:hAnsi="Times New Roman" w:eastAsia="方正仿宋_GBK" w:cs="Times New Roman"/>
          <w:color w:val="000000" w:themeColor="text1"/>
          <w:sz w:val="24"/>
          <w:szCs w:val="24"/>
          <w14:textFill>
            <w14:solidFill>
              <w14:schemeClr w14:val="tx1"/>
            </w14:solidFill>
          </w14:textFill>
        </w:rPr>
        <w:t>不利物质条件的其他情形和有关约定：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bookmarkEnd w:id="964"/>
    <w:bookmarkEnd w:id="965"/>
    <w:bookmarkEnd w:id="966"/>
    <w:bookmarkEnd w:id="967"/>
    <w:bookmarkEnd w:id="968"/>
    <w:bookmarkEnd w:id="969"/>
    <w:bookmarkEnd w:id="970"/>
    <w:p w14:paraId="0E8F3675">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w:t>
      </w:r>
      <w:bookmarkStart w:id="971" w:name="_Toc303539130"/>
      <w:bookmarkStart w:id="972" w:name="_Toc312678017"/>
      <w:bookmarkStart w:id="973" w:name="_Toc297123521"/>
      <w:bookmarkStart w:id="974" w:name="_Toc297216180"/>
      <w:bookmarkStart w:id="975" w:name="_Toc300934973"/>
      <w:bookmarkStart w:id="976" w:name="_Toc304295551"/>
      <w:r>
        <w:rPr>
          <w:rFonts w:hint="default" w:ascii="Times New Roman" w:hAnsi="Times New Roman" w:eastAsia="方正仿宋_GBK" w:cs="Times New Roman"/>
          <w:color w:val="000000" w:themeColor="text1"/>
          <w:sz w:val="24"/>
          <w:szCs w:val="24"/>
          <w14:textFill>
            <w14:solidFill>
              <w14:schemeClr w14:val="tx1"/>
            </w14:solidFill>
          </w14:textFill>
        </w:rPr>
        <w:t>.7异常恶劣的气候条件</w:t>
      </w:r>
    </w:p>
    <w:bookmarkEnd w:id="971"/>
    <w:bookmarkEnd w:id="972"/>
    <w:bookmarkEnd w:id="973"/>
    <w:bookmarkEnd w:id="974"/>
    <w:bookmarkEnd w:id="975"/>
    <w:bookmarkEnd w:id="976"/>
    <w:p w14:paraId="2C52A9A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发包人和承包人同意以下情形视为异常恶劣的气候条件：</w:t>
      </w:r>
    </w:p>
    <w:p w14:paraId="7164A38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D52F74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81446C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BE06868">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7.9 提前竣工的奖励</w:t>
      </w:r>
    </w:p>
    <w:p w14:paraId="5B52738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7.9.2提前竣工的奖励：</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88F1431">
      <w:pPr>
        <w:pStyle w:val="5"/>
        <w:pageBreakBefore w:val="0"/>
        <w:widowControl w:val="0"/>
        <w:numPr>
          <w:ilvl w:val="3"/>
          <w:numId w:val="0"/>
        </w:numPr>
        <w:kinsoku/>
        <w:wordWrap/>
        <w:overflowPunct/>
        <w:topLinePunct w:val="0"/>
        <w:bidi w:val="0"/>
        <w:snapToGrid/>
        <w:spacing w:before="0" w:beforeLines="0" w:after="0" w:afterLines="0" w:line="400" w:lineRule="exact"/>
        <w:ind w:left="-1078" w:leftChars="0" w:right="0" w:rightChars="0" w:firstLine="1440" w:firstLineChars="60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977" w:name="_Toc351203640"/>
      <w:r>
        <w:rPr>
          <w:rFonts w:hint="default" w:ascii="Times New Roman" w:hAnsi="Times New Roman" w:eastAsia="方正小标宋_GBK" w:cs="Times New Roman"/>
          <w:b w:val="0"/>
          <w:color w:val="000000" w:themeColor="text1"/>
          <w:sz w:val="24"/>
          <w:szCs w:val="24"/>
          <w14:textFill>
            <w14:solidFill>
              <w14:schemeClr w14:val="tx1"/>
            </w14:solidFill>
          </w14:textFill>
        </w:rPr>
        <w:t>8. 材料与设备</w:t>
      </w:r>
      <w:bookmarkEnd w:id="977"/>
    </w:p>
    <w:bookmarkEnd w:id="912"/>
    <w:bookmarkEnd w:id="913"/>
    <w:bookmarkEnd w:id="914"/>
    <w:bookmarkEnd w:id="915"/>
    <w:bookmarkEnd w:id="916"/>
    <w:bookmarkEnd w:id="917"/>
    <w:bookmarkEnd w:id="918"/>
    <w:bookmarkEnd w:id="919"/>
    <w:bookmarkEnd w:id="920"/>
    <w:bookmarkEnd w:id="921"/>
    <w:p w14:paraId="5A4ED5A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8</w:t>
      </w:r>
      <w:bookmarkStart w:id="978" w:name="_Toc297120467"/>
      <w:bookmarkStart w:id="979" w:name="_Toc296944506"/>
      <w:bookmarkStart w:id="980" w:name="_Toc296890995"/>
      <w:bookmarkStart w:id="981" w:name="_Toc296346668"/>
      <w:bookmarkStart w:id="982" w:name="_Toc297216186"/>
      <w:bookmarkStart w:id="983" w:name="_Toc300934979"/>
      <w:bookmarkStart w:id="984" w:name="_Toc297123527"/>
      <w:bookmarkStart w:id="985" w:name="_Toc303539136"/>
      <w:bookmarkStart w:id="986" w:name="_Toc296347166"/>
      <w:bookmarkStart w:id="987" w:name="_Toc312678019"/>
      <w:bookmarkStart w:id="988" w:name="_Toc312677493"/>
      <w:bookmarkStart w:id="989" w:name="_Toc304295556"/>
      <w:bookmarkStart w:id="990" w:name="_Toc297048353"/>
      <w:bookmarkStart w:id="991" w:name="_Toc296891207"/>
      <w:bookmarkStart w:id="992" w:name="_Toc296503167"/>
      <w:bookmarkStart w:id="993" w:name="_Toc292559877"/>
      <w:bookmarkStart w:id="994" w:name="_Toc292559372"/>
      <w:bookmarkStart w:id="995" w:name="_Toc280868654"/>
      <w:bookmarkStart w:id="996" w:name="_Toc280868655"/>
      <w:bookmarkStart w:id="997" w:name="_Toc280868656"/>
      <w:bookmarkStart w:id="998" w:name="_Toc267251424"/>
      <w:r>
        <w:rPr>
          <w:rFonts w:hint="default" w:ascii="Times New Roman" w:hAnsi="Times New Roman" w:eastAsia="方正仿宋_GBK" w:cs="Times New Roman"/>
          <w:color w:val="000000" w:themeColor="text1"/>
          <w:sz w:val="24"/>
          <w:szCs w:val="24"/>
          <w14:textFill>
            <w14:solidFill>
              <w14:schemeClr w14:val="tx1"/>
            </w14:solidFill>
          </w14:textFill>
        </w:rPr>
        <w:t>.4材料与工程设备的保管与使用</w:t>
      </w:r>
    </w:p>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p w14:paraId="1C24F6C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8</w:t>
      </w:r>
      <w:bookmarkStart w:id="999" w:name="_Toc292559373"/>
      <w:bookmarkStart w:id="1000" w:name="_Toc292559878"/>
      <w:bookmarkStart w:id="1001" w:name="_Toc318581173"/>
      <w:bookmarkStart w:id="1002" w:name="_Toc303539137"/>
      <w:bookmarkStart w:id="1003" w:name="_Toc304295557"/>
      <w:bookmarkStart w:id="1004" w:name="_Toc296503168"/>
      <w:bookmarkStart w:id="1005" w:name="_Toc300934980"/>
      <w:bookmarkStart w:id="1006" w:name="_Toc296347167"/>
      <w:bookmarkStart w:id="1007" w:name="_Toc296346669"/>
      <w:bookmarkStart w:id="1008" w:name="_Toc297123528"/>
      <w:bookmarkStart w:id="1009" w:name="_Toc312678020"/>
      <w:bookmarkStart w:id="1010" w:name="_Toc297048354"/>
      <w:bookmarkStart w:id="1011" w:name="_Toc312677494"/>
      <w:bookmarkStart w:id="1012" w:name="_Toc297216187"/>
      <w:bookmarkStart w:id="1013" w:name="_Toc296890996"/>
      <w:bookmarkStart w:id="1014" w:name="_Toc296891208"/>
      <w:bookmarkStart w:id="1015" w:name="_Toc296944507"/>
      <w:bookmarkStart w:id="1016" w:name="_Toc297120468"/>
      <w:r>
        <w:rPr>
          <w:rFonts w:hint="default" w:ascii="Times New Roman" w:hAnsi="Times New Roman" w:eastAsia="方正仿宋_GBK" w:cs="Times New Roman"/>
          <w:color w:val="000000" w:themeColor="text1"/>
          <w:sz w:val="24"/>
          <w:szCs w:val="24"/>
          <w14:textFill>
            <w14:solidFill>
              <w14:schemeClr w14:val="tx1"/>
            </w14:solidFill>
          </w14:textFill>
        </w:rPr>
        <w:t>.4.1发包人供应的材料设备的保管费用的承担：</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bookmarkEnd w:id="999"/>
    <w:bookmarkEnd w:id="1000"/>
    <w:p w14:paraId="4410F60B">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8.6 样品</w:t>
      </w:r>
    </w:p>
    <w:p w14:paraId="5DA2642E">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8.6.1</w:t>
      </w:r>
      <w:r>
        <w:rPr>
          <w:rFonts w:hint="default" w:ascii="Times New Roman" w:hAnsi="Times New Roman" w:eastAsia="方正仿宋_GBK" w:cs="Times New Roman"/>
          <w:color w:val="000000" w:themeColor="text1"/>
          <w:kern w:val="0"/>
          <w:sz w:val="24"/>
          <w:szCs w:val="24"/>
          <w14:textFill>
            <w14:solidFill>
              <w14:schemeClr w14:val="tx1"/>
            </w14:solidFill>
          </w14:textFill>
        </w:rPr>
        <w:tab/>
      </w:r>
      <w:r>
        <w:rPr>
          <w:rFonts w:hint="default" w:ascii="Times New Roman" w:hAnsi="Times New Roman" w:eastAsia="方正仿宋_GBK" w:cs="Times New Roman"/>
          <w:color w:val="000000" w:themeColor="text1"/>
          <w:kern w:val="0"/>
          <w:sz w:val="24"/>
          <w:szCs w:val="24"/>
          <w14:textFill>
            <w14:solidFill>
              <w14:schemeClr w14:val="tx1"/>
            </w14:solidFill>
          </w14:textFill>
        </w:rPr>
        <w:t>样品的报送与封存</w:t>
      </w:r>
    </w:p>
    <w:p w14:paraId="2C79ED6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需要承包人报送样品的材料或工程设备，样品的种类、名称、规格、数量要求：</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30B7E1C5">
      <w:pPr>
        <w:pageBreakBefore w:val="0"/>
        <w:widowControl w:val="0"/>
        <w:kinsoku/>
        <w:wordWrap/>
        <w:overflowPunct/>
        <w:topLinePunct w:val="0"/>
        <w:autoSpaceDE w:val="0"/>
        <w:autoSpaceDN w:val="0"/>
        <w:bidi w:val="0"/>
        <w:adjustRightInd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AD9281A">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8.8 施工设备和临时设施</w:t>
      </w:r>
    </w:p>
    <w:p w14:paraId="21AC1A9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8.8.1 承包人提供的施工设备和临时设施</w:t>
      </w:r>
    </w:p>
    <w:p w14:paraId="6150AE2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u w:val="single"/>
          <w:lang w:eastAsia="zh-CN"/>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关于修建临时设施费用承担的约定：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eastAsia="zh-CN"/>
          <w14:textFill>
            <w14:solidFill>
              <w14:schemeClr w14:val="tx1"/>
            </w14:solidFill>
          </w14:textFill>
        </w:rPr>
        <w:t>。</w:t>
      </w:r>
    </w:p>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p w14:paraId="1B3D676D">
      <w:pPr>
        <w:pStyle w:val="5"/>
        <w:pageBreakBefore w:val="0"/>
        <w:widowControl w:val="0"/>
        <w:numPr>
          <w:ilvl w:val="3"/>
          <w:numId w:val="0"/>
        </w:numPr>
        <w:kinsoku/>
        <w:wordWrap/>
        <w:overflowPunct/>
        <w:topLinePunct w:val="0"/>
        <w:bidi w:val="0"/>
        <w:snapToGrid/>
        <w:spacing w:before="0" w:beforeLines="0" w:after="0" w:afterLines="0" w:line="400" w:lineRule="exact"/>
        <w:ind w:right="0" w:rightChars="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1017" w:name="_Toc351203641"/>
      <w:r>
        <w:rPr>
          <w:rFonts w:hint="default" w:ascii="Times New Roman" w:hAnsi="Times New Roman" w:eastAsia="方正小标宋_GBK" w:cs="Times New Roman"/>
          <w:b w:val="0"/>
          <w:color w:val="000000" w:themeColor="text1"/>
          <w:sz w:val="24"/>
          <w:szCs w:val="24"/>
          <w14:textFill>
            <w14:solidFill>
              <w14:schemeClr w14:val="tx1"/>
            </w14:solidFill>
          </w14:textFill>
        </w:rPr>
        <w:t>9</w:t>
      </w:r>
      <w:bookmarkEnd w:id="996"/>
      <w:bookmarkEnd w:id="997"/>
      <w:bookmarkEnd w:id="998"/>
      <w:bookmarkStart w:id="1018" w:name="_Toc303539139"/>
      <w:bookmarkStart w:id="1019" w:name="_Toc297123533"/>
      <w:bookmarkStart w:id="1020" w:name="_Toc304295559"/>
      <w:bookmarkStart w:id="1021" w:name="_Toc312677495"/>
      <w:bookmarkStart w:id="1022" w:name="_Toc312678021"/>
      <w:bookmarkStart w:id="1023" w:name="_Toc300934982"/>
      <w:bookmarkStart w:id="1024" w:name="_Toc297216192"/>
      <w:bookmarkStart w:id="1025" w:name="_Toc296891001"/>
      <w:bookmarkStart w:id="1026" w:name="_Toc296891213"/>
      <w:bookmarkStart w:id="1027" w:name="_Toc292559378"/>
      <w:bookmarkStart w:id="1028" w:name="_Toc296503173"/>
      <w:bookmarkStart w:id="1029" w:name="_Toc296347172"/>
      <w:bookmarkStart w:id="1030" w:name="_Toc296944512"/>
      <w:bookmarkStart w:id="1031" w:name="_Toc297048359"/>
      <w:bookmarkStart w:id="1032" w:name="_Toc292559883"/>
      <w:bookmarkStart w:id="1033" w:name="_Toc297120473"/>
      <w:bookmarkStart w:id="1034" w:name="_Toc296346674"/>
      <w:bookmarkStart w:id="1035" w:name="_Toc267251427"/>
      <w:bookmarkStart w:id="1036" w:name="_Toc267251428"/>
      <w:r>
        <w:rPr>
          <w:rFonts w:hint="default" w:ascii="Times New Roman" w:hAnsi="Times New Roman" w:eastAsia="方正小标宋_GBK" w:cs="Times New Roman"/>
          <w:b w:val="0"/>
          <w:color w:val="000000" w:themeColor="text1"/>
          <w:sz w:val="24"/>
          <w:szCs w:val="24"/>
          <w14:textFill>
            <w14:solidFill>
              <w14:schemeClr w14:val="tx1"/>
            </w14:solidFill>
          </w14:textFill>
        </w:rPr>
        <w:t>. 试验与检验</w:t>
      </w:r>
      <w:bookmarkEnd w:id="1017"/>
    </w:p>
    <w:bookmarkEnd w:id="1018"/>
    <w:bookmarkEnd w:id="1019"/>
    <w:bookmarkEnd w:id="1020"/>
    <w:bookmarkEnd w:id="1021"/>
    <w:bookmarkEnd w:id="1022"/>
    <w:bookmarkEnd w:id="1023"/>
    <w:bookmarkEnd w:id="1024"/>
    <w:p w14:paraId="4A57E9DC">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9</w:t>
      </w:r>
      <w:bookmarkStart w:id="1037" w:name="_Toc304295560"/>
      <w:bookmarkStart w:id="1038" w:name="_Toc312678022"/>
      <w:bookmarkStart w:id="1039" w:name="_Toc303539140"/>
      <w:bookmarkStart w:id="1040" w:name="_Toc312677496"/>
      <w:bookmarkStart w:id="1041" w:name="_Toc297123534"/>
      <w:bookmarkStart w:id="1042" w:name="_Toc300934983"/>
      <w:bookmarkStart w:id="1043" w:name="_Toc297216193"/>
      <w:r>
        <w:rPr>
          <w:rFonts w:hint="default" w:ascii="Times New Roman" w:hAnsi="Times New Roman" w:eastAsia="方正仿宋_GBK" w:cs="Times New Roman"/>
          <w:color w:val="000000" w:themeColor="text1"/>
          <w:sz w:val="24"/>
          <w:szCs w:val="24"/>
          <w14:textFill>
            <w14:solidFill>
              <w14:schemeClr w14:val="tx1"/>
            </w14:solidFill>
          </w14:textFill>
        </w:rPr>
        <w:t>.1试验设备与试验人员</w:t>
      </w:r>
    </w:p>
    <w:bookmarkEnd w:id="1037"/>
    <w:bookmarkEnd w:id="1038"/>
    <w:bookmarkEnd w:id="1039"/>
    <w:bookmarkEnd w:id="1040"/>
    <w:bookmarkEnd w:id="1041"/>
    <w:bookmarkEnd w:id="1042"/>
    <w:bookmarkEnd w:id="1043"/>
    <w:p w14:paraId="680871C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9</w:t>
      </w:r>
      <w:bookmarkStart w:id="1044" w:name="_Toc303539141"/>
      <w:bookmarkStart w:id="1045" w:name="_Toc297123535"/>
      <w:bookmarkStart w:id="1046" w:name="_Toc297216194"/>
      <w:bookmarkStart w:id="1047" w:name="_Toc312677497"/>
      <w:bookmarkStart w:id="1048" w:name="_Toc300934984"/>
      <w:bookmarkStart w:id="1049" w:name="_Toc312678023"/>
      <w:bookmarkStart w:id="1050" w:name="_Toc304295561"/>
      <w:bookmarkStart w:id="1051" w:name="_Toc318581174"/>
      <w:r>
        <w:rPr>
          <w:rFonts w:hint="default" w:ascii="Times New Roman" w:hAnsi="Times New Roman" w:eastAsia="方正仿宋_GBK" w:cs="Times New Roman"/>
          <w:color w:val="000000" w:themeColor="text1"/>
          <w:sz w:val="24"/>
          <w:szCs w:val="24"/>
          <w14:textFill>
            <w14:solidFill>
              <w14:schemeClr w14:val="tx1"/>
            </w14:solidFill>
          </w14:textFill>
        </w:rPr>
        <w:t>.1.2 试验设备</w:t>
      </w:r>
    </w:p>
    <w:p w14:paraId="1126700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施工现场需要配置的试验场所：</w:t>
      </w:r>
      <w:bookmarkEnd w:id="1044"/>
      <w:bookmarkEnd w:id="1045"/>
      <w:bookmarkEnd w:id="1046"/>
      <w:bookmarkEnd w:id="1047"/>
      <w:bookmarkEnd w:id="1048"/>
      <w:bookmarkEnd w:id="1049"/>
      <w:bookmarkEnd w:id="1050"/>
      <w:bookmarkStart w:id="1052" w:name="_Toc297123536"/>
      <w:bookmarkStart w:id="1053" w:name="_Toc300934985"/>
      <w:bookmarkStart w:id="1054" w:name="_Toc312678024"/>
      <w:bookmarkStart w:id="1055" w:name="_Toc303539142"/>
      <w:bookmarkStart w:id="1056" w:name="_Toc297216195"/>
      <w:bookmarkStart w:id="1057" w:name="_Toc312677498"/>
      <w:bookmarkStart w:id="1058" w:name="_Toc304295562"/>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2DC6AD9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施工现场需要配备的试验设备：</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F7BD0D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施工现场需要具备的其他试验条件：</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326442C">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9.4 现场工艺试验 </w:t>
      </w:r>
    </w:p>
    <w:p w14:paraId="0FEA2A7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现场工艺试验的有关约定：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bookmarkEnd w:id="1051"/>
    <w:bookmarkEnd w:id="1052"/>
    <w:bookmarkEnd w:id="1053"/>
    <w:bookmarkEnd w:id="1054"/>
    <w:bookmarkEnd w:id="1055"/>
    <w:bookmarkEnd w:id="1056"/>
    <w:bookmarkEnd w:id="1057"/>
    <w:bookmarkEnd w:id="1058"/>
    <w:p w14:paraId="10C59800">
      <w:pPr>
        <w:pStyle w:val="5"/>
        <w:pageBreakBefore w:val="0"/>
        <w:widowControl w:val="0"/>
        <w:numPr>
          <w:ilvl w:val="3"/>
          <w:numId w:val="0"/>
        </w:numPr>
        <w:kinsoku/>
        <w:wordWrap/>
        <w:overflowPunct/>
        <w:topLinePunct w:val="0"/>
        <w:bidi w:val="0"/>
        <w:snapToGrid/>
        <w:spacing w:before="0" w:beforeLines="0" w:after="0" w:afterLines="0" w:line="400" w:lineRule="exact"/>
        <w:ind w:right="0" w:rightChars="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1059" w:name="_Toc351203642"/>
      <w:r>
        <w:rPr>
          <w:rFonts w:hint="default" w:ascii="Times New Roman" w:hAnsi="Times New Roman" w:eastAsia="方正小标宋_GBK" w:cs="Times New Roman"/>
          <w:b w:val="0"/>
          <w:color w:val="000000" w:themeColor="text1"/>
          <w:sz w:val="24"/>
          <w:szCs w:val="24"/>
          <w14:textFill>
            <w14:solidFill>
              <w14:schemeClr w14:val="tx1"/>
            </w14:solidFill>
          </w14:textFill>
        </w:rPr>
        <w:t>1</w:t>
      </w:r>
      <w:bookmarkEnd w:id="1025"/>
      <w:bookmarkEnd w:id="1026"/>
      <w:bookmarkEnd w:id="1027"/>
      <w:bookmarkEnd w:id="1028"/>
      <w:bookmarkEnd w:id="1029"/>
      <w:bookmarkEnd w:id="1030"/>
      <w:bookmarkEnd w:id="1031"/>
      <w:bookmarkEnd w:id="1032"/>
      <w:bookmarkEnd w:id="1033"/>
      <w:bookmarkEnd w:id="1034"/>
      <w:bookmarkEnd w:id="1035"/>
      <w:bookmarkEnd w:id="1036"/>
      <w:bookmarkStart w:id="1060" w:name="_Toc296346694"/>
      <w:bookmarkStart w:id="1061" w:name="_Toc296347192"/>
      <w:bookmarkStart w:id="1062" w:name="_Toc300934989"/>
      <w:bookmarkStart w:id="1063" w:name="_Toc296891233"/>
      <w:bookmarkStart w:id="1064" w:name="_Toc292559903"/>
      <w:bookmarkStart w:id="1065" w:name="_Toc297120493"/>
      <w:bookmarkStart w:id="1066" w:name="_Toc292559398"/>
      <w:bookmarkStart w:id="1067" w:name="_Toc297123540"/>
      <w:bookmarkStart w:id="1068" w:name="_Toc297216199"/>
      <w:bookmarkStart w:id="1069" w:name="_Toc296944532"/>
      <w:bookmarkStart w:id="1070" w:name="_Toc296891021"/>
      <w:bookmarkStart w:id="1071" w:name="_Toc296503193"/>
      <w:bookmarkStart w:id="1072" w:name="_Toc303539146"/>
      <w:bookmarkStart w:id="1073" w:name="_Toc304295566"/>
      <w:bookmarkStart w:id="1074" w:name="_Toc297048379"/>
      <w:bookmarkStart w:id="1075" w:name="_Toc312677499"/>
      <w:bookmarkStart w:id="1076" w:name="_Toc312678025"/>
      <w:bookmarkStart w:id="1077" w:name="_Toc267251433"/>
      <w:bookmarkStart w:id="1078" w:name="_Toc267251439"/>
      <w:bookmarkStart w:id="1079" w:name="_Toc267251441"/>
      <w:bookmarkStart w:id="1080" w:name="_Toc267251440"/>
      <w:bookmarkStart w:id="1081" w:name="_Toc267251435"/>
      <w:bookmarkStart w:id="1082" w:name="_Toc267251437"/>
      <w:bookmarkStart w:id="1083" w:name="_Toc267251442"/>
      <w:r>
        <w:rPr>
          <w:rFonts w:hint="default" w:ascii="Times New Roman" w:hAnsi="Times New Roman" w:eastAsia="方正小标宋_GBK" w:cs="Times New Roman"/>
          <w:b w:val="0"/>
          <w:color w:val="000000" w:themeColor="text1"/>
          <w:sz w:val="24"/>
          <w:szCs w:val="24"/>
          <w14:textFill>
            <w14:solidFill>
              <w14:schemeClr w14:val="tx1"/>
            </w14:solidFill>
          </w14:textFill>
        </w:rPr>
        <w:t>0. 变更</w:t>
      </w:r>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p>
    <w:bookmarkEnd w:id="1075"/>
    <w:bookmarkEnd w:id="1076"/>
    <w:p w14:paraId="7FC5F63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w:t>
      </w:r>
      <w:bookmarkStart w:id="1084" w:name="_Toc292559904"/>
      <w:bookmarkStart w:id="1085" w:name="_Toc296891234"/>
      <w:bookmarkStart w:id="1086" w:name="_Toc292559399"/>
      <w:bookmarkStart w:id="1087" w:name="_Toc296503194"/>
      <w:bookmarkStart w:id="1088" w:name="_Toc296944533"/>
      <w:bookmarkStart w:id="1089" w:name="_Toc312677500"/>
      <w:bookmarkStart w:id="1090" w:name="_Toc297048380"/>
      <w:bookmarkStart w:id="1091" w:name="_Toc300934990"/>
      <w:bookmarkStart w:id="1092" w:name="_Toc296347193"/>
      <w:bookmarkStart w:id="1093" w:name="_Toc297216200"/>
      <w:bookmarkStart w:id="1094" w:name="_Toc304295567"/>
      <w:bookmarkStart w:id="1095" w:name="_Toc303539147"/>
      <w:bookmarkStart w:id="1096" w:name="_Toc297120494"/>
      <w:bookmarkStart w:id="1097" w:name="_Toc296346695"/>
      <w:bookmarkStart w:id="1098" w:name="_Toc297123541"/>
      <w:bookmarkStart w:id="1099" w:name="_Toc296891022"/>
      <w:bookmarkStart w:id="1100" w:name="_Toc312678026"/>
      <w:r>
        <w:rPr>
          <w:rFonts w:hint="default" w:ascii="Times New Roman" w:hAnsi="Times New Roman" w:eastAsia="方正仿宋_GBK" w:cs="Times New Roman"/>
          <w:color w:val="000000" w:themeColor="text1"/>
          <w:sz w:val="24"/>
          <w:szCs w:val="24"/>
          <w14:textFill>
            <w14:solidFill>
              <w14:schemeClr w14:val="tx1"/>
            </w14:solidFill>
          </w14:textFill>
        </w:rPr>
        <w:t>0.1变更的范围</w:t>
      </w:r>
    </w:p>
    <w:p w14:paraId="12C77BA3">
      <w:pPr>
        <w:pageBreakBefore w:val="0"/>
        <w:widowControl w:val="0"/>
        <w:kinsoku/>
        <w:wordWrap/>
        <w:overflowPunct/>
        <w:topLinePunct w:val="0"/>
        <w:bidi w:val="0"/>
        <w:snapToGrid/>
        <w:spacing w:line="400" w:lineRule="exact"/>
        <w:ind w:left="0" w:leftChars="0" w:right="0" w:rightChars="0" w:firstLine="6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关于变更的范围的约定：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9522512">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10.4 变更估价</w:t>
      </w:r>
    </w:p>
    <w:p w14:paraId="700CB32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10.4.1 变更估价原则</w:t>
      </w:r>
    </w:p>
    <w:p w14:paraId="24DD315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关于变更估价的约定</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7D761B4">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w:t>
      </w:r>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Start w:id="1101" w:name="_Toc296944536"/>
      <w:bookmarkStart w:id="1102" w:name="_Toc297216203"/>
      <w:bookmarkStart w:id="1103" w:name="_Toc296346698"/>
      <w:bookmarkStart w:id="1104" w:name="_Toc303539150"/>
      <w:bookmarkStart w:id="1105" w:name="_Toc297123544"/>
      <w:bookmarkStart w:id="1106" w:name="_Toc296891025"/>
      <w:bookmarkStart w:id="1107" w:name="_Toc296891237"/>
      <w:bookmarkStart w:id="1108" w:name="_Toc297120497"/>
      <w:bookmarkStart w:id="1109" w:name="_Toc296347196"/>
      <w:bookmarkStart w:id="1110" w:name="_Toc300934993"/>
      <w:bookmarkStart w:id="1111" w:name="_Toc292559907"/>
      <w:bookmarkStart w:id="1112" w:name="_Toc297048383"/>
      <w:bookmarkStart w:id="1113" w:name="_Toc292559402"/>
      <w:bookmarkStart w:id="1114" w:name="_Toc296503197"/>
      <w:bookmarkStart w:id="1115" w:name="_Toc304295570"/>
      <w:bookmarkStart w:id="1116" w:name="_Toc312678029"/>
      <w:bookmarkStart w:id="1117" w:name="_Toc312677503"/>
      <w:r>
        <w:rPr>
          <w:rFonts w:hint="default" w:ascii="Times New Roman" w:hAnsi="Times New Roman" w:eastAsia="方正仿宋_GBK" w:cs="Times New Roman"/>
          <w:color w:val="000000" w:themeColor="text1"/>
          <w:sz w:val="24"/>
          <w:szCs w:val="24"/>
          <w14:textFill>
            <w14:solidFill>
              <w14:schemeClr w14:val="tx1"/>
            </w14:solidFill>
          </w14:textFill>
        </w:rPr>
        <w:t>0.5承</w:t>
      </w:r>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Start w:id="1118" w:name="_Toc296944542"/>
      <w:bookmarkStart w:id="1119" w:name="_Toc297123545"/>
      <w:bookmarkStart w:id="1120" w:name="_Toc296503203"/>
      <w:bookmarkStart w:id="1121" w:name="_Toc303539151"/>
      <w:bookmarkStart w:id="1122" w:name="_Toc300934994"/>
      <w:bookmarkStart w:id="1123" w:name="_Toc292559913"/>
      <w:bookmarkStart w:id="1124" w:name="_Toc297120503"/>
      <w:bookmarkStart w:id="1125" w:name="_Toc296347202"/>
      <w:bookmarkStart w:id="1126" w:name="_Toc297216204"/>
      <w:bookmarkStart w:id="1127" w:name="_Toc296346704"/>
      <w:bookmarkStart w:id="1128" w:name="_Toc292559408"/>
      <w:bookmarkStart w:id="1129" w:name="_Toc297048389"/>
      <w:bookmarkStart w:id="1130" w:name="_Toc296891243"/>
      <w:bookmarkStart w:id="1131" w:name="_Toc296891031"/>
      <w:r>
        <w:rPr>
          <w:rFonts w:hint="default" w:ascii="Times New Roman" w:hAnsi="Times New Roman" w:eastAsia="方正仿宋_GBK" w:cs="Times New Roman"/>
          <w:color w:val="000000" w:themeColor="text1"/>
          <w:sz w:val="24"/>
          <w:szCs w:val="24"/>
          <w14:textFill>
            <w14:solidFill>
              <w14:schemeClr w14:val="tx1"/>
            </w14:solidFill>
          </w14:textFill>
        </w:rPr>
        <w:t>包人的合理化建议</w:t>
      </w:r>
    </w:p>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p w14:paraId="0D4B547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监理人审查承包人合理化建议的期限：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03DE9D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发包人审批承包人合理化建议的期限：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211D50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w:t>
      </w:r>
      <w:bookmarkStart w:id="1132" w:name="_Toc296891032"/>
      <w:bookmarkStart w:id="1133" w:name="_Toc304295571"/>
      <w:bookmarkStart w:id="1134" w:name="_Toc318581175"/>
      <w:bookmarkStart w:id="1135" w:name="_Toc292559914"/>
      <w:bookmarkStart w:id="1136" w:name="_Toc296347203"/>
      <w:bookmarkStart w:id="1137" w:name="_Toc296944543"/>
      <w:bookmarkStart w:id="1138" w:name="_Toc303539152"/>
      <w:bookmarkStart w:id="1139" w:name="_Toc312678030"/>
      <w:bookmarkStart w:id="1140" w:name="_Toc312677504"/>
      <w:bookmarkStart w:id="1141" w:name="_Toc297216205"/>
      <w:bookmarkStart w:id="1142" w:name="_Toc300934995"/>
      <w:bookmarkStart w:id="1143" w:name="_Toc297048390"/>
      <w:bookmarkStart w:id="1144" w:name="_Toc297123546"/>
      <w:bookmarkStart w:id="1145" w:name="_Toc296891244"/>
      <w:bookmarkStart w:id="1146" w:name="_Toc297120504"/>
      <w:bookmarkStart w:id="1147" w:name="_Toc296346705"/>
      <w:bookmarkStart w:id="1148" w:name="_Toc296503204"/>
      <w:bookmarkStart w:id="1149" w:name="_Toc292559409"/>
      <w:r>
        <w:rPr>
          <w:rFonts w:hint="default" w:ascii="Times New Roman" w:hAnsi="Times New Roman" w:eastAsia="方正仿宋_GBK" w:cs="Times New Roman"/>
          <w:color w:val="000000" w:themeColor="text1"/>
          <w:sz w:val="24"/>
          <w:szCs w:val="24"/>
          <w14:textFill>
            <w14:solidFill>
              <w14:schemeClr w14:val="tx1"/>
            </w14:solidFill>
          </w14:textFill>
        </w:rPr>
        <w:t>包人提出的合理化建议降低了合同价格或者提高了工程经济效益的奖励的方法和金额为：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14:paraId="2F300078">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w:t>
      </w:r>
      <w:bookmarkStart w:id="1150" w:name="_Toc296346700"/>
      <w:bookmarkStart w:id="1151" w:name="_Toc300934997"/>
      <w:bookmarkStart w:id="1152" w:name="_Toc296503199"/>
      <w:bookmarkStart w:id="1153" w:name="_Toc296891239"/>
      <w:bookmarkStart w:id="1154" w:name="_Toc292559909"/>
      <w:bookmarkStart w:id="1155" w:name="_Toc297048385"/>
      <w:bookmarkStart w:id="1156" w:name="_Toc296891027"/>
      <w:bookmarkStart w:id="1157" w:name="_Toc297216207"/>
      <w:bookmarkStart w:id="1158" w:name="_Toc297123548"/>
      <w:bookmarkStart w:id="1159" w:name="_Toc312677507"/>
      <w:bookmarkStart w:id="1160" w:name="_Toc312678033"/>
      <w:bookmarkStart w:id="1161" w:name="_Toc292559404"/>
      <w:bookmarkStart w:id="1162" w:name="_Toc303539154"/>
      <w:bookmarkStart w:id="1163" w:name="_Toc297120499"/>
      <w:bookmarkStart w:id="1164" w:name="_Toc296347198"/>
      <w:bookmarkStart w:id="1165" w:name="_Toc296944538"/>
      <w:bookmarkStart w:id="1166" w:name="_Toc304295574"/>
      <w:r>
        <w:rPr>
          <w:rFonts w:hint="default" w:ascii="Times New Roman" w:hAnsi="Times New Roman" w:eastAsia="方正仿宋_GBK" w:cs="Times New Roman"/>
          <w:color w:val="000000" w:themeColor="text1"/>
          <w:sz w:val="24"/>
          <w:szCs w:val="24"/>
          <w14:textFill>
            <w14:solidFill>
              <w14:schemeClr w14:val="tx1"/>
            </w14:solidFill>
          </w14:textFill>
        </w:rPr>
        <w:t>0.7 暂估价</w:t>
      </w:r>
    </w:p>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p w14:paraId="31C3A02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暂</w:t>
      </w:r>
      <w:bookmarkStart w:id="1167" w:name="_Toc318581176"/>
      <w:bookmarkStart w:id="1168" w:name="_Toc312677508"/>
      <w:bookmarkStart w:id="1169" w:name="_Toc312678034"/>
      <w:r>
        <w:rPr>
          <w:rFonts w:hint="default" w:ascii="Times New Roman" w:hAnsi="Times New Roman" w:eastAsia="方正仿宋_GBK" w:cs="Times New Roman"/>
          <w:color w:val="000000" w:themeColor="text1"/>
          <w:kern w:val="0"/>
          <w:sz w:val="24"/>
          <w:szCs w:val="24"/>
          <w14:textFill>
            <w14:solidFill>
              <w14:schemeClr w14:val="tx1"/>
            </w14:solidFill>
          </w14:textFill>
        </w:rPr>
        <w:t>估价材料和工程设备的明细详见附件11：《</w:t>
      </w:r>
      <w:r>
        <w:rPr>
          <w:rFonts w:hint="default" w:ascii="Times New Roman" w:hAnsi="Times New Roman" w:eastAsia="方正仿宋_GBK" w:cs="Times New Roman"/>
          <w:color w:val="000000" w:themeColor="text1"/>
          <w:sz w:val="24"/>
          <w:szCs w:val="24"/>
          <w14:textFill>
            <w14:solidFill>
              <w14:schemeClr w14:val="tx1"/>
            </w14:solidFill>
          </w14:textFill>
        </w:rPr>
        <w:t>暂估价一览表》</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bookmarkEnd w:id="1167"/>
    <w:bookmarkEnd w:id="1168"/>
    <w:bookmarkEnd w:id="1169"/>
    <w:p w14:paraId="291422C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w:t>
      </w:r>
      <w:bookmarkStart w:id="1170" w:name="_Toc312677509"/>
      <w:bookmarkStart w:id="1171" w:name="_Toc318581177"/>
      <w:bookmarkStart w:id="1172" w:name="_Toc312678035"/>
      <w:r>
        <w:rPr>
          <w:rFonts w:hint="default" w:ascii="Times New Roman" w:hAnsi="Times New Roman" w:eastAsia="方正仿宋_GBK" w:cs="Times New Roman"/>
          <w:color w:val="000000" w:themeColor="text1"/>
          <w:sz w:val="24"/>
          <w:szCs w:val="24"/>
          <w14:textFill>
            <w14:solidFill>
              <w14:schemeClr w14:val="tx1"/>
            </w14:solidFill>
          </w14:textFill>
        </w:rPr>
        <w:t>0.7.1 依法必须招标的暂估价项目</w:t>
      </w:r>
    </w:p>
    <w:bookmarkEnd w:id="1170"/>
    <w:bookmarkEnd w:id="1171"/>
    <w:bookmarkEnd w:id="1172"/>
    <w:p w14:paraId="3B7558C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对于依法必须招标的暂估价项目的确认和批准采取第</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种方式确定。</w:t>
      </w:r>
    </w:p>
    <w:p w14:paraId="18661E2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10.7.2 不属于依法必须招标的暂估价项目</w:t>
      </w:r>
    </w:p>
    <w:p w14:paraId="64FA9CD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对于不属于依法必须招标的暂估价项目的确认和批准采取第</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种方式确定。</w:t>
      </w:r>
    </w:p>
    <w:p w14:paraId="4E45452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第3种方式：</w:t>
      </w: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承包人直接实施的暂估价项目</w:t>
      </w:r>
    </w:p>
    <w:p w14:paraId="11FC571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承包人直接实施的暂估价项目的约定：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CFD5C4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10.8 暂列金额</w:t>
      </w:r>
    </w:p>
    <w:p w14:paraId="26951CF5">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合同当事人关于暂列金额使用的约定：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787C40DB">
      <w:pPr>
        <w:pStyle w:val="5"/>
        <w:pageBreakBefore w:val="0"/>
        <w:widowControl w:val="0"/>
        <w:numPr>
          <w:ilvl w:val="3"/>
          <w:numId w:val="0"/>
        </w:numPr>
        <w:kinsoku/>
        <w:wordWrap/>
        <w:overflowPunct/>
        <w:topLinePunct w:val="0"/>
        <w:bidi w:val="0"/>
        <w:snapToGrid/>
        <w:spacing w:before="0" w:beforeLines="0" w:after="0" w:afterLines="0" w:line="400" w:lineRule="exact"/>
        <w:ind w:right="0" w:rightChars="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1173" w:name="_Toc351203643"/>
      <w:r>
        <w:rPr>
          <w:rFonts w:hint="default" w:ascii="Times New Roman" w:hAnsi="Times New Roman" w:eastAsia="方正小标宋_GBK" w:cs="Times New Roman"/>
          <w:b w:val="0"/>
          <w:color w:val="000000" w:themeColor="text1"/>
          <w:sz w:val="24"/>
          <w:szCs w:val="24"/>
          <w14:textFill>
            <w14:solidFill>
              <w14:schemeClr w14:val="tx1"/>
            </w14:solidFill>
          </w14:textFill>
        </w:rPr>
        <w:t>11. 价格调整</w:t>
      </w:r>
      <w:bookmarkEnd w:id="1173"/>
    </w:p>
    <w:p w14:paraId="0E24003D">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bookmarkStart w:id="1174" w:name="_Toc297216209"/>
      <w:bookmarkStart w:id="1175" w:name="_Toc312678039"/>
      <w:bookmarkStart w:id="1176" w:name="_Toc297048387"/>
      <w:bookmarkStart w:id="1177" w:name="_Toc300935000"/>
      <w:bookmarkStart w:id="1178" w:name="_Toc292559406"/>
      <w:bookmarkStart w:id="1179" w:name="_Toc304295577"/>
      <w:bookmarkStart w:id="1180" w:name="_Toc296503201"/>
      <w:bookmarkStart w:id="1181" w:name="_Toc296347200"/>
      <w:bookmarkStart w:id="1182" w:name="_Toc297120501"/>
      <w:bookmarkStart w:id="1183" w:name="_Toc292559911"/>
      <w:bookmarkStart w:id="1184" w:name="_Toc297123550"/>
      <w:bookmarkStart w:id="1185" w:name="_Toc296346702"/>
      <w:bookmarkStart w:id="1186" w:name="_Toc296891241"/>
      <w:bookmarkStart w:id="1187" w:name="_Toc296891029"/>
      <w:bookmarkStart w:id="1188" w:name="_Toc296944540"/>
      <w:bookmarkStart w:id="1189" w:name="_Toc303539157"/>
      <w:r>
        <w:rPr>
          <w:rFonts w:hint="default" w:ascii="Times New Roman" w:hAnsi="Times New Roman" w:eastAsia="方正仿宋_GBK" w:cs="Times New Roman"/>
          <w:color w:val="000000" w:themeColor="text1"/>
          <w:sz w:val="24"/>
          <w:szCs w:val="24"/>
          <w14:textFill>
            <w14:solidFill>
              <w14:schemeClr w14:val="tx1"/>
            </w14:solidFill>
          </w14:textFill>
        </w:rPr>
        <w:t>11.1 市场价格波动引起的调整</w:t>
      </w:r>
    </w:p>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p w14:paraId="4D0EE62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市场价格波动是否调整合同价格的约定：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2B8F6E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因市场价格波动调整合同价格，采用以下第</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种方式对合同价格进行调整：</w:t>
      </w:r>
    </w:p>
    <w:p w14:paraId="150F483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第1种方式：采用价格指数进行价格调整。</w:t>
      </w:r>
    </w:p>
    <w:p w14:paraId="10FB6F1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关于各可调因子、定值和变值权重，以及基本价格指数及其来源的约定：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2491747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第2种方式：采用造价信息进行价格调整。</w:t>
      </w:r>
    </w:p>
    <w:p w14:paraId="316DEAD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（2）关于基准价格的约定：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50C102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专用合同条款①承包人在已标价工程量清单或预算书中载明的材料单价低于基准价格的：专用合同条款合同履行期间材料单价涨幅以基准价格为基础超过</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%时，或材料单价跌幅以已标价工程量清单或预算书中载明材料单价为基础超过</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%时，其超过部分据实调整。</w:t>
      </w:r>
    </w:p>
    <w:p w14:paraId="1044825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②承包人在已标价工程量清单或预算书中载明的材料单价高于基准价格的：专用合同条款合同履行期间材料单价跌幅以基准价格为基础超过</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%时，材料单价涨幅以已标价工程量清单或预算书中载明材料单价为基础超过</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%时，其超过部分据实调整。</w:t>
      </w:r>
    </w:p>
    <w:p w14:paraId="058320F1">
      <w:pPr>
        <w:pageBreakBefore w:val="0"/>
        <w:widowControl w:val="0"/>
        <w:kinsoku/>
        <w:wordWrap/>
        <w:overflowPunct/>
        <w:topLinePunct w:val="0"/>
        <w:bidi w:val="0"/>
        <w:snapToGrid/>
        <w:spacing w:line="400" w:lineRule="exact"/>
        <w:ind w:left="0" w:leftChars="0" w:right="0" w:rightChars="0" w:firstLine="645"/>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③承包人在已标价工程量清单或预算书中载明的材料单价等于基准单价的：专用合同条款合同履行期间材料单价涨跌幅以基准单价为基础超过±</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%时，其超过部分据实调整。</w:t>
      </w:r>
    </w:p>
    <w:p w14:paraId="2D8D9ED8">
      <w:pPr>
        <w:pageBreakBefore w:val="0"/>
        <w:widowControl w:val="0"/>
        <w:kinsoku/>
        <w:wordWrap/>
        <w:overflowPunct/>
        <w:topLinePunct w:val="0"/>
        <w:bidi w:val="0"/>
        <w:snapToGrid/>
        <w:spacing w:line="400" w:lineRule="exact"/>
        <w:ind w:left="0" w:leftChars="0" w:right="0" w:rightChars="0" w:firstLine="645"/>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第3种方式：其他价格调整方式：</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bookmarkEnd w:id="1077"/>
    <w:bookmarkEnd w:id="1078"/>
    <w:bookmarkEnd w:id="1079"/>
    <w:bookmarkEnd w:id="1080"/>
    <w:bookmarkEnd w:id="1081"/>
    <w:bookmarkEnd w:id="1082"/>
    <w:p w14:paraId="2E32EBE6">
      <w:pPr>
        <w:pStyle w:val="5"/>
        <w:pageBreakBefore w:val="0"/>
        <w:widowControl w:val="0"/>
        <w:numPr>
          <w:ilvl w:val="3"/>
          <w:numId w:val="0"/>
        </w:numPr>
        <w:kinsoku/>
        <w:wordWrap/>
        <w:overflowPunct/>
        <w:topLinePunct w:val="0"/>
        <w:bidi w:val="0"/>
        <w:snapToGrid/>
        <w:spacing w:before="0" w:beforeLines="0" w:after="0" w:afterLines="0" w:line="400" w:lineRule="exact"/>
        <w:ind w:right="0" w:rightChars="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1190" w:name="_Toc296891245"/>
      <w:bookmarkStart w:id="1191" w:name="_Toc297120505"/>
      <w:bookmarkStart w:id="1192" w:name="_Toc296891033"/>
      <w:bookmarkStart w:id="1193" w:name="_Toc296347204"/>
      <w:bookmarkStart w:id="1194" w:name="_Toc296944544"/>
      <w:bookmarkStart w:id="1195" w:name="_Toc296503205"/>
      <w:bookmarkStart w:id="1196" w:name="_Toc292559410"/>
      <w:bookmarkStart w:id="1197" w:name="_Toc297048391"/>
      <w:bookmarkStart w:id="1198" w:name="_Toc296346706"/>
      <w:bookmarkStart w:id="1199" w:name="_Toc292559915"/>
      <w:bookmarkStart w:id="1200" w:name="_Toc351203644"/>
      <w:bookmarkStart w:id="1201" w:name="_Toc300935002"/>
      <w:bookmarkStart w:id="1202" w:name="_Toc297216211"/>
      <w:bookmarkStart w:id="1203" w:name="_Toc303539159"/>
      <w:bookmarkStart w:id="1204" w:name="_Toc312678040"/>
      <w:bookmarkStart w:id="1205" w:name="_Toc297123552"/>
      <w:bookmarkStart w:id="1206" w:name="_Toc304295579"/>
      <w:r>
        <w:rPr>
          <w:rFonts w:hint="default" w:ascii="Times New Roman" w:hAnsi="Times New Roman" w:eastAsia="方正小标宋_GBK" w:cs="Times New Roman"/>
          <w:b w:val="0"/>
          <w:color w:val="000000" w:themeColor="text1"/>
          <w:sz w:val="24"/>
          <w:szCs w:val="24"/>
          <w14:textFill>
            <w14:solidFill>
              <w14:schemeClr w14:val="tx1"/>
            </w14:solidFill>
          </w14:textFill>
        </w:rPr>
        <w:t xml:space="preserve">12. </w:t>
      </w:r>
      <w:bookmarkEnd w:id="1190"/>
      <w:bookmarkEnd w:id="1191"/>
      <w:bookmarkEnd w:id="1192"/>
      <w:bookmarkEnd w:id="1193"/>
      <w:bookmarkEnd w:id="1194"/>
      <w:bookmarkEnd w:id="1195"/>
      <w:bookmarkEnd w:id="1196"/>
      <w:bookmarkEnd w:id="1197"/>
      <w:bookmarkEnd w:id="1198"/>
      <w:bookmarkEnd w:id="1199"/>
      <w:r>
        <w:rPr>
          <w:rFonts w:hint="default" w:ascii="Times New Roman" w:hAnsi="Times New Roman" w:eastAsia="方正小标宋_GBK" w:cs="Times New Roman"/>
          <w:b w:val="0"/>
          <w:color w:val="000000" w:themeColor="text1"/>
          <w:sz w:val="24"/>
          <w:szCs w:val="24"/>
          <w14:textFill>
            <w14:solidFill>
              <w14:schemeClr w14:val="tx1"/>
            </w14:solidFill>
          </w14:textFill>
        </w:rPr>
        <w:t>合同价格、计量与支付</w:t>
      </w:r>
      <w:bookmarkEnd w:id="1200"/>
    </w:p>
    <w:bookmarkEnd w:id="1201"/>
    <w:bookmarkEnd w:id="1202"/>
    <w:bookmarkEnd w:id="1203"/>
    <w:bookmarkEnd w:id="1204"/>
    <w:bookmarkEnd w:id="1205"/>
    <w:bookmarkEnd w:id="1206"/>
    <w:p w14:paraId="6BD2E962">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bookmarkStart w:id="1207" w:name="_Toc267251461"/>
      <w:bookmarkStart w:id="1208" w:name="_Toc292559916"/>
      <w:bookmarkStart w:id="1209" w:name="_Toc292559411"/>
      <w:bookmarkStart w:id="1210" w:name="_Toc296347205"/>
      <w:bookmarkStart w:id="1211" w:name="_Toc296891034"/>
      <w:bookmarkStart w:id="1212" w:name="_Toc296346707"/>
      <w:bookmarkStart w:id="1213" w:name="_Toc296891246"/>
      <w:bookmarkStart w:id="1214" w:name="_Toc297120506"/>
      <w:bookmarkStart w:id="1215" w:name="_Toc296944545"/>
      <w:bookmarkStart w:id="1216" w:name="_Toc296503206"/>
      <w:bookmarkStart w:id="1217" w:name="_Toc297048392"/>
      <w:bookmarkStart w:id="1218" w:name="_Toc297216212"/>
      <w:bookmarkStart w:id="1219" w:name="_Toc300935003"/>
      <w:bookmarkStart w:id="1220" w:name="_Toc303539160"/>
      <w:bookmarkStart w:id="1221" w:name="_Toc304295580"/>
      <w:bookmarkStart w:id="1222" w:name="_Toc312678041"/>
      <w:bookmarkStart w:id="1223" w:name="_Toc297123553"/>
      <w:r>
        <w:rPr>
          <w:rFonts w:hint="default" w:ascii="Times New Roman" w:hAnsi="Times New Roman" w:eastAsia="方正仿宋_GBK" w:cs="Times New Roman"/>
          <w:color w:val="000000" w:themeColor="text1"/>
          <w:sz w:val="24"/>
          <w:szCs w:val="24"/>
          <w14:textFill>
            <w14:solidFill>
              <w14:schemeClr w14:val="tx1"/>
            </w14:solidFill>
          </w14:textFill>
        </w:rPr>
        <w:t>12.1 合</w:t>
      </w:r>
      <w:bookmarkEnd w:id="1207"/>
      <w:bookmarkEnd w:id="1208"/>
      <w:bookmarkEnd w:id="1209"/>
      <w:r>
        <w:rPr>
          <w:rFonts w:hint="default" w:ascii="Times New Roman" w:hAnsi="Times New Roman" w:eastAsia="方正仿宋_GBK" w:cs="Times New Roman"/>
          <w:color w:val="000000" w:themeColor="text1"/>
          <w:sz w:val="24"/>
          <w:szCs w:val="24"/>
          <w14:textFill>
            <w14:solidFill>
              <w14:schemeClr w14:val="tx1"/>
            </w14:solidFill>
          </w14:textFill>
        </w:rPr>
        <w:t>同价</w:t>
      </w:r>
      <w:bookmarkEnd w:id="1210"/>
      <w:bookmarkEnd w:id="1211"/>
      <w:bookmarkEnd w:id="1212"/>
      <w:bookmarkEnd w:id="1213"/>
      <w:bookmarkEnd w:id="1214"/>
      <w:bookmarkEnd w:id="1215"/>
      <w:bookmarkEnd w:id="1216"/>
      <w:bookmarkEnd w:id="1217"/>
      <w:r>
        <w:rPr>
          <w:rFonts w:hint="default" w:ascii="Times New Roman" w:hAnsi="Times New Roman" w:eastAsia="方正仿宋_GBK" w:cs="Times New Roman"/>
          <w:color w:val="000000" w:themeColor="text1"/>
          <w:sz w:val="24"/>
          <w:szCs w:val="24"/>
          <w14:textFill>
            <w14:solidFill>
              <w14:schemeClr w14:val="tx1"/>
            </w14:solidFill>
          </w14:textFill>
        </w:rPr>
        <w:t>格形式</w:t>
      </w:r>
    </w:p>
    <w:bookmarkEnd w:id="1218"/>
    <w:bookmarkEnd w:id="1219"/>
    <w:bookmarkEnd w:id="1220"/>
    <w:bookmarkEnd w:id="1221"/>
    <w:bookmarkEnd w:id="1222"/>
    <w:bookmarkEnd w:id="1223"/>
    <w:p w14:paraId="58BA0E1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1.</w:t>
      </w:r>
      <w:r>
        <w:rPr>
          <w:rFonts w:hint="default" w:ascii="Times New Roman" w:hAnsi="Times New Roman" w:eastAsia="方正仿宋_GBK" w:cs="Times New Roman"/>
          <w:color w:val="000000" w:themeColor="text1"/>
          <w:sz w:val="24"/>
          <w:szCs w:val="24"/>
          <w14:textFill>
            <w14:solidFill>
              <w14:schemeClr w14:val="tx1"/>
            </w14:solidFill>
          </w14:textFill>
        </w:rPr>
        <w:t>单价合同。</w:t>
      </w:r>
    </w:p>
    <w:p w14:paraId="33F4770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综合单价包含的风险范围：</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B14AA9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u w:val="none"/>
          <w:lang w:eastAsia="zh-CN"/>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风险费用的计算方法：</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none"/>
          <w:lang w:eastAsia="zh-CN"/>
          <w14:textFill>
            <w14:solidFill>
              <w14:schemeClr w14:val="tx1"/>
            </w14:solidFill>
          </w14:textFill>
        </w:rPr>
        <w:t>。</w:t>
      </w:r>
    </w:p>
    <w:p w14:paraId="5D28E0C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风险范围以外合同价格的调整方法：</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751F076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2.</w:t>
      </w:r>
      <w:r>
        <w:rPr>
          <w:rFonts w:hint="default" w:ascii="Times New Roman" w:hAnsi="Times New Roman" w:eastAsia="方正仿宋_GBK" w:cs="Times New Roman"/>
          <w:color w:val="000000" w:themeColor="text1"/>
          <w:sz w:val="24"/>
          <w:szCs w:val="24"/>
          <w14:textFill>
            <w14:solidFill>
              <w14:schemeClr w14:val="tx1"/>
            </w14:solidFill>
          </w14:textFill>
        </w:rPr>
        <w:t>总价合同。</w:t>
      </w:r>
    </w:p>
    <w:p w14:paraId="6D4814E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总价包含的风险范围：</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EF59B5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风险费用的计算方法：</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35A88D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风险范围以外合同价格的调整方法：</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D2934E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3、其他价格方式：</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5FBBE2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bookmarkStart w:id="1224" w:name="_Toc304295581"/>
      <w:bookmarkStart w:id="1225" w:name="_Toc297216213"/>
      <w:bookmarkStart w:id="1226" w:name="_Toc303539161"/>
      <w:bookmarkStart w:id="1227" w:name="_Toc300935004"/>
      <w:bookmarkStart w:id="1228" w:name="_Toc297123554"/>
      <w:bookmarkStart w:id="1229" w:name="_Toc312678042"/>
      <w:bookmarkStart w:id="1230" w:name="_Toc296346708"/>
      <w:bookmarkStart w:id="1231" w:name="_Toc296503207"/>
      <w:bookmarkStart w:id="1232" w:name="_Toc297048393"/>
      <w:bookmarkStart w:id="1233" w:name="_Toc296891247"/>
      <w:bookmarkStart w:id="1234" w:name="_Toc297120507"/>
      <w:bookmarkStart w:id="1235" w:name="_Toc292559917"/>
      <w:bookmarkStart w:id="1236" w:name="_Toc296891035"/>
      <w:bookmarkStart w:id="1237" w:name="_Toc292559412"/>
      <w:bookmarkStart w:id="1238" w:name="_Toc296944546"/>
      <w:bookmarkStart w:id="1239" w:name="_Toc296347206"/>
      <w:r>
        <w:rPr>
          <w:rFonts w:hint="default" w:ascii="Times New Roman" w:hAnsi="Times New Roman" w:eastAsia="方正仿宋_GBK" w:cs="Times New Roman"/>
          <w:color w:val="000000" w:themeColor="text1"/>
          <w:sz w:val="24"/>
          <w:szCs w:val="24"/>
          <w14:textFill>
            <w14:solidFill>
              <w14:schemeClr w14:val="tx1"/>
            </w14:solidFill>
          </w14:textFill>
        </w:rPr>
        <w:t>12.2 预付款</w:t>
      </w:r>
    </w:p>
    <w:bookmarkEnd w:id="1224"/>
    <w:bookmarkEnd w:id="1225"/>
    <w:bookmarkEnd w:id="1226"/>
    <w:bookmarkEnd w:id="1227"/>
    <w:bookmarkEnd w:id="1228"/>
    <w:bookmarkEnd w:id="1229"/>
    <w:p w14:paraId="3B4BE82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12.2.1 预付款的支付</w:t>
      </w:r>
    </w:p>
    <w:p w14:paraId="48F1E41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预付款支付比例或金额：</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D24415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预付款支付期限：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378F1F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预付款扣回的方式：</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C4981E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12.2.2 预付款担保</w:t>
      </w:r>
    </w:p>
    <w:p w14:paraId="5EC4FEB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承包人提交预付款担保的期限：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EFDDDB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预付款担保的形式为：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bookmarkEnd w:id="1230"/>
    <w:bookmarkEnd w:id="1231"/>
    <w:bookmarkEnd w:id="1232"/>
    <w:bookmarkEnd w:id="1233"/>
    <w:bookmarkEnd w:id="1234"/>
    <w:bookmarkEnd w:id="1235"/>
    <w:bookmarkEnd w:id="1236"/>
    <w:bookmarkEnd w:id="1237"/>
    <w:bookmarkEnd w:id="1238"/>
    <w:bookmarkEnd w:id="1239"/>
    <w:p w14:paraId="6D9D44B9">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12.3 计量</w:t>
      </w:r>
    </w:p>
    <w:p w14:paraId="24FE2C1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12.3.1 计量原则</w:t>
      </w:r>
    </w:p>
    <w:p w14:paraId="4228EC1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工程量计算规则：</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C8D80E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12.3.2 计量周期</w:t>
      </w:r>
    </w:p>
    <w:p w14:paraId="5597FA0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关于计量周期的约定：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A310B2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12.3.3 单价合同的计量</w:t>
      </w:r>
    </w:p>
    <w:p w14:paraId="31AA0D5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关于单价合同计量的约定：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36AA5E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12.3.4 总价合同的计量</w:t>
      </w:r>
    </w:p>
    <w:p w14:paraId="06C3EA1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关于总价合同计量的约定：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507D99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12.3.5总价合同采用支付分解表计量支付的，是否适用第</w:t>
      </w: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12.3.4 </w:t>
      </w:r>
      <w:r>
        <w:rPr>
          <w:rFonts w:hint="default" w:ascii="Times New Roman" w:hAnsi="Times New Roman" w:eastAsia="方正仿宋_GBK" w:cs="Times New Roman"/>
          <w:color w:val="000000" w:themeColor="text1"/>
          <w:sz w:val="24"/>
          <w:szCs w:val="24"/>
          <w14:textFill>
            <w14:solidFill>
              <w14:schemeClr w14:val="tx1"/>
            </w14:solidFill>
          </w14:textFill>
        </w:rPr>
        <w:t>项</w:t>
      </w:r>
      <w:r>
        <w:rPr>
          <w:rFonts w:hint="default" w:ascii="Times New Roman" w:hAnsi="Times New Roman" w:eastAsia="方正仿宋_GBK" w:cs="Times New Roman"/>
          <w:color w:val="000000" w:themeColor="text1"/>
          <w:kern w:val="0"/>
          <w:sz w:val="24"/>
          <w:szCs w:val="24"/>
          <w14:textFill>
            <w14:solidFill>
              <w14:schemeClr w14:val="tx1"/>
            </w14:solidFill>
          </w14:textFill>
        </w:rPr>
        <w:t>〔总价合同的计量〕</w:t>
      </w:r>
      <w:r>
        <w:rPr>
          <w:rFonts w:hint="default" w:ascii="Times New Roman" w:hAnsi="Times New Roman" w:eastAsia="方正仿宋_GBK" w:cs="Times New Roman"/>
          <w:color w:val="000000" w:themeColor="text1"/>
          <w:sz w:val="24"/>
          <w:szCs w:val="24"/>
          <w14:textFill>
            <w14:solidFill>
              <w14:schemeClr w14:val="tx1"/>
            </w14:solidFill>
          </w14:textFill>
        </w:rPr>
        <w:t>约定进行计量：</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7B4186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12.3.6 其他价格形式合同的计量</w:t>
      </w:r>
    </w:p>
    <w:p w14:paraId="7F1F7D3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其他价格形式的计量方式和程序：</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E58DB42">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12.4 工程进度款支付</w:t>
      </w:r>
    </w:p>
    <w:p w14:paraId="2882683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bookmarkStart w:id="1240" w:name="_Toc297216215"/>
      <w:bookmarkStart w:id="1241" w:name="_Toc292559416"/>
      <w:bookmarkStart w:id="1242" w:name="_Toc296944550"/>
      <w:bookmarkStart w:id="1243" w:name="_Toc297048397"/>
      <w:bookmarkStart w:id="1244" w:name="_Toc297120511"/>
      <w:bookmarkStart w:id="1245" w:name="_Toc296347210"/>
      <w:bookmarkStart w:id="1246" w:name="_Toc296891251"/>
      <w:bookmarkStart w:id="1247" w:name="_Toc296503211"/>
      <w:bookmarkStart w:id="1248" w:name="_Toc297123556"/>
      <w:bookmarkStart w:id="1249" w:name="_Toc292559921"/>
      <w:bookmarkStart w:id="1250" w:name="_Toc296346712"/>
      <w:bookmarkStart w:id="1251" w:name="_Toc303539163"/>
      <w:bookmarkStart w:id="1252" w:name="_Toc296891039"/>
      <w:bookmarkStart w:id="1253" w:name="_Toc300935006"/>
      <w:r>
        <w:rPr>
          <w:rFonts w:hint="default" w:ascii="Times New Roman" w:hAnsi="Times New Roman" w:eastAsia="方正仿宋_GBK" w:cs="Times New Roman"/>
          <w:color w:val="000000" w:themeColor="text1"/>
          <w:sz w:val="24"/>
          <w:szCs w:val="24"/>
          <w14:textFill>
            <w14:solidFill>
              <w14:schemeClr w14:val="tx1"/>
            </w14:solidFill>
          </w14:textFill>
        </w:rPr>
        <w:t>12.4.1 付款周期</w:t>
      </w:r>
    </w:p>
    <w:p w14:paraId="5D70C2C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关于付款周期的约定：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03E88A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12.4.2 进度付款申请单的编制</w:t>
      </w:r>
    </w:p>
    <w:p w14:paraId="78F4181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关于进度付款申请单编制的约定：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19B1E2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w:t>
      </w:r>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r>
        <w:rPr>
          <w:rFonts w:hint="default" w:ascii="Times New Roman" w:hAnsi="Times New Roman" w:eastAsia="方正仿宋_GBK" w:cs="Times New Roman"/>
          <w:color w:val="000000" w:themeColor="text1"/>
          <w:sz w:val="24"/>
          <w:szCs w:val="24"/>
          <w14:textFill>
            <w14:solidFill>
              <w14:schemeClr w14:val="tx1"/>
            </w14:solidFill>
          </w14:textFill>
        </w:rPr>
        <w:t>2.4.3 进度付款申请单的提交</w:t>
      </w:r>
    </w:p>
    <w:p w14:paraId="41C2D2C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（1）单价合同进度付款申请单提交的约定：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F822B0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（2）总价合同进度付款申请单提交的约定：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733B68C">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（3）其他价格形式合同进度付款申请单提交的约定：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5BB8C1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12.4.4 进度款审核和支付</w:t>
      </w:r>
    </w:p>
    <w:p w14:paraId="2E4E539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（1）监理人审查并报送发包人的期限：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BEC77E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发包人完成审批并签发进度款支付证书的期限：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FDEF5D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（2）发包人支付进度款的期限：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8E002B7">
      <w:pPr>
        <w:pageBreakBefore w:val="0"/>
        <w:widowControl w:val="0"/>
        <w:kinsoku/>
        <w:wordWrap/>
        <w:overflowPunct/>
        <w:topLinePunct w:val="0"/>
        <w:bidi w:val="0"/>
        <w:snapToGrid/>
        <w:spacing w:line="400" w:lineRule="exact"/>
        <w:ind w:left="0" w:leftChars="0" w:right="0" w:rightChars="0" w:firstLine="600" w:firstLineChars="25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发包人逾期支付进度款的违约金的计算方式：</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D6BF8F1">
      <w:pPr>
        <w:pageBreakBefore w:val="0"/>
        <w:widowControl w:val="0"/>
        <w:kinsoku/>
        <w:wordWrap/>
        <w:overflowPunct/>
        <w:topLinePunct w:val="0"/>
        <w:bidi w:val="0"/>
        <w:snapToGrid/>
        <w:spacing w:line="400" w:lineRule="exact"/>
        <w:ind w:left="0" w:leftChars="0" w:right="0" w:rightChars="0" w:firstLine="600" w:firstLineChars="25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12.4.6 支付分解表的编制</w:t>
      </w:r>
    </w:p>
    <w:p w14:paraId="58F158C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2.</w:t>
      </w:r>
      <w:r>
        <w:rPr>
          <w:rFonts w:hint="default" w:ascii="Times New Roman" w:hAnsi="Times New Roman" w:eastAsia="方正仿宋_GBK" w:cs="Times New Roman"/>
          <w:color w:val="000000" w:themeColor="text1"/>
          <w:sz w:val="24"/>
          <w:szCs w:val="24"/>
          <w14:textFill>
            <w14:solidFill>
              <w14:schemeClr w14:val="tx1"/>
            </w14:solidFill>
          </w14:textFill>
        </w:rPr>
        <w:t>总价合同支付分解表的编制与审批：</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B6CAD6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3.</w:t>
      </w:r>
      <w:r>
        <w:rPr>
          <w:rFonts w:hint="default" w:ascii="Times New Roman" w:hAnsi="Times New Roman" w:eastAsia="方正仿宋_GBK" w:cs="Times New Roman"/>
          <w:color w:val="000000" w:themeColor="text1"/>
          <w:sz w:val="24"/>
          <w:szCs w:val="24"/>
          <w14:textFill>
            <w14:solidFill>
              <w14:schemeClr w14:val="tx1"/>
            </w14:solidFill>
          </w14:textFill>
        </w:rPr>
        <w:t>单价合同的总价项目支付分解表的编制与审批：</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bookmarkEnd w:id="1083"/>
    <w:p w14:paraId="2EF7CB37">
      <w:pPr>
        <w:pStyle w:val="5"/>
        <w:pageBreakBefore w:val="0"/>
        <w:widowControl w:val="0"/>
        <w:numPr>
          <w:ilvl w:val="3"/>
          <w:numId w:val="0"/>
        </w:numPr>
        <w:kinsoku/>
        <w:wordWrap/>
        <w:overflowPunct/>
        <w:topLinePunct w:val="0"/>
        <w:bidi w:val="0"/>
        <w:snapToGrid/>
        <w:spacing w:before="0" w:beforeLines="0" w:after="0" w:afterLines="0" w:line="400" w:lineRule="exact"/>
        <w:ind w:right="0" w:rightChars="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1254" w:name="_Toc351203645"/>
      <w:bookmarkStart w:id="1255" w:name="_Toc292559424"/>
      <w:bookmarkStart w:id="1256" w:name="_Toc296944558"/>
      <w:bookmarkStart w:id="1257" w:name="_Toc296503219"/>
      <w:bookmarkStart w:id="1258" w:name="_Toc297120519"/>
      <w:bookmarkStart w:id="1259" w:name="_Toc297048405"/>
      <w:bookmarkStart w:id="1260" w:name="_Toc297123564"/>
      <w:bookmarkStart w:id="1261" w:name="_Toc304295593"/>
      <w:bookmarkStart w:id="1262" w:name="_Toc300935015"/>
      <w:bookmarkStart w:id="1263" w:name="_Toc303539172"/>
      <w:bookmarkStart w:id="1264" w:name="_Toc297216223"/>
      <w:bookmarkStart w:id="1265" w:name="_Toc296346720"/>
      <w:bookmarkStart w:id="1266" w:name="_Toc296891259"/>
      <w:bookmarkStart w:id="1267" w:name="_Toc292559929"/>
      <w:bookmarkStart w:id="1268" w:name="_Toc296347218"/>
      <w:bookmarkStart w:id="1269" w:name="_Toc312678053"/>
      <w:bookmarkStart w:id="1270" w:name="_Toc296891047"/>
      <w:r>
        <w:rPr>
          <w:rFonts w:hint="default" w:ascii="Times New Roman" w:hAnsi="Times New Roman" w:eastAsia="方正小标宋_GBK" w:cs="Times New Roman"/>
          <w:b w:val="0"/>
          <w:color w:val="000000" w:themeColor="text1"/>
          <w:sz w:val="24"/>
          <w:szCs w:val="24"/>
          <w14:textFill>
            <w14:solidFill>
              <w14:schemeClr w14:val="tx1"/>
            </w14:solidFill>
          </w14:textFill>
        </w:rPr>
        <w:t>13. 验收和工程试车</w:t>
      </w:r>
      <w:bookmarkEnd w:id="1254"/>
    </w:p>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p w14:paraId="2AE71DC7">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13.1 分部分项工程验收</w:t>
      </w:r>
    </w:p>
    <w:p w14:paraId="761002E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13.1.2监理人不能按时进行验收时，应提前</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小时提交书面延期要求。</w:t>
      </w:r>
    </w:p>
    <w:p w14:paraId="20A9238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b/>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关于延期最长不得超过：</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小时。</w:t>
      </w:r>
    </w:p>
    <w:p w14:paraId="68C43CC9">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bookmarkStart w:id="1271" w:name="_Toc297120523"/>
      <w:bookmarkStart w:id="1272" w:name="_Toc304295596"/>
      <w:bookmarkStart w:id="1273" w:name="_Toc296891051"/>
      <w:bookmarkStart w:id="1274" w:name="_Toc296891263"/>
      <w:bookmarkStart w:id="1275" w:name="_Toc292559933"/>
      <w:bookmarkStart w:id="1276" w:name="_Toc296346724"/>
      <w:bookmarkStart w:id="1277" w:name="_Toc292559428"/>
      <w:bookmarkStart w:id="1278" w:name="_Toc297123565"/>
      <w:bookmarkStart w:id="1279" w:name="_Toc297048409"/>
      <w:bookmarkStart w:id="1280" w:name="_Toc296503223"/>
      <w:bookmarkStart w:id="1281" w:name="_Toc300935016"/>
      <w:bookmarkStart w:id="1282" w:name="_Toc297216224"/>
      <w:bookmarkStart w:id="1283" w:name="_Toc296944562"/>
      <w:bookmarkStart w:id="1284" w:name="_Toc303539173"/>
      <w:bookmarkStart w:id="1285" w:name="_Toc312678056"/>
      <w:bookmarkStart w:id="1286" w:name="_Toc296347222"/>
      <w:bookmarkStart w:id="1287" w:name="_Toc267251475"/>
      <w:bookmarkStart w:id="1288" w:name="_Toc267251476"/>
      <w:bookmarkStart w:id="1289" w:name="_Toc267251470"/>
      <w:bookmarkStart w:id="1290" w:name="_Toc267251473"/>
      <w:bookmarkStart w:id="1291" w:name="_Toc267251472"/>
      <w:bookmarkStart w:id="1292" w:name="_Toc267251474"/>
      <w:bookmarkStart w:id="1293" w:name="_Toc267251471"/>
      <w:r>
        <w:rPr>
          <w:rFonts w:hint="default" w:ascii="Times New Roman" w:hAnsi="Times New Roman" w:eastAsia="方正仿宋_GBK" w:cs="Times New Roman"/>
          <w:color w:val="000000" w:themeColor="text1"/>
          <w:sz w:val="24"/>
          <w:szCs w:val="24"/>
          <w14:textFill>
            <w14:solidFill>
              <w14:schemeClr w14:val="tx1"/>
            </w14:solidFill>
          </w14:textFill>
        </w:rPr>
        <w:t>13.2 竣工验收</w:t>
      </w:r>
    </w:p>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p w14:paraId="67F9AE8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bookmarkStart w:id="1294" w:name="_Toc280868704"/>
      <w:bookmarkStart w:id="1295" w:name="_Toc280868705"/>
      <w:bookmarkStart w:id="1296" w:name="_Toc280868706"/>
      <w:bookmarkStart w:id="1297" w:name="_Toc280868707"/>
      <w:bookmarkStart w:id="1298" w:name="_Toc280868708"/>
      <w:bookmarkStart w:id="1299" w:name="_Toc280868709"/>
      <w:r>
        <w:rPr>
          <w:rFonts w:hint="default" w:ascii="Times New Roman" w:hAnsi="Times New Roman" w:eastAsia="方正仿宋_GBK" w:cs="Times New Roman"/>
          <w:color w:val="000000" w:themeColor="text1"/>
          <w:sz w:val="24"/>
          <w:szCs w:val="24"/>
          <w14:textFill>
            <w14:solidFill>
              <w14:schemeClr w14:val="tx1"/>
            </w14:solidFill>
          </w14:textFill>
        </w:rPr>
        <w:t>13.2.2竣工验收程序</w:t>
      </w:r>
    </w:p>
    <w:bookmarkEnd w:id="1294"/>
    <w:p w14:paraId="49D5B2E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关于竣工验收程序的约定：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5D5006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发包人不按照本项约定组织竣工验收、颁发工程接收证书的违约金的计算方法：</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3009E6B2">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bookmarkEnd w:id="1295"/>
    <w:p w14:paraId="00E1605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13.2.5移交、接收全部与部分工程</w:t>
      </w:r>
    </w:p>
    <w:bookmarkEnd w:id="1296"/>
    <w:p w14:paraId="39AF44A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承包人向发包人移交工程的期限：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BC4023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发包人未按本合同约定接收全部或部分工程的，违约金的计算方法为：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bookmarkEnd w:id="1297"/>
    <w:p w14:paraId="06CA2C4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承包人未按时移交工程的，违约金的计算方法为：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640DD9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13.3 工程试车</w:t>
      </w:r>
    </w:p>
    <w:bookmarkEnd w:id="1298"/>
    <w:p w14:paraId="345922C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13.3.1 试车程序</w:t>
      </w:r>
    </w:p>
    <w:p w14:paraId="21CB5D5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u w:val="none"/>
          <w:lang w:eastAsia="zh-CN"/>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工程试车内容：</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none"/>
          <w:lang w:eastAsia="zh-CN"/>
          <w14:textFill>
            <w14:solidFill>
              <w14:schemeClr w14:val="tx1"/>
            </w14:solidFill>
          </w14:textFill>
        </w:rPr>
        <w:t>。</w:t>
      </w:r>
    </w:p>
    <w:p w14:paraId="7F79707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（1）单机无负荷试车费用由</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承担；</w:t>
      </w:r>
    </w:p>
    <w:p w14:paraId="4397D71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（2）无负荷联动试车费用由</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承担。</w:t>
      </w:r>
    </w:p>
    <w:p w14:paraId="5D90681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13.3.3 投料试车</w:t>
      </w:r>
    </w:p>
    <w:p w14:paraId="2251A40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关于投料试车相关事项的约定：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87D51C0">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13.6 竣工退场</w:t>
      </w:r>
    </w:p>
    <w:p w14:paraId="70B3E76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13.6.1 竣工退场</w:t>
      </w:r>
    </w:p>
    <w:p w14:paraId="7045332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承包人完成竣工退场的期限：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73C3583A">
      <w:pPr>
        <w:pStyle w:val="5"/>
        <w:pageBreakBefore w:val="0"/>
        <w:widowControl w:val="0"/>
        <w:numPr>
          <w:ilvl w:val="3"/>
          <w:numId w:val="0"/>
        </w:numPr>
        <w:kinsoku/>
        <w:wordWrap/>
        <w:overflowPunct/>
        <w:topLinePunct w:val="0"/>
        <w:bidi w:val="0"/>
        <w:snapToGrid/>
        <w:spacing w:before="0" w:beforeLines="0" w:after="0" w:afterLines="0" w:line="400" w:lineRule="exact"/>
        <w:ind w:right="0" w:rightChars="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1300" w:name="_Toc351203646"/>
      <w:r>
        <w:rPr>
          <w:rFonts w:hint="default" w:ascii="Times New Roman" w:hAnsi="Times New Roman" w:eastAsia="方正小标宋_GBK" w:cs="Times New Roman"/>
          <w:b w:val="0"/>
          <w:color w:val="000000" w:themeColor="text1"/>
          <w:sz w:val="24"/>
          <w:szCs w:val="24"/>
          <w14:textFill>
            <w14:solidFill>
              <w14:schemeClr w14:val="tx1"/>
            </w14:solidFill>
          </w14:textFill>
        </w:rPr>
        <w:t>14. 竣工结算</w:t>
      </w:r>
      <w:bookmarkEnd w:id="1300"/>
    </w:p>
    <w:p w14:paraId="4EAB52F3">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14.1 竣工结算申请</w:t>
      </w:r>
    </w:p>
    <w:p w14:paraId="6C3B68F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承包人提交竣工结算申请单的期限：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700F7B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竣工结算申请单应包括的内容：</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EA67765">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14.2 竣工结算审核</w:t>
      </w:r>
    </w:p>
    <w:p w14:paraId="6D8D5C56">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发包人审批竣工付款申请单的期限：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7CD0BA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发包人完成竣工付款的期限：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E2D6D0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关于竣工付款证书异议部分复核的方式和程序：</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4F72107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14.4 最终结清</w:t>
      </w:r>
    </w:p>
    <w:p w14:paraId="7CC4C20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14.4.1 最终结清申请单</w:t>
      </w:r>
    </w:p>
    <w:p w14:paraId="765B0B0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承包人提交最终结清申请单的份数：</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7CDC329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承包人提交最终结算申请单的期限：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512365B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14.4.2 最终结清证书和支付</w:t>
      </w:r>
    </w:p>
    <w:p w14:paraId="56A611E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（1）发包人完成最终结清申请单的审批并颁发最终结清证书的期限：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986B73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（2）发包人完成支付的期限：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bookmarkEnd w:id="1287"/>
    <w:bookmarkEnd w:id="1288"/>
    <w:bookmarkEnd w:id="1289"/>
    <w:bookmarkEnd w:id="1290"/>
    <w:bookmarkEnd w:id="1291"/>
    <w:bookmarkEnd w:id="1292"/>
    <w:bookmarkEnd w:id="1293"/>
    <w:bookmarkEnd w:id="1299"/>
    <w:p w14:paraId="3CDD7F2C">
      <w:pPr>
        <w:pStyle w:val="5"/>
        <w:pageBreakBefore w:val="0"/>
        <w:widowControl w:val="0"/>
        <w:numPr>
          <w:ilvl w:val="3"/>
          <w:numId w:val="0"/>
        </w:numPr>
        <w:kinsoku/>
        <w:wordWrap/>
        <w:overflowPunct/>
        <w:topLinePunct w:val="0"/>
        <w:bidi w:val="0"/>
        <w:snapToGrid/>
        <w:spacing w:before="0" w:beforeLines="0" w:after="0" w:afterLines="0" w:line="400" w:lineRule="exact"/>
        <w:ind w:right="0" w:rightChars="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1301" w:name="_Toc351203647"/>
      <w:bookmarkStart w:id="1302" w:name="_Toc267251483"/>
      <w:bookmarkStart w:id="1303" w:name="_Toc267251482"/>
      <w:bookmarkStart w:id="1304" w:name="_Toc267251484"/>
      <w:bookmarkStart w:id="1305" w:name="_Toc267251485"/>
      <w:bookmarkStart w:id="1306" w:name="_Toc267251489"/>
      <w:bookmarkStart w:id="1307" w:name="_Toc267251488"/>
      <w:bookmarkStart w:id="1308" w:name="_Toc267251486"/>
      <w:bookmarkStart w:id="1309" w:name="_Toc267251490"/>
      <w:bookmarkStart w:id="1310" w:name="_Toc267251498"/>
      <w:bookmarkStart w:id="1311" w:name="_Toc267251494"/>
      <w:bookmarkStart w:id="1312" w:name="_Toc267251503"/>
      <w:bookmarkStart w:id="1313" w:name="_Toc267251493"/>
      <w:bookmarkStart w:id="1314" w:name="_Toc267251502"/>
      <w:bookmarkStart w:id="1315" w:name="_Toc267251492"/>
      <w:bookmarkStart w:id="1316" w:name="_Toc267251495"/>
      <w:bookmarkStart w:id="1317" w:name="_Toc267251501"/>
      <w:bookmarkStart w:id="1318" w:name="_Toc267251499"/>
      <w:bookmarkStart w:id="1319" w:name="_Toc267251496"/>
      <w:bookmarkStart w:id="1320" w:name="_Toc267251497"/>
      <w:bookmarkStart w:id="1321" w:name="_Toc267251491"/>
      <w:bookmarkStart w:id="1322" w:name="_Toc267251506"/>
      <w:bookmarkStart w:id="1323" w:name="_Toc267251504"/>
      <w:bookmarkStart w:id="1324" w:name="_Toc267251507"/>
      <w:bookmarkStart w:id="1325" w:name="_Toc267251508"/>
      <w:bookmarkStart w:id="1326" w:name="_Toc267251510"/>
      <w:bookmarkStart w:id="1327" w:name="_Toc267251509"/>
      <w:bookmarkStart w:id="1328" w:name="_Toc267251515"/>
      <w:bookmarkStart w:id="1329" w:name="_Toc267251513"/>
      <w:bookmarkStart w:id="1330" w:name="_Toc267251514"/>
      <w:bookmarkStart w:id="1331" w:name="_Toc267251511"/>
      <w:r>
        <w:rPr>
          <w:rFonts w:hint="default" w:ascii="Times New Roman" w:hAnsi="Times New Roman" w:eastAsia="方正小标宋_GBK" w:cs="Times New Roman"/>
          <w:b w:val="0"/>
          <w:color w:val="000000" w:themeColor="text1"/>
          <w:sz w:val="24"/>
          <w:szCs w:val="24"/>
          <w14:textFill>
            <w14:solidFill>
              <w14:schemeClr w14:val="tx1"/>
            </w14:solidFill>
          </w14:textFill>
        </w:rPr>
        <w:t>15. 缺陷责任期与保修</w:t>
      </w:r>
      <w:bookmarkEnd w:id="1301"/>
    </w:p>
    <w:p w14:paraId="05179254">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15.2缺陷责任期</w:t>
      </w:r>
      <w:bookmarkEnd w:id="1302"/>
    </w:p>
    <w:p w14:paraId="01F7061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缺陷责任期的具体期限：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050C0F1">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15.3 质量保证金</w:t>
      </w:r>
    </w:p>
    <w:p w14:paraId="0D690B8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关于是否扣留质量保证金的约定：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。在工程项目竣工前，承包人按专用合同条款第3.7条提供履约担保的，发包人不得同时预留工程质量保证金。</w:t>
      </w:r>
    </w:p>
    <w:p w14:paraId="0C648EF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p>
    <w:p w14:paraId="64EDC24E">
      <w:pPr>
        <w:pageBreakBefore w:val="0"/>
        <w:widowControl w:val="0"/>
        <w:kinsoku/>
        <w:wordWrap/>
        <w:overflowPunct/>
        <w:topLinePunct w:val="0"/>
        <w:bidi w:val="0"/>
        <w:snapToGrid/>
        <w:spacing w:line="400" w:lineRule="exact"/>
        <w:ind w:left="0" w:leftChars="0" w:right="0" w:rightChars="0" w:firstLine="480" w:firstLineChars="200"/>
        <w:jc w:val="left"/>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15.3.1 承包人提供质量保证金的方式</w:t>
      </w:r>
    </w:p>
    <w:p w14:paraId="06A1A6B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质量保证金采用以下第</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1</w:t>
      </w:r>
      <w:r>
        <w:rPr>
          <w:rFonts w:hint="default" w:ascii="Times New Roman" w:hAnsi="Times New Roman" w:eastAsia="方正仿宋_GBK" w:cs="Times New Roman"/>
          <w:color w:val="000000" w:themeColor="text1"/>
          <w:sz w:val="24"/>
          <w:szCs w:val="24"/>
          <w:u w:val="single"/>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种方式：</w:t>
      </w:r>
    </w:p>
    <w:p w14:paraId="4F57A6D2">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（1）质量保证金保函，保证金额为：</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u w:val="single"/>
          <w:lang w:val="en-US" w:eastAsia="zh-CN"/>
          <w14:textFill>
            <w14:solidFill>
              <w14:schemeClr w14:val="tx1"/>
            </w14:solidFill>
          </w14:textFill>
        </w:rPr>
        <w:t>合同价的3%</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 </w:t>
      </w:r>
    </w:p>
    <w:p w14:paraId="0C9F689F">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u w:val="single"/>
          <w:lang w:val="en-US" w:eastAsia="zh-CN"/>
          <w14:textFill>
            <w14:solidFill>
              <w14:schemeClr w14:val="tx1"/>
            </w14:solidFill>
          </w14:textFill>
        </w:rPr>
        <w:t>/</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%的工程款；</w:t>
      </w:r>
    </w:p>
    <w:p w14:paraId="7BAE7E4B">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（3）其他方式</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u w:val="single"/>
          <w:lang w:val="en-US" w:eastAsia="zh-CN"/>
          <w14:textFill>
            <w14:solidFill>
              <w14:schemeClr w14:val="tx1"/>
            </w14:solidFill>
          </w14:textFill>
        </w:rPr>
        <w:t>/</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74A90AB8">
      <w:pPr>
        <w:pageBreakBefore w:val="0"/>
        <w:widowControl w:val="0"/>
        <w:kinsoku/>
        <w:wordWrap/>
        <w:overflowPunct/>
        <w:topLinePunct w:val="0"/>
        <w:bidi w:val="0"/>
        <w:snapToGrid/>
        <w:spacing w:line="400" w:lineRule="exact"/>
        <w:ind w:left="0" w:leftChars="0" w:right="0" w:rightChars="0" w:firstLine="480" w:firstLineChars="200"/>
        <w:jc w:val="left"/>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15.3.2 质量保证金的扣留 </w:t>
      </w:r>
    </w:p>
    <w:p w14:paraId="36C1FBB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质量保证金的扣留采取以下第</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(3)</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种方式：</w:t>
      </w:r>
    </w:p>
    <w:p w14:paraId="35405F3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（1）在支付工程进度款时逐次扣留，在此情形下，质量保证金的计算基数不包括预付款的支付、扣回以及价格调整的金额；</w:t>
      </w:r>
    </w:p>
    <w:p w14:paraId="71F948AD">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outlineLvl w:val="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（2）工程竣工结算时一次性扣留质量保证金；</w:t>
      </w:r>
    </w:p>
    <w:p w14:paraId="0FF9A716">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（3）其他扣留方式</w:t>
      </w:r>
      <w:r>
        <w:rPr>
          <w:rFonts w:hint="default" w:ascii="Times New Roman" w:hAnsi="Times New Roman" w:eastAsia="方正仿宋_GBK" w:cs="Times New Roman"/>
          <w:color w:val="000000" w:themeColor="text1"/>
          <w:kern w:val="0"/>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u w:val="single"/>
          <w:lang w:val="en-US" w:eastAsia="zh-CN"/>
          <w14:textFill>
            <w14:solidFill>
              <w14:schemeClr w14:val="tx1"/>
            </w14:solidFill>
          </w14:textFill>
        </w:rPr>
        <w:t>承包人以保函替代保证金的，发包人不再扣取保证金</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40CDDF8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关于质量保证金的补充约定：</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u w:val="single"/>
          <w:lang w:val="en-US" w:eastAsia="zh-CN"/>
          <w14:textFill>
            <w14:solidFill>
              <w14:schemeClr w14:val="tx1"/>
            </w14:solidFill>
          </w14:textFill>
        </w:rPr>
        <w:t>/</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bookmarkEnd w:id="1303"/>
    <w:bookmarkEnd w:id="1304"/>
    <w:p w14:paraId="6E60076D">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15.4保修</w:t>
      </w:r>
    </w:p>
    <w:bookmarkEnd w:id="1305"/>
    <w:p w14:paraId="004B5A51">
      <w:pPr>
        <w:pageBreakBefore w:val="0"/>
        <w:widowControl w:val="0"/>
        <w:kinsoku/>
        <w:wordWrap/>
        <w:overflowPunct/>
        <w:topLinePunct w:val="0"/>
        <w:bidi w:val="0"/>
        <w:snapToGrid/>
        <w:spacing w:line="400" w:lineRule="exact"/>
        <w:ind w:left="0" w:leftChars="0" w:right="0" w:rightChars="0" w:firstLine="468" w:firstLineChars="195"/>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15.4.1 保修责任</w:t>
      </w:r>
    </w:p>
    <w:p w14:paraId="40975C2A">
      <w:pPr>
        <w:pageBreakBefore w:val="0"/>
        <w:widowControl w:val="0"/>
        <w:kinsoku/>
        <w:wordWrap/>
        <w:overflowPunct/>
        <w:topLinePunct w:val="0"/>
        <w:bidi w:val="0"/>
        <w:snapToGrid/>
        <w:spacing w:line="400" w:lineRule="exact"/>
        <w:ind w:left="0" w:leftChars="0" w:right="0" w:rightChars="0" w:firstLine="468" w:firstLineChars="195"/>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工程保修期为：</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5296DADC">
      <w:pPr>
        <w:pageBreakBefore w:val="0"/>
        <w:widowControl w:val="0"/>
        <w:kinsoku/>
        <w:wordWrap/>
        <w:overflowPunct/>
        <w:topLinePunct w:val="0"/>
        <w:bidi w:val="0"/>
        <w:snapToGrid/>
        <w:spacing w:line="400" w:lineRule="exact"/>
        <w:ind w:left="0" w:leftChars="0" w:right="0" w:rightChars="0" w:firstLine="468" w:firstLineChars="195"/>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15.4.3 修复通知</w:t>
      </w:r>
    </w:p>
    <w:p w14:paraId="3FA66F6C">
      <w:pPr>
        <w:pageBreakBefore w:val="0"/>
        <w:widowControl w:val="0"/>
        <w:kinsoku/>
        <w:wordWrap/>
        <w:overflowPunct/>
        <w:topLinePunct w:val="0"/>
        <w:bidi w:val="0"/>
        <w:snapToGrid/>
        <w:spacing w:line="400" w:lineRule="exact"/>
        <w:ind w:left="0" w:leftChars="0" w:right="0" w:rightChars="0" w:firstLine="468" w:firstLineChars="195"/>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承包人收到保修通知并到达工程现场的合理时间：</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bookmarkEnd w:id="1306"/>
    <w:bookmarkEnd w:id="1307"/>
    <w:bookmarkEnd w:id="1308"/>
    <w:bookmarkEnd w:id="1309"/>
    <w:p w14:paraId="069EF09A">
      <w:pPr>
        <w:pStyle w:val="5"/>
        <w:pageBreakBefore w:val="0"/>
        <w:widowControl w:val="0"/>
        <w:numPr>
          <w:ilvl w:val="3"/>
          <w:numId w:val="0"/>
        </w:numPr>
        <w:kinsoku/>
        <w:wordWrap/>
        <w:overflowPunct/>
        <w:topLinePunct w:val="0"/>
        <w:bidi w:val="0"/>
        <w:snapToGrid/>
        <w:spacing w:before="0" w:beforeLines="0" w:after="0" w:afterLines="0" w:line="400" w:lineRule="exact"/>
        <w:ind w:right="0" w:rightChars="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1332" w:name="_Toc351203648"/>
      <w:bookmarkStart w:id="1333" w:name="_Toc280868717"/>
      <w:bookmarkStart w:id="1334" w:name="_Toc280868718"/>
      <w:r>
        <w:rPr>
          <w:rFonts w:hint="default" w:ascii="Times New Roman" w:hAnsi="Times New Roman" w:eastAsia="方正小标宋_GBK" w:cs="Times New Roman"/>
          <w:b w:val="0"/>
          <w:color w:val="000000" w:themeColor="text1"/>
          <w:sz w:val="24"/>
          <w:szCs w:val="24"/>
          <w14:textFill>
            <w14:solidFill>
              <w14:schemeClr w14:val="tx1"/>
            </w14:solidFill>
          </w14:textFill>
        </w:rPr>
        <w:t>16. 违约</w:t>
      </w:r>
      <w:bookmarkEnd w:id="1332"/>
    </w:p>
    <w:p w14:paraId="3BACFE3F">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16.1 发包人违约</w:t>
      </w:r>
    </w:p>
    <w:p w14:paraId="5EE06F3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16.1.1发包人违约的情形</w:t>
      </w:r>
    </w:p>
    <w:p w14:paraId="270BB62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发包人违约的其他情形：</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046CA1FC">
      <w:pPr>
        <w:pageBreakBefore w:val="0"/>
        <w:widowControl w:val="0"/>
        <w:kinsoku/>
        <w:wordWrap/>
        <w:overflowPunct/>
        <w:topLinePunct w:val="0"/>
        <w:bidi w:val="0"/>
        <w:snapToGrid/>
        <w:spacing w:line="400" w:lineRule="exact"/>
        <w:ind w:left="1200" w:leftChars="0" w:right="0" w:rightChars="0" w:hanging="1200" w:hangingChars="5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    16.1.2 发包人违约的责任</w:t>
      </w:r>
    </w:p>
    <w:p w14:paraId="03BDB24A">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发包人违约责任的承担方式和计算方法：</w:t>
      </w:r>
    </w:p>
    <w:p w14:paraId="6DB4FFC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（1）因发包人原因未能在计划开工日期前7天内下达开工通知的违约责任：</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2B7A469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（2）因发包人原因未能按合同约定支付合同价款的违约责任：</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7A75D0E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（3）发包人违反第10.1款〔变更的范围〕第（2）项约定，自行实施被取消的工作或转由他人实施的违约责任：</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6603AEB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2168DA1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（5）因发包人违反合同约定造成暂停施工的违约责任：</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5330DB3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（6）发包人无正当理由没有在约定期限内发出复工指示，导致承包人无法复工的违约责任：</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4287B439">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（7）其他：</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658A3764">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16.1.3 因发包人违约解除合同</w:t>
      </w:r>
    </w:p>
    <w:p w14:paraId="2A1E03C7">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承包人按16.1.1项〔发包人违约的情形〕约定暂停施工满</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天后发包人仍不纠正其违约行为并致使合同目的不能实现的，承包人有权解除合同。</w:t>
      </w:r>
    </w:p>
    <w:p w14:paraId="5F21C81D">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16.2 承包人违约</w:t>
      </w:r>
    </w:p>
    <w:p w14:paraId="580ACC5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16.2.1 承包人违约的情形</w:t>
      </w:r>
    </w:p>
    <w:p w14:paraId="495AD30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承包人违约的其他情形：</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06A8A34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16.2.2承包人违约的责任</w:t>
      </w:r>
    </w:p>
    <w:p w14:paraId="49D27CE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承包人违约责任的承担方式和计算方法：</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2378FBEF">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16.2.3 因承包人违约解除合同</w:t>
      </w:r>
    </w:p>
    <w:p w14:paraId="6A1DA89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关于承包人违约解除合同的特别约定：</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34017125">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发包人继续使用承包人在施工现场的材料、设备、临时工程、承包人文件和由承包人或以其名义编制的其他文件的费用承担方式：</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4E813557">
      <w:pPr>
        <w:pStyle w:val="5"/>
        <w:pageBreakBefore w:val="0"/>
        <w:widowControl w:val="0"/>
        <w:numPr>
          <w:ilvl w:val="3"/>
          <w:numId w:val="0"/>
        </w:numPr>
        <w:kinsoku/>
        <w:wordWrap/>
        <w:overflowPunct/>
        <w:topLinePunct w:val="0"/>
        <w:bidi w:val="0"/>
        <w:snapToGrid/>
        <w:spacing w:before="0" w:beforeLines="0" w:after="0" w:afterLines="0" w:line="400" w:lineRule="exact"/>
        <w:ind w:right="0" w:rightChars="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1335" w:name="_Toc351203649"/>
      <w:r>
        <w:rPr>
          <w:rFonts w:hint="default" w:ascii="Times New Roman" w:hAnsi="Times New Roman" w:eastAsia="方正小标宋_GBK" w:cs="Times New Roman"/>
          <w:b w:val="0"/>
          <w:color w:val="000000" w:themeColor="text1"/>
          <w:sz w:val="24"/>
          <w:szCs w:val="24"/>
          <w14:textFill>
            <w14:solidFill>
              <w14:schemeClr w14:val="tx1"/>
            </w14:solidFill>
          </w14:textFill>
        </w:rPr>
        <w:t>17. 不可抗力</w:t>
      </w:r>
      <w:bookmarkEnd w:id="1335"/>
      <w:r>
        <w:rPr>
          <w:rFonts w:hint="default" w:ascii="Times New Roman" w:hAnsi="Times New Roman" w:eastAsia="方正小标宋_GBK" w:cs="Times New Roman"/>
          <w:b w:val="0"/>
          <w:color w:val="000000" w:themeColor="text1"/>
          <w:sz w:val="24"/>
          <w:szCs w:val="24"/>
          <w14:textFill>
            <w14:solidFill>
              <w14:schemeClr w14:val="tx1"/>
            </w14:solidFill>
          </w14:textFill>
        </w:rPr>
        <w:t xml:space="preserve"> </w:t>
      </w:r>
      <w:bookmarkEnd w:id="1333"/>
    </w:p>
    <w:p w14:paraId="74A80E3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17.1 不可抗力的确认</w:t>
      </w:r>
    </w:p>
    <w:p w14:paraId="72E5B7D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除通用合同条款约定的不可抗力事件之外，视为不可抗力的其他情形： </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0033C78E">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17.4 因不可抗力解除合同</w:t>
      </w:r>
    </w:p>
    <w:p w14:paraId="60AA67B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合同解除后，发包人应在商定或确定发包人应支付款项后</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天内完成款项的支付。</w:t>
      </w:r>
    </w:p>
    <w:p w14:paraId="7C48F0F6">
      <w:pPr>
        <w:pStyle w:val="5"/>
        <w:pageBreakBefore w:val="0"/>
        <w:widowControl w:val="0"/>
        <w:numPr>
          <w:ilvl w:val="3"/>
          <w:numId w:val="0"/>
        </w:numPr>
        <w:kinsoku/>
        <w:wordWrap/>
        <w:overflowPunct/>
        <w:topLinePunct w:val="0"/>
        <w:bidi w:val="0"/>
        <w:snapToGrid/>
        <w:spacing w:before="0" w:beforeLines="0" w:after="0" w:afterLines="0" w:line="400" w:lineRule="exact"/>
        <w:ind w:right="0" w:rightChars="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1336" w:name="_Toc351203650"/>
      <w:r>
        <w:rPr>
          <w:rFonts w:hint="default" w:ascii="Times New Roman" w:hAnsi="Times New Roman" w:eastAsia="方正小标宋_GBK" w:cs="Times New Roman"/>
          <w:b w:val="0"/>
          <w:color w:val="000000" w:themeColor="text1"/>
          <w:sz w:val="24"/>
          <w:szCs w:val="24"/>
          <w14:textFill>
            <w14:solidFill>
              <w14:schemeClr w14:val="tx1"/>
            </w14:solidFill>
          </w14:textFill>
        </w:rPr>
        <w:t>18. 保险</w:t>
      </w:r>
      <w:bookmarkEnd w:id="1336"/>
    </w:p>
    <w:bookmarkEnd w:id="1334"/>
    <w:p w14:paraId="2623D6FA">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18.1 工程保险</w:t>
      </w:r>
    </w:p>
    <w:p w14:paraId="69B0CD4E">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关于工程保险的特别约定：</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75450472">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18.3 其他保险</w:t>
      </w:r>
    </w:p>
    <w:p w14:paraId="42170FB3">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关于其他保险的约定：</w:t>
      </w:r>
      <w:r>
        <w:rPr>
          <w:rFonts w:hint="default" w:ascii="Times New Roman" w:hAnsi="Times New Roman" w:eastAsia="方正仿宋_GBK" w:cs="Times New Roman"/>
          <w:color w:val="000000" w:themeColor="text1"/>
          <w:kern w:val="0"/>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kern w:val="0"/>
          <w:sz w:val="24"/>
          <w:szCs w:val="24"/>
          <w14:textFill>
            <w14:solidFill>
              <w14:schemeClr w14:val="tx1"/>
            </w14:solidFill>
          </w14:textFill>
        </w:rPr>
        <w:t>。</w:t>
      </w:r>
    </w:p>
    <w:p w14:paraId="3BB5493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承包人是否应为其施工设备等办理财产保险：</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213500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18.7 通知义务</w:t>
      </w:r>
    </w:p>
    <w:p w14:paraId="1DDC007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14:textFill>
            <w14:solidFill>
              <w14:schemeClr w14:val="tx1"/>
            </w14:solidFill>
          </w14:textFill>
        </w:rPr>
        <w:t>关于变更保险合同时的通知义务的约定：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bookmarkEnd w:id="1310"/>
    <w:bookmarkEnd w:id="1311"/>
    <w:bookmarkEnd w:id="1312"/>
    <w:bookmarkEnd w:id="1313"/>
    <w:bookmarkEnd w:id="1314"/>
    <w:bookmarkEnd w:id="1315"/>
    <w:bookmarkEnd w:id="1316"/>
    <w:bookmarkEnd w:id="1317"/>
    <w:bookmarkEnd w:id="1318"/>
    <w:bookmarkEnd w:id="1319"/>
    <w:bookmarkEnd w:id="1320"/>
    <w:bookmarkEnd w:id="1321"/>
    <w:p w14:paraId="7C0BF305">
      <w:pPr>
        <w:pStyle w:val="5"/>
        <w:pageBreakBefore w:val="0"/>
        <w:widowControl w:val="0"/>
        <w:numPr>
          <w:ilvl w:val="3"/>
          <w:numId w:val="0"/>
        </w:numPr>
        <w:kinsoku/>
        <w:wordWrap/>
        <w:overflowPunct/>
        <w:topLinePunct w:val="0"/>
        <w:bidi w:val="0"/>
        <w:snapToGrid/>
        <w:spacing w:before="0" w:beforeLines="0" w:after="0" w:afterLines="0" w:line="400" w:lineRule="exact"/>
        <w:ind w:right="0" w:rightChars="0"/>
        <w:rPr>
          <w:rFonts w:hint="default" w:ascii="Times New Roman" w:hAnsi="Times New Roman" w:eastAsia="方正小标宋_GBK" w:cs="Times New Roman"/>
          <w:b w:val="0"/>
          <w:color w:val="000000" w:themeColor="text1"/>
          <w:sz w:val="24"/>
          <w:szCs w:val="24"/>
          <w14:textFill>
            <w14:solidFill>
              <w14:schemeClr w14:val="tx1"/>
            </w14:solidFill>
          </w14:textFill>
        </w:rPr>
      </w:pPr>
      <w:bookmarkStart w:id="1337" w:name="_Toc351203651"/>
      <w:r>
        <w:rPr>
          <w:rFonts w:hint="default" w:ascii="Times New Roman" w:hAnsi="Times New Roman" w:eastAsia="方正小标宋_GBK" w:cs="Times New Roman"/>
          <w:b w:val="0"/>
          <w:color w:val="000000" w:themeColor="text1"/>
          <w:sz w:val="24"/>
          <w:szCs w:val="24"/>
          <w:lang w:val="en-US" w:eastAsia="zh-CN"/>
          <w14:textFill>
            <w14:solidFill>
              <w14:schemeClr w14:val="tx1"/>
            </w14:solidFill>
          </w14:textFill>
        </w:rPr>
        <w:t>19</w:t>
      </w:r>
      <w:r>
        <w:rPr>
          <w:rFonts w:hint="default" w:ascii="Times New Roman" w:hAnsi="Times New Roman" w:eastAsia="方正小标宋_GBK" w:cs="Times New Roman"/>
          <w:b w:val="0"/>
          <w:color w:val="000000" w:themeColor="text1"/>
          <w:sz w:val="24"/>
          <w:szCs w:val="24"/>
          <w14:textFill>
            <w14:solidFill>
              <w14:schemeClr w14:val="tx1"/>
            </w14:solidFill>
          </w14:textFill>
        </w:rPr>
        <w:t>. 争议解决</w:t>
      </w:r>
      <w:bookmarkEnd w:id="1337"/>
    </w:p>
    <w:bookmarkEnd w:id="1322"/>
    <w:bookmarkEnd w:id="1323"/>
    <w:p w14:paraId="1609DDD2">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19.1</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争</w:t>
      </w:r>
      <w:bookmarkEnd w:id="1324"/>
      <w:r>
        <w:rPr>
          <w:rFonts w:hint="default" w:ascii="Times New Roman" w:hAnsi="Times New Roman" w:eastAsia="方正仿宋_GBK" w:cs="Times New Roman"/>
          <w:color w:val="000000" w:themeColor="text1"/>
          <w:sz w:val="24"/>
          <w:szCs w:val="24"/>
          <w14:textFill>
            <w14:solidFill>
              <w14:schemeClr w14:val="tx1"/>
            </w14:solidFill>
          </w14:textFill>
        </w:rPr>
        <w:t>议评审</w:t>
      </w:r>
    </w:p>
    <w:p w14:paraId="0755F505">
      <w:pPr>
        <w:pageBreakBefore w:val="0"/>
        <w:widowControl w:val="0"/>
        <w:kinsoku/>
        <w:wordWrap/>
        <w:overflowPunct/>
        <w:topLinePunct w:val="0"/>
        <w:bidi w:val="0"/>
        <w:snapToGrid/>
        <w:spacing w:line="400" w:lineRule="exact"/>
        <w:ind w:left="0" w:leftChars="0" w:right="0" w:rightChars="0" w:firstLine="360" w:firstLineChars="15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合同当事人是否同意将工程争议提交争议评审小组决定：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68A9A0D2">
      <w:pPr>
        <w:pageBreakBefore w:val="0"/>
        <w:widowControl w:val="0"/>
        <w:kinsoku/>
        <w:wordWrap/>
        <w:overflowPunct/>
        <w:topLinePunct w:val="0"/>
        <w:bidi w:val="0"/>
        <w:snapToGrid/>
        <w:spacing w:line="400" w:lineRule="exact"/>
        <w:ind w:left="0" w:leftChars="0" w:right="0" w:rightChars="0" w:firstLine="480" w:firstLineChars="200"/>
        <w:jc w:val="left"/>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19.2</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争议评审小组的确定</w:t>
      </w:r>
    </w:p>
    <w:p w14:paraId="03692B68">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争议评审小组</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成员</w:t>
      </w:r>
      <w:r>
        <w:rPr>
          <w:rFonts w:hint="default" w:ascii="Times New Roman" w:hAnsi="Times New Roman" w:eastAsia="方正仿宋_GBK" w:cs="Times New Roman"/>
          <w:color w:val="000000" w:themeColor="text1"/>
          <w:sz w:val="24"/>
          <w:szCs w:val="24"/>
          <w14:textFill>
            <w14:solidFill>
              <w14:schemeClr w14:val="tx1"/>
            </w14:solidFill>
          </w14:textFill>
        </w:rPr>
        <w:t>确定：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8371AD2">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选定争议评审员的期限：</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162228C5">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争议评审小组成员的报酬承担方式：</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09E0585B">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其他事项的约定：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96D5519">
      <w:pPr>
        <w:pageBreakBefore w:val="0"/>
        <w:widowControl w:val="0"/>
        <w:kinsoku/>
        <w:wordWrap/>
        <w:overflowPunct/>
        <w:topLinePunct w:val="0"/>
        <w:autoSpaceDE w:val="0"/>
        <w:autoSpaceDN w:val="0"/>
        <w:bidi w:val="0"/>
        <w:adjustRightInd w:val="0"/>
        <w:snapToGrid/>
        <w:spacing w:line="400" w:lineRule="exact"/>
        <w:ind w:left="0" w:leftChars="0" w:right="0" w:rightChars="0" w:firstLine="480" w:firstLineChars="200"/>
        <w:jc w:val="left"/>
        <w:outlineLvl w:val="0"/>
        <w:rPr>
          <w:rFonts w:hint="default" w:ascii="Times New Roman" w:hAnsi="Times New Roman" w:eastAsia="方正仿宋_GBK" w:cs="Times New Roman"/>
          <w:color w:val="000000" w:themeColor="text1"/>
          <w:kern w:val="0"/>
          <w:sz w:val="24"/>
          <w:szCs w:val="24"/>
          <w14:textFill>
            <w14:solidFill>
              <w14:schemeClr w14:val="tx1"/>
            </w14:solidFill>
          </w14:textFill>
        </w:rPr>
      </w:pPr>
      <w:r>
        <w:rPr>
          <w:rFonts w:hint="default" w:ascii="Times New Roman" w:hAnsi="Times New Roman" w:eastAsia="方正仿宋_GBK" w:cs="Times New Roman"/>
          <w:color w:val="000000" w:themeColor="text1"/>
          <w:kern w:val="0"/>
          <w:sz w:val="24"/>
          <w:szCs w:val="24"/>
          <w:lang w:val="en-US" w:eastAsia="zh-CN"/>
          <w14:textFill>
            <w14:solidFill>
              <w14:schemeClr w14:val="tx1"/>
            </w14:solidFill>
          </w14:textFill>
        </w:rPr>
        <w:t>19.3</w:t>
      </w:r>
      <w:r>
        <w:rPr>
          <w:rFonts w:hint="default" w:ascii="Times New Roman" w:hAnsi="Times New Roman" w:eastAsia="方正仿宋_GBK" w:cs="Times New Roman"/>
          <w:color w:val="000000" w:themeColor="text1"/>
          <w:kern w:val="0"/>
          <w:sz w:val="24"/>
          <w:szCs w:val="24"/>
          <w14:textFill>
            <w14:solidFill>
              <w14:schemeClr w14:val="tx1"/>
            </w14:solidFill>
          </w14:textFill>
        </w:rPr>
        <w:t xml:space="preserve"> 争议评审小组的决定</w:t>
      </w:r>
    </w:p>
    <w:p w14:paraId="280EA370">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合同当事人关于本项的约定：</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62936469">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19.4</w:t>
      </w:r>
      <w:r>
        <w:rPr>
          <w:rFonts w:hint="default" w:ascii="Times New Roman" w:hAnsi="Times New Roman" w:eastAsia="方正仿宋_GBK" w:cs="Times New Roman"/>
          <w:color w:val="000000" w:themeColor="text1"/>
          <w:sz w:val="24"/>
          <w:szCs w:val="24"/>
          <w14:textFill>
            <w14:solidFill>
              <w14:schemeClr w14:val="tx1"/>
            </w14:solidFill>
          </w14:textFill>
        </w:rPr>
        <w:t>仲裁或诉讼</w:t>
      </w:r>
      <w:bookmarkEnd w:id="1325"/>
    </w:p>
    <w:p w14:paraId="5087E81C">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因合同及合同有关事项发生的争议，按下列第</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种方式解决：</w:t>
      </w:r>
    </w:p>
    <w:p w14:paraId="3B7897A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（1）向</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仲裁委员会申请仲裁；</w:t>
      </w:r>
    </w:p>
    <w:p w14:paraId="5589407D">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（2）向</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人民法院起诉。</w:t>
      </w:r>
      <w:bookmarkEnd w:id="1326"/>
      <w:bookmarkEnd w:id="1327"/>
      <w:bookmarkEnd w:id="1328"/>
      <w:bookmarkEnd w:id="1329"/>
      <w:bookmarkEnd w:id="1330"/>
      <w:bookmarkEnd w:id="1331"/>
    </w:p>
    <w:p w14:paraId="49BCA8AD">
      <w:pPr>
        <w:jc w:val="center"/>
        <w:rPr>
          <w:rFonts w:hint="default" w:ascii="Times New Roman" w:hAnsi="Times New Roman" w:eastAsia="宋体" w:cs="Times New Roman"/>
          <w:b/>
          <w:color w:val="000000" w:themeColor="text1"/>
          <w:kern w:val="2"/>
          <w:sz w:val="36"/>
          <w:szCs w:val="36"/>
          <w:lang w:val="en-US" w:eastAsia="zh-CN" w:bidi="ar-SA"/>
          <w14:textFill>
            <w14:solidFill>
              <w14:schemeClr w14:val="tx1"/>
            </w14:solidFill>
          </w14:textFill>
        </w:rPr>
      </w:pPr>
    </w:p>
    <w:p w14:paraId="51C9519F">
      <w:pPr>
        <w:jc w:val="center"/>
        <w:rPr>
          <w:rFonts w:hint="default" w:ascii="Times New Roman" w:hAnsi="Times New Roman" w:eastAsia="宋体" w:cs="Times New Roman"/>
          <w:b/>
          <w:color w:val="000000" w:themeColor="text1"/>
          <w:kern w:val="2"/>
          <w:sz w:val="36"/>
          <w:szCs w:val="36"/>
          <w:lang w:val="en-US" w:eastAsia="zh-CN" w:bidi="ar-SA"/>
          <w14:textFill>
            <w14:solidFill>
              <w14:schemeClr w14:val="tx1"/>
            </w14:solidFill>
          </w14:textFill>
        </w:rPr>
      </w:pPr>
    </w:p>
    <w:p w14:paraId="017E6147">
      <w:pPr>
        <w:pageBreakBefore w:val="0"/>
        <w:widowControl w:val="0"/>
        <w:kinsoku/>
        <w:wordWrap/>
        <w:overflowPunct/>
        <w:topLinePunct w:val="0"/>
        <w:bidi w:val="0"/>
        <w:snapToGrid/>
        <w:spacing w:line="400" w:lineRule="exact"/>
        <w:ind w:left="0" w:leftChars="0" w:right="0" w:rightChars="0" w:firstLine="640" w:firstLineChars="200"/>
        <w:rPr>
          <w:rFonts w:hint="default" w:ascii="Times New Roman" w:hAnsi="Times New Roman" w:eastAsia="方正小标宋_GBK" w:cs="Times New Roman"/>
          <w:color w:val="000000" w:themeColor="text1"/>
          <w:sz w:val="32"/>
          <w:szCs w:val="32"/>
          <w:lang w:val="en-US" w:eastAsia="zh-CN"/>
          <w14:textFill>
            <w14:solidFill>
              <w14:schemeClr w14:val="tx1"/>
            </w14:solidFill>
          </w14:textFill>
        </w:rPr>
        <w:sectPr>
          <w:headerReference r:id="rId9" w:type="default"/>
          <w:footerReference r:id="rId10" w:type="default"/>
          <w:pgSz w:w="11906" w:h="16838"/>
          <w:pgMar w:top="1440" w:right="1083" w:bottom="1440" w:left="1083" w:header="850" w:footer="992" w:gutter="0"/>
          <w:pgNumType w:fmt="decimal"/>
          <w:cols w:space="720" w:num="1"/>
          <w:docGrid w:type="lines" w:linePitch="317" w:charSpace="0"/>
        </w:sectPr>
      </w:pPr>
      <w:r>
        <w:rPr>
          <w:rFonts w:hint="default" w:ascii="Times New Roman" w:hAnsi="Times New Roman" w:eastAsia="方正小标宋_GBK" w:cs="Times New Roman"/>
          <w:color w:val="000000" w:themeColor="text1"/>
          <w:sz w:val="32"/>
          <w:szCs w:val="32"/>
          <w:lang w:val="en-US" w:eastAsia="zh-CN"/>
          <w14:textFill>
            <w14:solidFill>
              <w14:schemeClr w14:val="tx1"/>
            </w14:solidFill>
          </w14:textFill>
        </w:rPr>
        <w:t>说明：合同最终以双方协商签订为准</w:t>
      </w:r>
    </w:p>
    <w:p w14:paraId="3DB4DF01">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b/>
          <w:color w:val="000000" w:themeColor="text1"/>
          <w:sz w:val="24"/>
          <w:szCs w:val="24"/>
          <w14:textFill>
            <w14:solidFill>
              <w14:schemeClr w14:val="tx1"/>
            </w14:solidFill>
          </w14:textFill>
        </w:rPr>
      </w:pPr>
      <w:bookmarkStart w:id="1338" w:name="_Toc351203652"/>
      <w:r>
        <w:rPr>
          <w:rFonts w:hint="default" w:ascii="Times New Roman" w:hAnsi="Times New Roman" w:eastAsia="方正仿宋_GBK" w:cs="Times New Roman"/>
          <w:b/>
          <w:color w:val="000000" w:themeColor="text1"/>
          <w:sz w:val="24"/>
          <w:szCs w:val="24"/>
          <w14:textFill>
            <w14:solidFill>
              <w14:schemeClr w14:val="tx1"/>
            </w14:solidFill>
          </w14:textFill>
        </w:rPr>
        <w:t>附件</w:t>
      </w:r>
      <w:bookmarkEnd w:id="1338"/>
    </w:p>
    <w:p w14:paraId="5516F545">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协议书附件：</w:t>
      </w:r>
    </w:p>
    <w:p w14:paraId="053E5D4E">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附件1：承包人承揽工程项目一览表</w:t>
      </w:r>
    </w:p>
    <w:p w14:paraId="2BB9E57B">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专用合同条款附件：</w:t>
      </w:r>
    </w:p>
    <w:p w14:paraId="7EFB68DB">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附件2：发包人供应材料设备一览表</w:t>
      </w:r>
    </w:p>
    <w:p w14:paraId="2B5875D3">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附件3：工程质量保修书</w:t>
      </w:r>
    </w:p>
    <w:p w14:paraId="331A4253">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附件4：主要建设工程文件目录</w:t>
      </w:r>
    </w:p>
    <w:p w14:paraId="0A5F850D">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附件5：承包人用于本工程施工的机械设备表</w:t>
      </w:r>
    </w:p>
    <w:p w14:paraId="5A7C4629">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附件6：承包人主要施工管理人员表</w:t>
      </w:r>
    </w:p>
    <w:p w14:paraId="027EF006">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附件7：分包人主要施工管理人员表</w:t>
      </w:r>
    </w:p>
    <w:p w14:paraId="41CB5F89">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附件8：履约担保格式</w:t>
      </w:r>
    </w:p>
    <w:p w14:paraId="6725CA3C">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附件9：预付款担保格式</w:t>
      </w:r>
    </w:p>
    <w:p w14:paraId="02E58FC1">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附件10：支付担保格式</w:t>
      </w:r>
    </w:p>
    <w:p w14:paraId="7665754B">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sectPr>
          <w:pgSz w:w="11906" w:h="16838"/>
          <w:pgMar w:top="1418" w:right="1555" w:bottom="1418" w:left="1531" w:header="851" w:footer="992" w:gutter="0"/>
          <w:pgNumType w:fmt="decimal"/>
          <w:cols w:space="720" w:num="1"/>
          <w:titlePg/>
          <w:docGrid w:type="lines" w:linePitch="312" w:charSpace="0"/>
        </w:sectPr>
      </w:pPr>
      <w:r>
        <w:rPr>
          <w:rFonts w:hint="default" w:ascii="Times New Roman" w:hAnsi="Times New Roman" w:eastAsia="方正仿宋_GBK" w:cs="Times New Roman"/>
          <w:color w:val="000000" w:themeColor="text1"/>
          <w:sz w:val="24"/>
          <w:szCs w:val="24"/>
          <w14:textFill>
            <w14:solidFill>
              <w14:schemeClr w14:val="tx1"/>
            </w14:solidFill>
          </w14:textFill>
        </w:rPr>
        <w:t>附件11：暂估价一览表</w:t>
      </w:r>
    </w:p>
    <w:p w14:paraId="77214982">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附件1：</w:t>
      </w:r>
    </w:p>
    <w:p w14:paraId="3F7B3435">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承包人承揽工程项目一览表</w:t>
      </w:r>
    </w:p>
    <w:p w14:paraId="49E5736D">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bl>
      <w:tblPr>
        <w:tblStyle w:val="30"/>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72935F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6622469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单位工程名称</w:t>
            </w:r>
          </w:p>
        </w:tc>
        <w:tc>
          <w:tcPr>
            <w:tcW w:w="1843" w:type="dxa"/>
            <w:tcBorders>
              <w:top w:val="single" w:color="auto" w:sz="12" w:space="0"/>
              <w:bottom w:val="double" w:color="auto" w:sz="6" w:space="0"/>
            </w:tcBorders>
            <w:noWrap w:val="0"/>
            <w:vAlign w:val="center"/>
          </w:tcPr>
          <w:p w14:paraId="2652FE8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建设规模</w:t>
            </w:r>
          </w:p>
        </w:tc>
        <w:tc>
          <w:tcPr>
            <w:tcW w:w="1417" w:type="dxa"/>
            <w:tcBorders>
              <w:top w:val="single" w:color="auto" w:sz="12" w:space="0"/>
              <w:bottom w:val="double" w:color="auto" w:sz="6" w:space="0"/>
            </w:tcBorders>
            <w:noWrap w:val="0"/>
            <w:vAlign w:val="center"/>
          </w:tcPr>
          <w:p w14:paraId="35133A6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建筑面积（平方米）</w:t>
            </w:r>
          </w:p>
        </w:tc>
        <w:tc>
          <w:tcPr>
            <w:tcW w:w="2410" w:type="dxa"/>
            <w:tcBorders>
              <w:top w:val="single" w:color="auto" w:sz="12" w:space="0"/>
              <w:bottom w:val="double" w:color="auto" w:sz="6" w:space="0"/>
            </w:tcBorders>
            <w:noWrap w:val="0"/>
            <w:vAlign w:val="center"/>
          </w:tcPr>
          <w:p w14:paraId="77A8C7C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结构形式</w:t>
            </w:r>
          </w:p>
        </w:tc>
        <w:tc>
          <w:tcPr>
            <w:tcW w:w="850" w:type="dxa"/>
            <w:tcBorders>
              <w:top w:val="single" w:color="auto" w:sz="12" w:space="0"/>
              <w:bottom w:val="double" w:color="auto" w:sz="6" w:space="0"/>
            </w:tcBorders>
            <w:noWrap w:val="0"/>
            <w:vAlign w:val="center"/>
          </w:tcPr>
          <w:p w14:paraId="359245D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层数</w:t>
            </w:r>
          </w:p>
        </w:tc>
        <w:tc>
          <w:tcPr>
            <w:tcW w:w="1560" w:type="dxa"/>
            <w:tcBorders>
              <w:top w:val="single" w:color="auto" w:sz="12" w:space="0"/>
              <w:bottom w:val="double" w:color="auto" w:sz="6" w:space="0"/>
            </w:tcBorders>
            <w:noWrap w:val="0"/>
            <w:vAlign w:val="center"/>
          </w:tcPr>
          <w:p w14:paraId="224C275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生产能力</w:t>
            </w:r>
          </w:p>
        </w:tc>
        <w:tc>
          <w:tcPr>
            <w:tcW w:w="2126" w:type="dxa"/>
            <w:tcBorders>
              <w:top w:val="single" w:color="auto" w:sz="12" w:space="0"/>
              <w:bottom w:val="double" w:color="auto" w:sz="6" w:space="0"/>
            </w:tcBorders>
            <w:noWrap w:val="0"/>
            <w:vAlign w:val="center"/>
          </w:tcPr>
          <w:p w14:paraId="0033FDF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设备安装内容</w:t>
            </w:r>
          </w:p>
        </w:tc>
        <w:tc>
          <w:tcPr>
            <w:tcW w:w="1417" w:type="dxa"/>
            <w:tcBorders>
              <w:top w:val="single" w:color="auto" w:sz="12" w:space="0"/>
              <w:bottom w:val="double" w:color="auto" w:sz="6" w:space="0"/>
            </w:tcBorders>
            <w:noWrap w:val="0"/>
            <w:vAlign w:val="center"/>
          </w:tcPr>
          <w:p w14:paraId="6984771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合同价格（元）</w:t>
            </w:r>
          </w:p>
        </w:tc>
        <w:tc>
          <w:tcPr>
            <w:tcW w:w="851" w:type="dxa"/>
            <w:tcBorders>
              <w:top w:val="single" w:color="auto" w:sz="12" w:space="0"/>
              <w:bottom w:val="double" w:color="auto" w:sz="6" w:space="0"/>
            </w:tcBorders>
            <w:noWrap w:val="0"/>
            <w:vAlign w:val="center"/>
          </w:tcPr>
          <w:p w14:paraId="69F5AA0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开工日期</w:t>
            </w:r>
          </w:p>
        </w:tc>
        <w:tc>
          <w:tcPr>
            <w:tcW w:w="850" w:type="dxa"/>
            <w:tcBorders>
              <w:top w:val="single" w:color="auto" w:sz="12" w:space="0"/>
              <w:bottom w:val="double" w:color="auto" w:sz="6" w:space="0"/>
            </w:tcBorders>
            <w:noWrap w:val="0"/>
            <w:vAlign w:val="center"/>
          </w:tcPr>
          <w:p w14:paraId="0F1B096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竣工日期</w:t>
            </w:r>
          </w:p>
        </w:tc>
      </w:tr>
      <w:tr w14:paraId="4ACBA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76471C0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843" w:type="dxa"/>
            <w:tcBorders>
              <w:top w:val="double" w:color="auto" w:sz="6" w:space="0"/>
              <w:bottom w:val="single" w:color="auto" w:sz="6" w:space="0"/>
            </w:tcBorders>
            <w:noWrap w:val="0"/>
            <w:vAlign w:val="center"/>
          </w:tcPr>
          <w:p w14:paraId="773F9B2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tcBorders>
              <w:top w:val="double" w:color="auto" w:sz="6" w:space="0"/>
              <w:bottom w:val="single" w:color="auto" w:sz="6" w:space="0"/>
            </w:tcBorders>
            <w:noWrap w:val="0"/>
            <w:vAlign w:val="center"/>
          </w:tcPr>
          <w:p w14:paraId="016FF59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410" w:type="dxa"/>
            <w:tcBorders>
              <w:top w:val="double" w:color="auto" w:sz="6" w:space="0"/>
              <w:bottom w:val="single" w:color="auto" w:sz="6" w:space="0"/>
            </w:tcBorders>
            <w:noWrap w:val="0"/>
            <w:vAlign w:val="center"/>
          </w:tcPr>
          <w:p w14:paraId="0C80F75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tcBorders>
              <w:top w:val="double" w:color="auto" w:sz="6" w:space="0"/>
              <w:bottom w:val="single" w:color="auto" w:sz="6" w:space="0"/>
            </w:tcBorders>
            <w:noWrap w:val="0"/>
            <w:vAlign w:val="center"/>
          </w:tcPr>
          <w:p w14:paraId="742812F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560" w:type="dxa"/>
            <w:tcBorders>
              <w:top w:val="double" w:color="auto" w:sz="6" w:space="0"/>
              <w:bottom w:val="single" w:color="auto" w:sz="6" w:space="0"/>
            </w:tcBorders>
            <w:noWrap w:val="0"/>
            <w:vAlign w:val="center"/>
          </w:tcPr>
          <w:p w14:paraId="0057460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126" w:type="dxa"/>
            <w:tcBorders>
              <w:top w:val="double" w:color="auto" w:sz="6" w:space="0"/>
              <w:bottom w:val="single" w:color="auto" w:sz="6" w:space="0"/>
            </w:tcBorders>
            <w:noWrap w:val="0"/>
            <w:vAlign w:val="center"/>
          </w:tcPr>
          <w:p w14:paraId="66F0FCF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tcBorders>
              <w:top w:val="double" w:color="auto" w:sz="6" w:space="0"/>
              <w:bottom w:val="single" w:color="auto" w:sz="6" w:space="0"/>
            </w:tcBorders>
            <w:noWrap w:val="0"/>
            <w:vAlign w:val="center"/>
          </w:tcPr>
          <w:p w14:paraId="7ACCDBF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tcBorders>
              <w:top w:val="double" w:color="auto" w:sz="6" w:space="0"/>
              <w:bottom w:val="single" w:color="auto" w:sz="6" w:space="0"/>
            </w:tcBorders>
            <w:noWrap w:val="0"/>
            <w:vAlign w:val="center"/>
          </w:tcPr>
          <w:p w14:paraId="7B354DE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tcBorders>
              <w:top w:val="double" w:color="auto" w:sz="6" w:space="0"/>
              <w:bottom w:val="single" w:color="auto" w:sz="6" w:space="0"/>
            </w:tcBorders>
            <w:noWrap w:val="0"/>
            <w:vAlign w:val="center"/>
          </w:tcPr>
          <w:p w14:paraId="35FACED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1192E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A14FB3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843" w:type="dxa"/>
            <w:tcBorders>
              <w:top w:val="nil"/>
            </w:tcBorders>
            <w:noWrap w:val="0"/>
            <w:vAlign w:val="center"/>
          </w:tcPr>
          <w:p w14:paraId="07CB225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tcBorders>
              <w:top w:val="nil"/>
            </w:tcBorders>
            <w:noWrap w:val="0"/>
            <w:vAlign w:val="center"/>
          </w:tcPr>
          <w:p w14:paraId="4F3B05B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410" w:type="dxa"/>
            <w:tcBorders>
              <w:top w:val="nil"/>
            </w:tcBorders>
            <w:noWrap w:val="0"/>
            <w:vAlign w:val="center"/>
          </w:tcPr>
          <w:p w14:paraId="51FF25F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tcBorders>
              <w:top w:val="nil"/>
            </w:tcBorders>
            <w:noWrap w:val="0"/>
            <w:vAlign w:val="center"/>
          </w:tcPr>
          <w:p w14:paraId="4AD8221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560" w:type="dxa"/>
            <w:tcBorders>
              <w:top w:val="nil"/>
            </w:tcBorders>
            <w:noWrap w:val="0"/>
            <w:vAlign w:val="center"/>
          </w:tcPr>
          <w:p w14:paraId="0CC146D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126" w:type="dxa"/>
            <w:tcBorders>
              <w:top w:val="nil"/>
            </w:tcBorders>
            <w:noWrap w:val="0"/>
            <w:vAlign w:val="center"/>
          </w:tcPr>
          <w:p w14:paraId="2AD72CA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tcBorders>
              <w:top w:val="nil"/>
            </w:tcBorders>
            <w:noWrap w:val="0"/>
            <w:vAlign w:val="center"/>
          </w:tcPr>
          <w:p w14:paraId="73CCB2E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tcBorders>
              <w:top w:val="nil"/>
            </w:tcBorders>
            <w:noWrap w:val="0"/>
            <w:vAlign w:val="center"/>
          </w:tcPr>
          <w:p w14:paraId="265BC8C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tcBorders>
              <w:top w:val="nil"/>
            </w:tcBorders>
            <w:noWrap w:val="0"/>
            <w:vAlign w:val="center"/>
          </w:tcPr>
          <w:p w14:paraId="31A7563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3D4B6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5C18CEE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843" w:type="dxa"/>
            <w:tcBorders>
              <w:top w:val="nil"/>
            </w:tcBorders>
            <w:noWrap w:val="0"/>
            <w:vAlign w:val="center"/>
          </w:tcPr>
          <w:p w14:paraId="1027910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tcBorders>
              <w:top w:val="nil"/>
            </w:tcBorders>
            <w:noWrap w:val="0"/>
            <w:vAlign w:val="center"/>
          </w:tcPr>
          <w:p w14:paraId="71A45B2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410" w:type="dxa"/>
            <w:tcBorders>
              <w:top w:val="nil"/>
            </w:tcBorders>
            <w:noWrap w:val="0"/>
            <w:vAlign w:val="center"/>
          </w:tcPr>
          <w:p w14:paraId="335C66A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tcBorders>
              <w:top w:val="nil"/>
            </w:tcBorders>
            <w:noWrap w:val="0"/>
            <w:vAlign w:val="center"/>
          </w:tcPr>
          <w:p w14:paraId="3A34126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560" w:type="dxa"/>
            <w:tcBorders>
              <w:top w:val="nil"/>
            </w:tcBorders>
            <w:noWrap w:val="0"/>
            <w:vAlign w:val="center"/>
          </w:tcPr>
          <w:p w14:paraId="40EEE15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126" w:type="dxa"/>
            <w:tcBorders>
              <w:top w:val="nil"/>
            </w:tcBorders>
            <w:noWrap w:val="0"/>
            <w:vAlign w:val="center"/>
          </w:tcPr>
          <w:p w14:paraId="34A20A7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tcBorders>
              <w:top w:val="nil"/>
            </w:tcBorders>
            <w:noWrap w:val="0"/>
            <w:vAlign w:val="center"/>
          </w:tcPr>
          <w:p w14:paraId="6CA7AB8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tcBorders>
              <w:top w:val="nil"/>
            </w:tcBorders>
            <w:noWrap w:val="0"/>
            <w:vAlign w:val="center"/>
          </w:tcPr>
          <w:p w14:paraId="5EE7D8F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tcBorders>
              <w:top w:val="nil"/>
            </w:tcBorders>
            <w:noWrap w:val="0"/>
            <w:vAlign w:val="center"/>
          </w:tcPr>
          <w:p w14:paraId="6779F01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08313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B5C121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843" w:type="dxa"/>
            <w:noWrap w:val="0"/>
            <w:vAlign w:val="center"/>
          </w:tcPr>
          <w:p w14:paraId="4B08652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noWrap w:val="0"/>
            <w:vAlign w:val="center"/>
          </w:tcPr>
          <w:p w14:paraId="546BD79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410" w:type="dxa"/>
            <w:noWrap w:val="0"/>
            <w:vAlign w:val="center"/>
          </w:tcPr>
          <w:p w14:paraId="76CCC53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noWrap w:val="0"/>
            <w:vAlign w:val="center"/>
          </w:tcPr>
          <w:p w14:paraId="489BB3E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560" w:type="dxa"/>
            <w:noWrap w:val="0"/>
            <w:vAlign w:val="center"/>
          </w:tcPr>
          <w:p w14:paraId="0CEF3DD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126" w:type="dxa"/>
            <w:noWrap w:val="0"/>
            <w:vAlign w:val="center"/>
          </w:tcPr>
          <w:p w14:paraId="5FBE674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noWrap w:val="0"/>
            <w:vAlign w:val="center"/>
          </w:tcPr>
          <w:p w14:paraId="5952367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3AF9D0F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noWrap w:val="0"/>
            <w:vAlign w:val="center"/>
          </w:tcPr>
          <w:p w14:paraId="21ED794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0F845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571D59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843" w:type="dxa"/>
            <w:tcBorders>
              <w:top w:val="nil"/>
            </w:tcBorders>
            <w:noWrap w:val="0"/>
            <w:vAlign w:val="center"/>
          </w:tcPr>
          <w:p w14:paraId="4E61CE0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tcBorders>
              <w:top w:val="nil"/>
            </w:tcBorders>
            <w:noWrap w:val="0"/>
            <w:vAlign w:val="center"/>
          </w:tcPr>
          <w:p w14:paraId="527BC95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410" w:type="dxa"/>
            <w:tcBorders>
              <w:top w:val="nil"/>
            </w:tcBorders>
            <w:noWrap w:val="0"/>
            <w:vAlign w:val="center"/>
          </w:tcPr>
          <w:p w14:paraId="0B9E861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tcBorders>
              <w:top w:val="nil"/>
            </w:tcBorders>
            <w:noWrap w:val="0"/>
            <w:vAlign w:val="center"/>
          </w:tcPr>
          <w:p w14:paraId="2176DBF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560" w:type="dxa"/>
            <w:tcBorders>
              <w:top w:val="nil"/>
            </w:tcBorders>
            <w:noWrap w:val="0"/>
            <w:vAlign w:val="center"/>
          </w:tcPr>
          <w:p w14:paraId="28B4185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126" w:type="dxa"/>
            <w:tcBorders>
              <w:top w:val="nil"/>
            </w:tcBorders>
            <w:noWrap w:val="0"/>
            <w:vAlign w:val="center"/>
          </w:tcPr>
          <w:p w14:paraId="354BD3F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tcBorders>
              <w:top w:val="nil"/>
            </w:tcBorders>
            <w:noWrap w:val="0"/>
            <w:vAlign w:val="center"/>
          </w:tcPr>
          <w:p w14:paraId="5AD012F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tcBorders>
              <w:top w:val="nil"/>
            </w:tcBorders>
            <w:noWrap w:val="0"/>
            <w:vAlign w:val="center"/>
          </w:tcPr>
          <w:p w14:paraId="48976BA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tcBorders>
              <w:top w:val="nil"/>
            </w:tcBorders>
            <w:noWrap w:val="0"/>
            <w:vAlign w:val="center"/>
          </w:tcPr>
          <w:p w14:paraId="4A5D973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6B1D12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F41232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843" w:type="dxa"/>
            <w:noWrap w:val="0"/>
            <w:vAlign w:val="center"/>
          </w:tcPr>
          <w:p w14:paraId="11B6084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noWrap w:val="0"/>
            <w:vAlign w:val="center"/>
          </w:tcPr>
          <w:p w14:paraId="577E88B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410" w:type="dxa"/>
            <w:noWrap w:val="0"/>
            <w:vAlign w:val="center"/>
          </w:tcPr>
          <w:p w14:paraId="6D6AF5C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noWrap w:val="0"/>
            <w:vAlign w:val="center"/>
          </w:tcPr>
          <w:p w14:paraId="1B71640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560" w:type="dxa"/>
            <w:noWrap w:val="0"/>
            <w:vAlign w:val="center"/>
          </w:tcPr>
          <w:p w14:paraId="30E1532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126" w:type="dxa"/>
            <w:noWrap w:val="0"/>
            <w:vAlign w:val="center"/>
          </w:tcPr>
          <w:p w14:paraId="3E9D75E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noWrap w:val="0"/>
            <w:vAlign w:val="center"/>
          </w:tcPr>
          <w:p w14:paraId="593071F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1EB5C4E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noWrap w:val="0"/>
            <w:vAlign w:val="center"/>
          </w:tcPr>
          <w:p w14:paraId="3D591B4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FDDD0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32AC6D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843" w:type="dxa"/>
            <w:tcBorders>
              <w:top w:val="nil"/>
            </w:tcBorders>
            <w:noWrap w:val="0"/>
            <w:vAlign w:val="center"/>
          </w:tcPr>
          <w:p w14:paraId="139D84B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tcBorders>
              <w:top w:val="nil"/>
            </w:tcBorders>
            <w:noWrap w:val="0"/>
            <w:vAlign w:val="center"/>
          </w:tcPr>
          <w:p w14:paraId="2AD4A26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410" w:type="dxa"/>
            <w:tcBorders>
              <w:top w:val="nil"/>
            </w:tcBorders>
            <w:noWrap w:val="0"/>
            <w:vAlign w:val="center"/>
          </w:tcPr>
          <w:p w14:paraId="7A50B6F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tcBorders>
              <w:top w:val="nil"/>
            </w:tcBorders>
            <w:noWrap w:val="0"/>
            <w:vAlign w:val="center"/>
          </w:tcPr>
          <w:p w14:paraId="6F1CBC2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560" w:type="dxa"/>
            <w:tcBorders>
              <w:top w:val="nil"/>
            </w:tcBorders>
            <w:noWrap w:val="0"/>
            <w:vAlign w:val="center"/>
          </w:tcPr>
          <w:p w14:paraId="1D1EC6D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126" w:type="dxa"/>
            <w:tcBorders>
              <w:top w:val="nil"/>
            </w:tcBorders>
            <w:noWrap w:val="0"/>
            <w:vAlign w:val="center"/>
          </w:tcPr>
          <w:p w14:paraId="7061E1C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tcBorders>
              <w:top w:val="nil"/>
            </w:tcBorders>
            <w:noWrap w:val="0"/>
            <w:vAlign w:val="center"/>
          </w:tcPr>
          <w:p w14:paraId="12046F4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tcBorders>
              <w:top w:val="nil"/>
            </w:tcBorders>
            <w:noWrap w:val="0"/>
            <w:vAlign w:val="center"/>
          </w:tcPr>
          <w:p w14:paraId="0307B2C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tcBorders>
              <w:top w:val="nil"/>
            </w:tcBorders>
            <w:noWrap w:val="0"/>
            <w:vAlign w:val="center"/>
          </w:tcPr>
          <w:p w14:paraId="5F8FE48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36D22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8F2015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843" w:type="dxa"/>
            <w:tcBorders>
              <w:top w:val="nil"/>
            </w:tcBorders>
            <w:noWrap w:val="0"/>
            <w:vAlign w:val="center"/>
          </w:tcPr>
          <w:p w14:paraId="4B10056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tcBorders>
              <w:top w:val="nil"/>
            </w:tcBorders>
            <w:noWrap w:val="0"/>
            <w:vAlign w:val="center"/>
          </w:tcPr>
          <w:p w14:paraId="7D01831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410" w:type="dxa"/>
            <w:tcBorders>
              <w:top w:val="nil"/>
            </w:tcBorders>
            <w:noWrap w:val="0"/>
            <w:vAlign w:val="center"/>
          </w:tcPr>
          <w:p w14:paraId="3D40BA7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tcBorders>
              <w:top w:val="nil"/>
            </w:tcBorders>
            <w:noWrap w:val="0"/>
            <w:vAlign w:val="center"/>
          </w:tcPr>
          <w:p w14:paraId="23B82E5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560" w:type="dxa"/>
            <w:tcBorders>
              <w:top w:val="nil"/>
            </w:tcBorders>
            <w:noWrap w:val="0"/>
            <w:vAlign w:val="center"/>
          </w:tcPr>
          <w:p w14:paraId="1AF2CD0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126" w:type="dxa"/>
            <w:tcBorders>
              <w:top w:val="nil"/>
            </w:tcBorders>
            <w:noWrap w:val="0"/>
            <w:vAlign w:val="center"/>
          </w:tcPr>
          <w:p w14:paraId="5DBAD9E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tcBorders>
              <w:top w:val="nil"/>
            </w:tcBorders>
            <w:noWrap w:val="0"/>
            <w:vAlign w:val="center"/>
          </w:tcPr>
          <w:p w14:paraId="0265D1B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tcBorders>
              <w:top w:val="nil"/>
            </w:tcBorders>
            <w:noWrap w:val="0"/>
            <w:vAlign w:val="center"/>
          </w:tcPr>
          <w:p w14:paraId="05A56B0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tcBorders>
              <w:top w:val="nil"/>
            </w:tcBorders>
            <w:noWrap w:val="0"/>
            <w:vAlign w:val="center"/>
          </w:tcPr>
          <w:p w14:paraId="514CA1B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284F9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069A92A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843" w:type="dxa"/>
            <w:noWrap w:val="0"/>
            <w:vAlign w:val="center"/>
          </w:tcPr>
          <w:p w14:paraId="0765B0F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noWrap w:val="0"/>
            <w:vAlign w:val="center"/>
          </w:tcPr>
          <w:p w14:paraId="28E4F94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410" w:type="dxa"/>
            <w:noWrap w:val="0"/>
            <w:vAlign w:val="center"/>
          </w:tcPr>
          <w:p w14:paraId="11F0D26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noWrap w:val="0"/>
            <w:vAlign w:val="center"/>
          </w:tcPr>
          <w:p w14:paraId="41F82EE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560" w:type="dxa"/>
            <w:noWrap w:val="0"/>
            <w:vAlign w:val="center"/>
          </w:tcPr>
          <w:p w14:paraId="224B589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2126" w:type="dxa"/>
            <w:noWrap w:val="0"/>
            <w:vAlign w:val="center"/>
          </w:tcPr>
          <w:p w14:paraId="5C69C70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7" w:type="dxa"/>
            <w:noWrap w:val="0"/>
            <w:vAlign w:val="center"/>
          </w:tcPr>
          <w:p w14:paraId="6556B2D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02F8392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noWrap w:val="0"/>
            <w:vAlign w:val="center"/>
          </w:tcPr>
          <w:p w14:paraId="2E53302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bl>
    <w:p w14:paraId="5F18CD46">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b/>
          <w:color w:val="000000" w:themeColor="text1"/>
          <w:sz w:val="24"/>
          <w:szCs w:val="24"/>
          <w14:textFill>
            <w14:solidFill>
              <w14:schemeClr w14:val="tx1"/>
            </w14:solidFill>
          </w14:textFill>
        </w:rPr>
        <w:sectPr>
          <w:pgSz w:w="16838" w:h="11906" w:orient="landscape"/>
          <w:pgMar w:top="1554" w:right="1418" w:bottom="1531" w:left="1418" w:header="851" w:footer="992" w:gutter="0"/>
          <w:pgNumType w:fmt="decimal"/>
          <w:cols w:space="720" w:num="1"/>
          <w:titlePg/>
          <w:docGrid w:type="linesAndChars" w:linePitch="312" w:charSpace="0"/>
        </w:sectPr>
      </w:pPr>
    </w:p>
    <w:p w14:paraId="0757749C">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w:t>
      </w:r>
      <w:bookmarkStart w:id="1339" w:name="_Toc296891265"/>
      <w:bookmarkStart w:id="1340" w:name="_Toc296346726"/>
      <w:bookmarkStart w:id="1341" w:name="_Toc296891053"/>
      <w:bookmarkStart w:id="1342" w:name="_Toc267261692"/>
      <w:bookmarkStart w:id="1343" w:name="_Toc296944564"/>
      <w:bookmarkStart w:id="1344" w:name="_Toc296503225"/>
      <w:bookmarkStart w:id="1345" w:name="_Toc296347224"/>
      <w:r>
        <w:rPr>
          <w:rFonts w:hint="default" w:ascii="Times New Roman" w:hAnsi="Times New Roman" w:eastAsia="方正仿宋_GBK" w:cs="Times New Roman"/>
          <w:color w:val="000000" w:themeColor="text1"/>
          <w:sz w:val="24"/>
          <w:szCs w:val="24"/>
          <w14:textFill>
            <w14:solidFill>
              <w14:schemeClr w14:val="tx1"/>
            </w14:solidFill>
          </w14:textFill>
        </w:rPr>
        <w:t>件2：</w:t>
      </w:r>
    </w:p>
    <w:bookmarkEnd w:id="1339"/>
    <w:bookmarkEnd w:id="1340"/>
    <w:bookmarkEnd w:id="1341"/>
    <w:bookmarkEnd w:id="1342"/>
    <w:bookmarkEnd w:id="1343"/>
    <w:bookmarkEnd w:id="1344"/>
    <w:bookmarkEnd w:id="1345"/>
    <w:p w14:paraId="01223DFE">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发包人供应材料设备一览表</w:t>
      </w:r>
    </w:p>
    <w:p w14:paraId="24B0421D">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098A27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4C63A73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序号</w:t>
            </w:r>
          </w:p>
        </w:tc>
        <w:tc>
          <w:tcPr>
            <w:tcW w:w="1276" w:type="dxa"/>
            <w:tcBorders>
              <w:top w:val="single" w:color="auto" w:sz="12" w:space="0"/>
              <w:bottom w:val="double" w:color="auto" w:sz="6" w:space="0"/>
            </w:tcBorders>
            <w:noWrap w:val="0"/>
            <w:vAlign w:val="center"/>
          </w:tcPr>
          <w:p w14:paraId="342D8F7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 xml:space="preserve">  材料、</w:t>
            </w:r>
          </w:p>
          <w:p w14:paraId="138A0F44">
            <w:pPr>
              <w:pStyle w:val="13"/>
              <w:keepNext/>
              <w:pageBreakBefore w:val="0"/>
              <w:widowControl w:val="0"/>
              <w:kinsoku/>
              <w:wordWrap/>
              <w:overflowPunct/>
              <w:topLinePunct w:val="0"/>
              <w:bidi w:val="0"/>
              <w:snapToGrid/>
              <w:spacing w:after="0" w:afterLines="0" w:line="400" w:lineRule="exact"/>
              <w:ind w:left="0" w:leftChars="0" w:right="0" w:rightChars="0"/>
              <w:jc w:val="both"/>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设备品种</w:t>
            </w:r>
          </w:p>
        </w:tc>
        <w:tc>
          <w:tcPr>
            <w:tcW w:w="1418" w:type="dxa"/>
            <w:tcBorders>
              <w:top w:val="single" w:color="auto" w:sz="12" w:space="0"/>
              <w:bottom w:val="double" w:color="auto" w:sz="6" w:space="0"/>
            </w:tcBorders>
            <w:noWrap w:val="0"/>
            <w:vAlign w:val="center"/>
          </w:tcPr>
          <w:p w14:paraId="4D936A8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规格型号</w:t>
            </w:r>
          </w:p>
        </w:tc>
        <w:tc>
          <w:tcPr>
            <w:tcW w:w="940" w:type="dxa"/>
            <w:tcBorders>
              <w:top w:val="single" w:color="auto" w:sz="12" w:space="0"/>
              <w:bottom w:val="double" w:color="auto" w:sz="6" w:space="0"/>
            </w:tcBorders>
            <w:noWrap w:val="0"/>
            <w:vAlign w:val="center"/>
          </w:tcPr>
          <w:p w14:paraId="1756895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单位</w:t>
            </w:r>
          </w:p>
        </w:tc>
        <w:tc>
          <w:tcPr>
            <w:tcW w:w="851" w:type="dxa"/>
            <w:tcBorders>
              <w:top w:val="single" w:color="auto" w:sz="12" w:space="0"/>
              <w:bottom w:val="double" w:color="auto" w:sz="6" w:space="0"/>
            </w:tcBorders>
            <w:noWrap w:val="0"/>
            <w:vAlign w:val="center"/>
          </w:tcPr>
          <w:p w14:paraId="71EDACD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数量</w:t>
            </w:r>
          </w:p>
        </w:tc>
        <w:tc>
          <w:tcPr>
            <w:tcW w:w="1044" w:type="dxa"/>
            <w:tcBorders>
              <w:top w:val="single" w:color="auto" w:sz="12" w:space="0"/>
              <w:bottom w:val="double" w:color="auto" w:sz="6" w:space="0"/>
            </w:tcBorders>
            <w:noWrap w:val="0"/>
            <w:vAlign w:val="center"/>
          </w:tcPr>
          <w:p w14:paraId="70C0E03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单价（元）</w:t>
            </w:r>
          </w:p>
        </w:tc>
        <w:tc>
          <w:tcPr>
            <w:tcW w:w="992" w:type="dxa"/>
            <w:tcBorders>
              <w:top w:val="single" w:color="auto" w:sz="12" w:space="0"/>
              <w:bottom w:val="double" w:color="auto" w:sz="6" w:space="0"/>
            </w:tcBorders>
            <w:noWrap w:val="0"/>
            <w:vAlign w:val="center"/>
          </w:tcPr>
          <w:p w14:paraId="1DD09EB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质量等级</w:t>
            </w:r>
          </w:p>
        </w:tc>
        <w:tc>
          <w:tcPr>
            <w:tcW w:w="851" w:type="dxa"/>
            <w:tcBorders>
              <w:top w:val="single" w:color="auto" w:sz="12" w:space="0"/>
              <w:bottom w:val="double" w:color="auto" w:sz="6" w:space="0"/>
            </w:tcBorders>
            <w:noWrap w:val="0"/>
            <w:vAlign w:val="center"/>
          </w:tcPr>
          <w:p w14:paraId="1F45055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供应时间</w:t>
            </w:r>
          </w:p>
        </w:tc>
        <w:tc>
          <w:tcPr>
            <w:tcW w:w="1487" w:type="dxa"/>
            <w:tcBorders>
              <w:top w:val="single" w:color="auto" w:sz="12" w:space="0"/>
              <w:bottom w:val="double" w:color="auto" w:sz="6" w:space="0"/>
            </w:tcBorders>
            <w:noWrap w:val="0"/>
            <w:vAlign w:val="center"/>
          </w:tcPr>
          <w:p w14:paraId="200E08C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送达地点</w:t>
            </w:r>
          </w:p>
        </w:tc>
        <w:tc>
          <w:tcPr>
            <w:tcW w:w="992" w:type="dxa"/>
            <w:tcBorders>
              <w:top w:val="single" w:color="auto" w:sz="12" w:space="0"/>
              <w:bottom w:val="double" w:color="auto" w:sz="6" w:space="0"/>
            </w:tcBorders>
            <w:noWrap w:val="0"/>
            <w:vAlign w:val="center"/>
          </w:tcPr>
          <w:p w14:paraId="06D534E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备注</w:t>
            </w:r>
          </w:p>
        </w:tc>
      </w:tr>
      <w:tr w14:paraId="6C0690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29B545A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tcBorders>
              <w:top w:val="double" w:color="auto" w:sz="6" w:space="0"/>
              <w:bottom w:val="single" w:color="auto" w:sz="6" w:space="0"/>
            </w:tcBorders>
            <w:noWrap w:val="0"/>
            <w:vAlign w:val="center"/>
          </w:tcPr>
          <w:p w14:paraId="6DF6491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tcBorders>
              <w:top w:val="double" w:color="auto" w:sz="6" w:space="0"/>
              <w:bottom w:val="single" w:color="auto" w:sz="6" w:space="0"/>
            </w:tcBorders>
            <w:noWrap w:val="0"/>
            <w:vAlign w:val="center"/>
          </w:tcPr>
          <w:p w14:paraId="7D8EA52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40" w:type="dxa"/>
            <w:tcBorders>
              <w:top w:val="double" w:color="auto" w:sz="6" w:space="0"/>
              <w:bottom w:val="single" w:color="auto" w:sz="6" w:space="0"/>
            </w:tcBorders>
            <w:noWrap w:val="0"/>
            <w:vAlign w:val="center"/>
          </w:tcPr>
          <w:p w14:paraId="509D3E8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tcBorders>
              <w:top w:val="double" w:color="auto" w:sz="6" w:space="0"/>
              <w:bottom w:val="single" w:color="auto" w:sz="6" w:space="0"/>
            </w:tcBorders>
            <w:noWrap w:val="0"/>
            <w:vAlign w:val="center"/>
          </w:tcPr>
          <w:p w14:paraId="24142D8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44" w:type="dxa"/>
            <w:tcBorders>
              <w:top w:val="double" w:color="auto" w:sz="6" w:space="0"/>
              <w:bottom w:val="single" w:color="auto" w:sz="6" w:space="0"/>
            </w:tcBorders>
            <w:noWrap w:val="0"/>
            <w:vAlign w:val="center"/>
          </w:tcPr>
          <w:p w14:paraId="0CA5C3C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tcBorders>
              <w:top w:val="double" w:color="auto" w:sz="6" w:space="0"/>
              <w:bottom w:val="single" w:color="auto" w:sz="6" w:space="0"/>
            </w:tcBorders>
            <w:noWrap w:val="0"/>
            <w:vAlign w:val="center"/>
          </w:tcPr>
          <w:p w14:paraId="221C1BB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tcBorders>
              <w:top w:val="double" w:color="auto" w:sz="6" w:space="0"/>
              <w:bottom w:val="single" w:color="auto" w:sz="6" w:space="0"/>
            </w:tcBorders>
            <w:noWrap w:val="0"/>
            <w:vAlign w:val="center"/>
          </w:tcPr>
          <w:p w14:paraId="3F8F5F9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7" w:type="dxa"/>
            <w:tcBorders>
              <w:top w:val="double" w:color="auto" w:sz="6" w:space="0"/>
              <w:bottom w:val="single" w:color="auto" w:sz="6" w:space="0"/>
            </w:tcBorders>
            <w:noWrap w:val="0"/>
            <w:vAlign w:val="center"/>
          </w:tcPr>
          <w:p w14:paraId="2E15867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tcBorders>
              <w:top w:val="double" w:color="auto" w:sz="6" w:space="0"/>
              <w:bottom w:val="single" w:color="auto" w:sz="6" w:space="0"/>
            </w:tcBorders>
            <w:noWrap w:val="0"/>
            <w:vAlign w:val="center"/>
          </w:tcPr>
          <w:p w14:paraId="194334A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FF42B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74AE4E3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tcBorders>
              <w:top w:val="nil"/>
            </w:tcBorders>
            <w:noWrap w:val="0"/>
            <w:vAlign w:val="center"/>
          </w:tcPr>
          <w:p w14:paraId="1FC60F3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tcBorders>
              <w:top w:val="nil"/>
            </w:tcBorders>
            <w:noWrap w:val="0"/>
            <w:vAlign w:val="center"/>
          </w:tcPr>
          <w:p w14:paraId="681C3F5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40" w:type="dxa"/>
            <w:tcBorders>
              <w:top w:val="nil"/>
            </w:tcBorders>
            <w:noWrap w:val="0"/>
            <w:vAlign w:val="center"/>
          </w:tcPr>
          <w:p w14:paraId="7773DC0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tcBorders>
              <w:top w:val="nil"/>
            </w:tcBorders>
            <w:noWrap w:val="0"/>
            <w:vAlign w:val="center"/>
          </w:tcPr>
          <w:p w14:paraId="074D2FB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44" w:type="dxa"/>
            <w:tcBorders>
              <w:top w:val="nil"/>
            </w:tcBorders>
            <w:noWrap w:val="0"/>
            <w:vAlign w:val="center"/>
          </w:tcPr>
          <w:p w14:paraId="4A898B3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tcBorders>
              <w:top w:val="nil"/>
            </w:tcBorders>
            <w:noWrap w:val="0"/>
            <w:vAlign w:val="center"/>
          </w:tcPr>
          <w:p w14:paraId="71F37F3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tcBorders>
              <w:top w:val="nil"/>
            </w:tcBorders>
            <w:noWrap w:val="0"/>
            <w:vAlign w:val="center"/>
          </w:tcPr>
          <w:p w14:paraId="055B137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7" w:type="dxa"/>
            <w:tcBorders>
              <w:top w:val="nil"/>
            </w:tcBorders>
            <w:noWrap w:val="0"/>
            <w:vAlign w:val="center"/>
          </w:tcPr>
          <w:p w14:paraId="36F9C87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tcBorders>
              <w:top w:val="nil"/>
            </w:tcBorders>
            <w:noWrap w:val="0"/>
            <w:vAlign w:val="center"/>
          </w:tcPr>
          <w:p w14:paraId="5069329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F669D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BBEF09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center"/>
          </w:tcPr>
          <w:p w14:paraId="0F9CF31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4870041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40" w:type="dxa"/>
            <w:noWrap w:val="0"/>
            <w:vAlign w:val="center"/>
          </w:tcPr>
          <w:p w14:paraId="34F3DF4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0351542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44" w:type="dxa"/>
            <w:noWrap w:val="0"/>
            <w:vAlign w:val="center"/>
          </w:tcPr>
          <w:p w14:paraId="3D68C9E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noWrap w:val="0"/>
            <w:vAlign w:val="center"/>
          </w:tcPr>
          <w:p w14:paraId="0F6ABFF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2EE2B73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7" w:type="dxa"/>
            <w:noWrap w:val="0"/>
            <w:vAlign w:val="center"/>
          </w:tcPr>
          <w:p w14:paraId="0E9A20E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noWrap w:val="0"/>
            <w:vAlign w:val="center"/>
          </w:tcPr>
          <w:p w14:paraId="1FB9D1F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AAFB7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9824C3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center"/>
          </w:tcPr>
          <w:p w14:paraId="33A0374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471B967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40" w:type="dxa"/>
            <w:noWrap w:val="0"/>
            <w:vAlign w:val="center"/>
          </w:tcPr>
          <w:p w14:paraId="6C254A5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3715862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44" w:type="dxa"/>
            <w:noWrap w:val="0"/>
            <w:vAlign w:val="center"/>
          </w:tcPr>
          <w:p w14:paraId="57AA21B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noWrap w:val="0"/>
            <w:vAlign w:val="center"/>
          </w:tcPr>
          <w:p w14:paraId="6CB6DCF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5AD515D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7" w:type="dxa"/>
            <w:noWrap w:val="0"/>
            <w:vAlign w:val="center"/>
          </w:tcPr>
          <w:p w14:paraId="70A31BD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noWrap w:val="0"/>
            <w:vAlign w:val="center"/>
          </w:tcPr>
          <w:p w14:paraId="018B842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47A8F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2A387C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center"/>
          </w:tcPr>
          <w:p w14:paraId="397AEBB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1896667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40" w:type="dxa"/>
            <w:noWrap w:val="0"/>
            <w:vAlign w:val="center"/>
          </w:tcPr>
          <w:p w14:paraId="587DC6A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65BA678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44" w:type="dxa"/>
            <w:noWrap w:val="0"/>
            <w:vAlign w:val="center"/>
          </w:tcPr>
          <w:p w14:paraId="6B4E0BA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noWrap w:val="0"/>
            <w:vAlign w:val="center"/>
          </w:tcPr>
          <w:p w14:paraId="2EF6863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732447F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7" w:type="dxa"/>
            <w:noWrap w:val="0"/>
            <w:vAlign w:val="center"/>
          </w:tcPr>
          <w:p w14:paraId="79B4E15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noWrap w:val="0"/>
            <w:vAlign w:val="center"/>
          </w:tcPr>
          <w:p w14:paraId="0BF86AB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EA788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93FEF7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center"/>
          </w:tcPr>
          <w:p w14:paraId="7C5D99C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38DE675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40" w:type="dxa"/>
            <w:noWrap w:val="0"/>
            <w:vAlign w:val="center"/>
          </w:tcPr>
          <w:p w14:paraId="6445047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3F72DC1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44" w:type="dxa"/>
            <w:noWrap w:val="0"/>
            <w:vAlign w:val="center"/>
          </w:tcPr>
          <w:p w14:paraId="14BA0FA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noWrap w:val="0"/>
            <w:vAlign w:val="center"/>
          </w:tcPr>
          <w:p w14:paraId="5D625F3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37CB529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7" w:type="dxa"/>
            <w:noWrap w:val="0"/>
            <w:vAlign w:val="center"/>
          </w:tcPr>
          <w:p w14:paraId="0D5839A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noWrap w:val="0"/>
            <w:vAlign w:val="center"/>
          </w:tcPr>
          <w:p w14:paraId="53A1405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35420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666D37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center"/>
          </w:tcPr>
          <w:p w14:paraId="4B21DB6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5EA2F22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40" w:type="dxa"/>
            <w:noWrap w:val="0"/>
            <w:vAlign w:val="center"/>
          </w:tcPr>
          <w:p w14:paraId="21B5457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76CBE62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44" w:type="dxa"/>
            <w:noWrap w:val="0"/>
            <w:vAlign w:val="center"/>
          </w:tcPr>
          <w:p w14:paraId="3E49F40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noWrap w:val="0"/>
            <w:vAlign w:val="center"/>
          </w:tcPr>
          <w:p w14:paraId="0F337A4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2973F0F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7" w:type="dxa"/>
            <w:noWrap w:val="0"/>
            <w:vAlign w:val="center"/>
          </w:tcPr>
          <w:p w14:paraId="25F7E91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noWrap w:val="0"/>
            <w:vAlign w:val="center"/>
          </w:tcPr>
          <w:p w14:paraId="50DE9D3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23FA2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3646FF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center"/>
          </w:tcPr>
          <w:p w14:paraId="0D07727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72C7AB6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40" w:type="dxa"/>
            <w:noWrap w:val="0"/>
            <w:vAlign w:val="center"/>
          </w:tcPr>
          <w:p w14:paraId="5102959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01F428C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44" w:type="dxa"/>
            <w:noWrap w:val="0"/>
            <w:vAlign w:val="center"/>
          </w:tcPr>
          <w:p w14:paraId="64B9324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noWrap w:val="0"/>
            <w:vAlign w:val="center"/>
          </w:tcPr>
          <w:p w14:paraId="1452340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180428E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7" w:type="dxa"/>
            <w:noWrap w:val="0"/>
            <w:vAlign w:val="center"/>
          </w:tcPr>
          <w:p w14:paraId="66371BE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noWrap w:val="0"/>
            <w:vAlign w:val="center"/>
          </w:tcPr>
          <w:p w14:paraId="0060734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D65BD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1F92917">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center"/>
          </w:tcPr>
          <w:p w14:paraId="4EBE5AE0">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center"/>
          </w:tcPr>
          <w:p w14:paraId="56D8814A">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40" w:type="dxa"/>
            <w:noWrap w:val="0"/>
            <w:vAlign w:val="center"/>
          </w:tcPr>
          <w:p w14:paraId="037770BC">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6A544621">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44" w:type="dxa"/>
            <w:noWrap w:val="0"/>
            <w:vAlign w:val="center"/>
          </w:tcPr>
          <w:p w14:paraId="309495BB">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57C3A2D0">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15B8991A">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7" w:type="dxa"/>
            <w:noWrap w:val="0"/>
            <w:vAlign w:val="center"/>
          </w:tcPr>
          <w:p w14:paraId="5598E80F">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22852503">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4BDDB1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F54578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center"/>
          </w:tcPr>
          <w:p w14:paraId="4002C26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51B020C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40" w:type="dxa"/>
            <w:noWrap w:val="0"/>
            <w:vAlign w:val="center"/>
          </w:tcPr>
          <w:p w14:paraId="64044CA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1B8660E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44" w:type="dxa"/>
            <w:noWrap w:val="0"/>
            <w:vAlign w:val="center"/>
          </w:tcPr>
          <w:p w14:paraId="7CD85E1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noWrap w:val="0"/>
            <w:vAlign w:val="center"/>
          </w:tcPr>
          <w:p w14:paraId="2A4334D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center"/>
          </w:tcPr>
          <w:p w14:paraId="18F5E25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7" w:type="dxa"/>
            <w:noWrap w:val="0"/>
            <w:vAlign w:val="center"/>
          </w:tcPr>
          <w:p w14:paraId="1C08910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92" w:type="dxa"/>
            <w:noWrap w:val="0"/>
            <w:vAlign w:val="center"/>
          </w:tcPr>
          <w:p w14:paraId="3CA81E3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E26C5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D0753DB">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center"/>
          </w:tcPr>
          <w:p w14:paraId="7B1A0DBF">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center"/>
          </w:tcPr>
          <w:p w14:paraId="6283F428">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40" w:type="dxa"/>
            <w:noWrap w:val="0"/>
            <w:vAlign w:val="center"/>
          </w:tcPr>
          <w:p w14:paraId="580A7089">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61C1CE41">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44" w:type="dxa"/>
            <w:noWrap w:val="0"/>
            <w:vAlign w:val="center"/>
          </w:tcPr>
          <w:p w14:paraId="4C6C7700">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6245C592">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33339F48">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7" w:type="dxa"/>
            <w:noWrap w:val="0"/>
            <w:vAlign w:val="center"/>
          </w:tcPr>
          <w:p w14:paraId="2F3DD191">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2373938F">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7B9A89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258786A">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center"/>
          </w:tcPr>
          <w:p w14:paraId="5E4760FA">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center"/>
          </w:tcPr>
          <w:p w14:paraId="1D22340B">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40" w:type="dxa"/>
            <w:noWrap w:val="0"/>
            <w:vAlign w:val="center"/>
          </w:tcPr>
          <w:p w14:paraId="42A7DC38">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2A723BF5">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44" w:type="dxa"/>
            <w:noWrap w:val="0"/>
            <w:vAlign w:val="center"/>
          </w:tcPr>
          <w:p w14:paraId="03847208">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1CE199B0">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54B86F76">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7" w:type="dxa"/>
            <w:noWrap w:val="0"/>
            <w:vAlign w:val="center"/>
          </w:tcPr>
          <w:p w14:paraId="6C51BA83">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32E0A674">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62610E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7D8FB77">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center"/>
          </w:tcPr>
          <w:p w14:paraId="6CEABFAE">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center"/>
          </w:tcPr>
          <w:p w14:paraId="7928C913">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40" w:type="dxa"/>
            <w:noWrap w:val="0"/>
            <w:vAlign w:val="center"/>
          </w:tcPr>
          <w:p w14:paraId="6747812B">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69888108">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44" w:type="dxa"/>
            <w:noWrap w:val="0"/>
            <w:vAlign w:val="center"/>
          </w:tcPr>
          <w:p w14:paraId="04334EA6">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4D6EAE9B">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591A0CE7">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7" w:type="dxa"/>
            <w:noWrap w:val="0"/>
            <w:vAlign w:val="center"/>
          </w:tcPr>
          <w:p w14:paraId="7AD61E31">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5358581B">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0B9927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4D09A81">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center"/>
          </w:tcPr>
          <w:p w14:paraId="27D4F722">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center"/>
          </w:tcPr>
          <w:p w14:paraId="40F2284F">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40" w:type="dxa"/>
            <w:noWrap w:val="0"/>
            <w:vAlign w:val="center"/>
          </w:tcPr>
          <w:p w14:paraId="0978B85E">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3521576D">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44" w:type="dxa"/>
            <w:noWrap w:val="0"/>
            <w:vAlign w:val="center"/>
          </w:tcPr>
          <w:p w14:paraId="64F0493F">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5B944A12">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186BE011">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7" w:type="dxa"/>
            <w:noWrap w:val="0"/>
            <w:vAlign w:val="center"/>
          </w:tcPr>
          <w:p w14:paraId="7858320D">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522B64C8">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79F658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2E377B4">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center"/>
          </w:tcPr>
          <w:p w14:paraId="53A3716A">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center"/>
          </w:tcPr>
          <w:p w14:paraId="2C8649E5">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40" w:type="dxa"/>
            <w:noWrap w:val="0"/>
            <w:vAlign w:val="center"/>
          </w:tcPr>
          <w:p w14:paraId="58747F9C">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28C86800">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44" w:type="dxa"/>
            <w:noWrap w:val="0"/>
            <w:vAlign w:val="center"/>
          </w:tcPr>
          <w:p w14:paraId="2F15AE40">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6503887E">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5DF40FCB">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7" w:type="dxa"/>
            <w:noWrap w:val="0"/>
            <w:vAlign w:val="center"/>
          </w:tcPr>
          <w:p w14:paraId="4D9E9F58">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6D38DED5">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1D26A8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9B33D6E">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center"/>
          </w:tcPr>
          <w:p w14:paraId="5FD72825">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center"/>
          </w:tcPr>
          <w:p w14:paraId="2FFB92FA">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40" w:type="dxa"/>
            <w:noWrap w:val="0"/>
            <w:vAlign w:val="center"/>
          </w:tcPr>
          <w:p w14:paraId="20B2292D">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69576D1F">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44" w:type="dxa"/>
            <w:noWrap w:val="0"/>
            <w:vAlign w:val="center"/>
          </w:tcPr>
          <w:p w14:paraId="57C3F720">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7D83A76A">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3542A32E">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7" w:type="dxa"/>
            <w:noWrap w:val="0"/>
            <w:vAlign w:val="center"/>
          </w:tcPr>
          <w:p w14:paraId="6868075D">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25F385A1">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69BAB9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B2626DD">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center"/>
          </w:tcPr>
          <w:p w14:paraId="55A32582">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center"/>
          </w:tcPr>
          <w:p w14:paraId="37D7D8EE">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40" w:type="dxa"/>
            <w:noWrap w:val="0"/>
            <w:vAlign w:val="center"/>
          </w:tcPr>
          <w:p w14:paraId="4F8AC41B">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23E97DEF">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44" w:type="dxa"/>
            <w:noWrap w:val="0"/>
            <w:vAlign w:val="center"/>
          </w:tcPr>
          <w:p w14:paraId="35C02218">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026DAE7B">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5D69E892">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7" w:type="dxa"/>
            <w:noWrap w:val="0"/>
            <w:vAlign w:val="center"/>
          </w:tcPr>
          <w:p w14:paraId="13E336B2">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36C13C65">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0F1376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C729B0B">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center"/>
          </w:tcPr>
          <w:p w14:paraId="6342BC13">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center"/>
          </w:tcPr>
          <w:p w14:paraId="2470E9EE">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40" w:type="dxa"/>
            <w:noWrap w:val="0"/>
            <w:vAlign w:val="center"/>
          </w:tcPr>
          <w:p w14:paraId="568087B4">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09EAE0EA">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44" w:type="dxa"/>
            <w:noWrap w:val="0"/>
            <w:vAlign w:val="center"/>
          </w:tcPr>
          <w:p w14:paraId="19C01011">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42C3DFCF">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1" w:type="dxa"/>
            <w:noWrap w:val="0"/>
            <w:vAlign w:val="center"/>
          </w:tcPr>
          <w:p w14:paraId="124E05F0">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7" w:type="dxa"/>
            <w:noWrap w:val="0"/>
            <w:vAlign w:val="center"/>
          </w:tcPr>
          <w:p w14:paraId="00EA2408">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92" w:type="dxa"/>
            <w:noWrap w:val="0"/>
            <w:vAlign w:val="center"/>
          </w:tcPr>
          <w:p w14:paraId="009E4C97">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c>
      </w:tr>
    </w:tbl>
    <w:p w14:paraId="2436E7C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1C41DF76">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2EC9257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31C75CA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w:t>
      </w:r>
      <w:bookmarkStart w:id="1346" w:name="_Toc296346727"/>
      <w:bookmarkStart w:id="1347" w:name="_Toc296891266"/>
      <w:bookmarkStart w:id="1348" w:name="_Toc296891054"/>
      <w:bookmarkStart w:id="1349" w:name="_Toc267261693"/>
      <w:bookmarkStart w:id="1350" w:name="_Toc296944565"/>
      <w:bookmarkStart w:id="1351" w:name="_Toc296503226"/>
      <w:bookmarkStart w:id="1352" w:name="_Toc296347225"/>
      <w:r>
        <w:rPr>
          <w:rFonts w:hint="default" w:ascii="Times New Roman" w:hAnsi="Times New Roman" w:eastAsia="方正仿宋_GBK" w:cs="Times New Roman"/>
          <w:color w:val="000000" w:themeColor="text1"/>
          <w:sz w:val="24"/>
          <w:szCs w:val="24"/>
          <w14:textFill>
            <w14:solidFill>
              <w14:schemeClr w14:val="tx1"/>
            </w14:solidFill>
          </w14:textFill>
        </w:rPr>
        <w:t>件3：</w:t>
      </w:r>
      <w:bookmarkEnd w:id="1346"/>
      <w:bookmarkEnd w:id="1347"/>
      <w:bookmarkEnd w:id="1348"/>
      <w:bookmarkEnd w:id="1349"/>
      <w:bookmarkEnd w:id="1350"/>
      <w:bookmarkEnd w:id="1351"/>
      <w:bookmarkEnd w:id="1352"/>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41188937">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工程质量保修书</w:t>
      </w:r>
    </w:p>
    <w:p w14:paraId="504BD88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发包人（全称）：</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396C7DD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承包人（全称）：</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p>
    <w:p w14:paraId="0711173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2F217BA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发包人和承包人根据《中华人民共和国建筑法》和《建设工程质量管理条例》，经协商一致就</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（工程全称）签订工程质量保修书。</w:t>
      </w:r>
    </w:p>
    <w:p w14:paraId="4D75E551">
      <w:pPr>
        <w:pageBreakBefore w:val="0"/>
        <w:widowControl w:val="0"/>
        <w:kinsoku/>
        <w:wordWrap/>
        <w:overflowPunct/>
        <w:topLinePunct w:val="0"/>
        <w:bidi w:val="0"/>
        <w:snapToGrid/>
        <w:spacing w:line="400" w:lineRule="exact"/>
        <w:ind w:left="0" w:leftChars="0" w:right="0" w:rightChars="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一、工程质量保修范围和内容</w:t>
      </w:r>
    </w:p>
    <w:p w14:paraId="683FFFD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承包人在质量保修期内，按照有关法律规定和合同约定，承担工程质量保修责任。</w:t>
      </w:r>
    </w:p>
    <w:p w14:paraId="3A36D909">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03C692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3458E483">
      <w:pPr>
        <w:pageBreakBefore w:val="0"/>
        <w:widowControl w:val="0"/>
        <w:kinsoku/>
        <w:wordWrap/>
        <w:overflowPunct/>
        <w:topLinePunct w:val="0"/>
        <w:bidi w:val="0"/>
        <w:snapToGrid/>
        <w:spacing w:line="400" w:lineRule="exact"/>
        <w:ind w:left="0" w:leftChars="0" w:right="0" w:rightChars="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b/>
          <w:color w:val="000000" w:themeColor="text1"/>
          <w:sz w:val="24"/>
          <w:szCs w:val="24"/>
          <w14:textFill>
            <w14:solidFill>
              <w14:schemeClr w14:val="tx1"/>
            </w14:solidFill>
          </w14:textFill>
        </w:rPr>
        <w:t>　　</w:t>
      </w:r>
      <w:r>
        <w:rPr>
          <w:rFonts w:hint="default" w:ascii="Times New Roman" w:hAnsi="Times New Roman" w:eastAsia="方正仿宋_GBK" w:cs="Times New Roman"/>
          <w:color w:val="000000" w:themeColor="text1"/>
          <w:sz w:val="24"/>
          <w:szCs w:val="24"/>
          <w14:textFill>
            <w14:solidFill>
              <w14:schemeClr w14:val="tx1"/>
            </w14:solidFill>
          </w14:textFill>
        </w:rPr>
        <w:t>二、质量保修期</w:t>
      </w:r>
    </w:p>
    <w:p w14:paraId="61EFE3E1">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根据《建设工程质量管理条例》及有关规定，工程的质量保修期如下：</w:t>
      </w:r>
    </w:p>
    <w:p w14:paraId="056A1349">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1.</w:t>
      </w:r>
      <w:r>
        <w:rPr>
          <w:rFonts w:hint="default" w:ascii="Times New Roman" w:hAnsi="Times New Roman" w:eastAsia="方正仿宋_GBK" w:cs="Times New Roman"/>
          <w:color w:val="000000" w:themeColor="text1"/>
          <w:sz w:val="24"/>
          <w:szCs w:val="24"/>
          <w14:textFill>
            <w14:solidFill>
              <w14:schemeClr w14:val="tx1"/>
            </w14:solidFill>
          </w14:textFill>
        </w:rPr>
        <w:t>地基基础工程和主体结构工程为设计文件规定的工程合理使用年限；</w:t>
      </w:r>
    </w:p>
    <w:p w14:paraId="332C355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2.</w:t>
      </w:r>
      <w:r>
        <w:rPr>
          <w:rFonts w:hint="default" w:ascii="Times New Roman" w:hAnsi="Times New Roman" w:eastAsia="方正仿宋_GBK" w:cs="Times New Roman"/>
          <w:color w:val="000000" w:themeColor="text1"/>
          <w:sz w:val="24"/>
          <w:szCs w:val="24"/>
          <w14:textFill>
            <w14:solidFill>
              <w14:schemeClr w14:val="tx1"/>
            </w14:solidFill>
          </w14:textFill>
        </w:rPr>
        <w:t>屋面防水工程、有防水要求的卫生间、房间和外墙面的防渗     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年；</w:t>
      </w:r>
    </w:p>
    <w:p w14:paraId="20F9698E">
      <w:pPr>
        <w:pageBreakBefore w:val="0"/>
        <w:widowControl w:val="0"/>
        <w:kinsoku/>
        <w:wordWrap/>
        <w:overflowPunct/>
        <w:topLinePunct w:val="0"/>
        <w:bidi w:val="0"/>
        <w:snapToGrid/>
        <w:spacing w:line="400" w:lineRule="exact"/>
        <w:ind w:left="0" w:leftChars="0" w:right="0" w:rightChars="0" w:firstLine="120" w:firstLineChars="5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3.</w:t>
      </w:r>
      <w:r>
        <w:rPr>
          <w:rFonts w:hint="default" w:ascii="Times New Roman" w:hAnsi="Times New Roman" w:eastAsia="方正仿宋_GBK" w:cs="Times New Roman"/>
          <w:color w:val="000000" w:themeColor="text1"/>
          <w:sz w:val="24"/>
          <w:szCs w:val="24"/>
          <w14:textFill>
            <w14:solidFill>
              <w14:schemeClr w14:val="tx1"/>
            </w14:solidFill>
          </w14:textFill>
        </w:rPr>
        <w:t>装修工程为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年；</w:t>
      </w:r>
    </w:p>
    <w:p w14:paraId="0F08FB2C">
      <w:pPr>
        <w:pageBreakBefore w:val="0"/>
        <w:widowControl w:val="0"/>
        <w:kinsoku/>
        <w:wordWrap/>
        <w:overflowPunct/>
        <w:topLinePunct w:val="0"/>
        <w:bidi w:val="0"/>
        <w:snapToGrid/>
        <w:spacing w:line="400" w:lineRule="exact"/>
        <w:ind w:left="0" w:leftChars="0" w:right="0" w:rightChars="0" w:firstLine="120" w:firstLineChars="5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4.</w:t>
      </w:r>
      <w:r>
        <w:rPr>
          <w:rFonts w:hint="default" w:ascii="Times New Roman" w:hAnsi="Times New Roman" w:eastAsia="方正仿宋_GBK" w:cs="Times New Roman"/>
          <w:color w:val="000000" w:themeColor="text1"/>
          <w:sz w:val="24"/>
          <w:szCs w:val="24"/>
          <w14:textFill>
            <w14:solidFill>
              <w14:schemeClr w14:val="tx1"/>
            </w14:solidFill>
          </w14:textFill>
        </w:rPr>
        <w:t>电气管线、给排水管道、设备安装工程为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年；</w:t>
      </w:r>
    </w:p>
    <w:p w14:paraId="450E8F35">
      <w:pPr>
        <w:pageBreakBefore w:val="0"/>
        <w:widowControl w:val="0"/>
        <w:kinsoku/>
        <w:wordWrap/>
        <w:overflowPunct/>
        <w:topLinePunct w:val="0"/>
        <w:bidi w:val="0"/>
        <w:snapToGrid/>
        <w:spacing w:line="400" w:lineRule="exact"/>
        <w:ind w:left="0" w:leftChars="0" w:right="0" w:rightChars="0" w:firstLine="120" w:firstLineChars="5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5.</w:t>
      </w:r>
      <w:r>
        <w:rPr>
          <w:rFonts w:hint="default" w:ascii="Times New Roman" w:hAnsi="Times New Roman" w:eastAsia="方正仿宋_GBK" w:cs="Times New Roman"/>
          <w:color w:val="000000" w:themeColor="text1"/>
          <w:sz w:val="24"/>
          <w:szCs w:val="24"/>
          <w14:textFill>
            <w14:solidFill>
              <w14:schemeClr w14:val="tx1"/>
            </w14:solidFill>
          </w14:textFill>
        </w:rPr>
        <w:t>供热与供冷系统为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个采暖期、供冷期；</w:t>
      </w:r>
    </w:p>
    <w:p w14:paraId="206F08CF">
      <w:pPr>
        <w:pageBreakBefore w:val="0"/>
        <w:widowControl w:val="0"/>
        <w:kinsoku/>
        <w:wordWrap/>
        <w:overflowPunct/>
        <w:topLinePunct w:val="0"/>
        <w:bidi w:val="0"/>
        <w:snapToGrid/>
        <w:spacing w:line="400" w:lineRule="exact"/>
        <w:ind w:left="0" w:leftChars="0" w:right="0" w:rightChars="0" w:firstLine="120" w:firstLineChars="5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6.</w:t>
      </w:r>
      <w:r>
        <w:rPr>
          <w:rFonts w:hint="default" w:ascii="Times New Roman" w:hAnsi="Times New Roman" w:eastAsia="方正仿宋_GBK" w:cs="Times New Roman"/>
          <w:color w:val="000000" w:themeColor="text1"/>
          <w:sz w:val="24"/>
          <w:szCs w:val="24"/>
          <w14:textFill>
            <w14:solidFill>
              <w14:schemeClr w14:val="tx1"/>
            </w14:solidFill>
          </w14:textFill>
        </w:rPr>
        <w:t>住宅小区内的给排水设施、道路等配套工程为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年；</w:t>
      </w:r>
    </w:p>
    <w:p w14:paraId="52B9D21E">
      <w:pPr>
        <w:pageBreakBefore w:val="0"/>
        <w:widowControl w:val="0"/>
        <w:kinsoku/>
        <w:wordWrap/>
        <w:overflowPunct/>
        <w:topLinePunct w:val="0"/>
        <w:bidi w:val="0"/>
        <w:snapToGrid/>
        <w:spacing w:line="400" w:lineRule="exact"/>
        <w:ind w:left="0" w:leftChars="0" w:right="0" w:rightChars="0" w:firstLine="120" w:firstLineChars="5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7.</w:t>
      </w:r>
      <w:r>
        <w:rPr>
          <w:rFonts w:hint="default" w:ascii="Times New Roman" w:hAnsi="Times New Roman" w:eastAsia="方正仿宋_GBK" w:cs="Times New Roman"/>
          <w:color w:val="000000" w:themeColor="text1"/>
          <w:sz w:val="24"/>
          <w:szCs w:val="24"/>
          <w14:textFill>
            <w14:solidFill>
              <w14:schemeClr w14:val="tx1"/>
            </w14:solidFill>
          </w14:textFill>
        </w:rPr>
        <w:t>其他项目保修期限约定如下：</w:t>
      </w:r>
    </w:p>
    <w:p w14:paraId="3625ECD6">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55B7BE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质量保修期自工程竣工验收合格之日起计算。</w:t>
      </w:r>
    </w:p>
    <w:p w14:paraId="32DED0F4">
      <w:pPr>
        <w:pageBreakBefore w:val="0"/>
        <w:widowControl w:val="0"/>
        <w:kinsoku/>
        <w:wordWrap/>
        <w:overflowPunct/>
        <w:topLinePunct w:val="0"/>
        <w:bidi w:val="0"/>
        <w:snapToGrid/>
        <w:spacing w:line="400" w:lineRule="exact"/>
        <w:ind w:left="0" w:leftChars="0" w:right="0" w:rightChars="0" w:firstLine="480" w:firstLineChars="20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三、缺陷责任期</w:t>
      </w:r>
    </w:p>
    <w:p w14:paraId="15B09810">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工程缺陷责任期为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个月，缺陷责任期自工程通过竣工验收之日起计算。单位工程先于全部工程进行验收，单位工程缺陷责任期自单位工程验收合格之日起算。</w:t>
      </w:r>
    </w:p>
    <w:p w14:paraId="3F6623DB">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缺陷责任期终止后，发包人应退还剩余的质量保证金。</w:t>
      </w:r>
    </w:p>
    <w:p w14:paraId="4547DD32">
      <w:pPr>
        <w:pageBreakBefore w:val="0"/>
        <w:widowControl w:val="0"/>
        <w:kinsoku/>
        <w:wordWrap/>
        <w:overflowPunct/>
        <w:topLinePunct w:val="0"/>
        <w:bidi w:val="0"/>
        <w:snapToGrid/>
        <w:spacing w:line="400" w:lineRule="exact"/>
        <w:ind w:left="0" w:leftChars="0" w:right="0" w:rightChars="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    四、质量保修责任</w:t>
      </w:r>
    </w:p>
    <w:p w14:paraId="4494E3AA">
      <w:pPr>
        <w:pageBreakBefore w:val="0"/>
        <w:widowControl w:val="0"/>
        <w:kinsoku/>
        <w:wordWrap/>
        <w:overflowPunct/>
        <w:topLinePunct w:val="0"/>
        <w:bidi w:val="0"/>
        <w:snapToGrid/>
        <w:spacing w:line="400" w:lineRule="exact"/>
        <w:ind w:left="0" w:leftChars="0" w:right="0" w:rightChars="0" w:firstLine="491" w:firstLineChars="205"/>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1.</w:t>
      </w:r>
      <w:r>
        <w:rPr>
          <w:rFonts w:hint="default" w:ascii="Times New Roman" w:hAnsi="Times New Roman" w:eastAsia="方正仿宋_GBK" w:cs="Times New Roman"/>
          <w:color w:val="000000" w:themeColor="text1"/>
          <w:sz w:val="24"/>
          <w:szCs w:val="24"/>
          <w14:textFill>
            <w14:solidFill>
              <w14:schemeClr w14:val="tx1"/>
            </w14:solidFill>
          </w14:textFill>
        </w:rPr>
        <w:t>属于保修范围、内容的项目，承包人应当在接到保修通知之日起7天内派人保修。承包人不在约定期限内派人保修的，发包人可以委托他人修理。</w:t>
      </w:r>
    </w:p>
    <w:p w14:paraId="431D679F">
      <w:pPr>
        <w:pageBreakBefore w:val="0"/>
        <w:widowControl w:val="0"/>
        <w:kinsoku/>
        <w:wordWrap/>
        <w:overflowPunct/>
        <w:topLinePunct w:val="0"/>
        <w:bidi w:val="0"/>
        <w:snapToGrid/>
        <w:spacing w:line="400" w:lineRule="exact"/>
        <w:ind w:left="0" w:leftChars="0" w:right="0" w:rightChars="0" w:firstLine="491" w:firstLineChars="205"/>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2.</w:t>
      </w:r>
      <w:r>
        <w:rPr>
          <w:rFonts w:hint="default" w:ascii="Times New Roman" w:hAnsi="Times New Roman" w:eastAsia="方正仿宋_GBK" w:cs="Times New Roman"/>
          <w:color w:val="000000" w:themeColor="text1"/>
          <w:sz w:val="24"/>
          <w:szCs w:val="24"/>
          <w14:textFill>
            <w14:solidFill>
              <w14:schemeClr w14:val="tx1"/>
            </w14:solidFill>
          </w14:textFill>
        </w:rPr>
        <w:t>发生紧急事故需抢修的，承包人在接到事故通知后，应当立即到达事故现场抢修。</w:t>
      </w:r>
    </w:p>
    <w:p w14:paraId="658C8B0A">
      <w:pPr>
        <w:pageBreakBefore w:val="0"/>
        <w:widowControl w:val="0"/>
        <w:kinsoku/>
        <w:wordWrap/>
        <w:overflowPunct/>
        <w:topLinePunct w:val="0"/>
        <w:bidi w:val="0"/>
        <w:snapToGrid/>
        <w:spacing w:line="400" w:lineRule="exact"/>
        <w:ind w:left="0" w:leftChars="0" w:right="0" w:rightChars="0" w:firstLine="491" w:firstLineChars="205"/>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3.</w:t>
      </w:r>
      <w:r>
        <w:rPr>
          <w:rFonts w:hint="default" w:ascii="Times New Roman" w:hAnsi="Times New Roman" w:eastAsia="方正仿宋_GBK" w:cs="Times New Roman"/>
          <w:color w:val="000000" w:themeColor="text1"/>
          <w:sz w:val="24"/>
          <w:szCs w:val="24"/>
          <w14:textFill>
            <w14:solidFill>
              <w14:schemeClr w14:val="tx1"/>
            </w14:solidFill>
          </w14:textFill>
        </w:rPr>
        <w:t>对于涉及结构安全的质量问题，应当按照《建设工程质量管理条例》的规定，立即向当地建设行政主管部门和有关部门报告，采取安全防范措施，并由原设计人或者具有相应资质等级的设计人提出保修方案</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，由</w:t>
      </w:r>
      <w:r>
        <w:rPr>
          <w:rFonts w:hint="default" w:ascii="Times New Roman" w:hAnsi="Times New Roman" w:eastAsia="方正仿宋_GBK" w:cs="Times New Roman"/>
          <w:color w:val="000000" w:themeColor="text1"/>
          <w:sz w:val="24"/>
          <w:szCs w:val="24"/>
          <w14:textFill>
            <w14:solidFill>
              <w14:schemeClr w14:val="tx1"/>
            </w14:solidFill>
          </w14:textFill>
        </w:rPr>
        <w:t>承包人实施保修。</w:t>
      </w:r>
    </w:p>
    <w:p w14:paraId="1DEEF30D">
      <w:pPr>
        <w:pageBreakBefore w:val="0"/>
        <w:widowControl w:val="0"/>
        <w:kinsoku/>
        <w:wordWrap/>
        <w:overflowPunct/>
        <w:topLinePunct w:val="0"/>
        <w:bidi w:val="0"/>
        <w:snapToGrid/>
        <w:spacing w:line="400" w:lineRule="exact"/>
        <w:ind w:left="0" w:leftChars="0" w:right="0" w:rightChars="0" w:firstLine="120" w:firstLineChars="5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eastAsia="zh-CN"/>
          <w14:textFill>
            <w14:solidFill>
              <w14:schemeClr w14:val="tx1"/>
            </w14:solidFill>
          </w14:textFill>
        </w:rPr>
        <w:t>4.</w:t>
      </w:r>
      <w:r>
        <w:rPr>
          <w:rFonts w:hint="default" w:ascii="Times New Roman" w:hAnsi="Times New Roman" w:eastAsia="方正仿宋_GBK" w:cs="Times New Roman"/>
          <w:color w:val="000000" w:themeColor="text1"/>
          <w:sz w:val="24"/>
          <w:szCs w:val="24"/>
          <w14:textFill>
            <w14:solidFill>
              <w14:schemeClr w14:val="tx1"/>
            </w14:solidFill>
          </w14:textFill>
        </w:rPr>
        <w:t>质量保修完成后，由发包人组织验收。</w:t>
      </w:r>
    </w:p>
    <w:p w14:paraId="68938DE3">
      <w:pPr>
        <w:pageBreakBefore w:val="0"/>
        <w:widowControl w:val="0"/>
        <w:kinsoku/>
        <w:wordWrap/>
        <w:overflowPunct/>
        <w:topLinePunct w:val="0"/>
        <w:bidi w:val="0"/>
        <w:snapToGrid/>
        <w:spacing w:line="400" w:lineRule="exact"/>
        <w:ind w:left="0" w:leftChars="0" w:right="0" w:rightChars="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五、保修费用</w:t>
      </w:r>
    </w:p>
    <w:p w14:paraId="445E7270">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保修费用由造成质量缺陷的责任方承担。</w:t>
      </w:r>
    </w:p>
    <w:p w14:paraId="4DA78E93">
      <w:pPr>
        <w:pageBreakBefore w:val="0"/>
        <w:widowControl w:val="0"/>
        <w:kinsoku/>
        <w:wordWrap/>
        <w:overflowPunct/>
        <w:topLinePunct w:val="0"/>
        <w:bidi w:val="0"/>
        <w:snapToGrid/>
        <w:spacing w:line="400" w:lineRule="exact"/>
        <w:ind w:left="0" w:leftChars="0" w:right="0" w:rightChars="0" w:firstLine="600"/>
        <w:jc w:val="left"/>
        <w:outlineLvl w:val="0"/>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b/>
          <w:color w:val="000000" w:themeColor="text1"/>
          <w:sz w:val="24"/>
          <w:szCs w:val="24"/>
          <w14:textFill>
            <w14:solidFill>
              <w14:schemeClr w14:val="tx1"/>
            </w14:solidFill>
          </w14:textFill>
        </w:rPr>
        <w:t>六</w:t>
      </w:r>
      <w:r>
        <w:rPr>
          <w:rFonts w:hint="default" w:ascii="Times New Roman" w:hAnsi="Times New Roman" w:eastAsia="方正仿宋_GBK" w:cs="Times New Roman"/>
          <w:color w:val="000000" w:themeColor="text1"/>
          <w:sz w:val="24"/>
          <w:szCs w:val="24"/>
          <w14:textFill>
            <w14:solidFill>
              <w14:schemeClr w14:val="tx1"/>
            </w14:solidFill>
          </w14:textFill>
        </w:rPr>
        <w:t>、双方约定的其他工程质量保修事项：</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51597CDA">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A5D105A">
      <w:pPr>
        <w:pageBreakBefore w:val="0"/>
        <w:widowControl w:val="0"/>
        <w:kinsoku/>
        <w:wordWrap/>
        <w:overflowPunct/>
        <w:topLinePunct w:val="0"/>
        <w:bidi w:val="0"/>
        <w:snapToGrid/>
        <w:spacing w:line="400" w:lineRule="exact"/>
        <w:ind w:left="0" w:leftChars="0" w:right="0" w:rightChars="0" w:firstLine="456" w:firstLineChars="19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工程质量保修书由发包人、承包人在工程竣工验收前共同签署，作为施工合同附件，其有效期限至保修期满。</w:t>
      </w:r>
    </w:p>
    <w:p w14:paraId="798D57BC">
      <w:pPr>
        <w:pageBreakBefore w:val="0"/>
        <w:widowControl w:val="0"/>
        <w:kinsoku/>
        <w:wordWrap/>
        <w:overflowPunct/>
        <w:topLinePunct w:val="0"/>
        <w:bidi w:val="0"/>
        <w:snapToGrid/>
        <w:spacing w:line="400" w:lineRule="exact"/>
        <w:ind w:left="0" w:leftChars="0" w:right="0" w:rightChars="0" w:firstLine="420"/>
        <w:rPr>
          <w:rFonts w:hint="default" w:ascii="Times New Roman" w:hAnsi="Times New Roman" w:eastAsia="方正仿宋_GBK" w:cs="Times New Roman"/>
          <w:color w:val="000000" w:themeColor="text1"/>
          <w:sz w:val="24"/>
          <w:szCs w:val="24"/>
          <w14:textFill>
            <w14:solidFill>
              <w14:schemeClr w14:val="tx1"/>
            </w14:solidFill>
          </w14:textFill>
        </w:rPr>
      </w:pPr>
    </w:p>
    <w:p w14:paraId="21EEF118">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发包人</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公章</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承包人</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公章</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p>
    <w:p w14:paraId="2E4913B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地  址：</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地  址：</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p>
    <w:p w14:paraId="52312AD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法定代表人</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签字</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法定代表人</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签字</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57B32DAC">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委托代理人</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签字</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委托代理人</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签字</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w:t>
      </w:r>
      <w:r>
        <w:rPr>
          <w:rFonts w:hint="default" w:ascii="Times New Roman" w:hAnsi="Times New Roman" w:eastAsia="方正仿宋_GBK" w:cs="Times New Roman"/>
          <w:color w:val="000000" w:themeColor="text1"/>
          <w:sz w:val="24"/>
          <w:szCs w:val="24"/>
          <w14:textFill>
            <w14:solidFill>
              <w14:schemeClr w14:val="tx1"/>
            </w14:solidFill>
          </w14:textFill>
        </w:rPr>
        <w:t>：</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5CFBDA7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电  话：</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电  话：</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39F23336">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开户银行：</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开户银行：</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28035F0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账  号：</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账  号：</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044F234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邮政编码：</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邮政编码：</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6CC43CC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b/>
          <w:color w:val="000000" w:themeColor="text1"/>
          <w:sz w:val="24"/>
          <w:szCs w:val="24"/>
          <w14:textFill>
            <w14:solidFill>
              <w14:schemeClr w14:val="tx1"/>
            </w14:solidFill>
          </w14:textFill>
        </w:rPr>
        <w:br w:type="page"/>
      </w:r>
      <w:r>
        <w:rPr>
          <w:rFonts w:hint="default" w:ascii="Times New Roman" w:hAnsi="Times New Roman" w:eastAsia="方正仿宋_GBK" w:cs="Times New Roman"/>
          <w:color w:val="000000" w:themeColor="text1"/>
          <w:sz w:val="24"/>
          <w:szCs w:val="24"/>
          <w14:textFill>
            <w14:solidFill>
              <w14:schemeClr w14:val="tx1"/>
            </w14:solidFill>
          </w14:textFill>
        </w:rPr>
        <w:t>附件4：</w:t>
      </w:r>
    </w:p>
    <w:p w14:paraId="609DEC26">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主要建设工程文件目录</w:t>
      </w:r>
    </w:p>
    <w:p w14:paraId="4B3161FA">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bl>
      <w:tblPr>
        <w:tblStyle w:val="30"/>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0BA3AD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4F96BDC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文件名称</w:t>
            </w:r>
          </w:p>
        </w:tc>
        <w:tc>
          <w:tcPr>
            <w:tcW w:w="1276" w:type="dxa"/>
            <w:tcBorders>
              <w:top w:val="single" w:color="auto" w:sz="12" w:space="0"/>
              <w:bottom w:val="double" w:color="auto" w:sz="6" w:space="0"/>
            </w:tcBorders>
            <w:noWrap w:val="0"/>
            <w:vAlign w:val="center"/>
          </w:tcPr>
          <w:p w14:paraId="0AD7972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套数</w:t>
            </w:r>
          </w:p>
        </w:tc>
        <w:tc>
          <w:tcPr>
            <w:tcW w:w="1450" w:type="dxa"/>
            <w:tcBorders>
              <w:top w:val="single" w:color="auto" w:sz="12" w:space="0"/>
              <w:bottom w:val="double" w:color="auto" w:sz="6" w:space="0"/>
            </w:tcBorders>
            <w:noWrap w:val="0"/>
            <w:vAlign w:val="center"/>
          </w:tcPr>
          <w:p w14:paraId="0EB04A3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费用（元）</w:t>
            </w:r>
          </w:p>
        </w:tc>
        <w:tc>
          <w:tcPr>
            <w:tcW w:w="1243" w:type="dxa"/>
            <w:tcBorders>
              <w:top w:val="single" w:color="auto" w:sz="12" w:space="0"/>
              <w:bottom w:val="double" w:color="auto" w:sz="6" w:space="0"/>
            </w:tcBorders>
            <w:noWrap w:val="0"/>
            <w:vAlign w:val="center"/>
          </w:tcPr>
          <w:p w14:paraId="29C8FE5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质量</w:t>
            </w:r>
          </w:p>
        </w:tc>
        <w:tc>
          <w:tcPr>
            <w:tcW w:w="1450" w:type="dxa"/>
            <w:tcBorders>
              <w:top w:val="single" w:color="auto" w:sz="12" w:space="0"/>
              <w:bottom w:val="double" w:color="auto" w:sz="6" w:space="0"/>
            </w:tcBorders>
            <w:noWrap w:val="0"/>
            <w:vAlign w:val="top"/>
          </w:tcPr>
          <w:p w14:paraId="57FBADA1">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移交时间</w:t>
            </w:r>
          </w:p>
        </w:tc>
        <w:tc>
          <w:tcPr>
            <w:tcW w:w="1667" w:type="dxa"/>
            <w:tcBorders>
              <w:top w:val="single" w:color="auto" w:sz="12" w:space="0"/>
              <w:bottom w:val="double" w:color="auto" w:sz="6" w:space="0"/>
            </w:tcBorders>
            <w:noWrap w:val="0"/>
            <w:vAlign w:val="top"/>
          </w:tcPr>
          <w:p w14:paraId="313AFF38">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责任人</w:t>
            </w:r>
          </w:p>
        </w:tc>
      </w:tr>
      <w:tr w14:paraId="4253EF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0A0D4EA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tcBorders>
              <w:top w:val="double" w:color="auto" w:sz="6" w:space="0"/>
              <w:bottom w:val="single" w:color="auto" w:sz="6" w:space="0"/>
            </w:tcBorders>
            <w:noWrap w:val="0"/>
            <w:vAlign w:val="center"/>
          </w:tcPr>
          <w:p w14:paraId="7FB03A0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tcBorders>
              <w:top w:val="double" w:color="auto" w:sz="6" w:space="0"/>
              <w:bottom w:val="single" w:color="auto" w:sz="6" w:space="0"/>
            </w:tcBorders>
            <w:noWrap w:val="0"/>
            <w:vAlign w:val="center"/>
          </w:tcPr>
          <w:p w14:paraId="26D3331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43" w:type="dxa"/>
            <w:tcBorders>
              <w:top w:val="double" w:color="auto" w:sz="6" w:space="0"/>
              <w:bottom w:val="single" w:color="auto" w:sz="6" w:space="0"/>
            </w:tcBorders>
            <w:noWrap w:val="0"/>
            <w:vAlign w:val="center"/>
          </w:tcPr>
          <w:p w14:paraId="1BE10D2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tcBorders>
              <w:top w:val="double" w:color="auto" w:sz="6" w:space="0"/>
              <w:bottom w:val="single" w:color="auto" w:sz="6" w:space="0"/>
            </w:tcBorders>
            <w:noWrap w:val="0"/>
            <w:vAlign w:val="center"/>
          </w:tcPr>
          <w:p w14:paraId="220B26F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667" w:type="dxa"/>
            <w:tcBorders>
              <w:top w:val="double" w:color="auto" w:sz="6" w:space="0"/>
              <w:bottom w:val="single" w:color="auto" w:sz="6" w:space="0"/>
            </w:tcBorders>
            <w:noWrap w:val="0"/>
            <w:vAlign w:val="center"/>
          </w:tcPr>
          <w:p w14:paraId="5BC2027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56109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593D4D9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tcBorders>
              <w:top w:val="nil"/>
            </w:tcBorders>
            <w:noWrap w:val="0"/>
            <w:vAlign w:val="center"/>
          </w:tcPr>
          <w:p w14:paraId="5EDF713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tcBorders>
              <w:top w:val="nil"/>
            </w:tcBorders>
            <w:noWrap w:val="0"/>
            <w:vAlign w:val="center"/>
          </w:tcPr>
          <w:p w14:paraId="44F94EF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43" w:type="dxa"/>
            <w:tcBorders>
              <w:top w:val="nil"/>
            </w:tcBorders>
            <w:noWrap w:val="0"/>
            <w:vAlign w:val="center"/>
          </w:tcPr>
          <w:p w14:paraId="3F541DD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tcBorders>
              <w:top w:val="nil"/>
            </w:tcBorders>
            <w:noWrap w:val="0"/>
            <w:vAlign w:val="center"/>
          </w:tcPr>
          <w:p w14:paraId="0E1897F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667" w:type="dxa"/>
            <w:tcBorders>
              <w:top w:val="nil"/>
            </w:tcBorders>
            <w:noWrap w:val="0"/>
            <w:vAlign w:val="center"/>
          </w:tcPr>
          <w:p w14:paraId="065D979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32245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8A3010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center"/>
          </w:tcPr>
          <w:p w14:paraId="7707D0B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noWrap w:val="0"/>
            <w:vAlign w:val="center"/>
          </w:tcPr>
          <w:p w14:paraId="2993187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43" w:type="dxa"/>
            <w:noWrap w:val="0"/>
            <w:vAlign w:val="center"/>
          </w:tcPr>
          <w:p w14:paraId="705FCDB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noWrap w:val="0"/>
            <w:vAlign w:val="center"/>
          </w:tcPr>
          <w:p w14:paraId="446FA4E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667" w:type="dxa"/>
            <w:noWrap w:val="0"/>
            <w:vAlign w:val="center"/>
          </w:tcPr>
          <w:p w14:paraId="22C99C9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2504A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294B0B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center"/>
          </w:tcPr>
          <w:p w14:paraId="08FA60D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noWrap w:val="0"/>
            <w:vAlign w:val="center"/>
          </w:tcPr>
          <w:p w14:paraId="257DEA1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43" w:type="dxa"/>
            <w:noWrap w:val="0"/>
            <w:vAlign w:val="center"/>
          </w:tcPr>
          <w:p w14:paraId="440AC77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noWrap w:val="0"/>
            <w:vAlign w:val="center"/>
          </w:tcPr>
          <w:p w14:paraId="0AA8106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667" w:type="dxa"/>
            <w:noWrap w:val="0"/>
            <w:vAlign w:val="center"/>
          </w:tcPr>
          <w:p w14:paraId="08AEB0C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091C7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ED3D54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center"/>
          </w:tcPr>
          <w:p w14:paraId="056EDC5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noWrap w:val="0"/>
            <w:vAlign w:val="center"/>
          </w:tcPr>
          <w:p w14:paraId="5E07C63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43" w:type="dxa"/>
            <w:noWrap w:val="0"/>
            <w:vAlign w:val="center"/>
          </w:tcPr>
          <w:p w14:paraId="462B1A2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noWrap w:val="0"/>
            <w:vAlign w:val="center"/>
          </w:tcPr>
          <w:p w14:paraId="79FF4A2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667" w:type="dxa"/>
            <w:noWrap w:val="0"/>
            <w:vAlign w:val="center"/>
          </w:tcPr>
          <w:p w14:paraId="2D96A25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1F0BF3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35B889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center"/>
          </w:tcPr>
          <w:p w14:paraId="7C12475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noWrap w:val="0"/>
            <w:vAlign w:val="center"/>
          </w:tcPr>
          <w:p w14:paraId="2375D02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43" w:type="dxa"/>
            <w:noWrap w:val="0"/>
            <w:vAlign w:val="center"/>
          </w:tcPr>
          <w:p w14:paraId="18B74AC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noWrap w:val="0"/>
            <w:vAlign w:val="center"/>
          </w:tcPr>
          <w:p w14:paraId="7812701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667" w:type="dxa"/>
            <w:noWrap w:val="0"/>
            <w:vAlign w:val="center"/>
          </w:tcPr>
          <w:p w14:paraId="6DCB436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9B7AB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19FCF1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center"/>
          </w:tcPr>
          <w:p w14:paraId="70AB50E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noWrap w:val="0"/>
            <w:vAlign w:val="center"/>
          </w:tcPr>
          <w:p w14:paraId="5DB30C1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43" w:type="dxa"/>
            <w:noWrap w:val="0"/>
            <w:vAlign w:val="center"/>
          </w:tcPr>
          <w:p w14:paraId="01F9656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noWrap w:val="0"/>
            <w:vAlign w:val="center"/>
          </w:tcPr>
          <w:p w14:paraId="123EA97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667" w:type="dxa"/>
            <w:noWrap w:val="0"/>
            <w:vAlign w:val="center"/>
          </w:tcPr>
          <w:p w14:paraId="66B4439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7D9AD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B0AEBF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center"/>
          </w:tcPr>
          <w:p w14:paraId="0CB04DA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noWrap w:val="0"/>
            <w:vAlign w:val="center"/>
          </w:tcPr>
          <w:p w14:paraId="6393A7C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43" w:type="dxa"/>
            <w:noWrap w:val="0"/>
            <w:vAlign w:val="center"/>
          </w:tcPr>
          <w:p w14:paraId="1149FF7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noWrap w:val="0"/>
            <w:vAlign w:val="center"/>
          </w:tcPr>
          <w:p w14:paraId="6565FAF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667" w:type="dxa"/>
            <w:noWrap w:val="0"/>
            <w:vAlign w:val="center"/>
          </w:tcPr>
          <w:p w14:paraId="29249A6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1F0505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11FF96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top"/>
          </w:tcPr>
          <w:p w14:paraId="029A86D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2FCF647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43" w:type="dxa"/>
            <w:noWrap w:val="0"/>
            <w:vAlign w:val="top"/>
          </w:tcPr>
          <w:p w14:paraId="654B0C9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3BEAF680">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667" w:type="dxa"/>
            <w:noWrap w:val="0"/>
            <w:vAlign w:val="top"/>
          </w:tcPr>
          <w:p w14:paraId="4F2ECB5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78CAE9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D8D0F5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center"/>
          </w:tcPr>
          <w:p w14:paraId="0F41DC9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noWrap w:val="0"/>
            <w:vAlign w:val="center"/>
          </w:tcPr>
          <w:p w14:paraId="7259D64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43" w:type="dxa"/>
            <w:noWrap w:val="0"/>
            <w:vAlign w:val="center"/>
          </w:tcPr>
          <w:p w14:paraId="6E3332E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50" w:type="dxa"/>
            <w:noWrap w:val="0"/>
            <w:vAlign w:val="center"/>
          </w:tcPr>
          <w:p w14:paraId="1ECA930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667" w:type="dxa"/>
            <w:noWrap w:val="0"/>
            <w:vAlign w:val="center"/>
          </w:tcPr>
          <w:p w14:paraId="3782C39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99539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E33944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top"/>
          </w:tcPr>
          <w:p w14:paraId="37F4489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2C372980">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43" w:type="dxa"/>
            <w:noWrap w:val="0"/>
            <w:vAlign w:val="top"/>
          </w:tcPr>
          <w:p w14:paraId="00C11C20">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10365DC1">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667" w:type="dxa"/>
            <w:noWrap w:val="0"/>
            <w:vAlign w:val="top"/>
          </w:tcPr>
          <w:p w14:paraId="776FD972">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1AD287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B3C145C">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top"/>
          </w:tcPr>
          <w:p w14:paraId="1D08DBF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7CC6789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43" w:type="dxa"/>
            <w:noWrap w:val="0"/>
            <w:vAlign w:val="top"/>
          </w:tcPr>
          <w:p w14:paraId="1A5CA93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0A4818A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667" w:type="dxa"/>
            <w:noWrap w:val="0"/>
            <w:vAlign w:val="top"/>
          </w:tcPr>
          <w:p w14:paraId="397FF56C">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0B119C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158FFE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top"/>
          </w:tcPr>
          <w:p w14:paraId="2085797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543F6631">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43" w:type="dxa"/>
            <w:noWrap w:val="0"/>
            <w:vAlign w:val="top"/>
          </w:tcPr>
          <w:p w14:paraId="431CF922">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0FB61C5D">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667" w:type="dxa"/>
            <w:noWrap w:val="0"/>
            <w:vAlign w:val="top"/>
          </w:tcPr>
          <w:p w14:paraId="14B4E1C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3D6D6F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6532A1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top"/>
          </w:tcPr>
          <w:p w14:paraId="5D324408">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06EB1FC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43" w:type="dxa"/>
            <w:noWrap w:val="0"/>
            <w:vAlign w:val="top"/>
          </w:tcPr>
          <w:p w14:paraId="3CB5D90D">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719EE7E6">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667" w:type="dxa"/>
            <w:noWrap w:val="0"/>
            <w:vAlign w:val="top"/>
          </w:tcPr>
          <w:p w14:paraId="58F37C28">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643972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42EEA7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top"/>
          </w:tcPr>
          <w:p w14:paraId="02A6203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795ABB04">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43" w:type="dxa"/>
            <w:noWrap w:val="0"/>
            <w:vAlign w:val="top"/>
          </w:tcPr>
          <w:p w14:paraId="4762BF7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195F90A4">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667" w:type="dxa"/>
            <w:noWrap w:val="0"/>
            <w:vAlign w:val="top"/>
          </w:tcPr>
          <w:p w14:paraId="1AD1344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3E5F48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70E9BA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top"/>
          </w:tcPr>
          <w:p w14:paraId="17D7242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2029C1C9">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43" w:type="dxa"/>
            <w:noWrap w:val="0"/>
            <w:vAlign w:val="top"/>
          </w:tcPr>
          <w:p w14:paraId="6E3260A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1745208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667" w:type="dxa"/>
            <w:noWrap w:val="0"/>
            <w:vAlign w:val="top"/>
          </w:tcPr>
          <w:p w14:paraId="28B89C1D">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593F0F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F6C33A4">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top"/>
          </w:tcPr>
          <w:p w14:paraId="31ECD18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2A8F187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43" w:type="dxa"/>
            <w:noWrap w:val="0"/>
            <w:vAlign w:val="top"/>
          </w:tcPr>
          <w:p w14:paraId="036937AD">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540B3E3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667" w:type="dxa"/>
            <w:noWrap w:val="0"/>
            <w:vAlign w:val="top"/>
          </w:tcPr>
          <w:p w14:paraId="32CAB98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6980B7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C19F6B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76" w:type="dxa"/>
            <w:noWrap w:val="0"/>
            <w:vAlign w:val="top"/>
          </w:tcPr>
          <w:p w14:paraId="2109D6A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0C7C04E1">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243" w:type="dxa"/>
            <w:noWrap w:val="0"/>
            <w:vAlign w:val="top"/>
          </w:tcPr>
          <w:p w14:paraId="3D3ADCAC">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50" w:type="dxa"/>
            <w:noWrap w:val="0"/>
            <w:vAlign w:val="top"/>
          </w:tcPr>
          <w:p w14:paraId="6DCC12D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667" w:type="dxa"/>
            <w:noWrap w:val="0"/>
            <w:vAlign w:val="top"/>
          </w:tcPr>
          <w:p w14:paraId="22B2E00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bl>
    <w:p w14:paraId="71BAC46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28AA93B8">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br w:type="page"/>
      </w:r>
      <w:r>
        <w:rPr>
          <w:rFonts w:hint="default" w:ascii="Times New Roman" w:hAnsi="Times New Roman" w:eastAsia="方正仿宋_GBK" w:cs="Times New Roman"/>
          <w:color w:val="000000" w:themeColor="text1"/>
          <w:sz w:val="24"/>
          <w:szCs w:val="24"/>
          <w14:textFill>
            <w14:solidFill>
              <w14:schemeClr w14:val="tx1"/>
            </w14:solidFill>
          </w14:textFill>
        </w:rPr>
        <w:t>附</w:t>
      </w:r>
      <w:bookmarkStart w:id="1353" w:name="_Toc296347226"/>
      <w:bookmarkStart w:id="1354" w:name="_Toc296891267"/>
      <w:bookmarkStart w:id="1355" w:name="_Toc267261698"/>
      <w:bookmarkStart w:id="1356" w:name="_Toc296503227"/>
      <w:bookmarkStart w:id="1357" w:name="_Toc296346728"/>
      <w:bookmarkStart w:id="1358" w:name="_Toc296891055"/>
      <w:bookmarkStart w:id="1359" w:name="_Toc296944566"/>
      <w:r>
        <w:rPr>
          <w:rFonts w:hint="default" w:ascii="Times New Roman" w:hAnsi="Times New Roman" w:eastAsia="方正仿宋_GBK" w:cs="Times New Roman"/>
          <w:color w:val="000000" w:themeColor="text1"/>
          <w:sz w:val="24"/>
          <w:szCs w:val="24"/>
          <w14:textFill>
            <w14:solidFill>
              <w14:schemeClr w14:val="tx1"/>
            </w14:solidFill>
          </w14:textFill>
        </w:rPr>
        <w:t>件5：</w:t>
      </w:r>
    </w:p>
    <w:bookmarkEnd w:id="1353"/>
    <w:bookmarkEnd w:id="1354"/>
    <w:bookmarkEnd w:id="1355"/>
    <w:bookmarkEnd w:id="1356"/>
    <w:bookmarkEnd w:id="1357"/>
    <w:bookmarkEnd w:id="1358"/>
    <w:bookmarkEnd w:id="1359"/>
    <w:p w14:paraId="67B75360">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承包人用于本工程施工的机械设备表</w:t>
      </w:r>
    </w:p>
    <w:p w14:paraId="71F903AD">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69CE74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23F2BC3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序号</w:t>
            </w:r>
          </w:p>
        </w:tc>
        <w:tc>
          <w:tcPr>
            <w:tcW w:w="1418" w:type="dxa"/>
            <w:tcBorders>
              <w:top w:val="single" w:color="auto" w:sz="12" w:space="0"/>
              <w:bottom w:val="double" w:color="auto" w:sz="6" w:space="0"/>
            </w:tcBorders>
            <w:noWrap w:val="0"/>
            <w:vAlign w:val="center"/>
          </w:tcPr>
          <w:p w14:paraId="1616E20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机械或设备名称</w:t>
            </w:r>
          </w:p>
        </w:tc>
        <w:tc>
          <w:tcPr>
            <w:tcW w:w="850" w:type="dxa"/>
            <w:tcBorders>
              <w:top w:val="single" w:color="auto" w:sz="12" w:space="0"/>
              <w:bottom w:val="double" w:color="auto" w:sz="6" w:space="0"/>
            </w:tcBorders>
            <w:noWrap w:val="0"/>
            <w:vAlign w:val="center"/>
          </w:tcPr>
          <w:p w14:paraId="698E59E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规格型号</w:t>
            </w:r>
          </w:p>
        </w:tc>
        <w:tc>
          <w:tcPr>
            <w:tcW w:w="1058" w:type="dxa"/>
            <w:tcBorders>
              <w:top w:val="single" w:color="auto" w:sz="12" w:space="0"/>
              <w:bottom w:val="double" w:color="auto" w:sz="6" w:space="0"/>
            </w:tcBorders>
            <w:noWrap w:val="0"/>
            <w:vAlign w:val="center"/>
          </w:tcPr>
          <w:p w14:paraId="52DCD74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数量</w:t>
            </w:r>
          </w:p>
        </w:tc>
        <w:tc>
          <w:tcPr>
            <w:tcW w:w="880" w:type="dxa"/>
            <w:tcBorders>
              <w:top w:val="single" w:color="auto" w:sz="12" w:space="0"/>
              <w:bottom w:val="double" w:color="auto" w:sz="6" w:space="0"/>
            </w:tcBorders>
            <w:noWrap w:val="0"/>
            <w:vAlign w:val="center"/>
          </w:tcPr>
          <w:p w14:paraId="26AC04B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产地</w:t>
            </w:r>
          </w:p>
        </w:tc>
        <w:tc>
          <w:tcPr>
            <w:tcW w:w="1020" w:type="dxa"/>
            <w:tcBorders>
              <w:top w:val="single" w:color="auto" w:sz="12" w:space="0"/>
              <w:bottom w:val="double" w:color="auto" w:sz="6" w:space="0"/>
            </w:tcBorders>
            <w:noWrap w:val="0"/>
            <w:vAlign w:val="center"/>
          </w:tcPr>
          <w:p w14:paraId="39ED4E6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制造年份</w:t>
            </w:r>
          </w:p>
        </w:tc>
        <w:tc>
          <w:tcPr>
            <w:tcW w:w="1480" w:type="dxa"/>
            <w:tcBorders>
              <w:top w:val="single" w:color="auto" w:sz="12" w:space="0"/>
              <w:bottom w:val="double" w:color="auto" w:sz="6" w:space="0"/>
            </w:tcBorders>
            <w:noWrap w:val="0"/>
            <w:vAlign w:val="center"/>
          </w:tcPr>
          <w:p w14:paraId="33D76CF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额定功率（kW）</w:t>
            </w:r>
          </w:p>
        </w:tc>
        <w:tc>
          <w:tcPr>
            <w:tcW w:w="1020" w:type="dxa"/>
            <w:tcBorders>
              <w:top w:val="single" w:color="auto" w:sz="12" w:space="0"/>
              <w:bottom w:val="double" w:color="auto" w:sz="6" w:space="0"/>
            </w:tcBorders>
            <w:noWrap w:val="0"/>
            <w:vAlign w:val="center"/>
          </w:tcPr>
          <w:p w14:paraId="4A21B80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生产能力</w:t>
            </w:r>
          </w:p>
        </w:tc>
        <w:tc>
          <w:tcPr>
            <w:tcW w:w="921" w:type="dxa"/>
            <w:tcBorders>
              <w:top w:val="single" w:color="auto" w:sz="12" w:space="0"/>
              <w:bottom w:val="double" w:color="auto" w:sz="6" w:space="0"/>
            </w:tcBorders>
            <w:noWrap w:val="0"/>
            <w:vAlign w:val="center"/>
          </w:tcPr>
          <w:p w14:paraId="44691C4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备注</w:t>
            </w:r>
          </w:p>
        </w:tc>
      </w:tr>
      <w:tr w14:paraId="07D2B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64AB71A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tcBorders>
              <w:top w:val="double" w:color="auto" w:sz="6" w:space="0"/>
              <w:bottom w:val="single" w:color="auto" w:sz="6" w:space="0"/>
            </w:tcBorders>
            <w:noWrap w:val="0"/>
            <w:vAlign w:val="center"/>
          </w:tcPr>
          <w:p w14:paraId="55F94B4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tcBorders>
              <w:top w:val="double" w:color="auto" w:sz="6" w:space="0"/>
              <w:bottom w:val="single" w:color="auto" w:sz="6" w:space="0"/>
            </w:tcBorders>
            <w:noWrap w:val="0"/>
            <w:vAlign w:val="center"/>
          </w:tcPr>
          <w:p w14:paraId="7A36134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58" w:type="dxa"/>
            <w:tcBorders>
              <w:top w:val="double" w:color="auto" w:sz="6" w:space="0"/>
              <w:bottom w:val="single" w:color="auto" w:sz="6" w:space="0"/>
            </w:tcBorders>
            <w:noWrap w:val="0"/>
            <w:vAlign w:val="center"/>
          </w:tcPr>
          <w:p w14:paraId="0F00E00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80" w:type="dxa"/>
            <w:tcBorders>
              <w:top w:val="double" w:color="auto" w:sz="6" w:space="0"/>
              <w:bottom w:val="single" w:color="auto" w:sz="6" w:space="0"/>
            </w:tcBorders>
            <w:noWrap w:val="0"/>
            <w:vAlign w:val="center"/>
          </w:tcPr>
          <w:p w14:paraId="735CFD5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tcBorders>
              <w:top w:val="double" w:color="auto" w:sz="6" w:space="0"/>
              <w:bottom w:val="single" w:color="auto" w:sz="6" w:space="0"/>
            </w:tcBorders>
            <w:noWrap w:val="0"/>
            <w:vAlign w:val="center"/>
          </w:tcPr>
          <w:p w14:paraId="58E7BD7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0" w:type="dxa"/>
            <w:tcBorders>
              <w:top w:val="double" w:color="auto" w:sz="6" w:space="0"/>
              <w:bottom w:val="single" w:color="auto" w:sz="6" w:space="0"/>
            </w:tcBorders>
            <w:noWrap w:val="0"/>
            <w:vAlign w:val="center"/>
          </w:tcPr>
          <w:p w14:paraId="21DAF7E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tcBorders>
              <w:top w:val="double" w:color="auto" w:sz="6" w:space="0"/>
              <w:bottom w:val="single" w:color="auto" w:sz="6" w:space="0"/>
            </w:tcBorders>
            <w:noWrap w:val="0"/>
            <w:vAlign w:val="center"/>
          </w:tcPr>
          <w:p w14:paraId="7D99D5B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21" w:type="dxa"/>
            <w:tcBorders>
              <w:top w:val="double" w:color="auto" w:sz="6" w:space="0"/>
              <w:bottom w:val="single" w:color="auto" w:sz="6" w:space="0"/>
            </w:tcBorders>
            <w:noWrap w:val="0"/>
            <w:vAlign w:val="center"/>
          </w:tcPr>
          <w:p w14:paraId="4F3FF5D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A4FA4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419CE63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tcBorders>
              <w:top w:val="nil"/>
            </w:tcBorders>
            <w:noWrap w:val="0"/>
            <w:vAlign w:val="center"/>
          </w:tcPr>
          <w:p w14:paraId="5E6DCBE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tcBorders>
              <w:top w:val="nil"/>
            </w:tcBorders>
            <w:noWrap w:val="0"/>
            <w:vAlign w:val="center"/>
          </w:tcPr>
          <w:p w14:paraId="0B2FF82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58" w:type="dxa"/>
            <w:tcBorders>
              <w:top w:val="nil"/>
            </w:tcBorders>
            <w:noWrap w:val="0"/>
            <w:vAlign w:val="center"/>
          </w:tcPr>
          <w:p w14:paraId="0617F4E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80" w:type="dxa"/>
            <w:tcBorders>
              <w:top w:val="nil"/>
            </w:tcBorders>
            <w:noWrap w:val="0"/>
            <w:vAlign w:val="center"/>
          </w:tcPr>
          <w:p w14:paraId="0B70549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tcBorders>
              <w:top w:val="nil"/>
            </w:tcBorders>
            <w:noWrap w:val="0"/>
            <w:vAlign w:val="center"/>
          </w:tcPr>
          <w:p w14:paraId="0D3BB2B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0" w:type="dxa"/>
            <w:tcBorders>
              <w:top w:val="nil"/>
            </w:tcBorders>
            <w:noWrap w:val="0"/>
            <w:vAlign w:val="center"/>
          </w:tcPr>
          <w:p w14:paraId="42DFF2D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tcBorders>
              <w:top w:val="nil"/>
            </w:tcBorders>
            <w:noWrap w:val="0"/>
            <w:vAlign w:val="center"/>
          </w:tcPr>
          <w:p w14:paraId="704D0AF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21" w:type="dxa"/>
            <w:tcBorders>
              <w:top w:val="nil"/>
            </w:tcBorders>
            <w:noWrap w:val="0"/>
            <w:vAlign w:val="center"/>
          </w:tcPr>
          <w:p w14:paraId="08A7CE5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C84B7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31BC6D1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0D6ED8D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noWrap w:val="0"/>
            <w:vAlign w:val="center"/>
          </w:tcPr>
          <w:p w14:paraId="23BAA79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58" w:type="dxa"/>
            <w:noWrap w:val="0"/>
            <w:vAlign w:val="center"/>
          </w:tcPr>
          <w:p w14:paraId="7DEC8D3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80" w:type="dxa"/>
            <w:noWrap w:val="0"/>
            <w:vAlign w:val="center"/>
          </w:tcPr>
          <w:p w14:paraId="4009E65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noWrap w:val="0"/>
            <w:vAlign w:val="center"/>
          </w:tcPr>
          <w:p w14:paraId="38C23CF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0" w:type="dxa"/>
            <w:noWrap w:val="0"/>
            <w:vAlign w:val="center"/>
          </w:tcPr>
          <w:p w14:paraId="0D9D29F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noWrap w:val="0"/>
            <w:vAlign w:val="center"/>
          </w:tcPr>
          <w:p w14:paraId="0D48B0E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21" w:type="dxa"/>
            <w:noWrap w:val="0"/>
            <w:vAlign w:val="center"/>
          </w:tcPr>
          <w:p w14:paraId="2F1AB8B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4652A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B498DD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1EA3954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noWrap w:val="0"/>
            <w:vAlign w:val="center"/>
          </w:tcPr>
          <w:p w14:paraId="1BFB9BA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58" w:type="dxa"/>
            <w:noWrap w:val="0"/>
            <w:vAlign w:val="center"/>
          </w:tcPr>
          <w:p w14:paraId="6BCF898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80" w:type="dxa"/>
            <w:noWrap w:val="0"/>
            <w:vAlign w:val="center"/>
          </w:tcPr>
          <w:p w14:paraId="739C40A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noWrap w:val="0"/>
            <w:vAlign w:val="center"/>
          </w:tcPr>
          <w:p w14:paraId="3F396C0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0" w:type="dxa"/>
            <w:noWrap w:val="0"/>
            <w:vAlign w:val="center"/>
          </w:tcPr>
          <w:p w14:paraId="2A49B0A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noWrap w:val="0"/>
            <w:vAlign w:val="center"/>
          </w:tcPr>
          <w:p w14:paraId="5CDF54C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21" w:type="dxa"/>
            <w:noWrap w:val="0"/>
            <w:vAlign w:val="center"/>
          </w:tcPr>
          <w:p w14:paraId="1B6F199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6D14EA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3427CC7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4C16878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noWrap w:val="0"/>
            <w:vAlign w:val="center"/>
          </w:tcPr>
          <w:p w14:paraId="155CBD3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58" w:type="dxa"/>
            <w:noWrap w:val="0"/>
            <w:vAlign w:val="center"/>
          </w:tcPr>
          <w:p w14:paraId="5AC5B6A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80" w:type="dxa"/>
            <w:noWrap w:val="0"/>
            <w:vAlign w:val="center"/>
          </w:tcPr>
          <w:p w14:paraId="77173C1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noWrap w:val="0"/>
            <w:vAlign w:val="center"/>
          </w:tcPr>
          <w:p w14:paraId="79E8EDA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0" w:type="dxa"/>
            <w:noWrap w:val="0"/>
            <w:vAlign w:val="center"/>
          </w:tcPr>
          <w:p w14:paraId="61021D5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noWrap w:val="0"/>
            <w:vAlign w:val="center"/>
          </w:tcPr>
          <w:p w14:paraId="702EED9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21" w:type="dxa"/>
            <w:noWrap w:val="0"/>
            <w:vAlign w:val="center"/>
          </w:tcPr>
          <w:p w14:paraId="3CE4B6F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1D19CC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52FD34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7562416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noWrap w:val="0"/>
            <w:vAlign w:val="center"/>
          </w:tcPr>
          <w:p w14:paraId="44DF6F2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58" w:type="dxa"/>
            <w:noWrap w:val="0"/>
            <w:vAlign w:val="center"/>
          </w:tcPr>
          <w:p w14:paraId="1931C01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80" w:type="dxa"/>
            <w:noWrap w:val="0"/>
            <w:vAlign w:val="center"/>
          </w:tcPr>
          <w:p w14:paraId="2BBF3F6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noWrap w:val="0"/>
            <w:vAlign w:val="center"/>
          </w:tcPr>
          <w:p w14:paraId="6E83BC0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0" w:type="dxa"/>
            <w:noWrap w:val="0"/>
            <w:vAlign w:val="center"/>
          </w:tcPr>
          <w:p w14:paraId="1DE7010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noWrap w:val="0"/>
            <w:vAlign w:val="center"/>
          </w:tcPr>
          <w:p w14:paraId="0A8FA01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21" w:type="dxa"/>
            <w:noWrap w:val="0"/>
            <w:vAlign w:val="center"/>
          </w:tcPr>
          <w:p w14:paraId="15CD924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DAE1C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CCDE07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799C961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noWrap w:val="0"/>
            <w:vAlign w:val="center"/>
          </w:tcPr>
          <w:p w14:paraId="0DC2B86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58" w:type="dxa"/>
            <w:noWrap w:val="0"/>
            <w:vAlign w:val="center"/>
          </w:tcPr>
          <w:p w14:paraId="59823E5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80" w:type="dxa"/>
            <w:noWrap w:val="0"/>
            <w:vAlign w:val="center"/>
          </w:tcPr>
          <w:p w14:paraId="3BDE0FF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noWrap w:val="0"/>
            <w:vAlign w:val="center"/>
          </w:tcPr>
          <w:p w14:paraId="6A6A429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0" w:type="dxa"/>
            <w:noWrap w:val="0"/>
            <w:vAlign w:val="center"/>
          </w:tcPr>
          <w:p w14:paraId="29C64FC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noWrap w:val="0"/>
            <w:vAlign w:val="center"/>
          </w:tcPr>
          <w:p w14:paraId="7193FE4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21" w:type="dxa"/>
            <w:noWrap w:val="0"/>
            <w:vAlign w:val="center"/>
          </w:tcPr>
          <w:p w14:paraId="307140F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667D1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96601C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1D256F3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noWrap w:val="0"/>
            <w:vAlign w:val="center"/>
          </w:tcPr>
          <w:p w14:paraId="216428B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58" w:type="dxa"/>
            <w:noWrap w:val="0"/>
            <w:vAlign w:val="center"/>
          </w:tcPr>
          <w:p w14:paraId="58FB4FB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80" w:type="dxa"/>
            <w:noWrap w:val="0"/>
            <w:vAlign w:val="center"/>
          </w:tcPr>
          <w:p w14:paraId="01F03C4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noWrap w:val="0"/>
            <w:vAlign w:val="center"/>
          </w:tcPr>
          <w:p w14:paraId="71788A3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0" w:type="dxa"/>
            <w:noWrap w:val="0"/>
            <w:vAlign w:val="center"/>
          </w:tcPr>
          <w:p w14:paraId="7CC9060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noWrap w:val="0"/>
            <w:vAlign w:val="center"/>
          </w:tcPr>
          <w:p w14:paraId="4BCB009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21" w:type="dxa"/>
            <w:noWrap w:val="0"/>
            <w:vAlign w:val="center"/>
          </w:tcPr>
          <w:p w14:paraId="5031918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634CAE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9CC023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top"/>
          </w:tcPr>
          <w:p w14:paraId="5A835B8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0" w:type="dxa"/>
            <w:noWrap w:val="0"/>
            <w:vAlign w:val="top"/>
          </w:tcPr>
          <w:p w14:paraId="57DD8DE1">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58" w:type="dxa"/>
            <w:noWrap w:val="0"/>
            <w:vAlign w:val="top"/>
          </w:tcPr>
          <w:p w14:paraId="0D59EA9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80" w:type="dxa"/>
            <w:noWrap w:val="0"/>
            <w:vAlign w:val="top"/>
          </w:tcPr>
          <w:p w14:paraId="6577DAA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38BAFDB4">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0" w:type="dxa"/>
            <w:noWrap w:val="0"/>
            <w:vAlign w:val="top"/>
          </w:tcPr>
          <w:p w14:paraId="42844080">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71EC53FC">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21" w:type="dxa"/>
            <w:noWrap w:val="0"/>
            <w:vAlign w:val="top"/>
          </w:tcPr>
          <w:p w14:paraId="130E2FC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3C6B7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108BAD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7CF17D0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0" w:type="dxa"/>
            <w:noWrap w:val="0"/>
            <w:vAlign w:val="center"/>
          </w:tcPr>
          <w:p w14:paraId="23A11FD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58" w:type="dxa"/>
            <w:noWrap w:val="0"/>
            <w:vAlign w:val="center"/>
          </w:tcPr>
          <w:p w14:paraId="58A52EB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80" w:type="dxa"/>
            <w:noWrap w:val="0"/>
            <w:vAlign w:val="center"/>
          </w:tcPr>
          <w:p w14:paraId="2082E4B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noWrap w:val="0"/>
            <w:vAlign w:val="center"/>
          </w:tcPr>
          <w:p w14:paraId="77FA798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80" w:type="dxa"/>
            <w:noWrap w:val="0"/>
            <w:vAlign w:val="center"/>
          </w:tcPr>
          <w:p w14:paraId="204604E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020" w:type="dxa"/>
            <w:noWrap w:val="0"/>
            <w:vAlign w:val="center"/>
          </w:tcPr>
          <w:p w14:paraId="652D49E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921" w:type="dxa"/>
            <w:noWrap w:val="0"/>
            <w:vAlign w:val="center"/>
          </w:tcPr>
          <w:p w14:paraId="11571E1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5D3B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AAC376C">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top"/>
          </w:tcPr>
          <w:p w14:paraId="24CC5CA4">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0" w:type="dxa"/>
            <w:noWrap w:val="0"/>
            <w:vAlign w:val="top"/>
          </w:tcPr>
          <w:p w14:paraId="077A9AE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58" w:type="dxa"/>
            <w:noWrap w:val="0"/>
            <w:vAlign w:val="top"/>
          </w:tcPr>
          <w:p w14:paraId="7381B04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80" w:type="dxa"/>
            <w:noWrap w:val="0"/>
            <w:vAlign w:val="top"/>
          </w:tcPr>
          <w:p w14:paraId="4183B30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6F53506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0" w:type="dxa"/>
            <w:noWrap w:val="0"/>
            <w:vAlign w:val="top"/>
          </w:tcPr>
          <w:p w14:paraId="1573412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7CEA2CC2">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21" w:type="dxa"/>
            <w:noWrap w:val="0"/>
            <w:vAlign w:val="top"/>
          </w:tcPr>
          <w:p w14:paraId="5518CD04">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55507B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67367D1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top"/>
          </w:tcPr>
          <w:p w14:paraId="4EC2F6B9">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0" w:type="dxa"/>
            <w:noWrap w:val="0"/>
            <w:vAlign w:val="top"/>
          </w:tcPr>
          <w:p w14:paraId="222C5524">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58" w:type="dxa"/>
            <w:noWrap w:val="0"/>
            <w:vAlign w:val="top"/>
          </w:tcPr>
          <w:p w14:paraId="1BB7400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80" w:type="dxa"/>
            <w:noWrap w:val="0"/>
            <w:vAlign w:val="top"/>
          </w:tcPr>
          <w:p w14:paraId="51B3A360">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06643A2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0" w:type="dxa"/>
            <w:noWrap w:val="0"/>
            <w:vAlign w:val="top"/>
          </w:tcPr>
          <w:p w14:paraId="375272A2">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6D06906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21" w:type="dxa"/>
            <w:noWrap w:val="0"/>
            <w:vAlign w:val="top"/>
          </w:tcPr>
          <w:p w14:paraId="747DBE1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648660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C4D4A6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top"/>
          </w:tcPr>
          <w:p w14:paraId="088CAA16">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0" w:type="dxa"/>
            <w:noWrap w:val="0"/>
            <w:vAlign w:val="top"/>
          </w:tcPr>
          <w:p w14:paraId="78AE2E9C">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58" w:type="dxa"/>
            <w:noWrap w:val="0"/>
            <w:vAlign w:val="top"/>
          </w:tcPr>
          <w:p w14:paraId="524F647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80" w:type="dxa"/>
            <w:noWrap w:val="0"/>
            <w:vAlign w:val="top"/>
          </w:tcPr>
          <w:p w14:paraId="7B08FE1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29CD8854">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0" w:type="dxa"/>
            <w:noWrap w:val="0"/>
            <w:vAlign w:val="top"/>
          </w:tcPr>
          <w:p w14:paraId="489A22A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69ED0F04">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21" w:type="dxa"/>
            <w:noWrap w:val="0"/>
            <w:vAlign w:val="top"/>
          </w:tcPr>
          <w:p w14:paraId="61E022D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7703BF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741FAF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top"/>
          </w:tcPr>
          <w:p w14:paraId="044DD89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0" w:type="dxa"/>
            <w:noWrap w:val="0"/>
            <w:vAlign w:val="top"/>
          </w:tcPr>
          <w:p w14:paraId="6F232E46">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58" w:type="dxa"/>
            <w:noWrap w:val="0"/>
            <w:vAlign w:val="top"/>
          </w:tcPr>
          <w:p w14:paraId="6930DEF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80" w:type="dxa"/>
            <w:noWrap w:val="0"/>
            <w:vAlign w:val="top"/>
          </w:tcPr>
          <w:p w14:paraId="23B8C7B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08FFF0C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0" w:type="dxa"/>
            <w:noWrap w:val="0"/>
            <w:vAlign w:val="top"/>
          </w:tcPr>
          <w:p w14:paraId="443ED479">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20DBAD80">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21" w:type="dxa"/>
            <w:noWrap w:val="0"/>
            <w:vAlign w:val="top"/>
          </w:tcPr>
          <w:p w14:paraId="6634A3E1">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36B7DC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DA3094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top"/>
          </w:tcPr>
          <w:p w14:paraId="163E8948">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0" w:type="dxa"/>
            <w:noWrap w:val="0"/>
            <w:vAlign w:val="top"/>
          </w:tcPr>
          <w:p w14:paraId="7213B32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58" w:type="dxa"/>
            <w:noWrap w:val="0"/>
            <w:vAlign w:val="top"/>
          </w:tcPr>
          <w:p w14:paraId="38E3679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80" w:type="dxa"/>
            <w:noWrap w:val="0"/>
            <w:vAlign w:val="top"/>
          </w:tcPr>
          <w:p w14:paraId="378A0ED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2E083336">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0" w:type="dxa"/>
            <w:noWrap w:val="0"/>
            <w:vAlign w:val="top"/>
          </w:tcPr>
          <w:p w14:paraId="35311B3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019176D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21" w:type="dxa"/>
            <w:noWrap w:val="0"/>
            <w:vAlign w:val="top"/>
          </w:tcPr>
          <w:p w14:paraId="7148A432">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59B80C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62A77F9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top"/>
          </w:tcPr>
          <w:p w14:paraId="3DE2793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0" w:type="dxa"/>
            <w:noWrap w:val="0"/>
            <w:vAlign w:val="top"/>
          </w:tcPr>
          <w:p w14:paraId="6E7426D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58" w:type="dxa"/>
            <w:noWrap w:val="0"/>
            <w:vAlign w:val="top"/>
          </w:tcPr>
          <w:p w14:paraId="39822CA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80" w:type="dxa"/>
            <w:noWrap w:val="0"/>
            <w:vAlign w:val="top"/>
          </w:tcPr>
          <w:p w14:paraId="5CA72CC0">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7DAA18CD">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0" w:type="dxa"/>
            <w:noWrap w:val="0"/>
            <w:vAlign w:val="top"/>
          </w:tcPr>
          <w:p w14:paraId="2F0F85DC">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7894A72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21" w:type="dxa"/>
            <w:noWrap w:val="0"/>
            <w:vAlign w:val="top"/>
          </w:tcPr>
          <w:p w14:paraId="726F03B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7E6D94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C3E6BFC">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top"/>
          </w:tcPr>
          <w:p w14:paraId="2C0B514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0" w:type="dxa"/>
            <w:noWrap w:val="0"/>
            <w:vAlign w:val="top"/>
          </w:tcPr>
          <w:p w14:paraId="4B1C7CC9">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58" w:type="dxa"/>
            <w:noWrap w:val="0"/>
            <w:vAlign w:val="top"/>
          </w:tcPr>
          <w:p w14:paraId="5E9702C6">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80" w:type="dxa"/>
            <w:noWrap w:val="0"/>
            <w:vAlign w:val="top"/>
          </w:tcPr>
          <w:p w14:paraId="01F95F02">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5B7D1BB0">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0" w:type="dxa"/>
            <w:noWrap w:val="0"/>
            <w:vAlign w:val="top"/>
          </w:tcPr>
          <w:p w14:paraId="06BF33A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2D8E943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21" w:type="dxa"/>
            <w:noWrap w:val="0"/>
            <w:vAlign w:val="top"/>
          </w:tcPr>
          <w:p w14:paraId="7D68C10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30B66C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C7073E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top"/>
          </w:tcPr>
          <w:p w14:paraId="04831A72">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0" w:type="dxa"/>
            <w:noWrap w:val="0"/>
            <w:vAlign w:val="top"/>
          </w:tcPr>
          <w:p w14:paraId="18F023E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58" w:type="dxa"/>
            <w:noWrap w:val="0"/>
            <w:vAlign w:val="top"/>
          </w:tcPr>
          <w:p w14:paraId="0C8A932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80" w:type="dxa"/>
            <w:noWrap w:val="0"/>
            <w:vAlign w:val="top"/>
          </w:tcPr>
          <w:p w14:paraId="7471577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6E85F35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0" w:type="dxa"/>
            <w:noWrap w:val="0"/>
            <w:vAlign w:val="top"/>
          </w:tcPr>
          <w:p w14:paraId="23D5160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3C12703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21" w:type="dxa"/>
            <w:noWrap w:val="0"/>
            <w:vAlign w:val="top"/>
          </w:tcPr>
          <w:p w14:paraId="573DE6C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r w14:paraId="73442C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4906FD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18" w:type="dxa"/>
            <w:noWrap w:val="0"/>
            <w:vAlign w:val="top"/>
          </w:tcPr>
          <w:p w14:paraId="6F72ACE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50" w:type="dxa"/>
            <w:noWrap w:val="0"/>
            <w:vAlign w:val="top"/>
          </w:tcPr>
          <w:p w14:paraId="18E1A0A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58" w:type="dxa"/>
            <w:noWrap w:val="0"/>
            <w:vAlign w:val="top"/>
          </w:tcPr>
          <w:p w14:paraId="024E7B89">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880" w:type="dxa"/>
            <w:noWrap w:val="0"/>
            <w:vAlign w:val="top"/>
          </w:tcPr>
          <w:p w14:paraId="662D7F2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6219FFF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480" w:type="dxa"/>
            <w:noWrap w:val="0"/>
            <w:vAlign w:val="top"/>
          </w:tcPr>
          <w:p w14:paraId="04186B2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1020" w:type="dxa"/>
            <w:noWrap w:val="0"/>
            <w:vAlign w:val="top"/>
          </w:tcPr>
          <w:p w14:paraId="4D3C5E1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c>
          <w:tcPr>
            <w:tcW w:w="921" w:type="dxa"/>
            <w:noWrap w:val="0"/>
            <w:vAlign w:val="top"/>
          </w:tcPr>
          <w:p w14:paraId="26C27812">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tc>
      </w:tr>
    </w:tbl>
    <w:p w14:paraId="7AFB128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5500510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10666CF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w:t>
      </w:r>
      <w:bookmarkStart w:id="1360" w:name="_Toc296347227"/>
      <w:bookmarkStart w:id="1361" w:name="_Toc296944567"/>
      <w:bookmarkStart w:id="1362" w:name="_Toc296891056"/>
      <w:bookmarkStart w:id="1363" w:name="_Toc296346729"/>
      <w:bookmarkStart w:id="1364" w:name="_Toc296503228"/>
      <w:bookmarkStart w:id="1365" w:name="_Toc296891268"/>
      <w:bookmarkStart w:id="1366" w:name="_Toc267261699"/>
      <w:r>
        <w:rPr>
          <w:rFonts w:hint="default" w:ascii="Times New Roman" w:hAnsi="Times New Roman" w:eastAsia="方正仿宋_GBK" w:cs="Times New Roman"/>
          <w:color w:val="000000" w:themeColor="text1"/>
          <w:sz w:val="24"/>
          <w:szCs w:val="24"/>
          <w14:textFill>
            <w14:solidFill>
              <w14:schemeClr w14:val="tx1"/>
            </w14:solidFill>
          </w14:textFill>
        </w:rPr>
        <w:t>件6：</w:t>
      </w:r>
    </w:p>
    <w:bookmarkEnd w:id="1360"/>
    <w:bookmarkEnd w:id="1361"/>
    <w:bookmarkEnd w:id="1362"/>
    <w:bookmarkEnd w:id="1363"/>
    <w:bookmarkEnd w:id="1364"/>
    <w:bookmarkEnd w:id="1365"/>
    <w:bookmarkEnd w:id="1366"/>
    <w:p w14:paraId="6B8526ED">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承包人主要施工管理人员表</w:t>
      </w:r>
    </w:p>
    <w:p w14:paraId="1F416E9A">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91D72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462B99A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名    称</w:t>
            </w:r>
          </w:p>
        </w:tc>
        <w:tc>
          <w:tcPr>
            <w:tcW w:w="1418" w:type="dxa"/>
            <w:tcBorders>
              <w:top w:val="single" w:color="auto" w:sz="12" w:space="0"/>
              <w:bottom w:val="double" w:color="auto" w:sz="6" w:space="0"/>
            </w:tcBorders>
            <w:noWrap w:val="0"/>
            <w:vAlign w:val="center"/>
          </w:tcPr>
          <w:p w14:paraId="345129F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姓名</w:t>
            </w:r>
          </w:p>
        </w:tc>
        <w:tc>
          <w:tcPr>
            <w:tcW w:w="1134" w:type="dxa"/>
            <w:tcBorders>
              <w:top w:val="single" w:color="auto" w:sz="12" w:space="0"/>
              <w:bottom w:val="double" w:color="auto" w:sz="6" w:space="0"/>
            </w:tcBorders>
            <w:noWrap w:val="0"/>
            <w:vAlign w:val="center"/>
          </w:tcPr>
          <w:p w14:paraId="4CDBA8F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职务</w:t>
            </w:r>
          </w:p>
        </w:tc>
        <w:tc>
          <w:tcPr>
            <w:tcW w:w="1134" w:type="dxa"/>
            <w:tcBorders>
              <w:top w:val="single" w:color="auto" w:sz="12" w:space="0"/>
              <w:bottom w:val="double" w:color="auto" w:sz="6" w:space="0"/>
            </w:tcBorders>
            <w:noWrap w:val="0"/>
            <w:vAlign w:val="center"/>
          </w:tcPr>
          <w:p w14:paraId="1F693B3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职称</w:t>
            </w:r>
          </w:p>
        </w:tc>
        <w:tc>
          <w:tcPr>
            <w:tcW w:w="4252" w:type="dxa"/>
            <w:tcBorders>
              <w:top w:val="single" w:color="auto" w:sz="12" w:space="0"/>
              <w:bottom w:val="double" w:color="auto" w:sz="6" w:space="0"/>
            </w:tcBorders>
            <w:noWrap w:val="0"/>
            <w:vAlign w:val="center"/>
          </w:tcPr>
          <w:p w14:paraId="298F5F9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主要资历、经验及承担过的项目</w:t>
            </w:r>
          </w:p>
        </w:tc>
      </w:tr>
      <w:tr w14:paraId="3D9E51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701F644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一、总部人员</w:t>
            </w:r>
          </w:p>
        </w:tc>
      </w:tr>
      <w:tr w14:paraId="02BE00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4E291E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项目主管</w:t>
            </w:r>
          </w:p>
        </w:tc>
        <w:tc>
          <w:tcPr>
            <w:tcW w:w="1418" w:type="dxa"/>
            <w:tcBorders>
              <w:top w:val="nil"/>
            </w:tcBorders>
            <w:noWrap w:val="0"/>
            <w:vAlign w:val="center"/>
          </w:tcPr>
          <w:p w14:paraId="6CA5D8D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tcBorders>
              <w:top w:val="nil"/>
            </w:tcBorders>
            <w:noWrap w:val="0"/>
            <w:vAlign w:val="center"/>
          </w:tcPr>
          <w:p w14:paraId="7501D35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tcBorders>
              <w:top w:val="nil"/>
            </w:tcBorders>
            <w:noWrap w:val="0"/>
            <w:vAlign w:val="center"/>
          </w:tcPr>
          <w:p w14:paraId="2B881E1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tcBorders>
              <w:top w:val="nil"/>
            </w:tcBorders>
            <w:noWrap w:val="0"/>
            <w:vAlign w:val="center"/>
          </w:tcPr>
          <w:p w14:paraId="48EEC54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F7B64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73B2732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6B10C5F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6B3E034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63F6DC8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6FAF780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5A41B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375F94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其他人员</w:t>
            </w:r>
          </w:p>
        </w:tc>
        <w:tc>
          <w:tcPr>
            <w:tcW w:w="1418" w:type="dxa"/>
            <w:noWrap w:val="0"/>
            <w:vAlign w:val="center"/>
          </w:tcPr>
          <w:p w14:paraId="43151F0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0821E8C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431BEA5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1BB899F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37885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84E47F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3E5B07F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300E762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71E1E96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5A71DBB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04A64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58D66F7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二、现场人员</w:t>
            </w:r>
          </w:p>
        </w:tc>
      </w:tr>
      <w:tr w14:paraId="0CDA9C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2BC69C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项目经理</w:t>
            </w:r>
          </w:p>
        </w:tc>
        <w:tc>
          <w:tcPr>
            <w:tcW w:w="1418" w:type="dxa"/>
            <w:noWrap w:val="0"/>
            <w:vAlign w:val="center"/>
          </w:tcPr>
          <w:p w14:paraId="1E9C4A9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4A38923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442C0FD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32B4E34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BCD66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0342D8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项目副经理</w:t>
            </w:r>
          </w:p>
        </w:tc>
        <w:tc>
          <w:tcPr>
            <w:tcW w:w="1418" w:type="dxa"/>
            <w:noWrap w:val="0"/>
            <w:vAlign w:val="center"/>
          </w:tcPr>
          <w:p w14:paraId="71D664A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67793BB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2BADE50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261123F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9BE84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9F6E35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技术负责人</w:t>
            </w:r>
          </w:p>
        </w:tc>
        <w:tc>
          <w:tcPr>
            <w:tcW w:w="1418" w:type="dxa"/>
            <w:noWrap w:val="0"/>
            <w:vAlign w:val="center"/>
          </w:tcPr>
          <w:p w14:paraId="6850161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304DAB5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7493494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04BBB4C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17D9C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C6E035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造价管理</w:t>
            </w:r>
          </w:p>
        </w:tc>
        <w:tc>
          <w:tcPr>
            <w:tcW w:w="1418" w:type="dxa"/>
            <w:noWrap w:val="0"/>
            <w:vAlign w:val="center"/>
          </w:tcPr>
          <w:p w14:paraId="749DDE1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4501C76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3841C3B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198D17F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6839A7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E5CB69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质量管理</w:t>
            </w:r>
          </w:p>
        </w:tc>
        <w:tc>
          <w:tcPr>
            <w:tcW w:w="1418" w:type="dxa"/>
            <w:noWrap w:val="0"/>
            <w:vAlign w:val="center"/>
          </w:tcPr>
          <w:p w14:paraId="7C178A3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3FFFA49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3CE71F3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521643A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1FBD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8B824A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材料管理</w:t>
            </w:r>
          </w:p>
        </w:tc>
        <w:tc>
          <w:tcPr>
            <w:tcW w:w="1418" w:type="dxa"/>
            <w:noWrap w:val="0"/>
            <w:vAlign w:val="center"/>
          </w:tcPr>
          <w:p w14:paraId="07B087B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4F8AE97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70F0478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272A0B7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631BFA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D35065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计划管理</w:t>
            </w:r>
          </w:p>
        </w:tc>
        <w:tc>
          <w:tcPr>
            <w:tcW w:w="1418" w:type="dxa"/>
            <w:noWrap w:val="0"/>
            <w:vAlign w:val="center"/>
          </w:tcPr>
          <w:p w14:paraId="40C4F34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080330C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4890FF5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7344590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F47F8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42143E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安全管理</w:t>
            </w:r>
          </w:p>
        </w:tc>
        <w:tc>
          <w:tcPr>
            <w:tcW w:w="1418" w:type="dxa"/>
            <w:noWrap w:val="0"/>
            <w:vAlign w:val="center"/>
          </w:tcPr>
          <w:p w14:paraId="569A8E7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64D0AA1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1915A2C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26E361A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B5E7D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20EC36E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其他人员</w:t>
            </w:r>
          </w:p>
        </w:tc>
        <w:tc>
          <w:tcPr>
            <w:tcW w:w="1418" w:type="dxa"/>
            <w:noWrap w:val="0"/>
            <w:vAlign w:val="center"/>
          </w:tcPr>
          <w:p w14:paraId="0F0DA5E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2583C77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70D9095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312F968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2A735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F82D00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tcBorders>
              <w:bottom w:val="nil"/>
            </w:tcBorders>
            <w:noWrap w:val="0"/>
            <w:vAlign w:val="center"/>
          </w:tcPr>
          <w:p w14:paraId="4B947B8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tcBorders>
              <w:bottom w:val="nil"/>
            </w:tcBorders>
            <w:noWrap w:val="0"/>
            <w:vAlign w:val="center"/>
          </w:tcPr>
          <w:p w14:paraId="3D5F457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tcBorders>
              <w:bottom w:val="nil"/>
            </w:tcBorders>
            <w:noWrap w:val="0"/>
            <w:vAlign w:val="center"/>
          </w:tcPr>
          <w:p w14:paraId="6871406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tcBorders>
              <w:bottom w:val="nil"/>
            </w:tcBorders>
            <w:noWrap w:val="0"/>
            <w:vAlign w:val="center"/>
          </w:tcPr>
          <w:p w14:paraId="0830015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085BC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D2FF29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1340028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74850C6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6DA5C74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2E4071E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185A9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DD7711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0527B29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6F6F33D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5B54F1F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018F480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5F048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BF8D19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7B57ED5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19EE6BC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4D47060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7EF7045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3F834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29E63A1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tcBorders>
              <w:bottom w:val="single" w:color="auto" w:sz="12" w:space="0"/>
            </w:tcBorders>
            <w:noWrap w:val="0"/>
            <w:vAlign w:val="center"/>
          </w:tcPr>
          <w:p w14:paraId="4A71754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tcBorders>
              <w:bottom w:val="single" w:color="auto" w:sz="12" w:space="0"/>
            </w:tcBorders>
            <w:noWrap w:val="0"/>
            <w:vAlign w:val="center"/>
          </w:tcPr>
          <w:p w14:paraId="7FE1718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tcBorders>
              <w:bottom w:val="single" w:color="auto" w:sz="12" w:space="0"/>
            </w:tcBorders>
            <w:noWrap w:val="0"/>
            <w:vAlign w:val="center"/>
          </w:tcPr>
          <w:p w14:paraId="35E917C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tcBorders>
              <w:bottom w:val="single" w:color="auto" w:sz="12" w:space="0"/>
            </w:tcBorders>
            <w:noWrap w:val="0"/>
            <w:vAlign w:val="center"/>
          </w:tcPr>
          <w:p w14:paraId="31AF4A5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bl>
    <w:p w14:paraId="7E6BD1C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br w:type="page"/>
      </w:r>
      <w:r>
        <w:rPr>
          <w:rFonts w:hint="default" w:ascii="Times New Roman" w:hAnsi="Times New Roman" w:eastAsia="方正仿宋_GBK" w:cs="Times New Roman"/>
          <w:color w:val="000000" w:themeColor="text1"/>
          <w:sz w:val="24"/>
          <w:szCs w:val="24"/>
          <w14:textFill>
            <w14:solidFill>
              <w14:schemeClr w14:val="tx1"/>
            </w14:solidFill>
          </w14:textFill>
        </w:rPr>
        <w:t>附</w:t>
      </w:r>
      <w:bookmarkStart w:id="1367" w:name="_Toc296347228"/>
      <w:bookmarkStart w:id="1368" w:name="_Toc296346730"/>
      <w:bookmarkStart w:id="1369" w:name="_Toc296891057"/>
      <w:bookmarkStart w:id="1370" w:name="_Toc296944568"/>
      <w:bookmarkStart w:id="1371" w:name="_Toc296503229"/>
      <w:bookmarkStart w:id="1372" w:name="_Toc296891269"/>
      <w:r>
        <w:rPr>
          <w:rFonts w:hint="default" w:ascii="Times New Roman" w:hAnsi="Times New Roman" w:eastAsia="方正仿宋_GBK" w:cs="Times New Roman"/>
          <w:color w:val="000000" w:themeColor="text1"/>
          <w:sz w:val="24"/>
          <w:szCs w:val="24"/>
          <w14:textFill>
            <w14:solidFill>
              <w14:schemeClr w14:val="tx1"/>
            </w14:solidFill>
          </w14:textFill>
        </w:rPr>
        <w:t>件7：</w:t>
      </w:r>
    </w:p>
    <w:bookmarkEnd w:id="1367"/>
    <w:bookmarkEnd w:id="1368"/>
    <w:bookmarkEnd w:id="1369"/>
    <w:bookmarkEnd w:id="1370"/>
    <w:bookmarkEnd w:id="1371"/>
    <w:bookmarkEnd w:id="1372"/>
    <w:p w14:paraId="1657CDC8">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分包人主要施工管理人员表</w:t>
      </w:r>
    </w:p>
    <w:p w14:paraId="11E1F1D6">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A356C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7D943D2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名    称</w:t>
            </w:r>
          </w:p>
        </w:tc>
        <w:tc>
          <w:tcPr>
            <w:tcW w:w="1418" w:type="dxa"/>
            <w:tcBorders>
              <w:top w:val="single" w:color="auto" w:sz="12" w:space="0"/>
              <w:bottom w:val="double" w:color="auto" w:sz="6" w:space="0"/>
            </w:tcBorders>
            <w:noWrap w:val="0"/>
            <w:vAlign w:val="center"/>
          </w:tcPr>
          <w:p w14:paraId="11414E2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姓名</w:t>
            </w:r>
          </w:p>
        </w:tc>
        <w:tc>
          <w:tcPr>
            <w:tcW w:w="1134" w:type="dxa"/>
            <w:tcBorders>
              <w:top w:val="single" w:color="auto" w:sz="12" w:space="0"/>
              <w:bottom w:val="double" w:color="auto" w:sz="6" w:space="0"/>
            </w:tcBorders>
            <w:noWrap w:val="0"/>
            <w:vAlign w:val="center"/>
          </w:tcPr>
          <w:p w14:paraId="5587609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职务</w:t>
            </w:r>
          </w:p>
        </w:tc>
        <w:tc>
          <w:tcPr>
            <w:tcW w:w="1134" w:type="dxa"/>
            <w:tcBorders>
              <w:top w:val="single" w:color="auto" w:sz="12" w:space="0"/>
              <w:bottom w:val="double" w:color="auto" w:sz="6" w:space="0"/>
            </w:tcBorders>
            <w:noWrap w:val="0"/>
            <w:vAlign w:val="center"/>
          </w:tcPr>
          <w:p w14:paraId="750C763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职称</w:t>
            </w:r>
          </w:p>
        </w:tc>
        <w:tc>
          <w:tcPr>
            <w:tcW w:w="4252" w:type="dxa"/>
            <w:tcBorders>
              <w:top w:val="single" w:color="auto" w:sz="12" w:space="0"/>
              <w:bottom w:val="double" w:color="auto" w:sz="6" w:space="0"/>
            </w:tcBorders>
            <w:noWrap w:val="0"/>
            <w:vAlign w:val="center"/>
          </w:tcPr>
          <w:p w14:paraId="08D48DC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主要资历、经验及承担过的项目</w:t>
            </w:r>
          </w:p>
        </w:tc>
      </w:tr>
      <w:tr w14:paraId="381306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677047A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一、总部人员</w:t>
            </w:r>
          </w:p>
        </w:tc>
      </w:tr>
      <w:tr w14:paraId="03426B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AF0B3A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项目主管</w:t>
            </w:r>
          </w:p>
        </w:tc>
        <w:tc>
          <w:tcPr>
            <w:tcW w:w="1418" w:type="dxa"/>
            <w:tcBorders>
              <w:top w:val="nil"/>
            </w:tcBorders>
            <w:noWrap w:val="0"/>
            <w:vAlign w:val="center"/>
          </w:tcPr>
          <w:p w14:paraId="15E3926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tcBorders>
              <w:top w:val="nil"/>
            </w:tcBorders>
            <w:noWrap w:val="0"/>
            <w:vAlign w:val="center"/>
          </w:tcPr>
          <w:p w14:paraId="67655C5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tcBorders>
              <w:top w:val="nil"/>
            </w:tcBorders>
            <w:noWrap w:val="0"/>
            <w:vAlign w:val="center"/>
          </w:tcPr>
          <w:p w14:paraId="2172A6A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tcBorders>
              <w:top w:val="nil"/>
            </w:tcBorders>
            <w:noWrap w:val="0"/>
            <w:vAlign w:val="center"/>
          </w:tcPr>
          <w:p w14:paraId="07DAEA9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D58E8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22B5FAE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432248D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696C761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39A2BB5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6044451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1A6E1B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958206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其他人员</w:t>
            </w:r>
          </w:p>
        </w:tc>
        <w:tc>
          <w:tcPr>
            <w:tcW w:w="1418" w:type="dxa"/>
            <w:noWrap w:val="0"/>
            <w:vAlign w:val="center"/>
          </w:tcPr>
          <w:p w14:paraId="62DAD45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26C7E8B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4F58053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08A610F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1947D1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9A9D68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79CDE91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4294C19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3D939AB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18A58A0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61D7F0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23D595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二、现场人员</w:t>
            </w:r>
          </w:p>
        </w:tc>
      </w:tr>
      <w:tr w14:paraId="0E8106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7E03FD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项目经理</w:t>
            </w:r>
          </w:p>
        </w:tc>
        <w:tc>
          <w:tcPr>
            <w:tcW w:w="1418" w:type="dxa"/>
            <w:noWrap w:val="0"/>
            <w:vAlign w:val="center"/>
          </w:tcPr>
          <w:p w14:paraId="0912388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47677E0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1D67348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646951B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EDEAF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414BD9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项目副经理</w:t>
            </w:r>
          </w:p>
        </w:tc>
        <w:tc>
          <w:tcPr>
            <w:tcW w:w="1418" w:type="dxa"/>
            <w:noWrap w:val="0"/>
            <w:vAlign w:val="center"/>
          </w:tcPr>
          <w:p w14:paraId="3843334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7ED18C2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5CEC2C0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5117421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E0D00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672E53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技术负责人</w:t>
            </w:r>
          </w:p>
        </w:tc>
        <w:tc>
          <w:tcPr>
            <w:tcW w:w="1418" w:type="dxa"/>
            <w:noWrap w:val="0"/>
            <w:vAlign w:val="center"/>
          </w:tcPr>
          <w:p w14:paraId="309E9C5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2A0C102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5F1DBB7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71E06E4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1BDD9B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B329C9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造价管理</w:t>
            </w:r>
          </w:p>
        </w:tc>
        <w:tc>
          <w:tcPr>
            <w:tcW w:w="1418" w:type="dxa"/>
            <w:noWrap w:val="0"/>
            <w:vAlign w:val="center"/>
          </w:tcPr>
          <w:p w14:paraId="02040B5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6A41E16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3C2AB73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3B48BB8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C3B8E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D0A1CF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质量管理</w:t>
            </w:r>
          </w:p>
        </w:tc>
        <w:tc>
          <w:tcPr>
            <w:tcW w:w="1418" w:type="dxa"/>
            <w:noWrap w:val="0"/>
            <w:vAlign w:val="center"/>
          </w:tcPr>
          <w:p w14:paraId="3C07469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5397140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4103EF6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795C215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60651D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D45EC8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材料管理</w:t>
            </w:r>
          </w:p>
        </w:tc>
        <w:tc>
          <w:tcPr>
            <w:tcW w:w="1418" w:type="dxa"/>
            <w:noWrap w:val="0"/>
            <w:vAlign w:val="center"/>
          </w:tcPr>
          <w:p w14:paraId="7BD7F56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70F1AB3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4937061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38D4395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A1A72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1423AE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计划管理</w:t>
            </w:r>
          </w:p>
        </w:tc>
        <w:tc>
          <w:tcPr>
            <w:tcW w:w="1418" w:type="dxa"/>
            <w:noWrap w:val="0"/>
            <w:vAlign w:val="center"/>
          </w:tcPr>
          <w:p w14:paraId="2B46026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7B29F75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4065884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7AF091E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00A01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77680B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安全管理</w:t>
            </w:r>
          </w:p>
        </w:tc>
        <w:tc>
          <w:tcPr>
            <w:tcW w:w="1418" w:type="dxa"/>
            <w:noWrap w:val="0"/>
            <w:vAlign w:val="center"/>
          </w:tcPr>
          <w:p w14:paraId="1DD8258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5262E88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6056DF7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235AA0B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937A1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169A742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其他人员</w:t>
            </w:r>
          </w:p>
        </w:tc>
        <w:tc>
          <w:tcPr>
            <w:tcW w:w="1418" w:type="dxa"/>
            <w:noWrap w:val="0"/>
            <w:vAlign w:val="center"/>
          </w:tcPr>
          <w:p w14:paraId="2E212C0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70D225E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1E721DC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458482F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9DC7E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2604CA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tcBorders>
              <w:bottom w:val="nil"/>
            </w:tcBorders>
            <w:noWrap w:val="0"/>
            <w:vAlign w:val="center"/>
          </w:tcPr>
          <w:p w14:paraId="5F98CD8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tcBorders>
              <w:bottom w:val="nil"/>
            </w:tcBorders>
            <w:noWrap w:val="0"/>
            <w:vAlign w:val="center"/>
          </w:tcPr>
          <w:p w14:paraId="5732D75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tcBorders>
              <w:bottom w:val="nil"/>
            </w:tcBorders>
            <w:noWrap w:val="0"/>
            <w:vAlign w:val="center"/>
          </w:tcPr>
          <w:p w14:paraId="171F260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tcBorders>
              <w:bottom w:val="nil"/>
            </w:tcBorders>
            <w:noWrap w:val="0"/>
            <w:vAlign w:val="center"/>
          </w:tcPr>
          <w:p w14:paraId="5B033E2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0DFD0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862468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0DEB4CF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310915C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1DBE4DA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0B5A294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E35B4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0D9497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4372133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07ABF06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3A4A388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7C63A62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9D5D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000DD3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center"/>
          </w:tcPr>
          <w:p w14:paraId="19F395F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4555BDC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noWrap w:val="0"/>
            <w:vAlign w:val="center"/>
          </w:tcPr>
          <w:p w14:paraId="502C991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noWrap w:val="0"/>
            <w:vAlign w:val="center"/>
          </w:tcPr>
          <w:p w14:paraId="0E628F7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33D8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322AA8E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tcBorders>
              <w:bottom w:val="single" w:color="auto" w:sz="12" w:space="0"/>
            </w:tcBorders>
            <w:noWrap w:val="0"/>
            <w:vAlign w:val="center"/>
          </w:tcPr>
          <w:p w14:paraId="6EBDF06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tcBorders>
              <w:bottom w:val="single" w:color="auto" w:sz="12" w:space="0"/>
            </w:tcBorders>
            <w:noWrap w:val="0"/>
            <w:vAlign w:val="center"/>
          </w:tcPr>
          <w:p w14:paraId="3064A7F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134" w:type="dxa"/>
            <w:tcBorders>
              <w:bottom w:val="single" w:color="auto" w:sz="12" w:space="0"/>
            </w:tcBorders>
            <w:noWrap w:val="0"/>
            <w:vAlign w:val="center"/>
          </w:tcPr>
          <w:p w14:paraId="213FBED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252" w:type="dxa"/>
            <w:tcBorders>
              <w:bottom w:val="single" w:color="auto" w:sz="12" w:space="0"/>
            </w:tcBorders>
            <w:noWrap w:val="0"/>
            <w:vAlign w:val="center"/>
          </w:tcPr>
          <w:p w14:paraId="3BE4081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bl>
    <w:p w14:paraId="7BC76C1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br w:type="page"/>
      </w:r>
      <w:bookmarkStart w:id="1373" w:name="_Toc267261701"/>
      <w:r>
        <w:rPr>
          <w:rFonts w:hint="default" w:ascii="Times New Roman" w:hAnsi="Times New Roman" w:eastAsia="方正仿宋_GBK" w:cs="Times New Roman"/>
          <w:color w:val="000000" w:themeColor="text1"/>
          <w:sz w:val="24"/>
          <w:szCs w:val="24"/>
          <w14:textFill>
            <w14:solidFill>
              <w14:schemeClr w14:val="tx1"/>
            </w14:solidFill>
          </w14:textFill>
        </w:rPr>
        <w:t>附</w:t>
      </w:r>
      <w:bookmarkStart w:id="1374" w:name="_Toc296347230"/>
      <w:bookmarkStart w:id="1375" w:name="_Toc296891059"/>
      <w:bookmarkStart w:id="1376" w:name="_Toc296944570"/>
      <w:bookmarkStart w:id="1377" w:name="_Toc296346732"/>
      <w:bookmarkStart w:id="1378" w:name="_Toc296891271"/>
      <w:bookmarkStart w:id="1379" w:name="_Toc296503231"/>
      <w:r>
        <w:rPr>
          <w:rFonts w:hint="default" w:ascii="Times New Roman" w:hAnsi="Times New Roman" w:eastAsia="方正仿宋_GBK" w:cs="Times New Roman"/>
          <w:color w:val="000000" w:themeColor="text1"/>
          <w:sz w:val="24"/>
          <w:szCs w:val="24"/>
          <w14:textFill>
            <w14:solidFill>
              <w14:schemeClr w14:val="tx1"/>
            </w14:solidFill>
          </w14:textFill>
        </w:rPr>
        <w:t>件8：</w:t>
      </w:r>
    </w:p>
    <w:bookmarkEnd w:id="1373"/>
    <w:bookmarkEnd w:id="1374"/>
    <w:bookmarkEnd w:id="1375"/>
    <w:bookmarkEnd w:id="1376"/>
    <w:bookmarkEnd w:id="1377"/>
    <w:bookmarkEnd w:id="1378"/>
    <w:bookmarkEnd w:id="1379"/>
    <w:p w14:paraId="5170CDC0">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履约担保</w:t>
      </w:r>
    </w:p>
    <w:p w14:paraId="4118CEB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14:textFill>
            <w14:solidFill>
              <w14:schemeClr w14:val="tx1"/>
            </w14:solidFill>
          </w14:textFill>
        </w:rPr>
        <w:t>（发包人名称）：</w:t>
      </w:r>
    </w:p>
    <w:p w14:paraId="652B8AF1">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124F19D1">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鉴于</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（发包人名称，以下简称“发包人”）与</w:t>
      </w:r>
    </w:p>
    <w:p w14:paraId="56C3BBD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（承包人名称）（以</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下简</w:t>
      </w:r>
      <w:r>
        <w:rPr>
          <w:rFonts w:hint="default" w:ascii="Times New Roman" w:hAnsi="Times New Roman" w:eastAsia="方正仿宋_GBK" w:cs="Times New Roman"/>
          <w:color w:val="000000" w:themeColor="text1"/>
          <w:sz w:val="24"/>
          <w:szCs w:val="24"/>
          <w14:textFill>
            <w14:solidFill>
              <w14:schemeClr w14:val="tx1"/>
            </w14:solidFill>
          </w14:textFill>
        </w:rPr>
        <w:t>称“承包人”）于</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年</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月</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日就</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（工程名称）施工及有关事项协商一致共同签订《建设工程施工合同》。我方愿意无条件地、不可撤销地就承包人履行与你方签订的合同</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，并</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向你方提供连带责任担保。 </w:t>
      </w:r>
    </w:p>
    <w:p w14:paraId="70CC516F">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 担保金额人民币（大写）</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元（¥</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2416BA46">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 担保有效期自你方与承包人签订的合同生效之日起至你方签发或应签发工程接收证书之日止。</w:t>
      </w:r>
    </w:p>
    <w:p w14:paraId="5B2B8724">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 在本担保有效期内，因承包人违反合同约定的义务给你方造成经济损失时，我方在收到你方以书面形式提出的在担保金额内的赔偿要求后，在7天内无条件支付。</w:t>
      </w:r>
    </w:p>
    <w:p w14:paraId="4C88174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4. 你方和承包人按合同约定变更合同时，我方承担本担保规定的义务不变。</w:t>
      </w:r>
    </w:p>
    <w:p w14:paraId="5E4EFC0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5. 因本保函发生的纠纷，可由双方协商解决，协商不成的，任何一方均可提请</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仲裁委员会仲裁。</w:t>
      </w:r>
    </w:p>
    <w:p w14:paraId="2700E4F3">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6. 本保函自我方法定代表人（或其授权代理人）签字并加盖公章之日起生效。</w:t>
      </w:r>
    </w:p>
    <w:p w14:paraId="40A89586">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530FC1B8">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担 保 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（盖单位章）</w:t>
      </w:r>
    </w:p>
    <w:p w14:paraId="3BE5081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法定代表人或其委托代理人：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（签字）</w:t>
      </w:r>
    </w:p>
    <w:p w14:paraId="3DCB898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地    址：</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5FFE415B">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邮政编码：</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7D572600">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电    话：</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7B2A8A1C">
      <w:pPr>
        <w:pageBreakBefore w:val="0"/>
        <w:widowControl w:val="0"/>
        <w:kinsoku/>
        <w:wordWrap/>
        <w:overflowPunct/>
        <w:topLinePunct w:val="0"/>
        <w:bidi w:val="0"/>
        <w:snapToGrid/>
        <w:spacing w:line="400" w:lineRule="exact"/>
        <w:ind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年</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月</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日</w:t>
      </w:r>
    </w:p>
    <w:p w14:paraId="61ED2299">
      <w:pPr>
        <w:pageBreakBefore w:val="0"/>
        <w:widowControl w:val="0"/>
        <w:kinsoku/>
        <w:wordWrap/>
        <w:overflowPunct/>
        <w:topLinePunct w:val="0"/>
        <w:bidi w:val="0"/>
        <w:snapToGrid/>
        <w:spacing w:line="400" w:lineRule="exact"/>
        <w:ind w:left="1519" w:leftChars="0" w:right="0" w:rightChars="0" w:hanging="1519" w:hangingChars="633"/>
        <w:rPr>
          <w:rFonts w:hint="default" w:ascii="Times New Roman" w:hAnsi="Times New Roman" w:eastAsia="方正仿宋_GBK" w:cs="Times New Roman"/>
          <w:color w:val="000000" w:themeColor="text1"/>
          <w:sz w:val="24"/>
          <w:szCs w:val="24"/>
          <w14:textFill>
            <w14:solidFill>
              <w14:schemeClr w14:val="tx1"/>
            </w14:solidFill>
          </w14:textFill>
        </w:rPr>
      </w:pPr>
    </w:p>
    <w:p w14:paraId="23BB8B5F">
      <w:pPr>
        <w:pageBreakBefore w:val="0"/>
        <w:widowControl w:val="0"/>
        <w:kinsoku/>
        <w:wordWrap/>
        <w:overflowPunct/>
        <w:topLinePunct w:val="0"/>
        <w:bidi w:val="0"/>
        <w:snapToGrid/>
        <w:spacing w:line="400" w:lineRule="exact"/>
        <w:ind w:left="1519" w:leftChars="0" w:right="0" w:rightChars="0" w:hanging="1519" w:hangingChars="633"/>
        <w:rPr>
          <w:rFonts w:hint="default" w:ascii="Times New Roman" w:hAnsi="Times New Roman" w:eastAsia="方正仿宋_GBK" w:cs="Times New Roman"/>
          <w:color w:val="000000" w:themeColor="text1"/>
          <w:sz w:val="24"/>
          <w:szCs w:val="24"/>
          <w14:textFill>
            <w14:solidFill>
              <w14:schemeClr w14:val="tx1"/>
            </w14:solidFill>
          </w14:textFill>
        </w:rPr>
      </w:pPr>
    </w:p>
    <w:p w14:paraId="67D6E2B3">
      <w:pPr>
        <w:pageBreakBefore w:val="0"/>
        <w:widowControl w:val="0"/>
        <w:kinsoku/>
        <w:wordWrap/>
        <w:overflowPunct/>
        <w:topLinePunct w:val="0"/>
        <w:bidi w:val="0"/>
        <w:snapToGrid/>
        <w:spacing w:line="400" w:lineRule="exact"/>
        <w:ind w:left="1519" w:leftChars="0" w:right="0" w:rightChars="0" w:hanging="1519" w:hangingChars="633"/>
        <w:rPr>
          <w:rFonts w:hint="default" w:ascii="Times New Roman" w:hAnsi="Times New Roman" w:eastAsia="方正仿宋_GBK" w:cs="Times New Roman"/>
          <w:color w:val="000000" w:themeColor="text1"/>
          <w:sz w:val="24"/>
          <w:szCs w:val="24"/>
          <w14:textFill>
            <w14:solidFill>
              <w14:schemeClr w14:val="tx1"/>
            </w14:solidFill>
          </w14:textFill>
        </w:rPr>
      </w:pPr>
    </w:p>
    <w:p w14:paraId="249DD2B2">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197FAFD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0B745D7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717D5DAA">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3FF956B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1D996261">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3900538C">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6AC58F0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附</w:t>
      </w:r>
      <w:bookmarkStart w:id="1380" w:name="_Toc296347231"/>
      <w:bookmarkStart w:id="1381" w:name="_Toc296503232"/>
      <w:bookmarkStart w:id="1382" w:name="_Toc267261702"/>
      <w:bookmarkStart w:id="1383" w:name="_Toc296944571"/>
      <w:bookmarkStart w:id="1384" w:name="_Toc296891272"/>
      <w:bookmarkStart w:id="1385" w:name="_Toc296891060"/>
      <w:bookmarkStart w:id="1386" w:name="_Toc296346733"/>
      <w:r>
        <w:rPr>
          <w:rFonts w:hint="default" w:ascii="Times New Roman" w:hAnsi="Times New Roman" w:eastAsia="方正仿宋_GBK" w:cs="Times New Roman"/>
          <w:color w:val="000000" w:themeColor="text1"/>
          <w:sz w:val="24"/>
          <w:szCs w:val="24"/>
          <w14:textFill>
            <w14:solidFill>
              <w14:schemeClr w14:val="tx1"/>
            </w14:solidFill>
          </w14:textFill>
        </w:rPr>
        <w:t>件9 ：</w:t>
      </w:r>
    </w:p>
    <w:bookmarkEnd w:id="1380"/>
    <w:bookmarkEnd w:id="1381"/>
    <w:bookmarkEnd w:id="1382"/>
    <w:bookmarkEnd w:id="1383"/>
    <w:bookmarkEnd w:id="1384"/>
    <w:bookmarkEnd w:id="1385"/>
    <w:bookmarkEnd w:id="1386"/>
    <w:p w14:paraId="0DFFE008">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预付款担保</w:t>
      </w:r>
    </w:p>
    <w:p w14:paraId="3C263663">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 （发包人名称）：</w:t>
      </w:r>
    </w:p>
    <w:p w14:paraId="5A8AEBDD">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58006B4E">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根据</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（承包人名称）（以</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下简</w:t>
      </w:r>
      <w:r>
        <w:rPr>
          <w:rFonts w:hint="default" w:ascii="Times New Roman" w:hAnsi="Times New Roman" w:eastAsia="方正仿宋_GBK" w:cs="Times New Roman"/>
          <w:color w:val="000000" w:themeColor="text1"/>
          <w:sz w:val="24"/>
          <w:szCs w:val="24"/>
          <w14:textFill>
            <w14:solidFill>
              <w14:schemeClr w14:val="tx1"/>
            </w14:solidFill>
          </w14:textFill>
        </w:rPr>
        <w:t>称“承包人”）与</w:t>
      </w:r>
    </w:p>
    <w:p w14:paraId="52742208">
      <w:pPr>
        <w:pageBreakBefore w:val="0"/>
        <w:widowControl w:val="0"/>
        <w:kinsoku/>
        <w:wordWrap/>
        <w:overflowPunct/>
        <w:topLinePunct w:val="0"/>
        <w:bidi w:val="0"/>
        <w:snapToGrid/>
        <w:spacing w:line="400" w:lineRule="exact"/>
        <w:ind w:left="0" w:leftChars="0" w:right="0" w:rightChars="0"/>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（发包人名称）（以下简称“发包人”）</w:t>
      </w:r>
    </w:p>
    <w:p w14:paraId="3F6A90F2">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于</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年</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月</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日签订的</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（工程名称）《建设工程施工合同》，承包人按约定的金额向你方提交一份预付款担保，即有权得到你方支付相等金额的预付款。我方愿意就你方提供给承包人的预付款为承包人提供连带责任担保。</w:t>
      </w:r>
    </w:p>
    <w:p w14:paraId="5B993B19">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 担保金额人民币（大写）</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元（¥</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C4010C1">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 担保有效期自预付款支付给承包人起生效，至你方签发的进度款支付证书说明已完全扣清止。</w:t>
      </w:r>
    </w:p>
    <w:p w14:paraId="0F245B35">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 在本保函有效期内，因承包人违反合同约定的义务而要求收回预付款时，我方在收到你方的书面通知后，在</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7</w:t>
      </w:r>
      <w:r>
        <w:rPr>
          <w:rFonts w:hint="default" w:ascii="Times New Roman" w:hAnsi="Times New Roman" w:eastAsia="方正仿宋_GBK" w:cs="Times New Roman"/>
          <w:color w:val="000000" w:themeColor="text1"/>
          <w:sz w:val="24"/>
          <w:szCs w:val="24"/>
          <w14:textFill>
            <w14:solidFill>
              <w14:schemeClr w14:val="tx1"/>
            </w14:solidFill>
          </w14:textFill>
        </w:rPr>
        <w:t>天内无条件支付。但本保函的担保金额，在任何时候不应超过预付款金额减去你方按合同约定在向承包人签发的进度款支付证书中扣除的金额。</w:t>
      </w:r>
    </w:p>
    <w:p w14:paraId="50039898">
      <w:pPr>
        <w:pageBreakBefore w:val="0"/>
        <w:widowControl w:val="0"/>
        <w:kinsoku/>
        <w:wordWrap/>
        <w:overflowPunct/>
        <w:topLinePunct w:val="0"/>
        <w:bidi w:val="0"/>
        <w:snapToGrid/>
        <w:spacing w:line="400" w:lineRule="exact"/>
        <w:ind w:left="0" w:leftChars="0" w:right="0" w:rightChars="0" w:firstLine="480" w:firstLineChars="20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4. 你方和承包人按合同约定变更合同时，我方承担本保函规定的义务不变。</w:t>
      </w:r>
    </w:p>
    <w:p w14:paraId="47462F27">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5. 因本保函发生的纠纷，可由双方协商解决，协商不成的，任何一方均可提请</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仲裁委员会仲裁。</w:t>
      </w:r>
    </w:p>
    <w:p w14:paraId="0D0F54F1">
      <w:pPr>
        <w:pageBreakBefore w:val="0"/>
        <w:widowControl w:val="0"/>
        <w:kinsoku/>
        <w:wordWrap/>
        <w:overflowPunct/>
        <w:topLinePunct w:val="0"/>
        <w:bidi w:val="0"/>
        <w:snapToGrid/>
        <w:spacing w:line="400" w:lineRule="exact"/>
        <w:ind w:left="0" w:leftChars="0" w:right="0" w:rightChars="0" w:firstLine="480" w:firstLineChars="20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6. 本保函自我方法定代表人（或其授权代理人）签字并加盖公章之日起生效。</w:t>
      </w:r>
    </w:p>
    <w:p w14:paraId="3621AE79">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10F7BC9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3A1BDDFC">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担保人：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（盖单位章）</w:t>
      </w:r>
    </w:p>
    <w:p w14:paraId="30142237">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法定代表人或其委托代理人：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（签字）</w:t>
      </w:r>
    </w:p>
    <w:p w14:paraId="4FFEE17E">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地    址：</w:t>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p>
    <w:p w14:paraId="74D39405">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邮政编码：</w:t>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p>
    <w:p w14:paraId="5D43C86F">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u w:val="single"/>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电    话：</w:t>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r>
        <w:rPr>
          <w:rFonts w:hint="default" w:ascii="Times New Roman" w:hAnsi="Times New Roman" w:eastAsia="方正仿宋_GBK" w:cs="Times New Roman"/>
          <w:color w:val="000000" w:themeColor="text1"/>
          <w:sz w:val="24"/>
          <w:szCs w:val="24"/>
          <w:u w:val="single"/>
          <w14:textFill>
            <w14:solidFill>
              <w14:schemeClr w14:val="tx1"/>
            </w14:solidFill>
          </w14:textFill>
        </w:rPr>
        <w:tab/>
      </w:r>
    </w:p>
    <w:p w14:paraId="3D5AC456">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年</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月</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日</w:t>
      </w:r>
    </w:p>
    <w:p w14:paraId="57632FE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b/>
          <w:color w:val="000000" w:themeColor="text1"/>
          <w:sz w:val="24"/>
          <w:szCs w:val="24"/>
          <w14:textFill>
            <w14:solidFill>
              <w14:schemeClr w14:val="tx1"/>
            </w14:solidFill>
          </w14:textFill>
        </w:rPr>
        <w:br w:type="page"/>
      </w:r>
      <w:r>
        <w:rPr>
          <w:rFonts w:hint="default" w:ascii="Times New Roman" w:hAnsi="Times New Roman" w:eastAsia="方正仿宋_GBK" w:cs="Times New Roman"/>
          <w:color w:val="000000" w:themeColor="text1"/>
          <w:sz w:val="24"/>
          <w:szCs w:val="24"/>
          <w14:textFill>
            <w14:solidFill>
              <w14:schemeClr w14:val="tx1"/>
            </w14:solidFill>
          </w14:textFill>
        </w:rPr>
        <w:t>附</w:t>
      </w:r>
      <w:bookmarkStart w:id="1387" w:name="_Toc296944572"/>
      <w:bookmarkStart w:id="1388" w:name="_Toc296503233"/>
      <w:bookmarkStart w:id="1389" w:name="_Toc296347232"/>
      <w:bookmarkStart w:id="1390" w:name="_Toc296891061"/>
      <w:bookmarkStart w:id="1391" w:name="_Toc296346734"/>
      <w:bookmarkStart w:id="1392" w:name="_Toc296891273"/>
      <w:r>
        <w:rPr>
          <w:rFonts w:hint="default" w:ascii="Times New Roman" w:hAnsi="Times New Roman" w:eastAsia="方正仿宋_GBK" w:cs="Times New Roman"/>
          <w:color w:val="000000" w:themeColor="text1"/>
          <w:sz w:val="24"/>
          <w:szCs w:val="24"/>
          <w14:textFill>
            <w14:solidFill>
              <w14:schemeClr w14:val="tx1"/>
            </w14:solidFill>
          </w14:textFill>
        </w:rPr>
        <w:t xml:space="preserve">件10:  </w:t>
      </w:r>
    </w:p>
    <w:bookmarkEnd w:id="1387"/>
    <w:bookmarkEnd w:id="1388"/>
    <w:bookmarkEnd w:id="1389"/>
    <w:bookmarkEnd w:id="1390"/>
    <w:bookmarkEnd w:id="1391"/>
    <w:bookmarkEnd w:id="1392"/>
    <w:p w14:paraId="525CEDB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center"/>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支付担保</w:t>
      </w:r>
    </w:p>
    <w:p w14:paraId="4BDA860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（承包人）：</w:t>
      </w:r>
    </w:p>
    <w:p w14:paraId="3FE767B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p>
    <w:p w14:paraId="3EC179A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鉴于你方作为承包人已经与</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（发包人名称）（以下称“发包人”）于</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年</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月</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日签订了</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（工程名称）《建设工程施工合同》（以下称“主合同”），应发包人的申请，我方愿就发包人履行主合同约定的工程款支付义务以保证的方式向你方提供如下担保：</w:t>
      </w:r>
    </w:p>
    <w:p w14:paraId="386CB5B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一、保证的范围及保证金额</w:t>
      </w:r>
    </w:p>
    <w:p w14:paraId="7B676181">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 我方的保证范围是主合同约定的工程款。</w:t>
      </w:r>
    </w:p>
    <w:p w14:paraId="4E6B7F7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 本保函所称主合同约定的工程款是指主合同约定的除工程质量保证金以外的合同价款。</w:t>
      </w:r>
    </w:p>
    <w:p w14:paraId="793DEB1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 我方保证的金额是主合同约定的工程款的</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%，数额最高不超过人民币元（大写：</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w:t>
      </w:r>
    </w:p>
    <w:p w14:paraId="59BDE2D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二、保证的方式及保证期间</w:t>
      </w:r>
    </w:p>
    <w:p w14:paraId="7CE3E8C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 我方保证的方式为：连带责任保证。</w:t>
      </w:r>
    </w:p>
    <w:p w14:paraId="69E84C2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 我方保证的期间为：自本合同生效之日起至主合同约定的工程款支付完毕之日后</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日内。</w:t>
      </w:r>
    </w:p>
    <w:p w14:paraId="7641B8A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 你方与发包人协议变更工程款支付日期的，经我方书面同意后，保证期间按照变更后的支付日期做相应调整。</w:t>
      </w:r>
    </w:p>
    <w:p w14:paraId="02C4FBD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三、承担保证责任的形式</w:t>
      </w:r>
    </w:p>
    <w:p w14:paraId="3AEB2E8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我方承担保证责任的形式是代为支付。发包人未按主合同约定向你方支付工程款的，由我方在保证金额内代为支付。</w:t>
      </w:r>
    </w:p>
    <w:p w14:paraId="17552D3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四、代偿的安排</w:t>
      </w:r>
    </w:p>
    <w:p w14:paraId="763AD6E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 你方要求我方承担保证责任的，应向我方发出书面索赔通知及发包人未支付主合同约定工程款的证明材料。索赔通知应写明要求索赔的金额，支付款项应到达的账号。</w:t>
      </w:r>
    </w:p>
    <w:p w14:paraId="71580F5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 在出现你方与发包人因工程质量发生争议，发包人拒绝向你方支付工程款的情形时，你方要求我方履行保证责任代为支付的，需提供符合相应条件要求的工程质量检测机构出具的质量说明材料。</w:t>
      </w:r>
    </w:p>
    <w:p w14:paraId="0CB53DE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 我方收到你方的书面索赔通知及相应的证明材料后</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7</w:t>
      </w:r>
      <w:r>
        <w:rPr>
          <w:rFonts w:hint="default" w:ascii="Times New Roman" w:hAnsi="Times New Roman" w:eastAsia="方正仿宋_GBK" w:cs="Times New Roman"/>
          <w:color w:val="000000" w:themeColor="text1"/>
          <w:sz w:val="24"/>
          <w:szCs w:val="24"/>
          <w14:textFill>
            <w14:solidFill>
              <w14:schemeClr w14:val="tx1"/>
            </w14:solidFill>
          </w14:textFill>
        </w:rPr>
        <w:t>天内无条件支付。</w:t>
      </w:r>
    </w:p>
    <w:p w14:paraId="49AAE5C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五、保证责任的解除</w:t>
      </w:r>
    </w:p>
    <w:p w14:paraId="7B0CEB44">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 在本保函承诺的保证期间内，你方未书面向我方主张保证责任的，自保证期间届满次日起，我方保证责任解除。</w:t>
      </w:r>
    </w:p>
    <w:p w14:paraId="0CB62AA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 发包人按主合同约定履行了工程款的全部支付义务的，自本保函承诺的保证期间届满次日起，我方保证责任解除。</w:t>
      </w:r>
    </w:p>
    <w:p w14:paraId="3FAB30E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 我方按照本保函向你方履行保证责任所支付金额达到本保函保证金额时，自我方向你方支付（支付款项从我方账户划出）之日起，保证责任即解除。</w:t>
      </w:r>
    </w:p>
    <w:p w14:paraId="60B261E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4. 按照法律法规的规定或出现应解除我方保证责任的其他情形的，我方在本保函项下的保证责任亦解除。</w:t>
      </w:r>
    </w:p>
    <w:p w14:paraId="481CE5D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p>
    <w:p w14:paraId="69C2473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5. 我方解除保证责任后，你方应自我方保证责任解除之日起</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个工作日内，将本保函原件返还我方。</w:t>
      </w:r>
    </w:p>
    <w:p w14:paraId="1D3E034B">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六、免责条款</w:t>
      </w:r>
    </w:p>
    <w:p w14:paraId="5F074242">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 因你方违约致使发包人不能履行义务的，我方不承担保证责任。</w:t>
      </w:r>
    </w:p>
    <w:p w14:paraId="37D3C6A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 依照法律法规的规定或你方与发包人的另行约定，免除发包人部分或全部义务的，我方亦免除其相应的保证责任。</w:t>
      </w:r>
    </w:p>
    <w:p w14:paraId="5CE7A78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3. 你方与发包人协议变更主合同的，如加重发包人责任致使我方保证责任加重的，</w:t>
      </w:r>
      <w:r>
        <w:rPr>
          <w:rFonts w:hint="default" w:ascii="Times New Roman" w:hAnsi="Times New Roman" w:eastAsia="方正仿宋_GBK" w:cs="Times New Roman"/>
          <w:color w:val="000000" w:themeColor="text1"/>
          <w:sz w:val="24"/>
          <w:szCs w:val="24"/>
          <w:lang w:eastAsia="zh-CN"/>
          <w14:textFill>
            <w14:solidFill>
              <w14:schemeClr w14:val="tx1"/>
            </w14:solidFill>
          </w14:textFill>
        </w:rPr>
        <w:t>须</w:t>
      </w:r>
      <w:r>
        <w:rPr>
          <w:rFonts w:hint="default" w:ascii="Times New Roman" w:hAnsi="Times New Roman" w:eastAsia="方正仿宋_GBK" w:cs="Times New Roman"/>
          <w:color w:val="000000" w:themeColor="text1"/>
          <w:sz w:val="24"/>
          <w:szCs w:val="24"/>
          <w14:textFill>
            <w14:solidFill>
              <w14:schemeClr w14:val="tx1"/>
            </w14:solidFill>
          </w14:textFill>
        </w:rPr>
        <w:t>征得我方书面同意，否则我方不再承担因此而加重部分的保证责任，但主合同第10条〔变更〕约定的变更不受本款限制。</w:t>
      </w:r>
    </w:p>
    <w:p w14:paraId="15ED402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4. 因不可抗力造成发包人不能履行义务的，我方不承担保证责任。</w:t>
      </w:r>
    </w:p>
    <w:p w14:paraId="442B839F">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七、争议解决</w:t>
      </w:r>
    </w:p>
    <w:p w14:paraId="03EBC31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因本保函或本保函相关事项发生的纠纷，可由双方协商解决，协商不成的，按下列第</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种方式解决：</w:t>
      </w:r>
    </w:p>
    <w:p w14:paraId="434911FD">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（1）向</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仲裁委员会申请仲裁；</w:t>
      </w:r>
    </w:p>
    <w:p w14:paraId="00E11B18">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（2）向</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人民法院起诉。</w:t>
      </w:r>
    </w:p>
    <w:p w14:paraId="3429A90A">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八、保函的生效</w:t>
      </w:r>
    </w:p>
    <w:p w14:paraId="2C15D5C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本保函自我方法定代表人（或其授权代理人）签字并加盖公章之日起生效。</w:t>
      </w:r>
    </w:p>
    <w:p w14:paraId="53EA6E4C">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firstLineChars="20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p>
    <w:p w14:paraId="58C7BE06">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p>
    <w:p w14:paraId="1EAEA34E">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jc w:val="left"/>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担保人：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（盖章）</w:t>
      </w:r>
    </w:p>
    <w:p w14:paraId="1FFFEA99">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textAlignment w:val="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法定代表人或委托代理人：</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（签字）</w:t>
      </w:r>
    </w:p>
    <w:p w14:paraId="66139702">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地    址：</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7E6B1C1E">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邮政编码：</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2547B3C1">
      <w:pPr>
        <w:pageBreakBefore w:val="0"/>
        <w:widowControl w:val="0"/>
        <w:kinsoku/>
        <w:wordWrap/>
        <w:overflowPunct/>
        <w:topLinePunct w:val="0"/>
        <w:bidi w:val="0"/>
        <w:snapToGrid/>
        <w:spacing w:line="400" w:lineRule="exact"/>
        <w:ind w:left="0" w:leftChars="0"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传    真：</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p>
    <w:p w14:paraId="5267BD17">
      <w:pPr>
        <w:pageBreakBefore w:val="0"/>
        <w:widowControl w:val="0"/>
        <w:kinsoku/>
        <w:wordWrap/>
        <w:overflowPunct/>
        <w:topLinePunct w:val="0"/>
        <w:bidi w:val="0"/>
        <w:snapToGrid/>
        <w:spacing w:line="400" w:lineRule="exact"/>
        <w:ind w:right="0" w:rightChars="0"/>
        <w:jc w:val="left"/>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年</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月</w:t>
      </w:r>
      <w:r>
        <w:rPr>
          <w:rFonts w:hint="default" w:ascii="Times New Roman" w:hAnsi="Times New Roman" w:eastAsia="方正仿宋_GBK" w:cs="Times New Roman"/>
          <w:color w:val="000000" w:themeColor="text1"/>
          <w:sz w:val="24"/>
          <w:szCs w:val="24"/>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14:textFill>
            <w14:solidFill>
              <w14:schemeClr w14:val="tx1"/>
            </w14:solidFill>
          </w14:textFill>
        </w:rPr>
        <w:t>日</w:t>
      </w:r>
    </w:p>
    <w:p w14:paraId="47C41328">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br w:type="page"/>
      </w:r>
      <w:r>
        <w:rPr>
          <w:rFonts w:hint="default" w:ascii="Times New Roman" w:hAnsi="Times New Roman" w:eastAsia="方正仿宋_GBK" w:cs="Times New Roman"/>
          <w:color w:val="000000" w:themeColor="text1"/>
          <w:sz w:val="24"/>
          <w:szCs w:val="24"/>
          <w14:textFill>
            <w14:solidFill>
              <w14:schemeClr w14:val="tx1"/>
            </w14:solidFill>
          </w14:textFill>
        </w:rPr>
        <w:t>附件11：</w:t>
      </w:r>
    </w:p>
    <w:p w14:paraId="31B184D1">
      <w:pPr>
        <w:pageBreakBefore w:val="0"/>
        <w:widowControl w:val="0"/>
        <w:kinsoku/>
        <w:wordWrap/>
        <w:overflowPunct/>
        <w:topLinePunct w:val="0"/>
        <w:bidi w:val="0"/>
        <w:snapToGrid/>
        <w:spacing w:line="400" w:lineRule="exact"/>
        <w:ind w:left="0" w:leftChars="0" w:right="0" w:rightChars="0"/>
        <w:jc w:val="center"/>
        <w:outlineLvl w:val="0"/>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11-1：材料暂估价表</w:t>
      </w:r>
    </w:p>
    <w:p w14:paraId="14E7C1C0">
      <w:pPr>
        <w:pageBreakBefore w:val="0"/>
        <w:widowControl w:val="0"/>
        <w:kinsoku/>
        <w:wordWrap/>
        <w:overflowPunct/>
        <w:topLinePunct w:val="0"/>
        <w:bidi w:val="0"/>
        <w:snapToGrid/>
        <w:spacing w:line="400" w:lineRule="exact"/>
        <w:ind w:left="0" w:leftChars="0" w:right="0" w:rightChars="0"/>
        <w:jc w:val="center"/>
        <w:outlineLvl w:val="0"/>
        <w:rPr>
          <w:rFonts w:hint="default" w:ascii="Times New Roman" w:hAnsi="Times New Roman" w:eastAsia="方正仿宋_GBK" w:cs="Times New Roman"/>
          <w:color w:val="000000" w:themeColor="text1"/>
          <w:sz w:val="24"/>
          <w:szCs w:val="24"/>
          <w14:textFill>
            <w14:solidFill>
              <w14:schemeClr w14:val="tx1"/>
            </w14:solidFill>
          </w14:textFill>
        </w:rPr>
      </w:pP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0B335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6EF165A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序号</w:t>
            </w:r>
          </w:p>
        </w:tc>
        <w:tc>
          <w:tcPr>
            <w:tcW w:w="1984" w:type="dxa"/>
            <w:tcBorders>
              <w:top w:val="single" w:color="auto" w:sz="12" w:space="0"/>
              <w:bottom w:val="double" w:color="auto" w:sz="6" w:space="0"/>
            </w:tcBorders>
            <w:noWrap w:val="0"/>
            <w:vAlign w:val="top"/>
          </w:tcPr>
          <w:p w14:paraId="35CA8F8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名称</w:t>
            </w:r>
          </w:p>
        </w:tc>
        <w:tc>
          <w:tcPr>
            <w:tcW w:w="851" w:type="dxa"/>
            <w:tcBorders>
              <w:top w:val="single" w:color="auto" w:sz="12" w:space="0"/>
              <w:bottom w:val="double" w:color="auto" w:sz="6" w:space="0"/>
            </w:tcBorders>
            <w:noWrap w:val="0"/>
            <w:vAlign w:val="top"/>
          </w:tcPr>
          <w:p w14:paraId="4B70664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单位</w:t>
            </w:r>
          </w:p>
        </w:tc>
        <w:tc>
          <w:tcPr>
            <w:tcW w:w="774" w:type="dxa"/>
            <w:tcBorders>
              <w:top w:val="single" w:color="auto" w:sz="12" w:space="0"/>
              <w:bottom w:val="double" w:color="auto" w:sz="6" w:space="0"/>
            </w:tcBorders>
            <w:noWrap w:val="0"/>
            <w:vAlign w:val="top"/>
          </w:tcPr>
          <w:p w14:paraId="4414577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数量</w:t>
            </w:r>
          </w:p>
        </w:tc>
        <w:tc>
          <w:tcPr>
            <w:tcW w:w="1352" w:type="dxa"/>
            <w:tcBorders>
              <w:top w:val="single" w:color="auto" w:sz="12" w:space="0"/>
              <w:bottom w:val="double" w:color="auto" w:sz="6" w:space="0"/>
            </w:tcBorders>
            <w:noWrap w:val="0"/>
            <w:vAlign w:val="top"/>
          </w:tcPr>
          <w:p w14:paraId="0A58A42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单价（元）</w:t>
            </w:r>
          </w:p>
        </w:tc>
        <w:tc>
          <w:tcPr>
            <w:tcW w:w="1418" w:type="dxa"/>
            <w:tcBorders>
              <w:top w:val="single" w:color="auto" w:sz="12" w:space="0"/>
              <w:bottom w:val="double" w:color="auto" w:sz="6" w:space="0"/>
            </w:tcBorders>
            <w:noWrap w:val="0"/>
            <w:vAlign w:val="top"/>
          </w:tcPr>
          <w:p w14:paraId="38A84DA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合价（元）</w:t>
            </w:r>
          </w:p>
        </w:tc>
        <w:tc>
          <w:tcPr>
            <w:tcW w:w="1701" w:type="dxa"/>
            <w:tcBorders>
              <w:top w:val="single" w:color="auto" w:sz="12" w:space="0"/>
              <w:bottom w:val="double" w:color="auto" w:sz="6" w:space="0"/>
            </w:tcBorders>
            <w:noWrap w:val="0"/>
            <w:vAlign w:val="top"/>
          </w:tcPr>
          <w:p w14:paraId="0E2D588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备注</w:t>
            </w:r>
          </w:p>
        </w:tc>
      </w:tr>
      <w:tr w14:paraId="369B39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6EEEAFA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tcBorders>
              <w:top w:val="double" w:color="auto" w:sz="6" w:space="0"/>
              <w:bottom w:val="single" w:color="auto" w:sz="6" w:space="0"/>
            </w:tcBorders>
            <w:noWrap w:val="0"/>
            <w:vAlign w:val="top"/>
          </w:tcPr>
          <w:p w14:paraId="3EB66BC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tcBorders>
              <w:top w:val="double" w:color="auto" w:sz="6" w:space="0"/>
              <w:bottom w:val="single" w:color="auto" w:sz="6" w:space="0"/>
            </w:tcBorders>
            <w:noWrap w:val="0"/>
            <w:vAlign w:val="top"/>
          </w:tcPr>
          <w:p w14:paraId="01EF566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tcBorders>
              <w:top w:val="double" w:color="auto" w:sz="6" w:space="0"/>
              <w:bottom w:val="single" w:color="auto" w:sz="6" w:space="0"/>
            </w:tcBorders>
            <w:noWrap w:val="0"/>
            <w:vAlign w:val="top"/>
          </w:tcPr>
          <w:p w14:paraId="4354AB1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tcBorders>
              <w:top w:val="double" w:color="auto" w:sz="6" w:space="0"/>
              <w:bottom w:val="single" w:color="auto" w:sz="6" w:space="0"/>
            </w:tcBorders>
            <w:noWrap w:val="0"/>
            <w:vAlign w:val="top"/>
          </w:tcPr>
          <w:p w14:paraId="57891B3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tcBorders>
              <w:top w:val="double" w:color="auto" w:sz="6" w:space="0"/>
              <w:bottom w:val="single" w:color="auto" w:sz="6" w:space="0"/>
            </w:tcBorders>
            <w:noWrap w:val="0"/>
            <w:vAlign w:val="top"/>
          </w:tcPr>
          <w:p w14:paraId="6F9FE86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tcBorders>
              <w:top w:val="double" w:color="auto" w:sz="6" w:space="0"/>
              <w:bottom w:val="single" w:color="auto" w:sz="6" w:space="0"/>
            </w:tcBorders>
            <w:noWrap w:val="0"/>
            <w:vAlign w:val="top"/>
          </w:tcPr>
          <w:p w14:paraId="0AB2DF9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819F8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06D1327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tcBorders>
              <w:top w:val="nil"/>
            </w:tcBorders>
            <w:noWrap w:val="0"/>
            <w:vAlign w:val="top"/>
          </w:tcPr>
          <w:p w14:paraId="0896416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tcBorders>
              <w:top w:val="nil"/>
            </w:tcBorders>
            <w:noWrap w:val="0"/>
            <w:vAlign w:val="top"/>
          </w:tcPr>
          <w:p w14:paraId="640CAC3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tcBorders>
              <w:top w:val="nil"/>
            </w:tcBorders>
            <w:noWrap w:val="0"/>
            <w:vAlign w:val="top"/>
          </w:tcPr>
          <w:p w14:paraId="4A59BDC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tcBorders>
              <w:top w:val="nil"/>
            </w:tcBorders>
            <w:noWrap w:val="0"/>
            <w:vAlign w:val="top"/>
          </w:tcPr>
          <w:p w14:paraId="6A30BB2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tcBorders>
              <w:top w:val="nil"/>
            </w:tcBorders>
            <w:noWrap w:val="0"/>
            <w:vAlign w:val="top"/>
          </w:tcPr>
          <w:p w14:paraId="6BA4BC1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tcBorders>
              <w:top w:val="nil"/>
            </w:tcBorders>
            <w:noWrap w:val="0"/>
            <w:vAlign w:val="top"/>
          </w:tcPr>
          <w:p w14:paraId="623E5E0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1B7DBC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625705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79FA490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1496E1E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58D7433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41CA469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0D979CC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46F64D3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AC1FC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FB3362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7C61EE4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57457F1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388D3F1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0D698FC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03F7BF6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4CF3328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36E32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2AC239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057E943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01BAC34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3176F2F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045276F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36DA772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2186593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CB7AA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D94AD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6306E3C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1DDBB59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013D908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7CC62B8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5129D6F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5519353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ED265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D7BE6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767E850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5AA4FD7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7C815EC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3678553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693E7E6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74B7FF9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7115D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69E06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3D37312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00974BC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5E8E56F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1CDE436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1FDFC59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436F6CA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08B86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410149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6526846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0C4C07A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40F8D59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59E4A57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25E2012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446F1AD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607C6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1EB17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7B93FB9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5B160D0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626E1F9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6ABCBD6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3C7000C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021DE18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BD555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AC7CC1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49D07D3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4EEDEF3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26068BD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67D7C8E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0FCC213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5E3118D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0E6F1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AC4AFF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56DC65E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7D1E240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1E6DEA7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69BEF13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7B5C870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7F35D09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FF8C6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91C6DC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0F8CFAB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4F31D24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6380E6D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05A4E74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0DDA9F8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4F817E5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6CFEDE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7F427A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15D10EA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1E265F6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2A0ACA1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7C8CEF1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5DF2CC7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1815E32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8F867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20CE2C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384CF7C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513B9CC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59A047B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74AA97A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62A4AC2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5B42C79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64010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9290E8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4AFE938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65662CA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13184B2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51DABD6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7E21713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3E860FE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8CCE7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B68BC4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5114954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36EEC04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0AA8335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6ADA1EE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0A8E15F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3936057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9B5AC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57B4FF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15A1B1F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35E02EB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2C39789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0035D21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395BFDE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553756A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BED26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733644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3250692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747BFAA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0FEF937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316D5E9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7A242A9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02D85E6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68DF5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6D8A0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1A29EE5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01EF69F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68D83A8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4CC6012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5C7700B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08018D0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8F616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5BF4C6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61A2D9C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7220097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03969FB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127DC51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6399D8E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628E8EE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99C3F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92F2E3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17F431E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56C1BDA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7B26E26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5F879D3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1FFA0E6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7FC8986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7BB30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4096D3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208DA56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62BD408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4A380AA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04513B3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26400A4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5D21E8B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D034B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09E05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461FC4F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2DBB991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68D0C07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1843DA0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1B66E9D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12ED6CC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bl>
    <w:p w14:paraId="69B74D96">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3CB0A889">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p w14:paraId="23CAC4B9">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p w14:paraId="3B4A3804">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p w14:paraId="312173A9">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p w14:paraId="43BBD3AF">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p w14:paraId="152BB0D7">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11-2：工程设备暂估价表</w:t>
      </w:r>
    </w:p>
    <w:p w14:paraId="7A76AF03">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bl>
      <w:tblPr>
        <w:tblStyle w:val="30"/>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C415F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37BC2C8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序号</w:t>
            </w:r>
          </w:p>
        </w:tc>
        <w:tc>
          <w:tcPr>
            <w:tcW w:w="1984" w:type="dxa"/>
            <w:tcBorders>
              <w:top w:val="single" w:color="auto" w:sz="12" w:space="0"/>
              <w:bottom w:val="double" w:color="auto" w:sz="6" w:space="0"/>
            </w:tcBorders>
            <w:noWrap w:val="0"/>
            <w:vAlign w:val="top"/>
          </w:tcPr>
          <w:p w14:paraId="7F7820D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名称</w:t>
            </w:r>
          </w:p>
        </w:tc>
        <w:tc>
          <w:tcPr>
            <w:tcW w:w="851" w:type="dxa"/>
            <w:tcBorders>
              <w:top w:val="single" w:color="auto" w:sz="12" w:space="0"/>
              <w:bottom w:val="double" w:color="auto" w:sz="6" w:space="0"/>
            </w:tcBorders>
            <w:noWrap w:val="0"/>
            <w:vAlign w:val="top"/>
          </w:tcPr>
          <w:p w14:paraId="77CFF6E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单位</w:t>
            </w:r>
          </w:p>
        </w:tc>
        <w:tc>
          <w:tcPr>
            <w:tcW w:w="774" w:type="dxa"/>
            <w:tcBorders>
              <w:top w:val="single" w:color="auto" w:sz="12" w:space="0"/>
              <w:bottom w:val="double" w:color="auto" w:sz="6" w:space="0"/>
            </w:tcBorders>
            <w:noWrap w:val="0"/>
            <w:vAlign w:val="top"/>
          </w:tcPr>
          <w:p w14:paraId="1B48F22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数量</w:t>
            </w:r>
          </w:p>
        </w:tc>
        <w:tc>
          <w:tcPr>
            <w:tcW w:w="1352" w:type="dxa"/>
            <w:tcBorders>
              <w:top w:val="single" w:color="auto" w:sz="12" w:space="0"/>
              <w:bottom w:val="double" w:color="auto" w:sz="6" w:space="0"/>
            </w:tcBorders>
            <w:noWrap w:val="0"/>
            <w:vAlign w:val="top"/>
          </w:tcPr>
          <w:p w14:paraId="35A1814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单价（元）</w:t>
            </w:r>
          </w:p>
        </w:tc>
        <w:tc>
          <w:tcPr>
            <w:tcW w:w="1418" w:type="dxa"/>
            <w:tcBorders>
              <w:top w:val="single" w:color="auto" w:sz="12" w:space="0"/>
              <w:bottom w:val="double" w:color="auto" w:sz="6" w:space="0"/>
            </w:tcBorders>
            <w:noWrap w:val="0"/>
            <w:vAlign w:val="top"/>
          </w:tcPr>
          <w:p w14:paraId="0296069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合价（元）</w:t>
            </w:r>
          </w:p>
        </w:tc>
        <w:tc>
          <w:tcPr>
            <w:tcW w:w="1701" w:type="dxa"/>
            <w:tcBorders>
              <w:top w:val="single" w:color="auto" w:sz="12" w:space="0"/>
              <w:bottom w:val="double" w:color="auto" w:sz="6" w:space="0"/>
            </w:tcBorders>
            <w:noWrap w:val="0"/>
            <w:vAlign w:val="top"/>
          </w:tcPr>
          <w:p w14:paraId="34175B1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备注</w:t>
            </w:r>
          </w:p>
        </w:tc>
      </w:tr>
      <w:tr w14:paraId="5A053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3AC8202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tcBorders>
              <w:top w:val="double" w:color="auto" w:sz="6" w:space="0"/>
              <w:bottom w:val="single" w:color="auto" w:sz="6" w:space="0"/>
            </w:tcBorders>
            <w:noWrap w:val="0"/>
            <w:vAlign w:val="top"/>
          </w:tcPr>
          <w:p w14:paraId="5D798D1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tcBorders>
              <w:top w:val="double" w:color="auto" w:sz="6" w:space="0"/>
              <w:bottom w:val="single" w:color="auto" w:sz="6" w:space="0"/>
            </w:tcBorders>
            <w:noWrap w:val="0"/>
            <w:vAlign w:val="top"/>
          </w:tcPr>
          <w:p w14:paraId="6863F51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tcBorders>
              <w:top w:val="double" w:color="auto" w:sz="6" w:space="0"/>
              <w:bottom w:val="single" w:color="auto" w:sz="6" w:space="0"/>
            </w:tcBorders>
            <w:noWrap w:val="0"/>
            <w:vAlign w:val="top"/>
          </w:tcPr>
          <w:p w14:paraId="0F9A58B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tcBorders>
              <w:top w:val="double" w:color="auto" w:sz="6" w:space="0"/>
              <w:bottom w:val="single" w:color="auto" w:sz="6" w:space="0"/>
            </w:tcBorders>
            <w:noWrap w:val="0"/>
            <w:vAlign w:val="top"/>
          </w:tcPr>
          <w:p w14:paraId="7C7902F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tcBorders>
              <w:top w:val="double" w:color="auto" w:sz="6" w:space="0"/>
              <w:bottom w:val="single" w:color="auto" w:sz="6" w:space="0"/>
            </w:tcBorders>
            <w:noWrap w:val="0"/>
            <w:vAlign w:val="top"/>
          </w:tcPr>
          <w:p w14:paraId="02B3DF7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tcBorders>
              <w:top w:val="double" w:color="auto" w:sz="6" w:space="0"/>
              <w:bottom w:val="single" w:color="auto" w:sz="6" w:space="0"/>
            </w:tcBorders>
            <w:noWrap w:val="0"/>
            <w:vAlign w:val="top"/>
          </w:tcPr>
          <w:p w14:paraId="467D80D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74723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2325F9C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tcBorders>
              <w:top w:val="nil"/>
            </w:tcBorders>
            <w:noWrap w:val="0"/>
            <w:vAlign w:val="top"/>
          </w:tcPr>
          <w:p w14:paraId="6E7A6CA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tcBorders>
              <w:top w:val="nil"/>
            </w:tcBorders>
            <w:noWrap w:val="0"/>
            <w:vAlign w:val="top"/>
          </w:tcPr>
          <w:p w14:paraId="7558632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tcBorders>
              <w:top w:val="nil"/>
            </w:tcBorders>
            <w:noWrap w:val="0"/>
            <w:vAlign w:val="top"/>
          </w:tcPr>
          <w:p w14:paraId="380D309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tcBorders>
              <w:top w:val="nil"/>
            </w:tcBorders>
            <w:noWrap w:val="0"/>
            <w:vAlign w:val="top"/>
          </w:tcPr>
          <w:p w14:paraId="13C3BC8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tcBorders>
              <w:top w:val="nil"/>
            </w:tcBorders>
            <w:noWrap w:val="0"/>
            <w:vAlign w:val="top"/>
          </w:tcPr>
          <w:p w14:paraId="16138C2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tcBorders>
              <w:top w:val="nil"/>
            </w:tcBorders>
            <w:noWrap w:val="0"/>
            <w:vAlign w:val="top"/>
          </w:tcPr>
          <w:p w14:paraId="479DBAF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77E68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B7A640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4CDCDFE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1ADC748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3B10866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57323FF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131D680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4763A57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3D0DB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DE0990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522DF0D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2FFDB85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7CFFA8E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73CE433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6A418B3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49010E1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D9465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165F2F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4AA9DF4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699CDDF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1230EEE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260BD69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49A153E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549C99B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8A803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F0C5AC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2430846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3CEB5EC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3D3D045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35AD6D2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39F8020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3D8D5C1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AED72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741D23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141C9D6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4D3AA5A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67F441F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190D221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7DFBB62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38235CF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F7EB7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9E42D5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1F973D4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349687B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485ED3D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421236E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1B5D868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77685BC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09624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B1F5E9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23456A6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7160FFE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01CDD04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46E1E5C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5747FC0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346AEFD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609AE5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A5CCAE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5FF3BEC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5EC07F6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2C6A26E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6C9D06E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0AF0C11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384BA9B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CD5E4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7A8917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1B93967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44E9505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39AFCF6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4A9D99B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52D8655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1A71A81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7A04E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39A4B7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2DAB394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2F6B37A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433DCB9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14831E9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5386202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09D18C1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D225A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1D5BD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0E0DB26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14280F1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3EB8FCB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5A585E5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0DC5EB8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74F946F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69C928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EC750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7EE3FC5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509B654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7CD8F25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088B429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36AA554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78B87F3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AF9BC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961E9E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1A3AE63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69C0A63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5152620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6F3E44B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3BA3913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0FEA3F4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FACA5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F2A0D5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3E8B3E8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6AC33FE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109492F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10AF741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028BED1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2733084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68A623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0548F5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41DA1F1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5AADE71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4C970A0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74CE27A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2B7CA30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2B02CBE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A0C30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B34387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2681AC5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20F808B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3F990DE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3A3E121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069ECAB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2A82721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3F4A6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3823B0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55904C8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6258068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7C2FB3E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147D39F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7A8216A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7EEC183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EBD7C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31FC9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07C36C0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2974BF4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145AA86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4DC442C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795187A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35397DF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0476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1025E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276B056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70DE6B1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701C8D8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2D1F299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5F35C96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3FBCA6F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185A6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48C365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0923CD9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16C20DC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2CABA26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4E1F352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6060ED3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290BBAE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19CA4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8A04FC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363A5F5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468659F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47693F5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64571D4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29B9F8F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78DA7A0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69FCEE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D67361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475080B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0AF4B48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34CEE97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3B526DA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1B87945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020DDEE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B715D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26512F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0A966D1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851" w:type="dxa"/>
            <w:noWrap w:val="0"/>
            <w:vAlign w:val="top"/>
          </w:tcPr>
          <w:p w14:paraId="60C02A0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774" w:type="dxa"/>
            <w:noWrap w:val="0"/>
            <w:vAlign w:val="top"/>
          </w:tcPr>
          <w:p w14:paraId="0E7AD16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352" w:type="dxa"/>
            <w:noWrap w:val="0"/>
            <w:vAlign w:val="top"/>
          </w:tcPr>
          <w:p w14:paraId="780A6DD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418" w:type="dxa"/>
            <w:noWrap w:val="0"/>
            <w:vAlign w:val="top"/>
          </w:tcPr>
          <w:p w14:paraId="79678EE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701" w:type="dxa"/>
            <w:noWrap w:val="0"/>
            <w:vAlign w:val="top"/>
          </w:tcPr>
          <w:p w14:paraId="2BE6C55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bl>
    <w:p w14:paraId="271B4E58">
      <w:pPr>
        <w:pageBreakBefore w:val="0"/>
        <w:widowControl w:val="0"/>
        <w:kinsoku/>
        <w:wordWrap/>
        <w:overflowPunct/>
        <w:topLinePunct w:val="0"/>
        <w:bidi w:val="0"/>
        <w:snapToGrid/>
        <w:spacing w:line="400" w:lineRule="exact"/>
        <w:ind w:left="0" w:leftChars="0" w:right="0" w:rightChars="0"/>
        <w:rPr>
          <w:rFonts w:hint="default" w:ascii="Times New Roman" w:hAnsi="Times New Roman" w:eastAsia="方正仿宋_GBK" w:cs="Times New Roman"/>
          <w:color w:val="000000" w:themeColor="text1"/>
          <w:sz w:val="24"/>
          <w:szCs w:val="24"/>
          <w14:textFill>
            <w14:solidFill>
              <w14:schemeClr w14:val="tx1"/>
            </w14:solidFill>
          </w14:textFill>
        </w:rPr>
      </w:pPr>
    </w:p>
    <w:p w14:paraId="0BC2D8F6">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br w:type="page"/>
      </w:r>
      <w:r>
        <w:rPr>
          <w:rFonts w:hint="default" w:ascii="Times New Roman" w:hAnsi="Times New Roman" w:eastAsia="方正仿宋_GBK" w:cs="Times New Roman"/>
          <w:color w:val="000000" w:themeColor="text1"/>
          <w:sz w:val="24"/>
          <w:szCs w:val="24"/>
          <w14:textFill>
            <w14:solidFill>
              <w14:schemeClr w14:val="tx1"/>
            </w14:solidFill>
          </w14:textFill>
        </w:rPr>
        <w:t>11-3：专业工程暂估价表</w:t>
      </w:r>
    </w:p>
    <w:p w14:paraId="7A8BC009">
      <w:pPr>
        <w:pageBreakBefore w:val="0"/>
        <w:widowControl w:val="0"/>
        <w:kinsoku/>
        <w:wordWrap/>
        <w:overflowPunct/>
        <w:topLinePunct w:val="0"/>
        <w:bidi w:val="0"/>
        <w:snapToGrid/>
        <w:spacing w:line="400" w:lineRule="exact"/>
        <w:ind w:left="0" w:leftChars="0" w:right="0" w:rightChars="0"/>
        <w:jc w:val="center"/>
        <w:rPr>
          <w:rFonts w:hint="default" w:ascii="Times New Roman" w:hAnsi="Times New Roman" w:eastAsia="方正仿宋_GBK" w:cs="Times New Roman"/>
          <w:color w:val="000000" w:themeColor="text1"/>
          <w:sz w:val="24"/>
          <w:szCs w:val="24"/>
          <w14:textFill>
            <w14:solidFill>
              <w14:schemeClr w14:val="tx1"/>
            </w14:solidFill>
          </w14:textFill>
        </w:rPr>
      </w:pPr>
    </w:p>
    <w:tbl>
      <w:tblPr>
        <w:tblStyle w:val="3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2E6D70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660CED8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序号</w:t>
            </w:r>
          </w:p>
        </w:tc>
        <w:tc>
          <w:tcPr>
            <w:tcW w:w="1984" w:type="dxa"/>
            <w:tcBorders>
              <w:top w:val="single" w:color="auto" w:sz="12" w:space="0"/>
              <w:bottom w:val="double" w:color="auto" w:sz="6" w:space="0"/>
            </w:tcBorders>
            <w:noWrap w:val="0"/>
            <w:vAlign w:val="top"/>
          </w:tcPr>
          <w:p w14:paraId="6C69C45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专业工程名称</w:t>
            </w:r>
          </w:p>
        </w:tc>
        <w:tc>
          <w:tcPr>
            <w:tcW w:w="4678" w:type="dxa"/>
            <w:tcBorders>
              <w:top w:val="single" w:color="auto" w:sz="12" w:space="0"/>
              <w:bottom w:val="double" w:color="auto" w:sz="6" w:space="0"/>
            </w:tcBorders>
            <w:noWrap w:val="0"/>
            <w:vAlign w:val="top"/>
          </w:tcPr>
          <w:p w14:paraId="31CB204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工程内容</w:t>
            </w:r>
          </w:p>
        </w:tc>
        <w:tc>
          <w:tcPr>
            <w:tcW w:w="1276" w:type="dxa"/>
            <w:tcBorders>
              <w:top w:val="single" w:color="auto" w:sz="12" w:space="0"/>
              <w:bottom w:val="double" w:color="auto" w:sz="6" w:space="0"/>
            </w:tcBorders>
            <w:noWrap w:val="0"/>
            <w:vAlign w:val="top"/>
          </w:tcPr>
          <w:p w14:paraId="2B5F104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金额</w:t>
            </w:r>
          </w:p>
        </w:tc>
      </w:tr>
      <w:tr w14:paraId="2192CD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76AB88F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tcBorders>
              <w:top w:val="double" w:color="auto" w:sz="6" w:space="0"/>
              <w:bottom w:val="single" w:color="auto" w:sz="6" w:space="0"/>
            </w:tcBorders>
            <w:noWrap w:val="0"/>
            <w:vAlign w:val="top"/>
          </w:tcPr>
          <w:p w14:paraId="254C10A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tcBorders>
              <w:top w:val="double" w:color="auto" w:sz="6" w:space="0"/>
              <w:bottom w:val="single" w:color="auto" w:sz="6" w:space="0"/>
            </w:tcBorders>
            <w:noWrap w:val="0"/>
            <w:vAlign w:val="top"/>
          </w:tcPr>
          <w:p w14:paraId="0847BEC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tcBorders>
              <w:top w:val="double" w:color="auto" w:sz="6" w:space="0"/>
              <w:bottom w:val="single" w:color="auto" w:sz="6" w:space="0"/>
            </w:tcBorders>
            <w:noWrap w:val="0"/>
            <w:vAlign w:val="top"/>
          </w:tcPr>
          <w:p w14:paraId="0598BF4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458D6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088F7AC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tcBorders>
              <w:top w:val="nil"/>
            </w:tcBorders>
            <w:noWrap w:val="0"/>
            <w:vAlign w:val="top"/>
          </w:tcPr>
          <w:p w14:paraId="474F9EA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tcBorders>
              <w:top w:val="nil"/>
            </w:tcBorders>
            <w:noWrap w:val="0"/>
            <w:vAlign w:val="top"/>
          </w:tcPr>
          <w:p w14:paraId="0797FAF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tcBorders>
              <w:top w:val="nil"/>
            </w:tcBorders>
            <w:noWrap w:val="0"/>
            <w:vAlign w:val="top"/>
          </w:tcPr>
          <w:p w14:paraId="12C174B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50F43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0428C53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tcBorders>
              <w:top w:val="nil"/>
            </w:tcBorders>
            <w:noWrap w:val="0"/>
            <w:vAlign w:val="top"/>
          </w:tcPr>
          <w:p w14:paraId="5F0BDD5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tcBorders>
              <w:top w:val="nil"/>
            </w:tcBorders>
            <w:noWrap w:val="0"/>
            <w:vAlign w:val="top"/>
          </w:tcPr>
          <w:p w14:paraId="578C32D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tcBorders>
              <w:top w:val="nil"/>
            </w:tcBorders>
            <w:noWrap w:val="0"/>
            <w:vAlign w:val="top"/>
          </w:tcPr>
          <w:p w14:paraId="01E7348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FBA38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3052DE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3B59F6C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0FEDE3B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1A76D09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12A78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B2ECC3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7C86234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5079AD3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3995F69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4641D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0865AD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5EFFDBA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77E8CB3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45B2116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E6340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FF7CCC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1A32107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2DA6097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5189730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15470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8B69BE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30ED9EE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0144151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37AD70C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FECBD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BA831A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41932AF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6689F31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1F60C18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56F4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1C8E2E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58E04AF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6483459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4E5AC03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AF295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ED7971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371492D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2607A2F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2C07AFB1">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2F6906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82EB1C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231AEA0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6F4D4A0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6185B6B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3CD71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F91115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1635C42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376417D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31B087E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717F30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9BD8AC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45EFFFE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76534A7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4B3CBD1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2C373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38D9B7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1E596BC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61A0627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7E4D105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617621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CCC47A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13F215A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61D49A33">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6357D85A">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6BAFA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30BFB55">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204565F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05AFC61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4AD26DB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56BE5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F2A86A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0C0AE0E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741EC9D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33742F3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89699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3991796">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1DC720D7">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0D081DDF">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0FC6649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38E2F8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178A0B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638A023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7227A4ED">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7ABF172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E0AC2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579F10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2C23F878">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2369277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4274A66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0F2272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BD4D34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3B64994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55D14EB0">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18F66AA2">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47E8BE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63782A9">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984" w:type="dxa"/>
            <w:noWrap w:val="0"/>
            <w:vAlign w:val="top"/>
          </w:tcPr>
          <w:p w14:paraId="21780E0B">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4678" w:type="dxa"/>
            <w:noWrap w:val="0"/>
            <w:vAlign w:val="top"/>
          </w:tcPr>
          <w:p w14:paraId="09667C3C">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c>
          <w:tcPr>
            <w:tcW w:w="1276" w:type="dxa"/>
            <w:noWrap w:val="0"/>
            <w:vAlign w:val="top"/>
          </w:tcPr>
          <w:p w14:paraId="4AD0F364">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p>
        </w:tc>
      </w:tr>
      <w:tr w14:paraId="5580A8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106DBE5E">
            <w:pPr>
              <w:pStyle w:val="13"/>
              <w:keepNext/>
              <w:pageBreakBefore w:val="0"/>
              <w:widowControl w:val="0"/>
              <w:kinsoku/>
              <w:wordWrap/>
              <w:overflowPunct/>
              <w:topLinePunct w:val="0"/>
              <w:bidi w:val="0"/>
              <w:snapToGrid/>
              <w:spacing w:after="0" w:afterLines="0" w:line="400" w:lineRule="exact"/>
              <w:ind w:left="0" w:leftChars="0" w:right="0" w:rightChars="0"/>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kern w:val="2"/>
                <w:sz w:val="24"/>
                <w:szCs w:val="24"/>
                <w:lang w:val="en-US" w:eastAsia="zh-CN"/>
                <w14:textFill>
                  <w14:solidFill>
                    <w14:schemeClr w14:val="tx1"/>
                  </w14:solidFill>
                </w14:textFill>
              </w:rPr>
              <w:t>小计：</w:t>
            </w:r>
          </w:p>
        </w:tc>
      </w:tr>
    </w:tbl>
    <w:p w14:paraId="2E196979">
      <w:pPr>
        <w:spacing w:line="360" w:lineRule="auto"/>
        <w:jc w:val="center"/>
        <w:rPr>
          <w:rFonts w:hint="default" w:ascii="Times New Roman" w:hAnsi="Times New Roman" w:cs="Times New Roman"/>
          <w:b/>
          <w:bCs/>
          <w:color w:val="000000" w:themeColor="text1"/>
          <w:sz w:val="36"/>
          <w:szCs w:val="36"/>
          <w14:textFill>
            <w14:solidFill>
              <w14:schemeClr w14:val="tx1"/>
            </w14:solidFill>
          </w14:textFill>
        </w:rPr>
        <w:sectPr>
          <w:pgSz w:w="11906" w:h="16838"/>
          <w:pgMar w:top="1440" w:right="1080" w:bottom="1440" w:left="1080" w:header="851" w:footer="992" w:gutter="0"/>
          <w:pgNumType w:fmt="decimal"/>
          <w:cols w:space="720" w:num="1"/>
          <w:docGrid w:type="lines" w:linePitch="312" w:charSpace="0"/>
        </w:sectPr>
      </w:pPr>
    </w:p>
    <w:p w14:paraId="16E76103">
      <w:pPr>
        <w:spacing w:before="20" w:after="120" w:line="360" w:lineRule="auto"/>
        <w:jc w:val="center"/>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bookmarkStart w:id="1393" w:name="_Toc990"/>
      <w:r>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t>第五章</w:t>
      </w:r>
    </w:p>
    <w:p w14:paraId="04A7B98C">
      <w:pPr>
        <w:spacing w:line="360" w:lineRule="auto"/>
        <w:jc w:val="center"/>
        <w:outlineLvl w:val="3"/>
        <w:rPr>
          <w:rFonts w:hint="default" w:ascii="Times New Roman" w:hAnsi="Times New Roman" w:eastAsia="宋体" w:cs="Times New Roman"/>
          <w:b/>
          <w:color w:val="000000" w:themeColor="text1"/>
          <w:sz w:val="30"/>
          <w:szCs w:val="30"/>
          <w:lang w:val="en-US" w:eastAsia="zh-CN"/>
          <w14:textFill>
            <w14:solidFill>
              <w14:schemeClr w14:val="tx1"/>
            </w14:solidFill>
          </w14:textFill>
        </w:rPr>
      </w:pPr>
      <w:r>
        <w:rPr>
          <w:rFonts w:hint="default" w:ascii="Times New Roman" w:hAnsi="Times New Roman" w:eastAsia="宋体" w:cs="Times New Roman"/>
          <w:b/>
          <w:color w:val="000000" w:themeColor="text1"/>
          <w:sz w:val="30"/>
          <w:szCs w:val="30"/>
          <w:lang w:val="en-US" w:eastAsia="zh-CN"/>
          <w14:textFill>
            <w14:solidFill>
              <w14:schemeClr w14:val="tx1"/>
            </w14:solidFill>
          </w14:textFill>
        </w:rPr>
        <w:t>工程</w:t>
      </w:r>
      <w:r>
        <w:rPr>
          <w:rFonts w:hint="eastAsia" w:cs="Times New Roman"/>
          <w:b/>
          <w:color w:val="000000" w:themeColor="text1"/>
          <w:sz w:val="30"/>
          <w:szCs w:val="30"/>
          <w:lang w:val="en-US" w:eastAsia="zh-CN"/>
          <w14:textFill>
            <w14:solidFill>
              <w14:schemeClr w14:val="tx1"/>
            </w14:solidFill>
          </w14:textFill>
        </w:rPr>
        <w:t>量</w:t>
      </w:r>
      <w:r>
        <w:rPr>
          <w:rFonts w:hint="default" w:ascii="Times New Roman" w:hAnsi="Times New Roman" w:eastAsia="宋体" w:cs="Times New Roman"/>
          <w:b/>
          <w:color w:val="000000" w:themeColor="text1"/>
          <w:sz w:val="30"/>
          <w:szCs w:val="30"/>
          <w:lang w:val="en-US" w:eastAsia="zh-CN"/>
          <w14:textFill>
            <w14:solidFill>
              <w14:schemeClr w14:val="tx1"/>
            </w14:solidFill>
          </w14:textFill>
        </w:rPr>
        <w:t>清单</w:t>
      </w:r>
      <w:r>
        <w:rPr>
          <w:rFonts w:hint="default" w:ascii="Times New Roman" w:hAnsi="Times New Roman" w:cs="Times New Roman"/>
          <w:b/>
          <w:color w:val="000000" w:themeColor="text1"/>
          <w:sz w:val="30"/>
          <w:szCs w:val="30"/>
          <w:lang w:val="en-US" w:eastAsia="zh-CN"/>
          <w14:textFill>
            <w14:solidFill>
              <w14:schemeClr w14:val="tx1"/>
            </w14:solidFill>
          </w14:textFill>
        </w:rPr>
        <w:t>另册</w:t>
      </w:r>
    </w:p>
    <w:p w14:paraId="3E39B3D8">
      <w:pPr>
        <w:pStyle w:val="2"/>
        <w:spacing w:before="0" w:after="0" w:line="360" w:lineRule="auto"/>
        <w:jc w:val="both"/>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543F37DA">
      <w:pPr>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2FF72256">
      <w:pPr>
        <w:pStyle w:val="9"/>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5539E460">
      <w:pPr>
        <w:pStyle w:val="9"/>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4F28C2AF">
      <w:pPr>
        <w:pStyle w:val="9"/>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4C30363B">
      <w:pPr>
        <w:pStyle w:val="9"/>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157F6F9D">
      <w:pPr>
        <w:pStyle w:val="9"/>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47FF095B">
      <w:pPr>
        <w:pStyle w:val="9"/>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34309185">
      <w:pPr>
        <w:pStyle w:val="9"/>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40CA406D">
      <w:pPr>
        <w:pStyle w:val="9"/>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0757F52D">
      <w:pPr>
        <w:pStyle w:val="9"/>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5452983A">
      <w:pPr>
        <w:pStyle w:val="9"/>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20B22500">
      <w:pPr>
        <w:pStyle w:val="9"/>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16566520">
      <w:pPr>
        <w:pStyle w:val="2"/>
        <w:spacing w:before="0" w:after="0" w:line="360" w:lineRule="auto"/>
        <w:jc w:val="center"/>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36191683">
      <w:pPr>
        <w:pStyle w:val="2"/>
        <w:spacing w:before="0" w:after="0" w:line="360" w:lineRule="auto"/>
        <w:jc w:val="center"/>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3EDB203D">
      <w:pPr>
        <w:pStyle w:val="2"/>
        <w:spacing w:before="0" w:after="0" w:line="360" w:lineRule="auto"/>
        <w:jc w:val="center"/>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48FA852D">
      <w:pPr>
        <w:pStyle w:val="2"/>
        <w:spacing w:before="0" w:after="0" w:line="360" w:lineRule="auto"/>
        <w:jc w:val="center"/>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6F8C7360">
      <w:pPr>
        <w:pStyle w:val="2"/>
        <w:spacing w:before="0" w:after="0" w:line="360" w:lineRule="auto"/>
        <w:jc w:val="center"/>
        <w:rPr>
          <w:rFonts w:hint="default" w:ascii="Times New Roman" w:hAnsi="Times New Roman" w:eastAsia="方正小标宋_GBK" w:cs="Times New Roman"/>
          <w:b w:val="0"/>
          <w:bCs w:val="0"/>
          <w:color w:val="000000" w:themeColor="text1"/>
          <w:kern w:val="2"/>
          <w:sz w:val="44"/>
          <w:szCs w:val="44"/>
          <w:lang w:val="en-US" w:eastAsia="zh-CN" w:bidi="ar-SA"/>
          <w14:textFill>
            <w14:solidFill>
              <w14:schemeClr w14:val="tx1"/>
            </w14:solidFill>
          </w14:textFill>
        </w:rPr>
      </w:pPr>
    </w:p>
    <w:p w14:paraId="0580C5F1">
      <w:pPr>
        <w:bidi w:val="0"/>
        <w:rPr>
          <w:rFonts w:hint="default"/>
          <w:color w:val="000000" w:themeColor="text1"/>
          <w:lang w:val="en-US" w:eastAsia="zh-CN"/>
          <w14:textFill>
            <w14:solidFill>
              <w14:schemeClr w14:val="tx1"/>
            </w14:solidFill>
          </w14:textFill>
        </w:rPr>
      </w:pPr>
    </w:p>
    <w:p w14:paraId="3D4B187C">
      <w:pPr>
        <w:bidi w:val="0"/>
        <w:rPr>
          <w:rFonts w:hint="default"/>
          <w:color w:val="000000" w:themeColor="text1"/>
          <w:lang w:val="en-US" w:eastAsia="zh-CN"/>
          <w14:textFill>
            <w14:solidFill>
              <w14:schemeClr w14:val="tx1"/>
            </w14:solidFill>
          </w14:textFill>
        </w:rPr>
      </w:pPr>
    </w:p>
    <w:p w14:paraId="7C703AA9">
      <w:pPr>
        <w:bidi w:val="0"/>
        <w:rPr>
          <w:rFonts w:hint="default"/>
          <w:color w:val="000000" w:themeColor="text1"/>
          <w:lang w:val="en-US" w:eastAsia="zh-CN"/>
          <w14:textFill>
            <w14:solidFill>
              <w14:schemeClr w14:val="tx1"/>
            </w14:solidFill>
          </w14:textFill>
        </w:rPr>
      </w:pPr>
    </w:p>
    <w:p w14:paraId="6F8AA5DB">
      <w:pPr>
        <w:jc w:val="center"/>
        <w:rPr>
          <w:rFonts w:hint="default" w:ascii="Times New Roman" w:hAnsi="Times New Roman" w:eastAsia="方正小标宋_GBK" w:cs="Times New Roman"/>
          <w:color w:val="000000" w:themeColor="text1"/>
          <w:sz w:val="36"/>
          <w:szCs w:val="36"/>
          <w:lang w:val="en-US" w:eastAsia="zh-CN"/>
          <w14:textFill>
            <w14:solidFill>
              <w14:schemeClr w14:val="tx1"/>
            </w14:solidFill>
          </w14:textFill>
        </w:rPr>
      </w:pPr>
    </w:p>
    <w:p w14:paraId="6E60EC57">
      <w:pPr>
        <w:jc w:val="center"/>
        <w:rPr>
          <w:rFonts w:hint="default" w:ascii="Times New Roman" w:hAnsi="Times New Roman" w:eastAsia="方正小标宋_GBK" w:cs="Times New Roman"/>
          <w:color w:val="000000" w:themeColor="text1"/>
          <w:sz w:val="36"/>
          <w:szCs w:val="36"/>
          <w:lang w:val="en-US" w:eastAsia="zh-CN"/>
          <w14:textFill>
            <w14:solidFill>
              <w14:schemeClr w14:val="tx1"/>
            </w14:solidFill>
          </w14:textFill>
        </w:rPr>
      </w:pPr>
      <w:r>
        <w:rPr>
          <w:rFonts w:hint="default" w:ascii="Times New Roman" w:hAnsi="Times New Roman" w:eastAsia="方正小标宋_GBK" w:cs="Times New Roman"/>
          <w:color w:val="000000" w:themeColor="text1"/>
          <w:sz w:val="44"/>
          <w:szCs w:val="44"/>
          <w:lang w:val="en-US" w:eastAsia="zh-CN"/>
          <w14:textFill>
            <w14:solidFill>
              <w14:schemeClr w14:val="tx1"/>
            </w14:solidFill>
          </w14:textFill>
        </w:rPr>
        <w:t>第六章 响应文件格式</w:t>
      </w:r>
      <w:bookmarkEnd w:id="353"/>
      <w:bookmarkEnd w:id="354"/>
      <w:bookmarkEnd w:id="355"/>
      <w:bookmarkEnd w:id="356"/>
      <w:bookmarkEnd w:id="357"/>
      <w:bookmarkEnd w:id="1393"/>
    </w:p>
    <w:p w14:paraId="446DD6C5">
      <w:pPr>
        <w:jc w:val="center"/>
        <w:rPr>
          <w:rFonts w:hint="default" w:ascii="Times New Roman" w:hAnsi="Times New Roman" w:eastAsia="方正小标宋_GBK" w:cs="Times New Roman"/>
          <w:color w:val="000000" w:themeColor="text1"/>
          <w:sz w:val="52"/>
          <w:szCs w:val="52"/>
          <w:lang w:val="en-US" w:eastAsia="zh-CN"/>
          <w14:textFill>
            <w14:solidFill>
              <w14:schemeClr w14:val="tx1"/>
            </w14:solidFill>
          </w14:textFill>
        </w:rPr>
      </w:pPr>
      <w:bookmarkStart w:id="1394" w:name="_Toc24595"/>
      <w:bookmarkStart w:id="1395" w:name="_Toc1843"/>
      <w:r>
        <w:rPr>
          <w:rFonts w:hint="default" w:ascii="Times New Roman" w:hAnsi="Times New Roman" w:eastAsia="方正小标宋_GBK" w:cs="Times New Roman"/>
          <w:color w:val="000000" w:themeColor="text1"/>
          <w:sz w:val="36"/>
          <w:szCs w:val="36"/>
          <w:lang w:val="en-US" w:eastAsia="zh-CN"/>
          <w14:textFill>
            <w14:solidFill>
              <w14:schemeClr w14:val="tx1"/>
            </w14:solidFill>
          </w14:textFill>
        </w:rPr>
        <w:t xml:space="preserve">         </w:t>
      </w:r>
      <w:r>
        <w:rPr>
          <w:rFonts w:hint="default" w:ascii="Times New Roman" w:hAnsi="Times New Roman" w:eastAsia="仿宋" w:cs="Times New Roman"/>
          <w:color w:val="000000" w:themeColor="text1"/>
          <w:highlight w:val="none"/>
          <w14:textFill>
            <w14:solidFill>
              <w14:schemeClr w14:val="tx1"/>
            </w14:solidFill>
          </w14:textFill>
        </w:rPr>
        <w:t xml:space="preserve">                                                             </w:t>
      </w:r>
    </w:p>
    <w:p w14:paraId="312082ED">
      <w:pPr>
        <w:jc w:val="center"/>
        <w:rPr>
          <w:rFonts w:hint="eastAsia" w:ascii="Times New Roman" w:hAnsi="Times New Roman" w:eastAsia="方正小标宋_GBK" w:cs="Times New Roman"/>
          <w:color w:val="000000" w:themeColor="text1"/>
          <w:sz w:val="44"/>
          <w:szCs w:val="44"/>
          <w:lang w:val="en-US" w:eastAsia="zh-CN"/>
          <w14:textFill>
            <w14:solidFill>
              <w14:schemeClr w14:val="tx1"/>
            </w14:solidFill>
          </w14:textFill>
        </w:rPr>
      </w:pPr>
      <w:r>
        <w:rPr>
          <w:rFonts w:hint="eastAsia" w:ascii="Times New Roman" w:hAnsi="Times New Roman" w:eastAsia="方正小标宋_GBK" w:cs="Times New Roman"/>
          <w:color w:val="000000" w:themeColor="text1"/>
          <w:sz w:val="44"/>
          <w:szCs w:val="44"/>
          <w:lang w:val="en-US" w:eastAsia="zh-CN"/>
          <w14:textFill>
            <w14:solidFill>
              <w14:schemeClr w14:val="tx1"/>
            </w14:solidFill>
          </w14:textFill>
        </w:rPr>
        <w:t>2026年勐海县勐阿镇南朗河村委会龙竹蓬村小组农村公益事业建设财政奖补项目（普惠）</w:t>
      </w:r>
    </w:p>
    <w:p w14:paraId="7999795D">
      <w:pPr>
        <w:jc w:val="center"/>
        <w:rPr>
          <w:rFonts w:hint="default" w:ascii="Times New Roman" w:hAnsi="Times New Roman" w:eastAsia="方正小标宋_GBK" w:cs="Times New Roman"/>
          <w:color w:val="000000" w:themeColor="text1"/>
          <w:sz w:val="44"/>
          <w:szCs w:val="44"/>
          <w:lang w:val="en-US" w:eastAsia="zh-CN"/>
          <w14:textFill>
            <w14:solidFill>
              <w14:schemeClr w14:val="tx1"/>
            </w14:solidFill>
          </w14:textFill>
        </w:rPr>
      </w:pPr>
      <w:r>
        <w:rPr>
          <w:rFonts w:hint="default" w:ascii="Times New Roman" w:hAnsi="Times New Roman" w:eastAsia="方正小标宋_GBK" w:cs="Times New Roman"/>
          <w:color w:val="000000" w:themeColor="text1"/>
          <w:sz w:val="44"/>
          <w:szCs w:val="44"/>
          <w:lang w:val="en-US" w:eastAsia="zh-CN"/>
          <w14:textFill>
            <w14:solidFill>
              <w14:schemeClr w14:val="tx1"/>
            </w14:solidFill>
          </w14:textFill>
        </w:rPr>
        <w:t>响应文件</w:t>
      </w:r>
    </w:p>
    <w:p w14:paraId="70A3E59F">
      <w:pPr>
        <w:jc w:val="both"/>
        <w:rPr>
          <w:rFonts w:hint="default" w:ascii="Times New Roman" w:hAnsi="Times New Roman" w:eastAsia="仿宋" w:cs="Times New Roman"/>
          <w:b/>
          <w:color w:val="000000" w:themeColor="text1"/>
          <w:sz w:val="28"/>
          <w:szCs w:val="28"/>
          <w:highlight w:val="none"/>
          <w14:textFill>
            <w14:solidFill>
              <w14:schemeClr w14:val="tx1"/>
            </w14:solidFill>
          </w14:textFill>
        </w:rPr>
      </w:pPr>
    </w:p>
    <w:p w14:paraId="1D2406B9">
      <w:pPr>
        <w:ind w:firstLine="2530" w:firstLineChars="700"/>
        <w:jc w:val="both"/>
        <w:rPr>
          <w:rFonts w:hint="default" w:ascii="Times New Roman" w:hAnsi="Times New Roman" w:cs="Times New Roman"/>
          <w:color w:val="000000" w:themeColor="text1"/>
          <w:highlight w:val="none"/>
          <w:lang w:val="en-US"/>
          <w14:textFill>
            <w14:solidFill>
              <w14:schemeClr w14:val="tx1"/>
            </w14:solidFill>
          </w14:textFill>
        </w:rPr>
      </w:pPr>
      <w:r>
        <w:rPr>
          <w:rFonts w:hint="default" w:ascii="Times New Roman" w:hAnsi="Times New Roman" w:cs="Times New Roman"/>
          <w:b/>
          <w:color w:val="000000" w:themeColor="text1"/>
          <w:sz w:val="36"/>
          <w:szCs w:val="28"/>
          <w:lang w:val="en-US" w:eastAsia="zh-CN"/>
          <w14:textFill>
            <w14:solidFill>
              <w14:schemeClr w14:val="tx1"/>
            </w14:solidFill>
          </w14:textFill>
        </w:rPr>
        <w:t>项目</w:t>
      </w:r>
      <w:r>
        <w:rPr>
          <w:rFonts w:hint="default" w:ascii="Times New Roman" w:hAnsi="Times New Roman" w:cs="Times New Roman"/>
          <w:b/>
          <w:color w:val="000000" w:themeColor="text1"/>
          <w:sz w:val="36"/>
          <w:szCs w:val="28"/>
          <w14:textFill>
            <w14:solidFill>
              <w14:schemeClr w14:val="tx1"/>
            </w14:solidFill>
          </w14:textFill>
        </w:rPr>
        <w:t>编号：</w:t>
      </w:r>
      <w:r>
        <w:rPr>
          <w:rFonts w:hint="default" w:ascii="Times New Roman" w:hAnsi="Times New Roman" w:cs="Times New Roman"/>
          <w:b/>
          <w:bCs/>
          <w:color w:val="000000" w:themeColor="text1"/>
          <w:sz w:val="32"/>
          <w:szCs w:val="32"/>
          <w:lang w:val="en-US" w:eastAsia="zh-CN"/>
          <w14:textFill>
            <w14:solidFill>
              <w14:schemeClr w14:val="tx1"/>
            </w14:solidFill>
          </w14:textFill>
        </w:rPr>
        <w:t>HMZB-2026-</w:t>
      </w:r>
      <w:r>
        <w:rPr>
          <w:rFonts w:hint="eastAsia" w:cs="Times New Roman"/>
          <w:b/>
          <w:bCs/>
          <w:color w:val="000000" w:themeColor="text1"/>
          <w:sz w:val="32"/>
          <w:szCs w:val="32"/>
          <w:lang w:val="en-US" w:eastAsia="zh-CN"/>
          <w14:textFill>
            <w14:solidFill>
              <w14:schemeClr w14:val="tx1"/>
            </w14:solidFill>
          </w14:textFill>
        </w:rPr>
        <w:t>8</w:t>
      </w:r>
      <w:r>
        <w:rPr>
          <w:rFonts w:hint="default" w:ascii="Times New Roman" w:hAnsi="Times New Roman" w:cs="Times New Roman"/>
          <w:b/>
          <w:bCs/>
          <w:color w:val="000000" w:themeColor="text1"/>
          <w:sz w:val="32"/>
          <w:szCs w:val="32"/>
          <w:lang w:val="en-US" w:eastAsia="zh-CN"/>
          <w14:textFill>
            <w14:solidFill>
              <w14:schemeClr w14:val="tx1"/>
            </w14:solidFill>
          </w14:textFill>
        </w:rPr>
        <w:t>-</w:t>
      </w:r>
      <w:r>
        <w:rPr>
          <w:rFonts w:hint="eastAsia" w:cs="Times New Roman"/>
          <w:b/>
          <w:bCs/>
          <w:color w:val="000000" w:themeColor="text1"/>
          <w:sz w:val="32"/>
          <w:szCs w:val="32"/>
          <w:lang w:val="en-US" w:eastAsia="zh-CN"/>
          <w14:textFill>
            <w14:solidFill>
              <w14:schemeClr w14:val="tx1"/>
            </w14:solidFill>
          </w14:textFill>
        </w:rPr>
        <w:t>16</w:t>
      </w:r>
    </w:p>
    <w:p w14:paraId="01B2F163">
      <w:pPr>
        <w:pStyle w:val="18"/>
        <w:rPr>
          <w:rFonts w:hint="default" w:ascii="Times New Roman" w:hAnsi="Times New Roman" w:eastAsia="仿宋" w:cs="Times New Roman"/>
          <w:color w:val="000000" w:themeColor="text1"/>
          <w:sz w:val="28"/>
          <w:szCs w:val="28"/>
          <w:highlight w:val="none"/>
          <w14:textFill>
            <w14:solidFill>
              <w14:schemeClr w14:val="tx1"/>
            </w14:solidFill>
          </w14:textFill>
        </w:rPr>
      </w:pPr>
    </w:p>
    <w:p w14:paraId="4B0C07C8">
      <w:pPr>
        <w:rPr>
          <w:rFonts w:hint="default" w:ascii="Times New Roman" w:hAnsi="Times New Roman" w:eastAsia="仿宋" w:cs="Times New Roman"/>
          <w:color w:val="000000" w:themeColor="text1"/>
          <w:sz w:val="28"/>
          <w:szCs w:val="28"/>
          <w:highlight w:val="none"/>
          <w14:textFill>
            <w14:solidFill>
              <w14:schemeClr w14:val="tx1"/>
            </w14:solidFill>
          </w14:textFill>
        </w:rPr>
      </w:pPr>
    </w:p>
    <w:p w14:paraId="75B4FA49">
      <w:pPr>
        <w:spacing w:line="360" w:lineRule="auto"/>
        <w:ind w:firstLine="560" w:firstLineChars="200"/>
        <w:rPr>
          <w:rFonts w:hint="default" w:ascii="Times New Roman" w:hAnsi="Times New Roman" w:eastAsia="仿宋" w:cs="Times New Roman"/>
          <w:color w:val="000000" w:themeColor="text1"/>
          <w:sz w:val="28"/>
          <w:szCs w:val="28"/>
          <w:highlight w:val="none"/>
          <w14:textFill>
            <w14:solidFill>
              <w14:schemeClr w14:val="tx1"/>
            </w14:solidFill>
          </w14:textFill>
        </w:rPr>
      </w:pPr>
    </w:p>
    <w:p w14:paraId="0A1F237A">
      <w:pPr>
        <w:spacing w:line="360" w:lineRule="auto"/>
        <w:ind w:firstLine="560" w:firstLineChars="200"/>
        <w:rPr>
          <w:rFonts w:hint="default" w:ascii="Times New Roman" w:hAnsi="Times New Roman" w:eastAsia="仿宋" w:cs="Times New Roman"/>
          <w:color w:val="000000" w:themeColor="text1"/>
          <w:sz w:val="28"/>
          <w:szCs w:val="28"/>
          <w:highlight w:val="none"/>
          <w14:textFill>
            <w14:solidFill>
              <w14:schemeClr w14:val="tx1"/>
            </w14:solidFill>
          </w14:textFill>
        </w:rPr>
      </w:pPr>
    </w:p>
    <w:p w14:paraId="496686AD">
      <w:pPr>
        <w:spacing w:line="360" w:lineRule="auto"/>
        <w:ind w:firstLine="560" w:firstLineChars="200"/>
        <w:rPr>
          <w:rFonts w:hint="default" w:ascii="Times New Roman" w:hAnsi="Times New Roman" w:eastAsia="仿宋" w:cs="Times New Roman"/>
          <w:color w:val="000000" w:themeColor="text1"/>
          <w:sz w:val="28"/>
          <w:szCs w:val="28"/>
          <w:highlight w:val="none"/>
          <w14:textFill>
            <w14:solidFill>
              <w14:schemeClr w14:val="tx1"/>
            </w14:solidFill>
          </w14:textFill>
        </w:rPr>
      </w:pPr>
    </w:p>
    <w:p w14:paraId="685054F6">
      <w:pPr>
        <w:spacing w:line="360" w:lineRule="auto"/>
        <w:ind w:firstLine="560" w:firstLineChars="200"/>
        <w:rPr>
          <w:rFonts w:hint="default" w:ascii="Times New Roman" w:hAnsi="Times New Roman" w:eastAsia="仿宋" w:cs="Times New Roman"/>
          <w:color w:val="000000" w:themeColor="text1"/>
          <w:sz w:val="28"/>
          <w:szCs w:val="28"/>
          <w:highlight w:val="none"/>
          <w14:textFill>
            <w14:solidFill>
              <w14:schemeClr w14:val="tx1"/>
            </w14:solidFill>
          </w14:textFill>
        </w:rPr>
      </w:pPr>
    </w:p>
    <w:p w14:paraId="76CC0E8E">
      <w:pPr>
        <w:spacing w:line="360" w:lineRule="auto"/>
        <w:ind w:firstLine="560" w:firstLineChars="200"/>
        <w:rPr>
          <w:rFonts w:hint="default" w:ascii="Times New Roman" w:hAnsi="Times New Roman" w:eastAsia="仿宋" w:cs="Times New Roman"/>
          <w:color w:val="000000" w:themeColor="text1"/>
          <w:sz w:val="28"/>
          <w:szCs w:val="28"/>
          <w:highlight w:val="none"/>
          <w14:textFill>
            <w14:solidFill>
              <w14:schemeClr w14:val="tx1"/>
            </w14:solidFill>
          </w14:textFill>
        </w:rPr>
      </w:pPr>
    </w:p>
    <w:p w14:paraId="62A0FBD1">
      <w:pPr>
        <w:spacing w:line="360" w:lineRule="auto"/>
        <w:ind w:firstLine="560" w:firstLineChars="200"/>
        <w:rPr>
          <w:rFonts w:hint="default" w:ascii="Times New Roman" w:hAnsi="Times New Roman" w:eastAsia="仿宋" w:cs="Times New Roman"/>
          <w:color w:val="000000" w:themeColor="text1"/>
          <w:sz w:val="28"/>
          <w:szCs w:val="28"/>
          <w:highlight w:val="none"/>
          <w14:textFill>
            <w14:solidFill>
              <w14:schemeClr w14:val="tx1"/>
            </w14:solidFill>
          </w14:textFill>
        </w:rPr>
      </w:pPr>
    </w:p>
    <w:p w14:paraId="66F6244F">
      <w:pPr>
        <w:spacing w:line="360" w:lineRule="auto"/>
        <w:ind w:firstLine="560" w:firstLineChars="200"/>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28"/>
          <w:szCs w:val="28"/>
          <w:highlight w:val="none"/>
          <w14:textFill>
            <w14:solidFill>
              <w14:schemeClr w14:val="tx1"/>
            </w14:solidFill>
          </w14:textFill>
        </w:rPr>
        <w:t>供应商</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名称</w:t>
      </w:r>
      <w:r>
        <w:rPr>
          <w:rFonts w:hint="default" w:ascii="Times New Roman" w:hAnsi="Times New Roman" w:eastAsia="仿宋" w:cs="Times New Roman"/>
          <w:color w:val="000000" w:themeColor="text1"/>
          <w:sz w:val="28"/>
          <w:szCs w:val="28"/>
          <w:highlight w:val="none"/>
          <w14:textFill>
            <w14:solidFill>
              <w14:schemeClr w14:val="tx1"/>
            </w14:solidFill>
          </w14:textFill>
        </w:rPr>
        <w:t>：</w:t>
      </w:r>
      <w:r>
        <w:rPr>
          <w:rFonts w:hint="default" w:ascii="Times New Roman" w:hAnsi="Times New Roman" w:eastAsia="仿宋" w:cs="Times New Roman"/>
          <w:color w:val="000000" w:themeColor="text1"/>
          <w:sz w:val="28"/>
          <w:szCs w:val="28"/>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14:textFill>
            <w14:solidFill>
              <w14:schemeClr w14:val="tx1"/>
            </w14:solidFill>
          </w14:textFill>
        </w:rPr>
        <w:t>（电子签章）</w:t>
      </w:r>
    </w:p>
    <w:p w14:paraId="7A604474">
      <w:pPr>
        <w:spacing w:line="360" w:lineRule="auto"/>
        <w:ind w:firstLine="560" w:firstLineChars="200"/>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28"/>
          <w:szCs w:val="28"/>
          <w:highlight w:val="none"/>
          <w14:textFill>
            <w14:solidFill>
              <w14:schemeClr w14:val="tx1"/>
            </w14:solidFill>
          </w14:textFill>
        </w:rPr>
        <w:t>法定代表人</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或委托代理人</w:t>
      </w:r>
      <w:r>
        <w:rPr>
          <w:rFonts w:hint="default" w:ascii="Times New Roman" w:hAnsi="Times New Roman" w:eastAsia="仿宋" w:cs="Times New Roman"/>
          <w:color w:val="000000" w:themeColor="text1"/>
          <w:sz w:val="28"/>
          <w:szCs w:val="28"/>
          <w:highlight w:val="none"/>
          <w14:textFill>
            <w14:solidFill>
              <w14:schemeClr w14:val="tx1"/>
            </w14:solidFill>
          </w14:textFill>
        </w:rPr>
        <w:t>：</w:t>
      </w:r>
      <w:r>
        <w:rPr>
          <w:rFonts w:hint="default" w:ascii="Times New Roman" w:hAnsi="Times New Roman" w:eastAsia="仿宋" w:cs="Times New Roman"/>
          <w:color w:val="000000" w:themeColor="text1"/>
          <w:sz w:val="28"/>
          <w:szCs w:val="28"/>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14:textFill>
            <w14:solidFill>
              <w14:schemeClr w14:val="tx1"/>
            </w14:solidFill>
          </w14:textFill>
        </w:rPr>
        <w:t>（电子签章）</w:t>
      </w:r>
    </w:p>
    <w:p w14:paraId="584CC9EA">
      <w:pPr>
        <w:spacing w:before="20" w:after="120" w:line="360" w:lineRule="auto"/>
        <w:ind w:firstLine="560" w:firstLineChars="200"/>
        <w:jc w:val="both"/>
        <w:rPr>
          <w:rFonts w:hint="default" w:ascii="Times New Roman" w:hAnsi="Times New Roman" w:eastAsia="仿宋" w:cs="Times New Roman"/>
          <w:b/>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28"/>
          <w:szCs w:val="28"/>
          <w:highlight w:val="none"/>
          <w14:textFill>
            <w14:solidFill>
              <w14:schemeClr w14:val="tx1"/>
            </w14:solidFill>
          </w14:textFill>
        </w:rPr>
        <w:t>日  期：</w:t>
      </w:r>
      <w:r>
        <w:rPr>
          <w:rFonts w:hint="default" w:ascii="Times New Roman" w:hAnsi="Times New Roman" w:eastAsia="仿宋" w:cs="Times New Roman"/>
          <w:color w:val="000000" w:themeColor="text1"/>
          <w:sz w:val="28"/>
          <w:szCs w:val="28"/>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14:textFill>
            <w14:solidFill>
              <w14:schemeClr w14:val="tx1"/>
            </w14:solidFill>
          </w14:textFill>
        </w:rPr>
        <w:t>年</w:t>
      </w:r>
      <w:r>
        <w:rPr>
          <w:rFonts w:hint="default" w:ascii="Times New Roman" w:hAnsi="Times New Roman" w:eastAsia="仿宋" w:cs="Times New Roman"/>
          <w:color w:val="000000" w:themeColor="text1"/>
          <w:sz w:val="28"/>
          <w:szCs w:val="28"/>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14:textFill>
            <w14:solidFill>
              <w14:schemeClr w14:val="tx1"/>
            </w14:solidFill>
          </w14:textFill>
        </w:rPr>
        <w:t>月</w:t>
      </w:r>
      <w:r>
        <w:rPr>
          <w:rFonts w:hint="default" w:ascii="Times New Roman" w:hAnsi="Times New Roman" w:eastAsia="仿宋" w:cs="Times New Roman"/>
          <w:color w:val="000000" w:themeColor="text1"/>
          <w:sz w:val="28"/>
          <w:szCs w:val="28"/>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8"/>
          <w:szCs w:val="28"/>
          <w:highlight w:val="none"/>
          <w14:textFill>
            <w14:solidFill>
              <w14:schemeClr w14:val="tx1"/>
            </w14:solidFill>
          </w14:textFill>
        </w:rPr>
        <w:t>日</w:t>
      </w:r>
    </w:p>
    <w:p w14:paraId="6C47FDC0">
      <w:pPr>
        <w:spacing w:before="20" w:after="120" w:line="360" w:lineRule="auto"/>
        <w:jc w:val="center"/>
        <w:rPr>
          <w:rFonts w:hint="default" w:ascii="Times New Roman" w:hAnsi="Times New Roman" w:eastAsia="仿宋" w:cs="Times New Roman"/>
          <w:b/>
          <w:color w:val="000000" w:themeColor="text1"/>
          <w:sz w:val="28"/>
          <w:szCs w:val="28"/>
          <w:highlight w:val="none"/>
          <w14:textFill>
            <w14:solidFill>
              <w14:schemeClr w14:val="tx1"/>
            </w14:solidFill>
          </w14:textFill>
        </w:rPr>
      </w:pPr>
    </w:p>
    <w:p w14:paraId="53F76195">
      <w:pPr>
        <w:spacing w:before="20" w:after="120" w:line="360" w:lineRule="auto"/>
        <w:jc w:val="center"/>
        <w:rPr>
          <w:rFonts w:hint="default" w:ascii="Times New Roman" w:hAnsi="Times New Roman" w:eastAsia="仿宋" w:cs="Times New Roman"/>
          <w:b/>
          <w:color w:val="000000" w:themeColor="text1"/>
          <w:sz w:val="28"/>
          <w:szCs w:val="28"/>
          <w:highlight w:val="none"/>
          <w14:textFill>
            <w14:solidFill>
              <w14:schemeClr w14:val="tx1"/>
            </w14:solidFill>
          </w14:textFill>
        </w:rPr>
      </w:pPr>
      <w:r>
        <w:rPr>
          <w:rFonts w:hint="default" w:ascii="Times New Roman" w:hAnsi="Times New Roman" w:eastAsia="仿宋" w:cs="Times New Roman"/>
          <w:b/>
          <w:color w:val="000000" w:themeColor="text1"/>
          <w:sz w:val="28"/>
          <w:szCs w:val="28"/>
          <w:highlight w:val="none"/>
          <w14:textFill>
            <w14:solidFill>
              <w14:schemeClr w14:val="tx1"/>
            </w14:solidFill>
          </w14:textFill>
        </w:rPr>
        <w:t>目  录</w:t>
      </w:r>
    </w:p>
    <w:p w14:paraId="3CAAEC76">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eastAsia="新宋体" w:cs="Times New Roman"/>
          <w:b/>
          <w:bCs/>
          <w:color w:val="000000" w:themeColor="text1"/>
          <w14:textFill>
            <w14:solidFill>
              <w14:schemeClr w14:val="tx1"/>
            </w14:solidFill>
          </w14:textFill>
        </w:rPr>
      </w:pPr>
      <w:r>
        <w:rPr>
          <w:rFonts w:hint="default" w:ascii="Times New Roman" w:hAnsi="Times New Roman" w:eastAsia="新宋体" w:cs="Times New Roman"/>
          <w:b/>
          <w:bCs/>
          <w:color w:val="000000" w:themeColor="text1"/>
          <w14:textFill>
            <w14:solidFill>
              <w14:schemeClr w14:val="tx1"/>
            </w14:solidFill>
          </w14:textFill>
        </w:rPr>
        <w:t>一、响应文件部分格式</w:t>
      </w:r>
    </w:p>
    <w:p w14:paraId="451E5792">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（一）承诺书</w:t>
      </w:r>
    </w:p>
    <w:p w14:paraId="5AFC9A32">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（二）报价一览表</w:t>
      </w:r>
    </w:p>
    <w:p w14:paraId="76F43AD6">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（三）法定代表人身份证明书</w:t>
      </w:r>
    </w:p>
    <w:p w14:paraId="3020D8B5">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（四）法定代表人授权委托书</w:t>
      </w:r>
    </w:p>
    <w:p w14:paraId="41A426E0">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（五）</w:t>
      </w:r>
      <w:r>
        <w:rPr>
          <w:rFonts w:hint="default" w:ascii="Times New Roman" w:hAnsi="Times New Roman" w:cs="Times New Roman"/>
          <w:color w:val="000000" w:themeColor="text1"/>
          <w:lang w:val="en-US" w:eastAsia="zh-CN"/>
          <w14:textFill>
            <w14:solidFill>
              <w14:schemeClr w14:val="tx1"/>
            </w14:solidFill>
          </w14:textFill>
        </w:rPr>
        <w:t>不变更项目经理</w:t>
      </w:r>
      <w:r>
        <w:rPr>
          <w:rFonts w:hint="default" w:ascii="Times New Roman" w:hAnsi="Times New Roman" w:cs="Times New Roman"/>
          <w:color w:val="000000" w:themeColor="text1"/>
          <w14:textFill>
            <w14:solidFill>
              <w14:schemeClr w14:val="tx1"/>
            </w14:solidFill>
          </w14:textFill>
        </w:rPr>
        <w:t>承诺书</w:t>
      </w:r>
    </w:p>
    <w:p w14:paraId="32C76B19">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二次报价表：本表在响应文件格式中不提供；（可提前填写或当场填写）</w:t>
      </w:r>
    </w:p>
    <w:p w14:paraId="64885049">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eastAsia="新宋体" w:cs="Times New Roman"/>
          <w:b/>
          <w:bCs/>
          <w:color w:val="000000" w:themeColor="text1"/>
          <w14:textFill>
            <w14:solidFill>
              <w14:schemeClr w14:val="tx1"/>
            </w14:solidFill>
          </w14:textFill>
        </w:rPr>
      </w:pPr>
      <w:r>
        <w:rPr>
          <w:rFonts w:hint="default" w:ascii="Times New Roman" w:hAnsi="Times New Roman" w:eastAsia="新宋体" w:cs="Times New Roman"/>
          <w:b/>
          <w:bCs/>
          <w:color w:val="000000" w:themeColor="text1"/>
          <w14:textFill>
            <w14:solidFill>
              <w14:schemeClr w14:val="tx1"/>
            </w14:solidFill>
          </w14:textFill>
        </w:rPr>
        <w:t>二、竞争性磋商资格审查部分格式</w:t>
      </w:r>
    </w:p>
    <w:p w14:paraId="0AFEB574">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（一）供应商基本情况表</w:t>
      </w:r>
    </w:p>
    <w:p w14:paraId="70F9B5A4">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（二）财务状况</w:t>
      </w:r>
    </w:p>
    <w:p w14:paraId="1B3E1C6C">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（三）信誉要求</w:t>
      </w:r>
    </w:p>
    <w:p w14:paraId="321C3EEC">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（四）供应商承诺书</w:t>
      </w:r>
    </w:p>
    <w:p w14:paraId="540A39A7">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（1）廉政承诺书</w:t>
      </w:r>
    </w:p>
    <w:p w14:paraId="57C0E2BF">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（2）无重大违法记录声明</w:t>
      </w:r>
      <w:r>
        <w:rPr>
          <w:rFonts w:hint="default" w:ascii="Times New Roman" w:hAnsi="Times New Roman" w:cs="Times New Roman"/>
          <w:color w:val="000000" w:themeColor="text1"/>
          <w:lang w:val="en-US" w:eastAsia="zh-CN"/>
          <w14:textFill>
            <w14:solidFill>
              <w14:schemeClr w14:val="tx1"/>
            </w14:solidFill>
          </w14:textFill>
        </w:rPr>
        <w:t>书</w:t>
      </w:r>
    </w:p>
    <w:p w14:paraId="6842E2E3">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（3）具有履行合同所必需的设备和专业技术能力（格式自拟）</w:t>
      </w:r>
    </w:p>
    <w:p w14:paraId="1282834A">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（4）缴纳税收和社会保障资金记录</w:t>
      </w:r>
    </w:p>
    <w:p w14:paraId="53B16099">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（5）单位法人为同一人或存在控股、管理关系的不同单位，没有参加同一标段投标或者未划分标段的同一招标项目投标的承诺书</w:t>
      </w:r>
    </w:p>
    <w:p w14:paraId="113EDA23">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（6）法</w:t>
      </w:r>
      <w:r>
        <w:rPr>
          <w:rFonts w:hint="default" w:ascii="Times New Roman" w:hAnsi="Times New Roman" w:cs="Times New Roman"/>
          <w:color w:val="000000" w:themeColor="text1"/>
          <w:lang w:eastAsia="zh-CN"/>
          <w14:textFill>
            <w14:solidFill>
              <w14:schemeClr w14:val="tx1"/>
            </w14:solidFill>
          </w14:textFill>
        </w:rPr>
        <w:t>律和</w:t>
      </w:r>
      <w:r>
        <w:rPr>
          <w:rFonts w:hint="default" w:ascii="Times New Roman" w:hAnsi="Times New Roman" w:cs="Times New Roman"/>
          <w:color w:val="000000" w:themeColor="text1"/>
          <w14:textFill>
            <w14:solidFill>
              <w14:schemeClr w14:val="tx1"/>
            </w14:solidFill>
          </w14:textFill>
        </w:rPr>
        <w:t>行政法规规定的其他条件（格式自拟）</w:t>
      </w:r>
    </w:p>
    <w:p w14:paraId="2697AB9C">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（五）中小企业声明函</w:t>
      </w:r>
    </w:p>
    <w:p w14:paraId="7339B4A3">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（六）残疾人福利性单位声明函</w:t>
      </w:r>
    </w:p>
    <w:p w14:paraId="2B40C905">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（七）监狱企业证明材料</w:t>
      </w:r>
    </w:p>
    <w:p w14:paraId="2D4D09B8">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（八）拟派往本项目的团队人员配置</w:t>
      </w:r>
    </w:p>
    <w:p w14:paraId="107BD88B">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（九）项目负责人</w:t>
      </w:r>
    </w:p>
    <w:p w14:paraId="3E093A9C">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（十）类似业绩</w:t>
      </w:r>
    </w:p>
    <w:p w14:paraId="38DCDC2C">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eastAsia="新宋体" w:cs="Times New Roman"/>
          <w:b/>
          <w:bCs/>
          <w:color w:val="000000" w:themeColor="text1"/>
          <w14:textFill>
            <w14:solidFill>
              <w14:schemeClr w14:val="tx1"/>
            </w14:solidFill>
          </w14:textFill>
        </w:rPr>
      </w:pPr>
      <w:r>
        <w:rPr>
          <w:rFonts w:hint="default" w:ascii="Times New Roman" w:hAnsi="Times New Roman" w:eastAsia="新宋体" w:cs="Times New Roman"/>
          <w:b/>
          <w:bCs/>
          <w:color w:val="000000" w:themeColor="text1"/>
          <w14:textFill>
            <w14:solidFill>
              <w14:schemeClr w14:val="tx1"/>
            </w14:solidFill>
          </w14:textFill>
        </w:rPr>
        <w:t>三、供应商认为</w:t>
      </w:r>
      <w:r>
        <w:rPr>
          <w:rFonts w:hint="default" w:ascii="Times New Roman" w:hAnsi="Times New Roman" w:eastAsia="新宋体" w:cs="Times New Roman"/>
          <w:b/>
          <w:bCs/>
          <w:color w:val="000000" w:themeColor="text1"/>
          <w:lang w:eastAsia="zh-CN"/>
          <w14:textFill>
            <w14:solidFill>
              <w14:schemeClr w14:val="tx1"/>
            </w14:solidFill>
          </w14:textFill>
        </w:rPr>
        <w:t>需</w:t>
      </w:r>
      <w:r>
        <w:rPr>
          <w:rFonts w:hint="default" w:ascii="Times New Roman" w:hAnsi="Times New Roman" w:eastAsia="新宋体" w:cs="Times New Roman"/>
          <w:b/>
          <w:bCs/>
          <w:color w:val="000000" w:themeColor="text1"/>
          <w14:textFill>
            <w14:solidFill>
              <w14:schemeClr w14:val="tx1"/>
            </w14:solidFill>
          </w14:textFill>
        </w:rPr>
        <w:t>提供的其他相关资料</w:t>
      </w:r>
    </w:p>
    <w:p w14:paraId="032C8F9C">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eastAsia="新宋体" w:cs="Times New Roman"/>
          <w:b/>
          <w:bCs/>
          <w:color w:val="000000" w:themeColor="text1"/>
          <w14:textFill>
            <w14:solidFill>
              <w14:schemeClr w14:val="tx1"/>
            </w14:solidFill>
          </w14:textFill>
        </w:rPr>
      </w:pPr>
      <w:r>
        <w:rPr>
          <w:rFonts w:hint="default" w:ascii="Times New Roman" w:hAnsi="Times New Roman" w:eastAsia="新宋体" w:cs="Times New Roman"/>
          <w:b/>
          <w:bCs/>
          <w:color w:val="000000" w:themeColor="text1"/>
          <w14:textFill>
            <w14:solidFill>
              <w14:schemeClr w14:val="tx1"/>
            </w14:solidFill>
          </w14:textFill>
        </w:rPr>
        <w:t>四、已标价的工程量清单</w:t>
      </w:r>
    </w:p>
    <w:p w14:paraId="211C7E43">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eastAsia="新宋体" w:cs="Times New Roman"/>
          <w:b/>
          <w:bCs/>
          <w:color w:val="000000" w:themeColor="text1"/>
          <w14:textFill>
            <w14:solidFill>
              <w14:schemeClr w14:val="tx1"/>
            </w14:solidFill>
          </w14:textFill>
        </w:rPr>
      </w:pPr>
      <w:r>
        <w:rPr>
          <w:rFonts w:hint="default" w:ascii="Times New Roman" w:hAnsi="Times New Roman" w:eastAsia="新宋体" w:cs="Times New Roman"/>
          <w:b/>
          <w:bCs/>
          <w:color w:val="000000" w:themeColor="text1"/>
          <w:lang w:val="en-US" w:eastAsia="zh-CN"/>
          <w14:textFill>
            <w14:solidFill>
              <w14:schemeClr w14:val="tx1"/>
            </w14:solidFill>
          </w14:textFill>
        </w:rPr>
        <w:t>五</w:t>
      </w:r>
      <w:r>
        <w:rPr>
          <w:rFonts w:hint="default" w:ascii="Times New Roman" w:hAnsi="Times New Roman" w:eastAsia="新宋体" w:cs="Times New Roman"/>
          <w:b/>
          <w:bCs/>
          <w:color w:val="000000" w:themeColor="text1"/>
          <w14:textFill>
            <w14:solidFill>
              <w14:schemeClr w14:val="tx1"/>
            </w14:solidFill>
          </w14:textFill>
        </w:rPr>
        <w:t>、施工组织方案</w:t>
      </w:r>
    </w:p>
    <w:bookmarkEnd w:id="1394"/>
    <w:bookmarkEnd w:id="1395"/>
    <w:p w14:paraId="3ED0756C">
      <w:pPr>
        <w:keepNext w:val="0"/>
        <w:keepLines w:val="0"/>
        <w:pageBreakBefore w:val="0"/>
        <w:widowControl w:val="0"/>
        <w:kinsoku/>
        <w:wordWrap/>
        <w:overflowPunct/>
        <w:topLinePunct w:val="0"/>
        <w:autoSpaceDE/>
        <w:autoSpaceDN/>
        <w:bidi w:val="0"/>
        <w:adjustRightInd/>
        <w:snapToGrid/>
        <w:spacing w:line="400" w:lineRule="exact"/>
        <w:ind w:firstLine="1120" w:firstLineChars="400"/>
        <w:textAlignment w:val="auto"/>
        <w:rPr>
          <w:rFonts w:hint="default" w:ascii="Times New Roman" w:hAnsi="Times New Roman" w:eastAsia="方正小标宋_GBK" w:cs="Times New Roman"/>
          <w:b w:val="0"/>
          <w:bCs w:val="0"/>
          <w:color w:val="000000" w:themeColor="text1"/>
          <w:kern w:val="2"/>
          <w:sz w:val="28"/>
          <w:szCs w:val="28"/>
          <w:lang w:val="en-US" w:eastAsia="zh-CN" w:bidi="ar-SA"/>
          <w14:textFill>
            <w14:solidFill>
              <w14:schemeClr w14:val="tx1"/>
            </w14:solidFill>
          </w14:textFill>
        </w:rPr>
      </w:pPr>
      <w:bookmarkStart w:id="1396" w:name="_Toc29239"/>
      <w:bookmarkStart w:id="1397" w:name="_Toc17893"/>
    </w:p>
    <w:p w14:paraId="082B832C">
      <w:pPr>
        <w:keepNext w:val="0"/>
        <w:keepLines w:val="0"/>
        <w:pageBreakBefore w:val="0"/>
        <w:widowControl w:val="0"/>
        <w:kinsoku/>
        <w:wordWrap/>
        <w:overflowPunct/>
        <w:topLinePunct w:val="0"/>
        <w:autoSpaceDE/>
        <w:autoSpaceDN/>
        <w:bidi w:val="0"/>
        <w:adjustRightInd/>
        <w:snapToGrid/>
        <w:spacing w:line="400" w:lineRule="exact"/>
        <w:ind w:firstLine="1120" w:firstLineChars="400"/>
        <w:textAlignment w:val="auto"/>
        <w:rPr>
          <w:rFonts w:hint="default" w:ascii="Times New Roman" w:hAnsi="Times New Roman" w:eastAsia="方正小标宋_GBK" w:cs="Times New Roman"/>
          <w:b w:val="0"/>
          <w:bCs w:val="0"/>
          <w:color w:val="000000" w:themeColor="text1"/>
          <w:kern w:val="2"/>
          <w:sz w:val="28"/>
          <w:szCs w:val="28"/>
          <w:lang w:val="en-US" w:eastAsia="zh-CN" w:bidi="ar-SA"/>
          <w14:textFill>
            <w14:solidFill>
              <w14:schemeClr w14:val="tx1"/>
            </w14:solidFill>
          </w14:textFill>
        </w:rPr>
      </w:pPr>
      <w:r>
        <w:rPr>
          <w:rFonts w:hint="default" w:ascii="Times New Roman" w:hAnsi="Times New Roman" w:eastAsia="方正小标宋_GBK" w:cs="Times New Roman"/>
          <w:b w:val="0"/>
          <w:bCs w:val="0"/>
          <w:color w:val="000000" w:themeColor="text1"/>
          <w:kern w:val="2"/>
          <w:sz w:val="28"/>
          <w:szCs w:val="28"/>
          <w:lang w:val="en-US" w:eastAsia="zh-CN" w:bidi="ar-SA"/>
          <w14:textFill>
            <w14:solidFill>
              <w14:schemeClr w14:val="tx1"/>
            </w14:solidFill>
          </w14:textFill>
        </w:rPr>
        <w:t>注：供应商根据以上目录编制内容，并提供目录页码</w:t>
      </w:r>
    </w:p>
    <w:p w14:paraId="70CD9215">
      <w:pPr>
        <w:spacing w:line="360" w:lineRule="auto"/>
        <w:jc w:val="both"/>
        <w:outlineLvl w:val="3"/>
        <w:rPr>
          <w:rFonts w:hint="default" w:ascii="Times New Roman" w:hAnsi="Times New Roman" w:eastAsia="宋体" w:cs="Times New Roman"/>
          <w:b/>
          <w:bCs/>
          <w:color w:val="000000" w:themeColor="text1"/>
          <w:spacing w:val="40"/>
          <w:sz w:val="28"/>
          <w:szCs w:val="28"/>
          <w:lang w:val="en-US" w:eastAsia="zh-CN"/>
          <w14:textFill>
            <w14:solidFill>
              <w14:schemeClr w14:val="tx1"/>
            </w14:solidFill>
          </w14:textFill>
        </w:rPr>
      </w:pPr>
    </w:p>
    <w:p w14:paraId="03C2B7D1">
      <w:pPr>
        <w:spacing w:line="360" w:lineRule="auto"/>
        <w:jc w:val="center"/>
        <w:outlineLvl w:val="3"/>
        <w:rPr>
          <w:rFonts w:hint="default" w:ascii="Times New Roman" w:hAnsi="Times New Roman" w:eastAsia="宋体" w:cs="Times New Roman"/>
          <w:b/>
          <w:bCs/>
          <w:color w:val="000000" w:themeColor="text1"/>
          <w:spacing w:val="40"/>
          <w:sz w:val="28"/>
          <w:szCs w:val="28"/>
          <w:lang w:val="en-US" w:eastAsia="zh-CN"/>
          <w14:textFill>
            <w14:solidFill>
              <w14:schemeClr w14:val="tx1"/>
            </w14:solidFill>
          </w14:textFill>
        </w:rPr>
      </w:pPr>
      <w:r>
        <w:rPr>
          <w:rFonts w:hint="default" w:ascii="Times New Roman" w:hAnsi="Times New Roman" w:eastAsia="宋体" w:cs="Times New Roman"/>
          <w:b/>
          <w:bCs/>
          <w:color w:val="000000" w:themeColor="text1"/>
          <w:spacing w:val="40"/>
          <w:sz w:val="28"/>
          <w:szCs w:val="28"/>
          <w:lang w:val="en-US" w:eastAsia="zh-CN"/>
          <w14:textFill>
            <w14:solidFill>
              <w14:schemeClr w14:val="tx1"/>
            </w14:solidFill>
          </w14:textFill>
        </w:rPr>
        <w:t>一</w:t>
      </w:r>
      <w:r>
        <w:rPr>
          <w:rFonts w:hint="default" w:ascii="Times New Roman" w:hAnsi="Times New Roman" w:eastAsia="宋体" w:cs="Times New Roman"/>
          <w:b/>
          <w:bCs/>
          <w:color w:val="000000" w:themeColor="text1"/>
          <w:spacing w:val="40"/>
          <w:sz w:val="28"/>
          <w:szCs w:val="28"/>
          <w:lang w:val="zh-CN" w:eastAsia="zh-CN"/>
          <w14:textFill>
            <w14:solidFill>
              <w14:schemeClr w14:val="tx1"/>
            </w14:solidFill>
          </w14:textFill>
        </w:rPr>
        <w:t>、响应文件部分格式</w:t>
      </w:r>
    </w:p>
    <w:p w14:paraId="6BD49813">
      <w:pPr>
        <w:spacing w:line="360" w:lineRule="auto"/>
        <w:jc w:val="center"/>
        <w:outlineLvl w:val="3"/>
        <w:rPr>
          <w:rFonts w:hint="default" w:ascii="Times New Roman" w:hAnsi="Times New Roman" w:eastAsia="宋体" w:cs="Times New Roman"/>
          <w:b/>
          <w:bCs/>
          <w:color w:val="000000" w:themeColor="text1"/>
          <w:spacing w:val="40"/>
          <w:sz w:val="28"/>
          <w:szCs w:val="28"/>
          <w:lang w:eastAsia="zh-CN"/>
          <w14:textFill>
            <w14:solidFill>
              <w14:schemeClr w14:val="tx1"/>
            </w14:solidFill>
          </w14:textFill>
        </w:rPr>
      </w:pPr>
      <w:r>
        <w:rPr>
          <w:rFonts w:hint="default" w:ascii="Times New Roman" w:hAnsi="Times New Roman" w:eastAsia="宋体" w:cs="Times New Roman"/>
          <w:b/>
          <w:bCs/>
          <w:color w:val="000000" w:themeColor="text1"/>
          <w:spacing w:val="40"/>
          <w:sz w:val="28"/>
          <w:szCs w:val="28"/>
          <w:lang w:eastAsia="zh-CN"/>
          <w14:textFill>
            <w14:solidFill>
              <w14:schemeClr w14:val="tx1"/>
            </w14:solidFill>
          </w14:textFill>
        </w:rPr>
        <w:t>（</w:t>
      </w:r>
      <w:r>
        <w:rPr>
          <w:rFonts w:hint="default" w:ascii="Times New Roman" w:hAnsi="Times New Roman" w:eastAsia="宋体" w:cs="Times New Roman"/>
          <w:b/>
          <w:bCs/>
          <w:color w:val="000000" w:themeColor="text1"/>
          <w:spacing w:val="40"/>
          <w:sz w:val="28"/>
          <w:szCs w:val="28"/>
          <w:lang w:val="en-US" w:eastAsia="zh-CN"/>
          <w14:textFill>
            <w14:solidFill>
              <w14:schemeClr w14:val="tx1"/>
            </w14:solidFill>
          </w14:textFill>
        </w:rPr>
        <w:t>一</w:t>
      </w:r>
      <w:r>
        <w:rPr>
          <w:rFonts w:hint="default" w:ascii="Times New Roman" w:hAnsi="Times New Roman" w:eastAsia="宋体" w:cs="Times New Roman"/>
          <w:b/>
          <w:bCs/>
          <w:color w:val="000000" w:themeColor="text1"/>
          <w:spacing w:val="40"/>
          <w:sz w:val="28"/>
          <w:szCs w:val="28"/>
          <w:lang w:eastAsia="zh-CN"/>
          <w14:textFill>
            <w14:solidFill>
              <w14:schemeClr w14:val="tx1"/>
            </w14:solidFill>
          </w14:textFill>
        </w:rPr>
        <w:t>）承诺书</w:t>
      </w:r>
    </w:p>
    <w:p w14:paraId="27990518">
      <w:pPr>
        <w:spacing w:line="360" w:lineRule="auto"/>
        <w:ind w:firstLine="420" w:firstLineChars="2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本企业为参与</w:t>
      </w:r>
      <w:r>
        <w:rPr>
          <w:rFonts w:hint="default" w:ascii="Times New Roman" w:hAnsi="Times New Roman" w:cs="Times New Roman"/>
          <w:color w:val="000000" w:themeColor="text1"/>
          <w:u w:val="single"/>
          <w14:textFill>
            <w14:solidFill>
              <w14:schemeClr w14:val="tx1"/>
            </w14:solidFill>
          </w14:textFill>
        </w:rPr>
        <w:t xml:space="preserve">        （项目名称）</w:t>
      </w:r>
      <w:r>
        <w:rPr>
          <w:rFonts w:hint="default" w:ascii="Times New Roman" w:hAnsi="Times New Roman" w:cs="Times New Roman"/>
          <w:color w:val="000000" w:themeColor="text1"/>
          <w14:textFill>
            <w14:solidFill>
              <w14:schemeClr w14:val="tx1"/>
            </w14:solidFill>
          </w14:textFill>
        </w:rPr>
        <w:t>的供应商，现作如下承诺：</w:t>
      </w:r>
    </w:p>
    <w:p w14:paraId="02530C8A">
      <w:pPr>
        <w:spacing w:line="360" w:lineRule="auto"/>
        <w:ind w:firstLine="630" w:firstLineChars="3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1.</w:t>
      </w:r>
      <w:r>
        <w:rPr>
          <w:rFonts w:hint="default" w:ascii="Times New Roman" w:hAnsi="Times New Roman" w:cs="Times New Roman"/>
          <w:color w:val="000000" w:themeColor="text1"/>
          <w14:textFill>
            <w14:solidFill>
              <w14:schemeClr w14:val="tx1"/>
            </w14:solidFill>
          </w14:textFill>
        </w:rPr>
        <w:t>本单位符合《中华人民共和国政府采购法》第二十二条的规定。</w:t>
      </w:r>
    </w:p>
    <w:p w14:paraId="01F181E8">
      <w:pPr>
        <w:spacing w:line="360" w:lineRule="auto"/>
        <w:ind w:firstLine="630" w:firstLineChars="3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2.</w:t>
      </w:r>
      <w:r>
        <w:rPr>
          <w:rFonts w:hint="default" w:ascii="Times New Roman" w:hAnsi="Times New Roman" w:cs="Times New Roman"/>
          <w:color w:val="000000" w:themeColor="text1"/>
          <w14:textFill>
            <w14:solidFill>
              <w14:schemeClr w14:val="tx1"/>
            </w14:solidFill>
          </w14:textFill>
        </w:rPr>
        <w:t>所提供的一切材料都是真实、有效、合法的。</w:t>
      </w:r>
    </w:p>
    <w:p w14:paraId="7CDCDEB6">
      <w:pPr>
        <w:spacing w:line="360" w:lineRule="auto"/>
        <w:ind w:firstLine="630" w:firstLineChars="3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3.</w:t>
      </w:r>
      <w:r>
        <w:rPr>
          <w:rFonts w:hint="default" w:ascii="Times New Roman" w:hAnsi="Times New Roman" w:cs="Times New Roman"/>
          <w:color w:val="000000" w:themeColor="text1"/>
          <w14:textFill>
            <w14:solidFill>
              <w14:schemeClr w14:val="tx1"/>
            </w14:solidFill>
          </w14:textFill>
        </w:rPr>
        <w:t>不与其他供应商串通投标，不损害采购人或其他供应商的合法权益。</w:t>
      </w:r>
    </w:p>
    <w:p w14:paraId="75101F2D">
      <w:pPr>
        <w:spacing w:line="360" w:lineRule="auto"/>
        <w:ind w:firstLine="630" w:firstLineChars="3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4.</w:t>
      </w:r>
      <w:r>
        <w:rPr>
          <w:rFonts w:hint="default" w:ascii="Times New Roman" w:hAnsi="Times New Roman" w:cs="Times New Roman"/>
          <w:color w:val="000000" w:themeColor="text1"/>
          <w14:textFill>
            <w14:solidFill>
              <w14:schemeClr w14:val="tx1"/>
            </w14:solidFill>
          </w14:textFill>
        </w:rPr>
        <w:t>不转让、出租、出借营业执照（资质证书）、人员岗位证书或以其他方式允许他人以本企业名义参加磋商。</w:t>
      </w:r>
    </w:p>
    <w:p w14:paraId="59A9E0B8">
      <w:pPr>
        <w:spacing w:line="360" w:lineRule="auto"/>
        <w:ind w:firstLine="630" w:firstLineChars="3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5.</w:t>
      </w:r>
      <w:r>
        <w:rPr>
          <w:rFonts w:hint="default" w:ascii="Times New Roman" w:hAnsi="Times New Roman" w:cs="Times New Roman"/>
          <w:color w:val="000000" w:themeColor="text1"/>
          <w14:textFill>
            <w14:solidFill>
              <w14:schemeClr w14:val="tx1"/>
            </w14:solidFill>
          </w14:textFill>
        </w:rPr>
        <w:t>不与采购人或采购代理机构串通投标，损害国家利益、社会公共利益或者他人的合法权益。</w:t>
      </w:r>
    </w:p>
    <w:p w14:paraId="03388D71">
      <w:pPr>
        <w:spacing w:line="360" w:lineRule="auto"/>
        <w:ind w:firstLine="630" w:firstLineChars="3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6.</w:t>
      </w:r>
      <w:r>
        <w:rPr>
          <w:rFonts w:hint="default" w:ascii="Times New Roman" w:hAnsi="Times New Roman" w:cs="Times New Roman"/>
          <w:color w:val="000000" w:themeColor="text1"/>
          <w14:textFill>
            <w14:solidFill>
              <w14:schemeClr w14:val="tx1"/>
            </w14:solidFill>
          </w14:textFill>
        </w:rPr>
        <w:t>不向采购人、评标委员会成员、监督人员行贿。</w:t>
      </w:r>
    </w:p>
    <w:p w14:paraId="6AFA59B6">
      <w:pPr>
        <w:spacing w:line="360" w:lineRule="auto"/>
        <w:ind w:firstLine="630" w:firstLineChars="3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7.</w:t>
      </w:r>
      <w:r>
        <w:rPr>
          <w:rFonts w:hint="default" w:ascii="Times New Roman" w:hAnsi="Times New Roman" w:cs="Times New Roman"/>
          <w:color w:val="000000" w:themeColor="text1"/>
          <w14:textFill>
            <w14:solidFill>
              <w14:schemeClr w14:val="tx1"/>
            </w14:solidFill>
          </w14:textFill>
        </w:rPr>
        <w:t>不扰乱招标投标活动正常秩序。</w:t>
      </w:r>
    </w:p>
    <w:p w14:paraId="36DE3FBB">
      <w:pPr>
        <w:spacing w:line="360" w:lineRule="auto"/>
        <w:ind w:firstLine="630" w:firstLineChars="3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8.</w:t>
      </w:r>
      <w:r>
        <w:rPr>
          <w:rFonts w:hint="default" w:ascii="Times New Roman" w:hAnsi="Times New Roman" w:cs="Times New Roman"/>
          <w:color w:val="000000" w:themeColor="text1"/>
          <w14:textFill>
            <w14:solidFill>
              <w14:schemeClr w14:val="tx1"/>
            </w14:solidFill>
          </w14:textFill>
        </w:rPr>
        <w:t>不进行虚假恶意投诉。</w:t>
      </w:r>
    </w:p>
    <w:p w14:paraId="455A4C9E">
      <w:pPr>
        <w:spacing w:line="360" w:lineRule="auto"/>
        <w:ind w:firstLine="630" w:firstLineChars="3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9.</w:t>
      </w:r>
      <w:r>
        <w:rPr>
          <w:rFonts w:hint="default" w:ascii="Times New Roman" w:hAnsi="Times New Roman" w:cs="Times New Roman"/>
          <w:color w:val="000000" w:themeColor="text1"/>
          <w14:textFill>
            <w14:solidFill>
              <w14:schemeClr w14:val="tx1"/>
            </w14:solidFill>
          </w14:textFill>
        </w:rPr>
        <w:t>因违反</w:t>
      </w:r>
      <w:r>
        <w:rPr>
          <w:rFonts w:hint="default" w:ascii="Times New Roman" w:hAnsi="Times New Roman" w:cs="Times New Roman"/>
          <w:color w:val="000000" w:themeColor="text1"/>
          <w:lang w:eastAsia="zh-CN"/>
          <w14:textFill>
            <w14:solidFill>
              <w14:schemeClr w14:val="tx1"/>
            </w14:solidFill>
          </w14:textFill>
        </w:rPr>
        <w:t>法律法规</w:t>
      </w:r>
      <w:r>
        <w:rPr>
          <w:rFonts w:hint="default" w:ascii="Times New Roman" w:hAnsi="Times New Roman" w:cs="Times New Roman"/>
          <w:color w:val="000000" w:themeColor="text1"/>
          <w14:textFill>
            <w14:solidFill>
              <w14:schemeClr w14:val="tx1"/>
            </w14:solidFill>
          </w14:textFill>
        </w:rPr>
        <w:t>、规章被查处的，不干预案件查处。</w:t>
      </w:r>
    </w:p>
    <w:p w14:paraId="40D99B63">
      <w:pPr>
        <w:spacing w:line="360" w:lineRule="auto"/>
        <w:ind w:firstLine="630" w:firstLineChars="30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10.</w:t>
      </w:r>
      <w:r>
        <w:rPr>
          <w:rFonts w:hint="default" w:ascii="Times New Roman" w:hAnsi="Times New Roman" w:cs="Times New Roman"/>
          <w:color w:val="000000" w:themeColor="text1"/>
          <w14:textFill>
            <w14:solidFill>
              <w14:schemeClr w14:val="tx1"/>
            </w14:solidFill>
          </w14:textFill>
        </w:rPr>
        <w:t>本单位不为“供应商单位负责人为同一人或者存在直接控股、管理关系的不同供应商”，参加同一合同项下的政府采购活动。</w:t>
      </w:r>
    </w:p>
    <w:p w14:paraId="3E576177">
      <w:pPr>
        <w:pStyle w:val="16"/>
        <w:spacing w:line="360" w:lineRule="auto"/>
        <w:ind w:left="0" w:leftChars="0" w:firstLine="0" w:firstLineChars="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如违反上述行为，本供应商自愿承担相关责任</w:t>
      </w:r>
      <w:r>
        <w:rPr>
          <w:rFonts w:hint="default" w:ascii="Times New Roman" w:hAnsi="Times New Roman" w:cs="Times New Roman"/>
          <w:color w:val="000000" w:themeColor="text1"/>
          <w:szCs w:val="21"/>
          <w:lang w:eastAsia="zh-CN"/>
          <w14:textFill>
            <w14:solidFill>
              <w14:schemeClr w14:val="tx1"/>
            </w14:solidFill>
          </w14:textFill>
        </w:rPr>
        <w:t>，并</w:t>
      </w:r>
      <w:r>
        <w:rPr>
          <w:rFonts w:hint="default" w:ascii="Times New Roman" w:hAnsi="Times New Roman" w:cs="Times New Roman"/>
          <w:color w:val="000000" w:themeColor="text1"/>
          <w:szCs w:val="21"/>
          <w14:textFill>
            <w14:solidFill>
              <w14:schemeClr w14:val="tx1"/>
            </w14:solidFill>
          </w14:textFill>
        </w:rPr>
        <w:t>接受采购监督管理部门、纪检</w:t>
      </w:r>
      <w:r>
        <w:rPr>
          <w:rFonts w:hint="default" w:ascii="Times New Roman" w:hAnsi="Times New Roman" w:cs="Times New Roman"/>
          <w:color w:val="000000" w:themeColor="text1"/>
          <w:szCs w:val="21"/>
          <w:lang w:eastAsia="zh-CN"/>
          <w14:textFill>
            <w14:solidFill>
              <w14:schemeClr w14:val="tx1"/>
            </w14:solidFill>
          </w14:textFill>
        </w:rPr>
        <w:t>国家监察委员会</w:t>
      </w:r>
      <w:r>
        <w:rPr>
          <w:rFonts w:hint="default" w:ascii="Times New Roman" w:hAnsi="Times New Roman" w:cs="Times New Roman"/>
          <w:color w:val="000000" w:themeColor="text1"/>
          <w:szCs w:val="21"/>
          <w14:textFill>
            <w14:solidFill>
              <w14:schemeClr w14:val="tx1"/>
            </w14:solidFill>
          </w14:textFill>
        </w:rPr>
        <w:t>或司法机关调查处理。给采购人造成损失的，依法承担赔偿责任。</w:t>
      </w:r>
    </w:p>
    <w:p w14:paraId="25C9FEB2">
      <w:pPr>
        <w:spacing w:line="360" w:lineRule="auto"/>
        <w:ind w:firstLine="441" w:firstLineChars="210"/>
        <w:rPr>
          <w:rFonts w:hint="default" w:ascii="Times New Roman" w:hAnsi="Times New Roman" w:cs="Times New Roman"/>
          <w:color w:val="000000" w:themeColor="text1"/>
          <w14:textFill>
            <w14:solidFill>
              <w14:schemeClr w14:val="tx1"/>
            </w14:solidFill>
          </w14:textFill>
        </w:rPr>
      </w:pPr>
    </w:p>
    <w:p w14:paraId="18729D99">
      <w:pPr>
        <w:spacing w:line="360" w:lineRule="auto"/>
        <w:ind w:firstLine="441" w:firstLineChars="210"/>
        <w:rPr>
          <w:rFonts w:hint="default" w:ascii="Times New Roman" w:hAnsi="Times New Roman" w:cs="Times New Roman"/>
          <w:color w:val="000000" w:themeColor="text1"/>
          <w14:textFill>
            <w14:solidFill>
              <w14:schemeClr w14:val="tx1"/>
            </w14:solidFill>
          </w14:textFill>
        </w:rPr>
      </w:pPr>
    </w:p>
    <w:p w14:paraId="2533AC23">
      <w:pPr>
        <w:spacing w:line="360" w:lineRule="auto"/>
        <w:ind w:firstLine="441" w:firstLineChars="210"/>
        <w:rPr>
          <w:rFonts w:hint="default" w:ascii="Times New Roman" w:hAnsi="Times New Roman" w:cs="Times New Roman"/>
          <w:color w:val="000000" w:themeColor="text1"/>
          <w14:textFill>
            <w14:solidFill>
              <w14:schemeClr w14:val="tx1"/>
            </w14:solidFill>
          </w14:textFill>
        </w:rPr>
      </w:pPr>
    </w:p>
    <w:p w14:paraId="68BA4893">
      <w:pPr>
        <w:spacing w:line="360" w:lineRule="auto"/>
        <w:rPr>
          <w:rFonts w:hint="default" w:ascii="Times New Roman" w:hAnsi="Times New Roman" w:cs="Times New Roman"/>
          <w:color w:val="000000" w:themeColor="text1"/>
          <w14:textFill>
            <w14:solidFill>
              <w14:schemeClr w14:val="tx1"/>
            </w14:solidFill>
          </w14:textFill>
        </w:rPr>
      </w:pPr>
    </w:p>
    <w:p w14:paraId="0B78416E">
      <w:pPr>
        <w:spacing w:line="360" w:lineRule="auto"/>
        <w:rPr>
          <w:rFonts w:hint="default" w:ascii="Times New Roman" w:hAnsi="Times New Roman" w:cs="Times New Roman"/>
          <w:color w:val="000000" w:themeColor="text1"/>
          <w14:textFill>
            <w14:solidFill>
              <w14:schemeClr w14:val="tx1"/>
            </w14:solidFill>
          </w14:textFill>
        </w:rPr>
      </w:pPr>
    </w:p>
    <w:p w14:paraId="781852E1">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供应商</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名称</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6E1EDE0F">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法定代表人</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或委托代理人</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2911ECFF">
      <w:pPr>
        <w:spacing w:before="20" w:after="120" w:line="360" w:lineRule="auto"/>
        <w:ind w:firstLine="420" w:firstLineChars="200"/>
        <w:jc w:val="both"/>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45637EAD">
      <w:pPr>
        <w:spacing w:line="360" w:lineRule="auto"/>
        <w:rPr>
          <w:rFonts w:hint="default" w:ascii="Times New Roman" w:hAnsi="Times New Roman" w:cs="Times New Roman"/>
          <w:b/>
          <w:color w:val="000000" w:themeColor="text1"/>
          <w14:textFill>
            <w14:solidFill>
              <w14:schemeClr w14:val="tx1"/>
            </w14:solidFill>
          </w14:textFill>
        </w:rPr>
      </w:pPr>
    </w:p>
    <w:bookmarkEnd w:id="1396"/>
    <w:bookmarkEnd w:id="1397"/>
    <w:p w14:paraId="53A28AB2">
      <w:pPr>
        <w:pStyle w:val="16"/>
        <w:spacing w:line="360" w:lineRule="auto"/>
        <w:ind w:left="0" w:leftChars="0" w:firstLine="0" w:firstLineChars="0"/>
        <w:rPr>
          <w:rFonts w:hint="default" w:ascii="Times New Roman" w:hAnsi="Times New Roman" w:cs="Times New Roman"/>
          <w:color w:val="000000" w:themeColor="text1"/>
          <w:sz w:val="24"/>
          <w14:textFill>
            <w14:solidFill>
              <w14:schemeClr w14:val="tx1"/>
            </w14:solidFill>
          </w14:textFill>
        </w:rPr>
      </w:pPr>
    </w:p>
    <w:p w14:paraId="30FFBE50">
      <w:pPr>
        <w:spacing w:line="360" w:lineRule="auto"/>
        <w:rPr>
          <w:rFonts w:hint="default" w:ascii="Times New Roman" w:hAnsi="Times New Roman" w:cs="Times New Roman"/>
          <w:color w:val="000000" w:themeColor="text1"/>
          <w14:textFill>
            <w14:solidFill>
              <w14:schemeClr w14:val="tx1"/>
            </w14:solidFill>
          </w14:textFill>
        </w:rPr>
      </w:pPr>
      <w:bookmarkStart w:id="1398" w:name="_Toc22287"/>
      <w:bookmarkStart w:id="1399" w:name="_Toc20673"/>
      <w:bookmarkStart w:id="1400" w:name="_Toc414014538"/>
      <w:bookmarkStart w:id="1401" w:name="_Toc413838396"/>
      <w:bookmarkStart w:id="1402" w:name="_Toc435966533"/>
      <w:r>
        <w:rPr>
          <w:rFonts w:hint="default" w:ascii="Times New Roman" w:hAnsi="Times New Roman" w:cs="Times New Roman"/>
          <w:color w:val="000000" w:themeColor="text1"/>
          <w14:textFill>
            <w14:solidFill>
              <w14:schemeClr w14:val="tx1"/>
            </w14:solidFill>
          </w14:textFill>
        </w:rPr>
        <w:br w:type="page"/>
      </w:r>
    </w:p>
    <w:bookmarkEnd w:id="1398"/>
    <w:bookmarkEnd w:id="1399"/>
    <w:bookmarkEnd w:id="1400"/>
    <w:bookmarkEnd w:id="1401"/>
    <w:bookmarkEnd w:id="1402"/>
    <w:p w14:paraId="1ACBDB47">
      <w:pPr>
        <w:pStyle w:val="5"/>
        <w:spacing w:before="0" w:after="0" w:line="360" w:lineRule="auto"/>
        <w:ind w:firstLine="3373" w:firstLineChars="1200"/>
        <w:jc w:val="both"/>
        <w:rPr>
          <w:rFonts w:hint="default" w:ascii="Times New Roman" w:hAnsi="Times New Roman" w:eastAsia="宋体" w:cs="Times New Roman"/>
          <w:color w:val="000000" w:themeColor="text1"/>
          <w:sz w:val="28"/>
          <w:szCs w:val="21"/>
          <w14:textFill>
            <w14:solidFill>
              <w14:schemeClr w14:val="tx1"/>
            </w14:solidFill>
          </w14:textFill>
        </w:rPr>
      </w:pPr>
      <w:r>
        <w:rPr>
          <w:rFonts w:hint="default" w:ascii="Times New Roman" w:hAnsi="Times New Roman" w:eastAsia="宋体" w:cs="Times New Roman"/>
          <w:color w:val="000000" w:themeColor="text1"/>
          <w:kern w:val="0"/>
          <w:sz w:val="28"/>
          <w:szCs w:val="28"/>
          <w:lang w:eastAsia="zh-CN"/>
          <w14:textFill>
            <w14:solidFill>
              <w14:schemeClr w14:val="tx1"/>
            </w14:solidFill>
          </w14:textFill>
        </w:rPr>
        <w:t>（</w:t>
      </w:r>
      <w:r>
        <w:rPr>
          <w:rFonts w:hint="default" w:ascii="Times New Roman" w:hAnsi="Times New Roman" w:eastAsia="宋体" w:cs="Times New Roman"/>
          <w:color w:val="000000" w:themeColor="text1"/>
          <w:kern w:val="0"/>
          <w:sz w:val="28"/>
          <w:szCs w:val="28"/>
          <w:lang w:val="en-US" w:eastAsia="zh-CN"/>
          <w14:textFill>
            <w14:solidFill>
              <w14:schemeClr w14:val="tx1"/>
            </w14:solidFill>
          </w14:textFill>
        </w:rPr>
        <w:t>二</w:t>
      </w:r>
      <w:r>
        <w:rPr>
          <w:rFonts w:hint="default" w:ascii="Times New Roman" w:hAnsi="Times New Roman" w:eastAsia="宋体" w:cs="Times New Roman"/>
          <w:color w:val="000000" w:themeColor="text1"/>
          <w:kern w:val="0"/>
          <w:sz w:val="28"/>
          <w:szCs w:val="28"/>
          <w:lang w:eastAsia="zh-CN"/>
          <w14:textFill>
            <w14:solidFill>
              <w14:schemeClr w14:val="tx1"/>
            </w14:solidFill>
          </w14:textFill>
        </w:rPr>
        <w:t>）</w:t>
      </w:r>
      <w:r>
        <w:rPr>
          <w:rFonts w:hint="default" w:ascii="Times New Roman" w:hAnsi="Times New Roman" w:eastAsia="宋体" w:cs="Times New Roman"/>
          <w:color w:val="000000" w:themeColor="text1"/>
          <w:kern w:val="0"/>
          <w:sz w:val="28"/>
          <w:szCs w:val="28"/>
          <w14:textFill>
            <w14:solidFill>
              <w14:schemeClr w14:val="tx1"/>
            </w14:solidFill>
          </w14:textFill>
        </w:rPr>
        <w:t>报价一览表</w:t>
      </w:r>
    </w:p>
    <w:p w14:paraId="3843CD50">
      <w:pPr>
        <w:keepNext w:val="0"/>
        <w:keepLines w:val="0"/>
        <w:pageBreakBefore w:val="0"/>
        <w:widowControl w:val="0"/>
        <w:kinsoku/>
        <w:wordWrap/>
        <w:overflowPunct/>
        <w:topLinePunct w:val="0"/>
        <w:autoSpaceDE/>
        <w:autoSpaceDN/>
        <w:bidi w:val="0"/>
        <w:adjustRightInd w:val="0"/>
        <w:snapToGrid w:val="0"/>
        <w:spacing w:line="573" w:lineRule="exact"/>
        <w:ind w:right="0" w:rightChars="0"/>
        <w:jc w:val="both"/>
        <w:textAlignment w:val="auto"/>
        <w:outlineLvl w:val="9"/>
        <w:rPr>
          <w:rFonts w:hint="eastAsia"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项目</w:t>
      </w:r>
      <w:r>
        <w:rPr>
          <w:rFonts w:hint="default" w:ascii="Times New Roman" w:hAnsi="Times New Roman" w:cs="Times New Roman"/>
          <w:color w:val="000000" w:themeColor="text1"/>
          <w:lang w:val="en-US" w:eastAsia="zh-CN"/>
          <w14:textFill>
            <w14:solidFill>
              <w14:schemeClr w14:val="tx1"/>
            </w14:solidFill>
          </w14:textFill>
        </w:rPr>
        <w:t>名称：</w:t>
      </w:r>
      <w:r>
        <w:rPr>
          <w:rFonts w:hint="eastAsia" w:ascii="Times New Roman" w:hAnsi="Times New Roman" w:eastAsia="宋体" w:cs="Times New Roman"/>
          <w:color w:val="000000" w:themeColor="text1"/>
          <w:lang w:val="en-US" w:eastAsia="zh-CN"/>
          <w14:textFill>
            <w14:solidFill>
              <w14:schemeClr w14:val="tx1"/>
            </w14:solidFill>
          </w14:textFill>
        </w:rPr>
        <w:t>2026年勐海县勐阿镇南朗河村委会龙竹蓬村小组农村公益事业建设财政奖补项目（普惠）</w:t>
      </w:r>
    </w:p>
    <w:p w14:paraId="58767007">
      <w:pPr>
        <w:jc w:val="both"/>
        <w:rPr>
          <w:rFonts w:hint="default" w:ascii="Times New Roman" w:hAnsi="Times New Roman"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项目编号： HMZB-</w:t>
      </w:r>
      <w:r>
        <w:rPr>
          <w:rFonts w:hint="default" w:ascii="Times New Roman" w:hAnsi="Times New Roman" w:cs="Times New Roman"/>
          <w:color w:val="000000" w:themeColor="text1"/>
          <w:lang w:val="en-US" w:eastAsia="zh-CN"/>
          <w14:textFill>
            <w14:solidFill>
              <w14:schemeClr w14:val="tx1"/>
            </w14:solidFill>
          </w14:textFill>
        </w:rPr>
        <w:t>2026-</w:t>
      </w:r>
      <w:r>
        <w:rPr>
          <w:rFonts w:hint="eastAsia" w:ascii="Times New Roman" w:hAnsi="Times New Roman" w:cs="Times New Roman"/>
          <w:color w:val="000000" w:themeColor="text1"/>
          <w:lang w:val="en-US" w:eastAsia="zh-CN"/>
          <w14:textFill>
            <w14:solidFill>
              <w14:schemeClr w14:val="tx1"/>
            </w14:solidFill>
          </w14:textFill>
        </w:rPr>
        <w:t>8</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16</w:t>
      </w:r>
    </w:p>
    <w:p w14:paraId="08E97030">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default" w:cs="Times New Roman"/>
          <w:color w:val="000000" w:themeColor="text1"/>
          <w:lang w:val="en-US" w:eastAsia="zh-CN"/>
          <w14:textFill>
            <w14:solidFill>
              <w14:schemeClr w14:val="tx1"/>
            </w14:solidFill>
          </w14:textFill>
        </w:rPr>
      </w:pPr>
    </w:p>
    <w:tbl>
      <w:tblPr>
        <w:tblStyle w:val="30"/>
        <w:tblpPr w:leftFromText="180" w:rightFromText="180" w:vertAnchor="text" w:tblpXSpec="center" w:tblpY="1"/>
        <w:tblOverlap w:val="never"/>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864"/>
        <w:gridCol w:w="5145"/>
        <w:gridCol w:w="1496"/>
      </w:tblGrid>
      <w:tr w14:paraId="2200C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7" w:type="dxa"/>
            <w:noWrap w:val="0"/>
            <w:vAlign w:val="center"/>
          </w:tcPr>
          <w:p w14:paraId="54A68FA1">
            <w:pPr>
              <w:spacing w:line="360" w:lineRule="auto"/>
              <w:jc w:val="center"/>
              <w:rPr>
                <w:rFonts w:hint="default" w:ascii="Times New Roman" w:hAnsi="Times New Roman" w:cs="Times New Roman"/>
                <w:b/>
                <w:color w:val="000000" w:themeColor="text1"/>
                <w:sz w:val="21"/>
                <w:szCs w:val="21"/>
                <w14:textFill>
                  <w14:solidFill>
                    <w14:schemeClr w14:val="tx1"/>
                  </w14:solidFill>
                </w14:textFill>
              </w:rPr>
            </w:pPr>
            <w:r>
              <w:rPr>
                <w:rFonts w:hint="default" w:ascii="Times New Roman" w:hAnsi="Times New Roman" w:cs="Times New Roman"/>
                <w:b/>
                <w:color w:val="000000" w:themeColor="text1"/>
                <w:sz w:val="21"/>
                <w:szCs w:val="21"/>
                <w14:textFill>
                  <w14:solidFill>
                    <w14:schemeClr w14:val="tx1"/>
                  </w14:solidFill>
                </w14:textFill>
              </w:rPr>
              <w:t>序号</w:t>
            </w:r>
          </w:p>
        </w:tc>
        <w:tc>
          <w:tcPr>
            <w:tcW w:w="1864" w:type="dxa"/>
            <w:noWrap w:val="0"/>
            <w:vAlign w:val="center"/>
          </w:tcPr>
          <w:p w14:paraId="15DD2E3A">
            <w:pPr>
              <w:spacing w:line="360" w:lineRule="auto"/>
              <w:jc w:val="center"/>
              <w:rPr>
                <w:rFonts w:hint="default" w:ascii="Times New Roman" w:hAnsi="Times New Roman" w:cs="Times New Roman"/>
                <w:b/>
                <w:color w:val="000000" w:themeColor="text1"/>
                <w:sz w:val="21"/>
                <w:szCs w:val="21"/>
                <w14:textFill>
                  <w14:solidFill>
                    <w14:schemeClr w14:val="tx1"/>
                  </w14:solidFill>
                </w14:textFill>
              </w:rPr>
            </w:pPr>
            <w:r>
              <w:rPr>
                <w:rFonts w:hint="default" w:ascii="Times New Roman" w:hAnsi="Times New Roman" w:cs="Times New Roman"/>
                <w:b/>
                <w:color w:val="000000" w:themeColor="text1"/>
                <w:sz w:val="21"/>
                <w:szCs w:val="21"/>
                <w14:textFill>
                  <w14:solidFill>
                    <w14:schemeClr w14:val="tx1"/>
                  </w14:solidFill>
                </w14:textFill>
              </w:rPr>
              <w:t>条款</w:t>
            </w:r>
          </w:p>
        </w:tc>
        <w:tc>
          <w:tcPr>
            <w:tcW w:w="5145" w:type="dxa"/>
            <w:noWrap w:val="0"/>
            <w:vAlign w:val="center"/>
          </w:tcPr>
          <w:p w14:paraId="4352C647">
            <w:pPr>
              <w:spacing w:line="360" w:lineRule="auto"/>
              <w:jc w:val="center"/>
              <w:rPr>
                <w:rFonts w:hint="default" w:ascii="Times New Roman" w:hAnsi="Times New Roman" w:cs="Times New Roman"/>
                <w:b/>
                <w:color w:val="000000" w:themeColor="text1"/>
                <w:sz w:val="21"/>
                <w:szCs w:val="21"/>
                <w14:textFill>
                  <w14:solidFill>
                    <w14:schemeClr w14:val="tx1"/>
                  </w14:solidFill>
                </w14:textFill>
              </w:rPr>
            </w:pPr>
            <w:r>
              <w:rPr>
                <w:rFonts w:hint="default" w:ascii="Times New Roman" w:hAnsi="Times New Roman" w:cs="Times New Roman"/>
                <w:b/>
                <w:color w:val="000000" w:themeColor="text1"/>
                <w:sz w:val="21"/>
                <w:szCs w:val="21"/>
                <w14:textFill>
                  <w14:solidFill>
                    <w14:schemeClr w14:val="tx1"/>
                  </w14:solidFill>
                </w14:textFill>
              </w:rPr>
              <w:t>内容</w:t>
            </w:r>
          </w:p>
        </w:tc>
        <w:tc>
          <w:tcPr>
            <w:tcW w:w="1496" w:type="dxa"/>
            <w:noWrap w:val="0"/>
            <w:vAlign w:val="center"/>
          </w:tcPr>
          <w:p w14:paraId="56E12BE0">
            <w:pPr>
              <w:spacing w:line="360" w:lineRule="auto"/>
              <w:jc w:val="center"/>
              <w:rPr>
                <w:rFonts w:hint="default" w:ascii="Times New Roman" w:hAnsi="Times New Roman" w:cs="Times New Roman"/>
                <w:b/>
                <w:color w:val="000000" w:themeColor="text1"/>
                <w:sz w:val="21"/>
                <w:szCs w:val="21"/>
                <w14:textFill>
                  <w14:solidFill>
                    <w14:schemeClr w14:val="tx1"/>
                  </w14:solidFill>
                </w14:textFill>
              </w:rPr>
            </w:pPr>
            <w:r>
              <w:rPr>
                <w:rFonts w:hint="default" w:ascii="Times New Roman" w:hAnsi="Times New Roman" w:cs="Times New Roman"/>
                <w:b/>
                <w:color w:val="000000" w:themeColor="text1"/>
                <w:sz w:val="21"/>
                <w:szCs w:val="21"/>
                <w14:textFill>
                  <w14:solidFill>
                    <w14:schemeClr w14:val="tx1"/>
                  </w14:solidFill>
                </w14:textFill>
              </w:rPr>
              <w:t>备注</w:t>
            </w:r>
          </w:p>
        </w:tc>
      </w:tr>
      <w:tr w14:paraId="62A5D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9" w:hRule="atLeast"/>
        </w:trPr>
        <w:tc>
          <w:tcPr>
            <w:tcW w:w="817" w:type="dxa"/>
            <w:noWrap w:val="0"/>
            <w:vAlign w:val="center"/>
          </w:tcPr>
          <w:p w14:paraId="7647DEC3">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w:t>
            </w:r>
          </w:p>
        </w:tc>
        <w:tc>
          <w:tcPr>
            <w:tcW w:w="1864" w:type="dxa"/>
            <w:noWrap w:val="0"/>
            <w:vAlign w:val="center"/>
          </w:tcPr>
          <w:p w14:paraId="5D592F24">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磋商报价</w:t>
            </w:r>
          </w:p>
        </w:tc>
        <w:tc>
          <w:tcPr>
            <w:tcW w:w="5145" w:type="dxa"/>
            <w:noWrap w:val="0"/>
            <w:vAlign w:val="center"/>
          </w:tcPr>
          <w:p w14:paraId="1E56B5E1">
            <w:pPr>
              <w:spacing w:line="360" w:lineRule="auto"/>
              <w:jc w:val="left"/>
              <w:rPr>
                <w:rFonts w:hint="default" w:ascii="Times New Roman" w:hAnsi="Times New Roman" w:cs="Times New Roman"/>
                <w:color w:val="000000" w:themeColor="text1"/>
                <w:sz w:val="21"/>
                <w:szCs w:val="21"/>
                <w:lang w:val="en-US" w:eastAsia="zh-CN"/>
                <w14:textFill>
                  <w14:solidFill>
                    <w14:schemeClr w14:val="tx1"/>
                  </w14:solidFill>
                </w14:textFill>
              </w:rPr>
            </w:pPr>
          </w:p>
          <w:p w14:paraId="1421C2BE">
            <w:pPr>
              <w:spacing w:line="360" w:lineRule="auto"/>
              <w:jc w:val="left"/>
              <w:rPr>
                <w:rFonts w:hint="default" w:ascii="Times New Roman" w:hAnsi="Times New Roman" w:cs="Times New Roman"/>
                <w:color w:val="000000" w:themeColor="text1"/>
                <w:sz w:val="21"/>
                <w:szCs w:val="21"/>
                <w:u w:val="single"/>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小写：</w:t>
            </w:r>
            <w:r>
              <w:rPr>
                <w:rFonts w:hint="default" w:ascii="Times New Roman" w:hAnsi="Times New Roman" w:cs="Times New Roman"/>
                <w:color w:val="000000" w:themeColor="text1"/>
                <w:sz w:val="21"/>
                <w:szCs w:val="21"/>
                <w:u w:val="single"/>
                <w:lang w:val="en-US" w:eastAsia="zh-CN"/>
                <w14:textFill>
                  <w14:solidFill>
                    <w14:schemeClr w14:val="tx1"/>
                  </w14:solidFill>
                </w14:textFill>
              </w:rPr>
              <w:t xml:space="preserve">                                          </w:t>
            </w:r>
          </w:p>
          <w:p w14:paraId="56AD09FB">
            <w:pPr>
              <w:spacing w:line="360" w:lineRule="auto"/>
              <w:jc w:val="left"/>
              <w:rPr>
                <w:rFonts w:hint="default" w:ascii="Times New Roman" w:hAnsi="Times New Roman" w:cs="Times New Roman"/>
                <w:color w:val="000000" w:themeColor="text1"/>
                <w:sz w:val="21"/>
                <w:szCs w:val="21"/>
                <w:u w:val="none"/>
                <w:lang w:val="en-US" w:eastAsia="zh-CN"/>
                <w14:textFill>
                  <w14:solidFill>
                    <w14:schemeClr w14:val="tx1"/>
                  </w14:solidFill>
                </w14:textFill>
              </w:rPr>
            </w:pPr>
          </w:p>
          <w:p w14:paraId="4A62B05C">
            <w:pPr>
              <w:spacing w:line="360" w:lineRule="auto"/>
              <w:jc w:val="lef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u w:val="none"/>
                <w:lang w:val="en-US" w:eastAsia="zh-CN"/>
                <w14:textFill>
                  <w14:solidFill>
                    <w14:schemeClr w14:val="tx1"/>
                  </w14:solidFill>
                </w14:textFill>
              </w:rPr>
              <w:t>大写：</w:t>
            </w:r>
            <w:r>
              <w:rPr>
                <w:rFonts w:hint="default" w:ascii="Times New Roman" w:hAnsi="Times New Roman" w:cs="Times New Roman"/>
                <w:color w:val="000000" w:themeColor="text1"/>
                <w:sz w:val="21"/>
                <w:szCs w:val="21"/>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1"/>
                <w:szCs w:val="21"/>
                <w:u w:val="none"/>
                <w:lang w:val="en-US" w:eastAsia="zh-CN"/>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 xml:space="preserve">      </w:t>
            </w:r>
          </w:p>
        </w:tc>
        <w:tc>
          <w:tcPr>
            <w:tcW w:w="1496" w:type="dxa"/>
            <w:noWrap w:val="0"/>
            <w:vAlign w:val="center"/>
          </w:tcPr>
          <w:p w14:paraId="5362B26C">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第一次报价</w:t>
            </w:r>
          </w:p>
        </w:tc>
      </w:tr>
      <w:tr w14:paraId="67A1A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7" w:type="dxa"/>
            <w:noWrap w:val="0"/>
            <w:vAlign w:val="center"/>
          </w:tcPr>
          <w:p w14:paraId="2E36F9A1">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2</w:t>
            </w:r>
          </w:p>
        </w:tc>
        <w:tc>
          <w:tcPr>
            <w:tcW w:w="1864" w:type="dxa"/>
            <w:noWrap w:val="0"/>
            <w:vAlign w:val="center"/>
          </w:tcPr>
          <w:p w14:paraId="4528761B">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工期要求</w:t>
            </w:r>
          </w:p>
        </w:tc>
        <w:tc>
          <w:tcPr>
            <w:tcW w:w="5145" w:type="dxa"/>
            <w:noWrap w:val="0"/>
            <w:vAlign w:val="center"/>
          </w:tcPr>
          <w:p w14:paraId="60198CC5">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p>
        </w:tc>
        <w:tc>
          <w:tcPr>
            <w:tcW w:w="1496" w:type="dxa"/>
            <w:noWrap w:val="0"/>
            <w:vAlign w:val="center"/>
          </w:tcPr>
          <w:p w14:paraId="2AB796DF">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p>
        </w:tc>
      </w:tr>
      <w:tr w14:paraId="02359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7" w:type="dxa"/>
            <w:noWrap w:val="0"/>
            <w:vAlign w:val="center"/>
          </w:tcPr>
          <w:p w14:paraId="1230B1A6">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3</w:t>
            </w:r>
          </w:p>
        </w:tc>
        <w:tc>
          <w:tcPr>
            <w:tcW w:w="1864" w:type="dxa"/>
            <w:noWrap w:val="0"/>
            <w:vAlign w:val="center"/>
          </w:tcPr>
          <w:p w14:paraId="29FCC9F2">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质量承诺</w:t>
            </w:r>
          </w:p>
        </w:tc>
        <w:tc>
          <w:tcPr>
            <w:tcW w:w="5145" w:type="dxa"/>
            <w:noWrap w:val="0"/>
            <w:vAlign w:val="center"/>
          </w:tcPr>
          <w:p w14:paraId="71E39976">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p>
        </w:tc>
        <w:tc>
          <w:tcPr>
            <w:tcW w:w="1496" w:type="dxa"/>
            <w:noWrap w:val="0"/>
            <w:vAlign w:val="center"/>
          </w:tcPr>
          <w:p w14:paraId="1CFE3DD3">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p>
        </w:tc>
      </w:tr>
      <w:tr w14:paraId="70AF2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7" w:type="dxa"/>
            <w:noWrap w:val="0"/>
            <w:vAlign w:val="center"/>
          </w:tcPr>
          <w:p w14:paraId="0475FF37">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4</w:t>
            </w:r>
          </w:p>
        </w:tc>
        <w:tc>
          <w:tcPr>
            <w:tcW w:w="1864" w:type="dxa"/>
            <w:noWrap w:val="0"/>
            <w:vAlign w:val="center"/>
          </w:tcPr>
          <w:p w14:paraId="02A3FB8E">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项目负责人</w:t>
            </w:r>
          </w:p>
        </w:tc>
        <w:tc>
          <w:tcPr>
            <w:tcW w:w="5145" w:type="dxa"/>
            <w:noWrap w:val="0"/>
            <w:vAlign w:val="center"/>
          </w:tcPr>
          <w:p w14:paraId="7492A056">
            <w:pPr>
              <w:spacing w:line="360" w:lineRule="auto"/>
              <w:rPr>
                <w:rFonts w:hint="default" w:ascii="Times New Roman" w:hAnsi="Times New Roman" w:cs="Times New Roman"/>
                <w:color w:val="000000" w:themeColor="text1"/>
                <w:sz w:val="21"/>
                <w:szCs w:val="21"/>
                <w14:textFill>
                  <w14:solidFill>
                    <w14:schemeClr w14:val="tx1"/>
                  </w14:solidFill>
                </w14:textFill>
              </w:rPr>
            </w:pPr>
          </w:p>
        </w:tc>
        <w:tc>
          <w:tcPr>
            <w:tcW w:w="1496" w:type="dxa"/>
            <w:noWrap w:val="0"/>
            <w:vAlign w:val="center"/>
          </w:tcPr>
          <w:p w14:paraId="15F35CEC">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p>
        </w:tc>
      </w:tr>
    </w:tbl>
    <w:p w14:paraId="714A4536">
      <w:pPr>
        <w:spacing w:line="360" w:lineRule="auto"/>
        <w:rPr>
          <w:rFonts w:hint="default" w:ascii="Times New Roman" w:hAnsi="Times New Roman" w:cs="Times New Roman"/>
          <w:b/>
          <w:color w:val="000000" w:themeColor="text1"/>
          <w:sz w:val="21"/>
          <w:szCs w:val="21"/>
          <w14:textFill>
            <w14:solidFill>
              <w14:schemeClr w14:val="tx1"/>
            </w14:solidFill>
          </w14:textFill>
        </w:rPr>
      </w:pPr>
    </w:p>
    <w:p w14:paraId="640D1E9E">
      <w:pPr>
        <w:spacing w:line="360" w:lineRule="auto"/>
        <w:rPr>
          <w:rFonts w:hint="default" w:ascii="Times New Roman" w:hAnsi="Times New Roman" w:cs="Times New Roman"/>
          <w:color w:val="000000" w:themeColor="text1"/>
          <w:sz w:val="21"/>
          <w:szCs w:val="21"/>
          <w14:textFill>
            <w14:solidFill>
              <w14:schemeClr w14:val="tx1"/>
            </w14:solidFill>
          </w14:textFill>
        </w:rPr>
      </w:pPr>
    </w:p>
    <w:p w14:paraId="6688F905">
      <w:pPr>
        <w:spacing w:line="360" w:lineRule="auto"/>
        <w:rPr>
          <w:rFonts w:hint="default" w:ascii="Times New Roman" w:hAnsi="Times New Roman" w:cs="Times New Roman"/>
          <w:color w:val="000000" w:themeColor="text1"/>
          <w:sz w:val="21"/>
          <w:szCs w:val="21"/>
          <w14:textFill>
            <w14:solidFill>
              <w14:schemeClr w14:val="tx1"/>
            </w14:solidFill>
          </w14:textFill>
        </w:rPr>
      </w:pPr>
    </w:p>
    <w:p w14:paraId="32879382">
      <w:pPr>
        <w:spacing w:line="360" w:lineRule="auto"/>
        <w:rPr>
          <w:rFonts w:hint="default" w:ascii="Times New Roman" w:hAnsi="Times New Roman" w:cs="Times New Roman"/>
          <w:color w:val="000000" w:themeColor="text1"/>
          <w:sz w:val="21"/>
          <w:szCs w:val="21"/>
          <w14:textFill>
            <w14:solidFill>
              <w14:schemeClr w14:val="tx1"/>
            </w14:solidFill>
          </w14:textFill>
        </w:rPr>
      </w:pPr>
    </w:p>
    <w:p w14:paraId="7ABE22D2">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供应商</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名称</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3031B83C">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法定代表人</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或委托代理人</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04695F53">
      <w:pPr>
        <w:spacing w:before="20" w:after="120" w:line="360" w:lineRule="auto"/>
        <w:ind w:firstLine="420" w:firstLineChars="200"/>
        <w:jc w:val="both"/>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5B408396">
      <w:pPr>
        <w:pStyle w:val="16"/>
        <w:spacing w:line="360" w:lineRule="auto"/>
        <w:ind w:left="0" w:leftChars="0"/>
        <w:rPr>
          <w:rFonts w:hint="default" w:ascii="Times New Roman" w:hAnsi="Times New Roman" w:cs="Times New Roman"/>
          <w:color w:val="000000" w:themeColor="text1"/>
          <w14:textFill>
            <w14:solidFill>
              <w14:schemeClr w14:val="tx1"/>
            </w14:solidFill>
          </w14:textFill>
        </w:rPr>
      </w:pPr>
    </w:p>
    <w:p w14:paraId="6CF5C163">
      <w:pPr>
        <w:numPr>
          <w:ilvl w:val="0"/>
          <w:numId w:val="0"/>
        </w:numPr>
        <w:bidi w:val="0"/>
        <w:jc w:val="both"/>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2CB9D45A">
      <w:pPr>
        <w:numPr>
          <w:ilvl w:val="0"/>
          <w:numId w:val="0"/>
        </w:numPr>
        <w:bidi w:val="0"/>
        <w:jc w:val="cente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4C17F77E">
      <w:pPr>
        <w:numPr>
          <w:ilvl w:val="0"/>
          <w:numId w:val="0"/>
        </w:numPr>
        <w:bidi w:val="0"/>
        <w:jc w:val="cente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t>（</w:t>
      </w:r>
      <w:r>
        <w:rPr>
          <w:rFonts w:hint="default" w:ascii="Times New Roman" w:hAnsi="Times New Roman" w:cs="Times New Roman"/>
          <w:b/>
          <w:bCs/>
          <w:color w:val="000000" w:themeColor="text1"/>
          <w:kern w:val="2"/>
          <w:sz w:val="32"/>
          <w:szCs w:val="32"/>
          <w:lang w:val="en-US" w:eastAsia="zh-CN" w:bidi="ar-SA"/>
          <w14:textFill>
            <w14:solidFill>
              <w14:schemeClr w14:val="tx1"/>
            </w14:solidFill>
          </w14:textFill>
        </w:rPr>
        <w:t>三</w:t>
      </w:r>
      <w: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t>）法定代表人身份证明书</w:t>
      </w:r>
    </w:p>
    <w:p w14:paraId="2F1A1A2D">
      <w:pPr>
        <w:spacing w:line="400" w:lineRule="exact"/>
        <w:jc w:val="center"/>
        <w:rPr>
          <w:rFonts w:hint="default" w:ascii="Times New Roman" w:hAnsi="Times New Roman" w:cs="Times New Roman"/>
          <w:b/>
          <w:color w:val="000000" w:themeColor="text1"/>
          <w:sz w:val="28"/>
          <w:szCs w:val="28"/>
          <w14:textFill>
            <w14:solidFill>
              <w14:schemeClr w14:val="tx1"/>
            </w14:solidFill>
          </w14:textFill>
        </w:rPr>
      </w:pPr>
    </w:p>
    <w:p w14:paraId="66C7931C">
      <w:pPr>
        <w:spacing w:line="360" w:lineRule="auto"/>
        <w:ind w:firstLine="480" w:firstLineChars="200"/>
        <w:rPr>
          <w:rFonts w:hint="default" w:ascii="Times New Roman" w:hAnsi="Times New Roman" w:cs="Times New Roman"/>
          <w:color w:val="000000" w:themeColor="text1"/>
          <w:sz w:val="24"/>
          <w:szCs w:val="21"/>
          <w:u w:val="single"/>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供应商名称：</w:t>
      </w:r>
      <w:r>
        <w:rPr>
          <w:rFonts w:hint="default" w:ascii="Times New Roman" w:hAnsi="Times New Roman" w:cs="Times New Roman"/>
          <w:color w:val="000000" w:themeColor="text1"/>
          <w:sz w:val="24"/>
          <w:szCs w:val="21"/>
          <w:u w:val="single"/>
          <w14:textFill>
            <w14:solidFill>
              <w14:schemeClr w14:val="tx1"/>
            </w14:solidFill>
          </w14:textFill>
        </w:rPr>
        <w:t xml:space="preserve">                                        </w:t>
      </w:r>
    </w:p>
    <w:p w14:paraId="49FA1132">
      <w:pPr>
        <w:spacing w:line="360" w:lineRule="auto"/>
        <w:ind w:firstLine="480" w:firstLineChars="200"/>
        <w:rPr>
          <w:rFonts w:hint="default" w:ascii="Times New Roman" w:hAnsi="Times New Roman" w:cs="Times New Roman"/>
          <w:color w:val="000000" w:themeColor="text1"/>
          <w:sz w:val="24"/>
          <w:szCs w:val="21"/>
          <w:u w:val="single"/>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单位性质：</w:t>
      </w:r>
      <w:r>
        <w:rPr>
          <w:rFonts w:hint="default" w:ascii="Times New Roman" w:hAnsi="Times New Roman" w:cs="Times New Roman"/>
          <w:color w:val="000000" w:themeColor="text1"/>
          <w:sz w:val="24"/>
          <w:szCs w:val="21"/>
          <w:u w:val="single"/>
          <w14:textFill>
            <w14:solidFill>
              <w14:schemeClr w14:val="tx1"/>
            </w14:solidFill>
          </w14:textFill>
        </w:rPr>
        <w:t xml:space="preserve">                                       </w:t>
      </w:r>
    </w:p>
    <w:p w14:paraId="684D19DB">
      <w:pPr>
        <w:spacing w:line="360" w:lineRule="auto"/>
        <w:ind w:firstLine="480" w:firstLineChars="200"/>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地    址：</w:t>
      </w:r>
      <w:r>
        <w:rPr>
          <w:rFonts w:hint="default" w:ascii="Times New Roman" w:hAnsi="Times New Roman" w:cs="Times New Roman"/>
          <w:color w:val="000000" w:themeColor="text1"/>
          <w:sz w:val="24"/>
          <w:szCs w:val="21"/>
          <w:u w:val="single"/>
          <w14:textFill>
            <w14:solidFill>
              <w14:schemeClr w14:val="tx1"/>
            </w14:solidFill>
          </w14:textFill>
        </w:rPr>
        <w:t xml:space="preserve">                                       </w:t>
      </w:r>
    </w:p>
    <w:p w14:paraId="228AFE55">
      <w:pPr>
        <w:spacing w:line="360" w:lineRule="auto"/>
        <w:ind w:firstLine="480" w:firstLineChars="200"/>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成立时间：</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14:textFill>
            <w14:solidFill>
              <w14:schemeClr w14:val="tx1"/>
            </w14:solidFill>
          </w14:textFill>
        </w:rPr>
        <w:t>年</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14:textFill>
            <w14:solidFill>
              <w14:schemeClr w14:val="tx1"/>
            </w14:solidFill>
          </w14:textFill>
        </w:rPr>
        <w:t>月</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14:textFill>
            <w14:solidFill>
              <w14:schemeClr w14:val="tx1"/>
            </w14:solidFill>
          </w14:textFill>
        </w:rPr>
        <w:t>日</w:t>
      </w:r>
    </w:p>
    <w:p w14:paraId="4ADF4788">
      <w:pPr>
        <w:spacing w:line="360" w:lineRule="auto"/>
        <w:ind w:firstLine="480" w:firstLineChars="200"/>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经营期限：</w:t>
      </w:r>
      <w:r>
        <w:rPr>
          <w:rFonts w:hint="default" w:ascii="Times New Roman" w:hAnsi="Times New Roman" w:cs="Times New Roman"/>
          <w:color w:val="000000" w:themeColor="text1"/>
          <w:sz w:val="24"/>
          <w:szCs w:val="21"/>
          <w:u w:val="single"/>
          <w14:textFill>
            <w14:solidFill>
              <w14:schemeClr w14:val="tx1"/>
            </w14:solidFill>
          </w14:textFill>
        </w:rPr>
        <w:t xml:space="preserve">                                   </w:t>
      </w:r>
    </w:p>
    <w:p w14:paraId="105EB6A0">
      <w:pPr>
        <w:spacing w:line="360" w:lineRule="auto"/>
        <w:ind w:firstLine="480" w:firstLineChars="200"/>
        <w:rPr>
          <w:rFonts w:hint="default" w:ascii="Times New Roman" w:hAnsi="Times New Roman" w:cs="Times New Roman"/>
          <w:color w:val="000000" w:themeColor="text1"/>
          <w:sz w:val="24"/>
          <w:u w:val="single"/>
          <w:lang w:val="en-US" w:eastAsia="zh-CN"/>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姓    名：</w:t>
      </w:r>
      <w:r>
        <w:rPr>
          <w:rFonts w:hint="default" w:ascii="Times New Roman" w:hAnsi="Times New Roman" w:cs="Times New Roman"/>
          <w:color w:val="000000" w:themeColor="text1"/>
          <w:sz w:val="24"/>
          <w:u w:val="single"/>
          <w14:textFill>
            <w14:solidFill>
              <w14:schemeClr w14:val="tx1"/>
            </w14:solidFill>
          </w14:textFill>
        </w:rPr>
        <w:t xml:space="preserve">      </w:t>
      </w:r>
      <w:r>
        <w:rPr>
          <w:rFonts w:hint="default" w:ascii="Times New Roman" w:hAnsi="Times New Roman" w:cs="Times New Roman"/>
          <w:color w:val="000000" w:themeColor="text1"/>
          <w:sz w:val="24"/>
          <w14:textFill>
            <w14:solidFill>
              <w14:schemeClr w14:val="tx1"/>
            </w14:solidFill>
          </w14:textFill>
        </w:rPr>
        <w:t>性别：</w:t>
      </w:r>
      <w:r>
        <w:rPr>
          <w:rFonts w:hint="default" w:ascii="Times New Roman" w:hAnsi="Times New Roman" w:cs="Times New Roman"/>
          <w:color w:val="000000" w:themeColor="text1"/>
          <w:sz w:val="24"/>
          <w:u w:val="single"/>
          <w14:textFill>
            <w14:solidFill>
              <w14:schemeClr w14:val="tx1"/>
            </w14:solidFill>
          </w14:textFill>
        </w:rPr>
        <w:t xml:space="preserve">   </w:t>
      </w:r>
      <w:r>
        <w:rPr>
          <w:rFonts w:hint="default" w:ascii="Times New Roman" w:hAnsi="Times New Roman" w:cs="Times New Roman"/>
          <w:color w:val="000000" w:themeColor="text1"/>
          <w:sz w:val="24"/>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4"/>
          <w:u w:val="single"/>
          <w14:textFill>
            <w14:solidFill>
              <w14:schemeClr w14:val="tx1"/>
            </w14:solidFill>
          </w14:textFill>
        </w:rPr>
        <w:t xml:space="preserve"> </w:t>
      </w:r>
      <w:r>
        <w:rPr>
          <w:rFonts w:hint="default" w:ascii="Times New Roman" w:hAnsi="Times New Roman" w:cs="Times New Roman"/>
          <w:color w:val="000000" w:themeColor="text1"/>
          <w:sz w:val="24"/>
          <w14:textFill>
            <w14:solidFill>
              <w14:schemeClr w14:val="tx1"/>
            </w14:solidFill>
          </w14:textFill>
        </w:rPr>
        <w:t>年龄：</w:t>
      </w:r>
      <w:r>
        <w:rPr>
          <w:rFonts w:hint="default" w:ascii="Times New Roman" w:hAnsi="Times New Roman" w:cs="Times New Roman"/>
          <w:color w:val="000000" w:themeColor="text1"/>
          <w:sz w:val="24"/>
          <w:u w:val="single"/>
          <w14:textFill>
            <w14:solidFill>
              <w14:schemeClr w14:val="tx1"/>
            </w14:solidFill>
          </w14:textFill>
        </w:rPr>
        <w:t xml:space="preserve">   </w:t>
      </w:r>
      <w:r>
        <w:rPr>
          <w:rFonts w:hint="default" w:ascii="Times New Roman" w:hAnsi="Times New Roman" w:cs="Times New Roman"/>
          <w:color w:val="000000" w:themeColor="text1"/>
          <w:sz w:val="24"/>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4"/>
          <w:u w:val="single"/>
          <w14:textFill>
            <w14:solidFill>
              <w14:schemeClr w14:val="tx1"/>
            </w14:solidFill>
          </w14:textFill>
        </w:rPr>
        <w:t xml:space="preserve">  </w:t>
      </w:r>
      <w:r>
        <w:rPr>
          <w:rFonts w:hint="default" w:ascii="Times New Roman" w:hAnsi="Times New Roman" w:cs="Times New Roman"/>
          <w:color w:val="000000" w:themeColor="text1"/>
          <w:sz w:val="24"/>
          <w:lang w:val="en-US" w:eastAsia="zh-CN"/>
          <w14:textFill>
            <w14:solidFill>
              <w14:schemeClr w14:val="tx1"/>
            </w14:solidFill>
          </w14:textFill>
        </w:rPr>
        <w:t>联系电话：</w:t>
      </w:r>
      <w:r>
        <w:rPr>
          <w:rFonts w:hint="default" w:ascii="Times New Roman" w:hAnsi="Times New Roman" w:cs="Times New Roman"/>
          <w:color w:val="000000" w:themeColor="text1"/>
          <w:sz w:val="24"/>
          <w:u w:val="single"/>
          <w:lang w:val="en-US" w:eastAsia="zh-CN"/>
          <w14:textFill>
            <w14:solidFill>
              <w14:schemeClr w14:val="tx1"/>
            </w14:solidFill>
          </w14:textFill>
        </w:rPr>
        <w:t xml:space="preserve">                </w:t>
      </w:r>
    </w:p>
    <w:p w14:paraId="593F4629">
      <w:pPr>
        <w:spacing w:line="360" w:lineRule="auto"/>
        <w:ind w:firstLine="480" w:firstLineChars="200"/>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职务：</w:t>
      </w:r>
      <w:r>
        <w:rPr>
          <w:rFonts w:hint="default" w:ascii="Times New Roman" w:hAnsi="Times New Roman" w:cs="Times New Roman"/>
          <w:color w:val="000000" w:themeColor="text1"/>
          <w:sz w:val="24"/>
          <w:u w:val="single"/>
          <w14:textFill>
            <w14:solidFill>
              <w14:schemeClr w14:val="tx1"/>
            </w14:solidFill>
          </w14:textFill>
        </w:rPr>
        <w:t xml:space="preserve">      </w:t>
      </w:r>
      <w:r>
        <w:rPr>
          <w:rFonts w:hint="default" w:ascii="Times New Roman" w:hAnsi="Times New Roman" w:cs="Times New Roman"/>
          <w:color w:val="000000" w:themeColor="text1"/>
          <w:sz w:val="24"/>
          <w14:textFill>
            <w14:solidFill>
              <w14:schemeClr w14:val="tx1"/>
            </w14:solidFill>
          </w14:textFill>
        </w:rPr>
        <w:t>系</w:t>
      </w:r>
      <w:r>
        <w:rPr>
          <w:rFonts w:hint="default" w:ascii="Times New Roman" w:hAnsi="Times New Roman" w:cs="Times New Roman"/>
          <w:color w:val="000000" w:themeColor="text1"/>
          <w:sz w:val="24"/>
          <w:u w:val="single"/>
          <w14:textFill>
            <w14:solidFill>
              <w14:schemeClr w14:val="tx1"/>
            </w14:solidFill>
          </w14:textFill>
        </w:rPr>
        <w:t xml:space="preserve">         （供应商名称）          </w:t>
      </w:r>
      <w:r>
        <w:rPr>
          <w:rFonts w:hint="default" w:ascii="Times New Roman" w:hAnsi="Times New Roman" w:cs="Times New Roman"/>
          <w:color w:val="000000" w:themeColor="text1"/>
          <w:sz w:val="24"/>
          <w14:textFill>
            <w14:solidFill>
              <w14:schemeClr w14:val="tx1"/>
            </w14:solidFill>
          </w14:textFill>
        </w:rPr>
        <w:t>的法定代表人。</w:t>
      </w:r>
    </w:p>
    <w:p w14:paraId="152D9771">
      <w:pPr>
        <w:spacing w:line="360" w:lineRule="auto"/>
        <w:ind w:firstLine="480" w:firstLineChars="200"/>
        <w:rPr>
          <w:rFonts w:hint="default" w:ascii="Times New Roman" w:hAnsi="Times New Roman" w:cs="Times New Roman"/>
          <w:color w:val="000000" w:themeColor="text1"/>
          <w:sz w:val="24"/>
          <w:szCs w:val="21"/>
          <w14:textFill>
            <w14:solidFill>
              <w14:schemeClr w14:val="tx1"/>
            </w14:solidFill>
          </w14:textFill>
        </w:rPr>
      </w:pPr>
    </w:p>
    <w:p w14:paraId="0A86033A">
      <w:pPr>
        <w:spacing w:line="360" w:lineRule="auto"/>
        <w:ind w:firstLine="480" w:firstLineChars="200"/>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特此证明。</w:t>
      </w:r>
    </w:p>
    <w:p w14:paraId="6343C8FC">
      <w:pPr>
        <w:spacing w:line="360" w:lineRule="auto"/>
        <w:ind w:firstLine="480" w:firstLineChars="200"/>
        <w:rPr>
          <w:rFonts w:hint="default" w:ascii="Times New Roman" w:hAnsi="Times New Roman" w:cs="Times New Roman"/>
          <w:color w:val="000000" w:themeColor="text1"/>
          <w:kern w:val="1"/>
          <w:sz w:val="24"/>
          <w:szCs w:val="21"/>
          <w14:textFill>
            <w14:solidFill>
              <w14:schemeClr w14:val="tx1"/>
            </w14:solidFill>
          </w14:textFill>
        </w:rPr>
      </w:pPr>
      <w:r>
        <w:rPr>
          <w:rFonts w:hint="default" w:ascii="Times New Roman" w:hAnsi="Times New Roman" w:cs="Times New Roman"/>
          <w:color w:val="000000" w:themeColor="text1"/>
          <w:kern w:val="1"/>
          <w:sz w:val="24"/>
          <w:szCs w:val="21"/>
          <w14:textFill>
            <w14:solidFill>
              <w14:schemeClr w14:val="tx1"/>
            </w14:solidFill>
          </w14:textFill>
        </w:rPr>
        <w:t>附：法定代表人有效身份证（正反双面）复印件</w:t>
      </w:r>
      <w:r>
        <w:rPr>
          <w:rFonts w:hint="default" w:ascii="Times New Roman" w:hAnsi="Times New Roman" w:cs="Times New Roman"/>
          <w:color w:val="000000" w:themeColor="text1"/>
          <w:sz w:val="24"/>
          <w:szCs w:val="21"/>
          <w14:textFill>
            <w14:solidFill>
              <w14:schemeClr w14:val="tx1"/>
            </w14:solidFill>
          </w14:textFill>
        </w:rPr>
        <w:t>（复印在下方，不允许粘贴）</w:t>
      </w:r>
    </w:p>
    <w:tbl>
      <w:tblPr>
        <w:tblStyle w:val="30"/>
        <w:tblW w:w="0" w:type="auto"/>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388"/>
        <w:gridCol w:w="4303"/>
      </w:tblGrid>
      <w:tr w14:paraId="20B3F03A">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094" w:hRule="atLeast"/>
          <w:jc w:val="center"/>
        </w:trPr>
        <w:tc>
          <w:tcPr>
            <w:tcW w:w="4388" w:type="dxa"/>
            <w:noWrap w:val="0"/>
            <w:vAlign w:val="top"/>
          </w:tcPr>
          <w:p w14:paraId="01CD050B">
            <w:pPr>
              <w:spacing w:line="480" w:lineRule="exact"/>
              <w:ind w:firstLine="700"/>
              <w:rPr>
                <w:rFonts w:hint="default" w:ascii="Times New Roman" w:hAnsi="Times New Roman" w:cs="Times New Roman"/>
                <w:color w:val="000000" w:themeColor="text1"/>
                <w:kern w:val="1"/>
                <w:sz w:val="24"/>
                <w:szCs w:val="21"/>
                <w14:textFill>
                  <w14:solidFill>
                    <w14:schemeClr w14:val="tx1"/>
                  </w14:solidFill>
                </w14:textFill>
              </w:rPr>
            </w:pPr>
          </w:p>
          <w:p w14:paraId="3E396EE4">
            <w:pPr>
              <w:spacing w:line="480" w:lineRule="exact"/>
              <w:ind w:firstLine="700"/>
              <w:rPr>
                <w:rFonts w:hint="default" w:ascii="Times New Roman" w:hAnsi="Times New Roman" w:cs="Times New Roman"/>
                <w:color w:val="000000" w:themeColor="text1"/>
                <w:kern w:val="1"/>
                <w:sz w:val="24"/>
                <w:szCs w:val="21"/>
                <w14:textFill>
                  <w14:solidFill>
                    <w14:schemeClr w14:val="tx1"/>
                  </w14:solidFill>
                </w14:textFill>
              </w:rPr>
            </w:pPr>
          </w:p>
          <w:p w14:paraId="494649B4">
            <w:pPr>
              <w:spacing w:line="480" w:lineRule="exact"/>
              <w:jc w:val="center"/>
              <w:rPr>
                <w:rFonts w:hint="default" w:ascii="Times New Roman" w:hAnsi="Times New Roman" w:cs="Times New Roman"/>
                <w:color w:val="000000" w:themeColor="text1"/>
                <w:kern w:val="1"/>
                <w:sz w:val="24"/>
                <w:szCs w:val="21"/>
                <w14:textFill>
                  <w14:solidFill>
                    <w14:schemeClr w14:val="tx1"/>
                  </w14:solidFill>
                </w14:textFill>
              </w:rPr>
            </w:pPr>
            <w:r>
              <w:rPr>
                <w:rFonts w:hint="default" w:ascii="Times New Roman" w:hAnsi="Times New Roman" w:cs="Times New Roman"/>
                <w:color w:val="000000" w:themeColor="text1"/>
                <w:kern w:val="1"/>
                <w:sz w:val="24"/>
                <w:szCs w:val="21"/>
                <w14:textFill>
                  <w14:solidFill>
                    <w14:schemeClr w14:val="tx1"/>
                  </w14:solidFill>
                </w14:textFill>
              </w:rPr>
              <w:t>法定代表人身份证复印件</w:t>
            </w:r>
          </w:p>
          <w:p w14:paraId="54DB2869">
            <w:pPr>
              <w:spacing w:line="480" w:lineRule="exact"/>
              <w:jc w:val="center"/>
              <w:rPr>
                <w:rFonts w:hint="default" w:ascii="Times New Roman" w:hAnsi="Times New Roman" w:cs="Times New Roman"/>
                <w:color w:val="000000" w:themeColor="text1"/>
                <w:kern w:val="1"/>
                <w:sz w:val="24"/>
                <w:szCs w:val="21"/>
                <w14:textFill>
                  <w14:solidFill>
                    <w14:schemeClr w14:val="tx1"/>
                  </w14:solidFill>
                </w14:textFill>
              </w:rPr>
            </w:pPr>
          </w:p>
        </w:tc>
        <w:tc>
          <w:tcPr>
            <w:tcW w:w="4303" w:type="dxa"/>
            <w:noWrap w:val="0"/>
            <w:vAlign w:val="top"/>
          </w:tcPr>
          <w:p w14:paraId="648177F8">
            <w:pPr>
              <w:spacing w:line="480" w:lineRule="exact"/>
              <w:ind w:firstLine="700"/>
              <w:jc w:val="center"/>
              <w:rPr>
                <w:rFonts w:hint="default" w:ascii="Times New Roman" w:hAnsi="Times New Roman" w:cs="Times New Roman"/>
                <w:color w:val="000000" w:themeColor="text1"/>
                <w:kern w:val="1"/>
                <w:sz w:val="24"/>
                <w:szCs w:val="21"/>
                <w14:textFill>
                  <w14:solidFill>
                    <w14:schemeClr w14:val="tx1"/>
                  </w14:solidFill>
                </w14:textFill>
              </w:rPr>
            </w:pPr>
          </w:p>
          <w:p w14:paraId="698AEA8B">
            <w:pPr>
              <w:spacing w:line="480" w:lineRule="exact"/>
              <w:ind w:firstLine="700"/>
              <w:jc w:val="center"/>
              <w:rPr>
                <w:rFonts w:hint="default" w:ascii="Times New Roman" w:hAnsi="Times New Roman" w:cs="Times New Roman"/>
                <w:color w:val="000000" w:themeColor="text1"/>
                <w:kern w:val="1"/>
                <w:sz w:val="24"/>
                <w:szCs w:val="21"/>
                <w14:textFill>
                  <w14:solidFill>
                    <w14:schemeClr w14:val="tx1"/>
                  </w14:solidFill>
                </w14:textFill>
              </w:rPr>
            </w:pPr>
          </w:p>
          <w:p w14:paraId="03DDE81F">
            <w:pPr>
              <w:spacing w:line="480" w:lineRule="exact"/>
              <w:jc w:val="center"/>
              <w:rPr>
                <w:rFonts w:hint="default" w:ascii="Times New Roman" w:hAnsi="Times New Roman" w:cs="Times New Roman"/>
                <w:color w:val="000000" w:themeColor="text1"/>
                <w:kern w:val="1"/>
                <w:sz w:val="24"/>
                <w:szCs w:val="21"/>
                <w14:textFill>
                  <w14:solidFill>
                    <w14:schemeClr w14:val="tx1"/>
                  </w14:solidFill>
                </w14:textFill>
              </w:rPr>
            </w:pPr>
            <w:r>
              <w:rPr>
                <w:rFonts w:hint="default" w:ascii="Times New Roman" w:hAnsi="Times New Roman" w:cs="Times New Roman"/>
                <w:color w:val="000000" w:themeColor="text1"/>
                <w:kern w:val="1"/>
                <w:sz w:val="24"/>
                <w:szCs w:val="21"/>
                <w14:textFill>
                  <w14:solidFill>
                    <w14:schemeClr w14:val="tx1"/>
                  </w14:solidFill>
                </w14:textFill>
              </w:rPr>
              <w:t>法定代表人身份证复印件</w:t>
            </w:r>
          </w:p>
          <w:p w14:paraId="0130BEFD">
            <w:pPr>
              <w:spacing w:line="480" w:lineRule="exact"/>
              <w:jc w:val="center"/>
              <w:rPr>
                <w:rFonts w:hint="default" w:ascii="Times New Roman" w:hAnsi="Times New Roman" w:cs="Times New Roman"/>
                <w:color w:val="000000" w:themeColor="text1"/>
                <w:kern w:val="1"/>
                <w:sz w:val="24"/>
                <w:szCs w:val="21"/>
                <w14:textFill>
                  <w14:solidFill>
                    <w14:schemeClr w14:val="tx1"/>
                  </w14:solidFill>
                </w14:textFill>
              </w:rPr>
            </w:pPr>
          </w:p>
        </w:tc>
      </w:tr>
    </w:tbl>
    <w:p w14:paraId="32CAD4BA">
      <w:pPr>
        <w:spacing w:line="480" w:lineRule="exact"/>
        <w:rPr>
          <w:rFonts w:hint="default" w:ascii="Times New Roman" w:hAnsi="Times New Roman" w:cs="Times New Roman"/>
          <w:color w:val="000000" w:themeColor="text1"/>
          <w:kern w:val="1"/>
          <w:sz w:val="24"/>
          <w:szCs w:val="21"/>
          <w14:textFill>
            <w14:solidFill>
              <w14:schemeClr w14:val="tx1"/>
            </w14:solidFill>
          </w14:textFill>
        </w:rPr>
      </w:pPr>
    </w:p>
    <w:p w14:paraId="368AE60F">
      <w:pPr>
        <w:spacing w:line="360" w:lineRule="auto"/>
        <w:rPr>
          <w:rFonts w:hint="default" w:ascii="Times New Roman" w:hAnsi="Times New Roman" w:cs="Times New Roman"/>
          <w:color w:val="000000" w:themeColor="text1"/>
          <w:sz w:val="24"/>
          <w:szCs w:val="21"/>
          <w14:textFill>
            <w14:solidFill>
              <w14:schemeClr w14:val="tx1"/>
            </w14:solidFill>
          </w14:textFill>
        </w:rPr>
      </w:pPr>
    </w:p>
    <w:p w14:paraId="52DA74AB">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供应</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商名称</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2817C18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法定代表人：</w:t>
      </w:r>
      <w:r>
        <w:rPr>
          <w:rFonts w:hint="default" w:ascii="Times New Roman" w:hAnsi="Times New Roman" w:eastAsia="方正仿宋_GBK" w:cs="Times New Roman"/>
          <w:color w:val="000000" w:themeColor="text1"/>
          <w:sz w:val="28"/>
          <w:szCs w:val="28"/>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w:t>
      </w:r>
    </w:p>
    <w:p w14:paraId="45AE7EAC">
      <w:pPr>
        <w:keepNext w:val="0"/>
        <w:keepLines w:val="0"/>
        <w:pageBreakBefore w:val="0"/>
        <w:widowControl w:val="0"/>
        <w:kinsoku/>
        <w:wordWrap/>
        <w:overflowPunct/>
        <w:topLinePunct w:val="0"/>
        <w:autoSpaceDE/>
        <w:autoSpaceDN/>
        <w:bidi w:val="0"/>
        <w:adjustRightInd/>
        <w:snapToGrid/>
        <w:spacing w:before="20" w:after="120" w:line="560" w:lineRule="exact"/>
        <w:jc w:val="both"/>
        <w:textAlignment w:val="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75724AB5">
      <w:pPr>
        <w:jc w:val="right"/>
        <w:rPr>
          <w:rFonts w:hint="default" w:ascii="Times New Roman" w:hAnsi="Times New Roman" w:cs="Times New Roman"/>
          <w:color w:val="000000" w:themeColor="text1"/>
          <w:sz w:val="21"/>
          <w:szCs w:val="21"/>
          <w14:textFill>
            <w14:solidFill>
              <w14:schemeClr w14:val="tx1"/>
            </w14:solidFill>
          </w14:textFill>
        </w:rPr>
      </w:pPr>
    </w:p>
    <w:p w14:paraId="1E2E188C">
      <w:pPr>
        <w:jc w:val="right"/>
        <w:rPr>
          <w:rFonts w:hint="default" w:ascii="Times New Roman" w:hAnsi="Times New Roman" w:cs="Times New Roman"/>
          <w:color w:val="000000" w:themeColor="text1"/>
          <w:sz w:val="21"/>
          <w:szCs w:val="21"/>
          <w14:textFill>
            <w14:solidFill>
              <w14:schemeClr w14:val="tx1"/>
            </w14:solidFill>
          </w14:textFill>
        </w:rPr>
      </w:pPr>
    </w:p>
    <w:p w14:paraId="41E6E55F">
      <w:pPr>
        <w:pStyle w:val="77"/>
        <w:keepNext w:val="0"/>
        <w:keepLines w:val="0"/>
        <w:tabs>
          <w:tab w:val="clear" w:pos="1680"/>
        </w:tabs>
        <w:spacing w:before="0" w:after="0" w:line="400" w:lineRule="exact"/>
        <w:ind w:left="0" w:leftChars="0" w:firstLine="0" w:firstLineChars="0"/>
        <w:jc w:val="both"/>
        <w:rPr>
          <w:rFonts w:hint="default" w:ascii="Times New Roman" w:hAnsi="Times New Roman" w:eastAsia="宋体" w:cs="Times New Roman"/>
          <w:b/>
          <w:color w:val="000000" w:themeColor="text1"/>
          <w:sz w:val="28"/>
          <w:szCs w:val="28"/>
          <w:lang w:eastAsia="zh-CN"/>
          <w14:textFill>
            <w14:solidFill>
              <w14:schemeClr w14:val="tx1"/>
            </w14:solidFill>
          </w14:textFill>
        </w:rPr>
      </w:pPr>
      <w:bookmarkStart w:id="1403" w:name="_Toc14243"/>
    </w:p>
    <w:p w14:paraId="6DD8D166">
      <w:pPr>
        <w:pStyle w:val="77"/>
        <w:keepNext w:val="0"/>
        <w:keepLines w:val="0"/>
        <w:tabs>
          <w:tab w:val="clear" w:pos="1680"/>
        </w:tabs>
        <w:spacing w:before="0" w:after="0" w:line="400" w:lineRule="exact"/>
        <w:ind w:left="0" w:leftChars="0" w:firstLine="0" w:firstLineChars="0"/>
        <w:jc w:val="both"/>
        <w:rPr>
          <w:rFonts w:hint="default" w:ascii="Times New Roman" w:hAnsi="Times New Roman" w:eastAsia="宋体" w:cs="Times New Roman"/>
          <w:b/>
          <w:color w:val="000000" w:themeColor="text1"/>
          <w:sz w:val="28"/>
          <w:szCs w:val="28"/>
          <w:lang w:eastAsia="zh-CN"/>
          <w14:textFill>
            <w14:solidFill>
              <w14:schemeClr w14:val="tx1"/>
            </w14:solidFill>
          </w14:textFill>
        </w:rPr>
      </w:pPr>
    </w:p>
    <w:p w14:paraId="2D7C9600">
      <w:pPr>
        <w:pStyle w:val="77"/>
        <w:keepNext w:val="0"/>
        <w:keepLines w:val="0"/>
        <w:tabs>
          <w:tab w:val="clear" w:pos="1680"/>
        </w:tabs>
        <w:spacing w:before="0" w:after="0" w:line="400" w:lineRule="exact"/>
        <w:ind w:left="0" w:leftChars="0" w:firstLine="0" w:firstLineChars="0"/>
        <w:jc w:val="both"/>
        <w:rPr>
          <w:rFonts w:hint="default" w:ascii="Times New Roman" w:hAnsi="Times New Roman" w:eastAsia="宋体" w:cs="Times New Roman"/>
          <w:b/>
          <w:color w:val="000000" w:themeColor="text1"/>
          <w:sz w:val="28"/>
          <w:szCs w:val="28"/>
          <w:lang w:eastAsia="zh-CN"/>
          <w14:textFill>
            <w14:solidFill>
              <w14:schemeClr w14:val="tx1"/>
            </w14:solidFill>
          </w14:textFill>
        </w:rPr>
      </w:pPr>
    </w:p>
    <w:p w14:paraId="7FC8ADD3">
      <w:pPr>
        <w:pStyle w:val="77"/>
        <w:keepNext w:val="0"/>
        <w:keepLines w:val="0"/>
        <w:tabs>
          <w:tab w:val="clear" w:pos="1680"/>
        </w:tabs>
        <w:spacing w:before="0" w:after="0" w:line="400" w:lineRule="exact"/>
        <w:ind w:left="0" w:leftChars="0" w:firstLine="0" w:firstLineChars="0"/>
        <w:jc w:val="both"/>
        <w:rPr>
          <w:rFonts w:hint="default" w:ascii="Times New Roman" w:hAnsi="Times New Roman" w:eastAsia="宋体" w:cs="Times New Roman"/>
          <w:b/>
          <w:color w:val="000000" w:themeColor="text1"/>
          <w:sz w:val="28"/>
          <w:szCs w:val="28"/>
          <w:lang w:eastAsia="zh-CN"/>
          <w14:textFill>
            <w14:solidFill>
              <w14:schemeClr w14:val="tx1"/>
            </w14:solidFill>
          </w14:textFill>
        </w:rPr>
      </w:pPr>
    </w:p>
    <w:p w14:paraId="012D8433">
      <w:pPr>
        <w:pStyle w:val="77"/>
        <w:keepNext w:val="0"/>
        <w:keepLines w:val="0"/>
        <w:tabs>
          <w:tab w:val="clear" w:pos="1680"/>
        </w:tabs>
        <w:spacing w:before="0" w:after="0" w:line="400" w:lineRule="exact"/>
        <w:ind w:left="0" w:leftChars="0" w:firstLine="2811" w:firstLineChars="1000"/>
        <w:jc w:val="both"/>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b/>
          <w:color w:val="000000" w:themeColor="text1"/>
          <w:sz w:val="28"/>
          <w:szCs w:val="28"/>
          <w:lang w:eastAsia="zh-CN"/>
          <w14:textFill>
            <w14:solidFill>
              <w14:schemeClr w14:val="tx1"/>
            </w14:solidFill>
          </w14:textFill>
        </w:rPr>
        <w:t>（</w:t>
      </w:r>
      <w:r>
        <w:rPr>
          <w:rFonts w:hint="default" w:ascii="Times New Roman" w:hAnsi="Times New Roman" w:eastAsia="宋体" w:cs="Times New Roman"/>
          <w:b/>
          <w:color w:val="000000" w:themeColor="text1"/>
          <w:sz w:val="28"/>
          <w:szCs w:val="28"/>
          <w:lang w:val="en-US" w:eastAsia="zh-CN"/>
          <w14:textFill>
            <w14:solidFill>
              <w14:schemeClr w14:val="tx1"/>
            </w14:solidFill>
          </w14:textFill>
        </w:rPr>
        <w:t>四</w:t>
      </w:r>
      <w:r>
        <w:rPr>
          <w:rFonts w:hint="default" w:ascii="Times New Roman" w:hAnsi="Times New Roman" w:eastAsia="宋体" w:cs="Times New Roman"/>
          <w:b/>
          <w:color w:val="000000" w:themeColor="text1"/>
          <w:sz w:val="28"/>
          <w:szCs w:val="28"/>
          <w:lang w:eastAsia="zh-CN"/>
          <w14:textFill>
            <w14:solidFill>
              <w14:schemeClr w14:val="tx1"/>
            </w14:solidFill>
          </w14:textFill>
        </w:rPr>
        <w:t>）</w:t>
      </w:r>
      <w:r>
        <w:rPr>
          <w:rFonts w:hint="default" w:ascii="Times New Roman" w:hAnsi="Times New Roman" w:eastAsia="宋体" w:cs="Times New Roman"/>
          <w:b/>
          <w:color w:val="000000" w:themeColor="text1"/>
          <w:sz w:val="28"/>
          <w:szCs w:val="28"/>
          <w14:textFill>
            <w14:solidFill>
              <w14:schemeClr w14:val="tx1"/>
            </w14:solidFill>
          </w14:textFill>
        </w:rPr>
        <w:t>法定代表人授权委托书</w:t>
      </w:r>
      <w:bookmarkEnd w:id="1403"/>
    </w:p>
    <w:p w14:paraId="377A85C5">
      <w:pPr>
        <w:spacing w:line="360" w:lineRule="auto"/>
        <w:jc w:val="center"/>
        <w:rPr>
          <w:rFonts w:hint="default" w:ascii="Times New Roman" w:hAnsi="Times New Roman" w:cs="Times New Roman"/>
          <w:color w:val="000000" w:themeColor="text1"/>
          <w:sz w:val="24"/>
          <w:szCs w:val="21"/>
          <w14:textFill>
            <w14:solidFill>
              <w14:schemeClr w14:val="tx1"/>
            </w14:solidFill>
          </w14:textFill>
        </w:rPr>
      </w:pPr>
    </w:p>
    <w:p w14:paraId="54C258D0">
      <w:pPr>
        <w:spacing w:line="360" w:lineRule="auto"/>
        <w:ind w:firstLine="480" w:firstLineChars="200"/>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本人</w:t>
      </w:r>
      <w:r>
        <w:rPr>
          <w:rFonts w:hint="default" w:ascii="Times New Roman" w:hAnsi="Times New Roman" w:cs="Times New Roman"/>
          <w:color w:val="000000" w:themeColor="text1"/>
          <w:sz w:val="24"/>
          <w:szCs w:val="21"/>
          <w:u w:val="single"/>
          <w14:textFill>
            <w14:solidFill>
              <w14:schemeClr w14:val="tx1"/>
            </w14:solidFill>
          </w14:textFill>
        </w:rPr>
        <w:t xml:space="preserve">   （姓名）  </w:t>
      </w:r>
      <w:r>
        <w:rPr>
          <w:rFonts w:hint="default" w:ascii="Times New Roman" w:hAnsi="Times New Roman" w:cs="Times New Roman"/>
          <w:color w:val="000000" w:themeColor="text1"/>
          <w:sz w:val="24"/>
          <w:szCs w:val="21"/>
          <w14:textFill>
            <w14:solidFill>
              <w14:schemeClr w14:val="tx1"/>
            </w14:solidFill>
          </w14:textFill>
        </w:rPr>
        <w:t>系</w:t>
      </w:r>
      <w:r>
        <w:rPr>
          <w:rFonts w:hint="default" w:ascii="Times New Roman" w:hAnsi="Times New Roman" w:cs="Times New Roman"/>
          <w:color w:val="000000" w:themeColor="text1"/>
          <w:sz w:val="24"/>
          <w:szCs w:val="21"/>
          <w:u w:val="single"/>
          <w14:textFill>
            <w14:solidFill>
              <w14:schemeClr w14:val="tx1"/>
            </w14:solidFill>
          </w14:textFill>
        </w:rPr>
        <w:t xml:space="preserve">    （供应商名称）    </w:t>
      </w:r>
      <w:r>
        <w:rPr>
          <w:rFonts w:hint="default" w:ascii="Times New Roman" w:hAnsi="Times New Roman" w:cs="Times New Roman"/>
          <w:color w:val="000000" w:themeColor="text1"/>
          <w:sz w:val="24"/>
          <w:szCs w:val="21"/>
          <w14:textFill>
            <w14:solidFill>
              <w14:schemeClr w14:val="tx1"/>
            </w14:solidFill>
          </w14:textFill>
        </w:rPr>
        <w:t>的法定代表人，现委托</w:t>
      </w:r>
      <w:r>
        <w:rPr>
          <w:rFonts w:hint="default" w:ascii="Times New Roman" w:hAnsi="Times New Roman" w:cs="Times New Roman"/>
          <w:color w:val="000000" w:themeColor="text1"/>
          <w:sz w:val="24"/>
          <w:szCs w:val="21"/>
          <w:u w:val="single"/>
          <w14:textFill>
            <w14:solidFill>
              <w14:schemeClr w14:val="tx1"/>
            </w14:solidFill>
          </w14:textFill>
        </w:rPr>
        <w:t xml:space="preserve">   （姓名）  </w:t>
      </w:r>
      <w:r>
        <w:rPr>
          <w:rFonts w:hint="default" w:ascii="Times New Roman" w:hAnsi="Times New Roman" w:cs="Times New Roman"/>
          <w:color w:val="000000" w:themeColor="text1"/>
          <w:sz w:val="24"/>
          <w:szCs w:val="21"/>
          <w14:textFill>
            <w14:solidFill>
              <w14:schemeClr w14:val="tx1"/>
            </w14:solidFill>
          </w14:textFill>
        </w:rPr>
        <w:t>为我方代理人。代理人根据授权，以我方名义签署、澄清、提交、撤回、修改</w:t>
      </w:r>
      <w:r>
        <w:rPr>
          <w:rFonts w:hint="default" w:ascii="Times New Roman" w:hAnsi="Times New Roman" w:cs="Times New Roman"/>
          <w:color w:val="000000" w:themeColor="text1"/>
          <w:sz w:val="24"/>
          <w:szCs w:val="21"/>
          <w:u w:val="single"/>
          <w14:textFill>
            <w14:solidFill>
              <w14:schemeClr w14:val="tx1"/>
            </w14:solidFill>
          </w14:textFill>
        </w:rPr>
        <w:t xml:space="preserve">    （项目名称）   </w:t>
      </w:r>
      <w:r>
        <w:rPr>
          <w:rFonts w:hint="default" w:ascii="Times New Roman" w:hAnsi="Times New Roman" w:cs="Times New Roman"/>
          <w:color w:val="000000" w:themeColor="text1"/>
          <w:sz w:val="24"/>
          <w:szCs w:val="21"/>
          <w14:textFill>
            <w14:solidFill>
              <w14:schemeClr w14:val="tx1"/>
            </w14:solidFill>
          </w14:textFill>
        </w:rPr>
        <w:t>响应文件及参加谈判，其法律后果由我方承担。</w:t>
      </w:r>
    </w:p>
    <w:p w14:paraId="45008D73">
      <w:pPr>
        <w:spacing w:line="360" w:lineRule="auto"/>
        <w:ind w:firstLine="480" w:firstLineChars="200"/>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委托期限：</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14:textFill>
            <w14:solidFill>
              <w14:schemeClr w14:val="tx1"/>
            </w14:solidFill>
          </w14:textFill>
        </w:rPr>
        <w:t>年</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14:textFill>
            <w14:solidFill>
              <w14:schemeClr w14:val="tx1"/>
            </w14:solidFill>
          </w14:textFill>
        </w:rPr>
        <w:t>月</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14:textFill>
            <w14:solidFill>
              <w14:schemeClr w14:val="tx1"/>
            </w14:solidFill>
          </w14:textFill>
        </w:rPr>
        <w:t>日至</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14:textFill>
            <w14:solidFill>
              <w14:schemeClr w14:val="tx1"/>
            </w14:solidFill>
          </w14:textFill>
        </w:rPr>
        <w:t>年</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14:textFill>
            <w14:solidFill>
              <w14:schemeClr w14:val="tx1"/>
            </w14:solidFill>
          </w14:textFill>
        </w:rPr>
        <w:t>月</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1"/>
          <w:u w:val="single"/>
          <w14:textFill>
            <w14:solidFill>
              <w14:schemeClr w14:val="tx1"/>
            </w14:solidFill>
          </w14:textFill>
        </w:rPr>
        <w:t xml:space="preserve"> </w:t>
      </w:r>
      <w:r>
        <w:rPr>
          <w:rFonts w:hint="default" w:ascii="Times New Roman" w:hAnsi="Times New Roman" w:cs="Times New Roman"/>
          <w:color w:val="000000" w:themeColor="text1"/>
          <w:sz w:val="24"/>
          <w:szCs w:val="21"/>
          <w14:textFill>
            <w14:solidFill>
              <w14:schemeClr w14:val="tx1"/>
            </w14:solidFill>
          </w14:textFill>
        </w:rPr>
        <w:t>日。</w:t>
      </w:r>
    </w:p>
    <w:p w14:paraId="4C4315E8">
      <w:pPr>
        <w:spacing w:line="360" w:lineRule="auto"/>
        <w:ind w:firstLine="480" w:firstLineChars="200"/>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委托代理人无转让委托权。</w:t>
      </w:r>
    </w:p>
    <w:p w14:paraId="368838D1">
      <w:pPr>
        <w:spacing w:line="360" w:lineRule="auto"/>
        <w:ind w:firstLine="480" w:firstLineChars="200"/>
        <w:rPr>
          <w:rFonts w:hint="default" w:ascii="Times New Roman" w:hAnsi="Times New Roman" w:cs="Times New Roman"/>
          <w:color w:val="000000" w:themeColor="text1"/>
          <w:sz w:val="24"/>
          <w:szCs w:val="21"/>
          <w14:textFill>
            <w14:solidFill>
              <w14:schemeClr w14:val="tx1"/>
            </w14:solidFill>
          </w14:textFill>
        </w:rPr>
      </w:pPr>
    </w:p>
    <w:p w14:paraId="14964713">
      <w:pPr>
        <w:spacing w:line="360" w:lineRule="auto"/>
        <w:ind w:firstLine="480" w:firstLineChars="200"/>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附：</w:t>
      </w:r>
      <w:r>
        <w:rPr>
          <w:rFonts w:hint="default" w:ascii="Times New Roman" w:hAnsi="Times New Roman" w:cs="Times New Roman"/>
          <w:color w:val="000000" w:themeColor="text1"/>
          <w:kern w:val="1"/>
          <w:sz w:val="24"/>
          <w:szCs w:val="21"/>
          <w14:textFill>
            <w14:solidFill>
              <w14:schemeClr w14:val="tx1"/>
            </w14:solidFill>
          </w14:textFill>
        </w:rPr>
        <w:t>被授权人有效身份证（正反双面）复印件</w:t>
      </w:r>
      <w:r>
        <w:rPr>
          <w:rFonts w:hint="default" w:ascii="Times New Roman" w:hAnsi="Times New Roman" w:cs="Times New Roman"/>
          <w:color w:val="000000" w:themeColor="text1"/>
          <w:sz w:val="24"/>
          <w:szCs w:val="21"/>
          <w14:textFill>
            <w14:solidFill>
              <w14:schemeClr w14:val="tx1"/>
            </w14:solidFill>
          </w14:textFill>
        </w:rPr>
        <w:t>（复印在下方，不允许粘贴）</w:t>
      </w:r>
    </w:p>
    <w:tbl>
      <w:tblPr>
        <w:tblStyle w:val="30"/>
        <w:tblW w:w="0" w:type="auto"/>
        <w:tblInd w:w="288"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30"/>
        <w:gridCol w:w="4410"/>
      </w:tblGrid>
      <w:tr w14:paraId="50B898E2">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019" w:hRule="atLeast"/>
        </w:trPr>
        <w:tc>
          <w:tcPr>
            <w:tcW w:w="4230" w:type="dxa"/>
            <w:noWrap w:val="0"/>
            <w:vAlign w:val="top"/>
          </w:tcPr>
          <w:p w14:paraId="1D4F3A4A">
            <w:pPr>
              <w:spacing w:line="480" w:lineRule="exact"/>
              <w:ind w:firstLine="480" w:firstLineChars="200"/>
              <w:rPr>
                <w:rFonts w:hint="default" w:ascii="Times New Roman" w:hAnsi="Times New Roman" w:cs="Times New Roman"/>
                <w:color w:val="000000" w:themeColor="text1"/>
                <w:sz w:val="24"/>
                <w:szCs w:val="21"/>
                <w14:textFill>
                  <w14:solidFill>
                    <w14:schemeClr w14:val="tx1"/>
                  </w14:solidFill>
                </w14:textFill>
              </w:rPr>
            </w:pPr>
          </w:p>
          <w:p w14:paraId="269E5A6D">
            <w:pPr>
              <w:spacing w:line="480" w:lineRule="exact"/>
              <w:ind w:firstLine="480" w:firstLineChars="200"/>
              <w:rPr>
                <w:rFonts w:hint="default" w:ascii="Times New Roman" w:hAnsi="Times New Roman" w:cs="Times New Roman"/>
                <w:color w:val="000000" w:themeColor="text1"/>
                <w:sz w:val="24"/>
                <w:szCs w:val="21"/>
                <w14:textFill>
                  <w14:solidFill>
                    <w14:schemeClr w14:val="tx1"/>
                  </w14:solidFill>
                </w14:textFill>
              </w:rPr>
            </w:pPr>
          </w:p>
          <w:p w14:paraId="1ADA3405">
            <w:pPr>
              <w:spacing w:line="480" w:lineRule="exact"/>
              <w:ind w:firstLine="480" w:firstLineChars="200"/>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被授权人身份证复印件</w:t>
            </w:r>
          </w:p>
          <w:p w14:paraId="3760C45A">
            <w:pPr>
              <w:spacing w:line="480" w:lineRule="exact"/>
              <w:ind w:firstLine="480" w:firstLineChars="200"/>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 xml:space="preserve">      </w:t>
            </w:r>
          </w:p>
        </w:tc>
        <w:tc>
          <w:tcPr>
            <w:tcW w:w="4410" w:type="dxa"/>
            <w:noWrap w:val="0"/>
            <w:vAlign w:val="top"/>
          </w:tcPr>
          <w:p w14:paraId="51BB69C2">
            <w:pPr>
              <w:spacing w:line="480" w:lineRule="exact"/>
              <w:ind w:firstLine="480" w:firstLineChars="200"/>
              <w:rPr>
                <w:rFonts w:hint="default" w:ascii="Times New Roman" w:hAnsi="Times New Roman" w:cs="Times New Roman"/>
                <w:color w:val="000000" w:themeColor="text1"/>
                <w:sz w:val="24"/>
                <w:szCs w:val="21"/>
                <w14:textFill>
                  <w14:solidFill>
                    <w14:schemeClr w14:val="tx1"/>
                  </w14:solidFill>
                </w14:textFill>
              </w:rPr>
            </w:pPr>
          </w:p>
          <w:p w14:paraId="2196730B">
            <w:pPr>
              <w:spacing w:line="480" w:lineRule="exact"/>
              <w:ind w:firstLine="480" w:firstLineChars="200"/>
              <w:rPr>
                <w:rFonts w:hint="default" w:ascii="Times New Roman" w:hAnsi="Times New Roman" w:cs="Times New Roman"/>
                <w:color w:val="000000" w:themeColor="text1"/>
                <w:sz w:val="24"/>
                <w:szCs w:val="21"/>
                <w14:textFill>
                  <w14:solidFill>
                    <w14:schemeClr w14:val="tx1"/>
                  </w14:solidFill>
                </w14:textFill>
              </w:rPr>
            </w:pPr>
          </w:p>
          <w:p w14:paraId="729FA883">
            <w:pPr>
              <w:spacing w:line="480" w:lineRule="exact"/>
              <w:ind w:firstLine="480" w:firstLineChars="200"/>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被授权人身份证复印件</w:t>
            </w:r>
          </w:p>
          <w:p w14:paraId="14F57308">
            <w:pPr>
              <w:spacing w:line="480" w:lineRule="exact"/>
              <w:ind w:firstLine="480" w:firstLineChars="200"/>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 xml:space="preserve">      </w:t>
            </w:r>
          </w:p>
        </w:tc>
      </w:tr>
    </w:tbl>
    <w:p w14:paraId="4EAA5218">
      <w:pPr>
        <w:spacing w:line="480" w:lineRule="exact"/>
        <w:ind w:firstLine="480" w:firstLineChars="200"/>
        <w:rPr>
          <w:rFonts w:hint="default" w:ascii="Times New Roman" w:hAnsi="Times New Roman" w:cs="Times New Roman"/>
          <w:color w:val="000000" w:themeColor="text1"/>
          <w:sz w:val="24"/>
          <w:szCs w:val="21"/>
          <w14:textFill>
            <w14:solidFill>
              <w14:schemeClr w14:val="tx1"/>
            </w14:solidFill>
          </w14:textFill>
        </w:rPr>
      </w:pPr>
    </w:p>
    <w:p w14:paraId="7BE6683D">
      <w:pPr>
        <w:spacing w:line="480" w:lineRule="exact"/>
        <w:ind w:firstLine="480" w:firstLineChars="200"/>
        <w:rPr>
          <w:rFonts w:hint="default" w:ascii="Times New Roman" w:hAnsi="Times New Roman" w:cs="Times New Roman"/>
          <w:color w:val="000000" w:themeColor="text1"/>
          <w:sz w:val="24"/>
          <w:szCs w:val="21"/>
          <w14:textFill>
            <w14:solidFill>
              <w14:schemeClr w14:val="tx1"/>
            </w14:solidFill>
          </w14:textFill>
        </w:rPr>
      </w:pPr>
    </w:p>
    <w:p w14:paraId="1B6435DE">
      <w:pPr>
        <w:spacing w:line="360" w:lineRule="auto"/>
        <w:ind w:firstLine="480" w:firstLineChars="200"/>
        <w:rPr>
          <w:rFonts w:hint="default" w:ascii="Times New Roman" w:hAnsi="Times New Roman" w:cs="Times New Roman"/>
          <w:color w:val="000000" w:themeColor="text1"/>
          <w:sz w:val="24"/>
          <w:szCs w:val="21"/>
          <w14:textFill>
            <w14:solidFill>
              <w14:schemeClr w14:val="tx1"/>
            </w14:solidFill>
          </w14:textFill>
        </w:rPr>
      </w:pPr>
    </w:p>
    <w:p w14:paraId="17AC4F91">
      <w:pPr>
        <w:spacing w:line="360" w:lineRule="auto"/>
        <w:ind w:firstLine="480" w:firstLineChars="200"/>
        <w:rPr>
          <w:rFonts w:hint="default" w:ascii="Times New Roman" w:hAnsi="Times New Roman" w:cs="Times New Roman"/>
          <w:color w:val="000000" w:themeColor="text1"/>
          <w:sz w:val="24"/>
          <w:szCs w:val="21"/>
          <w14:textFill>
            <w14:solidFill>
              <w14:schemeClr w14:val="tx1"/>
            </w14:solidFill>
          </w14:textFill>
        </w:rPr>
      </w:pPr>
    </w:p>
    <w:p w14:paraId="391AD7D3">
      <w:pPr>
        <w:spacing w:line="600" w:lineRule="exact"/>
        <w:rPr>
          <w:rFonts w:hint="default" w:ascii="Times New Roman" w:hAnsi="Times New Roman" w:cs="Times New Roman" w:eastAsiaTheme="minorEastAsia"/>
          <w:b w:val="0"/>
          <w:color w:val="000000" w:themeColor="text1"/>
          <w:kern w:val="0"/>
          <w:sz w:val="21"/>
          <w:szCs w:val="21"/>
          <w:lang w:val="en-US" w:eastAsia="zh-CN" w:bidi="ar-SA"/>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供应商名称：</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w:t>
      </w:r>
      <w:r>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t>（电子签章）</w:t>
      </w:r>
    </w:p>
    <w:p w14:paraId="500BA504">
      <w:pPr>
        <w:spacing w:line="600" w:lineRule="exact"/>
        <w:rPr>
          <w:rFonts w:hint="default" w:ascii="Times New Roman" w:hAnsi="Times New Roman" w:cs="Times New Roman" w:eastAsiaTheme="minorEastAsia"/>
          <w:b w:val="0"/>
          <w:color w:val="000000" w:themeColor="text1"/>
          <w:kern w:val="0"/>
          <w:sz w:val="21"/>
          <w:szCs w:val="21"/>
          <w:lang w:val="en-US" w:eastAsia="zh-CN" w:bidi="ar-SA"/>
          <w14:textFill>
            <w14:solidFill>
              <w14:schemeClr w14:val="tx1"/>
            </w14:solidFill>
          </w14:textFill>
        </w:rPr>
      </w:pPr>
      <w:r>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t>法定代表人</w:t>
      </w:r>
      <w:r>
        <w:rPr>
          <w:rFonts w:hint="default" w:ascii="Times New Roman" w:hAnsi="Times New Roman" w:cs="Times New Roman" w:eastAsiaTheme="minorEastAsia"/>
          <w:b w:val="0"/>
          <w:color w:val="000000" w:themeColor="text1"/>
          <w:kern w:val="0"/>
          <w:sz w:val="21"/>
          <w:szCs w:val="21"/>
          <w:lang w:val="en-US" w:eastAsia="zh-CN" w:bidi="ar-SA"/>
          <w14:textFill>
            <w14:solidFill>
              <w14:schemeClr w14:val="tx1"/>
            </w14:solidFill>
          </w14:textFill>
        </w:rPr>
        <w:t>：</w:t>
      </w:r>
      <w:r>
        <w:rPr>
          <w:rFonts w:hint="default" w:ascii="Times New Roman" w:hAnsi="Times New Roman" w:cs="Times New Roman" w:eastAsiaTheme="minorEastAsia"/>
          <w:b w:val="0"/>
          <w:color w:val="000000" w:themeColor="text1"/>
          <w:kern w:val="0"/>
          <w:sz w:val="21"/>
          <w:szCs w:val="21"/>
          <w:u w:val="single"/>
          <w:lang w:val="en-US" w:eastAsia="zh-CN" w:bidi="ar-SA"/>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t>（电子签章）</w:t>
      </w:r>
    </w:p>
    <w:p w14:paraId="79BBA05F">
      <w:pPr>
        <w:spacing w:line="600" w:lineRule="exact"/>
        <w:rPr>
          <w:rFonts w:hint="default" w:ascii="Times New Roman" w:hAnsi="Times New Roman" w:cs="Times New Roman" w:eastAsiaTheme="minorEastAsia"/>
          <w:b w:val="0"/>
          <w:color w:val="000000" w:themeColor="text1"/>
          <w:kern w:val="0"/>
          <w:sz w:val="21"/>
          <w:szCs w:val="21"/>
          <w:u w:val="single"/>
          <w:lang w:val="en-US" w:eastAsia="zh-CN" w:bidi="ar-SA"/>
          <w14:textFill>
            <w14:solidFill>
              <w14:schemeClr w14:val="tx1"/>
            </w14:solidFill>
          </w14:textFill>
        </w:rPr>
      </w:pPr>
      <w:r>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t>法定代表人身份证号码</w:t>
      </w:r>
      <w:r>
        <w:rPr>
          <w:rFonts w:hint="default" w:ascii="Times New Roman" w:hAnsi="Times New Roman" w:cs="Times New Roman" w:eastAsiaTheme="minorEastAsia"/>
          <w:b w:val="0"/>
          <w:color w:val="000000" w:themeColor="text1"/>
          <w:kern w:val="0"/>
          <w:sz w:val="21"/>
          <w:szCs w:val="21"/>
          <w:lang w:val="en-US" w:eastAsia="zh-CN" w:bidi="ar-SA"/>
          <w14:textFill>
            <w14:solidFill>
              <w14:schemeClr w14:val="tx1"/>
            </w14:solidFill>
          </w14:textFill>
        </w:rPr>
        <w:t>：</w:t>
      </w:r>
      <w:r>
        <w:rPr>
          <w:rFonts w:hint="default" w:ascii="Times New Roman" w:hAnsi="Times New Roman" w:cs="Times New Roman" w:eastAsiaTheme="minorEastAsia"/>
          <w:b w:val="0"/>
          <w:color w:val="000000" w:themeColor="text1"/>
          <w:kern w:val="0"/>
          <w:sz w:val="21"/>
          <w:szCs w:val="21"/>
          <w:u w:val="single"/>
          <w:lang w:val="en-US" w:eastAsia="zh-CN" w:bidi="ar-SA"/>
          <w14:textFill>
            <w14:solidFill>
              <w14:schemeClr w14:val="tx1"/>
            </w14:solidFill>
          </w14:textFill>
        </w:rPr>
        <w:t xml:space="preserve">                  </w:t>
      </w:r>
    </w:p>
    <w:p w14:paraId="47DF0005">
      <w:pPr>
        <w:spacing w:line="600" w:lineRule="exact"/>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t>委托代理人</w:t>
      </w:r>
      <w:r>
        <w:rPr>
          <w:rFonts w:hint="default" w:ascii="Times New Roman" w:hAnsi="Times New Roman" w:cs="Times New Roman" w:eastAsiaTheme="minorEastAsia"/>
          <w:b w:val="0"/>
          <w:color w:val="000000" w:themeColor="text1"/>
          <w:kern w:val="0"/>
          <w:sz w:val="21"/>
          <w:szCs w:val="21"/>
          <w:lang w:val="en-US" w:eastAsia="zh-CN" w:bidi="ar-SA"/>
          <w14:textFill>
            <w14:solidFill>
              <w14:schemeClr w14:val="tx1"/>
            </w14:solidFill>
          </w14:textFill>
        </w:rPr>
        <w:t>：</w:t>
      </w:r>
      <w:r>
        <w:rPr>
          <w:rFonts w:hint="default" w:ascii="Times New Roman" w:hAnsi="Times New Roman" w:cs="Times New Roman" w:eastAsiaTheme="minorEastAsia"/>
          <w:b w:val="0"/>
          <w:color w:val="000000" w:themeColor="text1"/>
          <w:kern w:val="0"/>
          <w:sz w:val="21"/>
          <w:szCs w:val="21"/>
          <w:u w:val="single"/>
          <w:lang w:val="en-US" w:eastAsia="zh-CN" w:bidi="ar-SA"/>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t>（电子签章或签名）</w:t>
      </w:r>
    </w:p>
    <w:p w14:paraId="2D93561C">
      <w:pPr>
        <w:spacing w:line="600" w:lineRule="exact"/>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t>委</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 xml:space="preserve">托代理人身份证号码：                  </w:t>
      </w:r>
    </w:p>
    <w:p w14:paraId="5329FE58">
      <w:pPr>
        <w:spacing w:line="600" w:lineRule="exact"/>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 xml:space="preserve">日  期：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日</w:t>
      </w:r>
    </w:p>
    <w:p w14:paraId="4F6CDDDC">
      <w:pPr>
        <w:spacing w:line="360" w:lineRule="auto"/>
        <w:ind w:firstLine="480" w:firstLineChars="200"/>
        <w:rPr>
          <w:rFonts w:hint="default" w:ascii="Times New Roman" w:hAnsi="Times New Roman" w:cs="Times New Roman"/>
          <w:color w:val="000000" w:themeColor="text1"/>
          <w:sz w:val="24"/>
          <w:szCs w:val="21"/>
          <w14:textFill>
            <w14:solidFill>
              <w14:schemeClr w14:val="tx1"/>
            </w14:solidFill>
          </w14:textFill>
        </w:rPr>
      </w:pPr>
    </w:p>
    <w:p w14:paraId="2E4B3036">
      <w:pPr>
        <w:spacing w:line="360" w:lineRule="auto"/>
        <w:rPr>
          <w:rFonts w:hint="default" w:ascii="Times New Roman" w:hAnsi="Times New Roman" w:cs="Times New Roman"/>
          <w:color w:val="000000" w:themeColor="text1"/>
          <w:sz w:val="24"/>
          <w:szCs w:val="21"/>
          <w14:textFill>
            <w14:solidFill>
              <w14:schemeClr w14:val="tx1"/>
            </w14:solidFill>
          </w14:textFill>
        </w:rPr>
      </w:pPr>
    </w:p>
    <w:p w14:paraId="0D75F7A1">
      <w:pPr>
        <w:bidi w:val="0"/>
        <w:ind w:firstLine="3654" w:firstLineChars="1300"/>
        <w:rPr>
          <w:rFonts w:hint="default" w:ascii="Times New Roman" w:hAnsi="Times New Roman" w:eastAsia="宋体" w:cs="Times New Roman"/>
          <w:b/>
          <w:bCs/>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8"/>
          <w:szCs w:val="28"/>
          <w:lang w:val="en-US" w:eastAsia="zh-CN" w:bidi="ar-SA"/>
          <w14:textFill>
            <w14:solidFill>
              <w14:schemeClr w14:val="tx1"/>
            </w14:solidFill>
          </w14:textFill>
        </w:rPr>
        <w:t>（</w:t>
      </w:r>
      <w:r>
        <w:rPr>
          <w:rFonts w:hint="default" w:ascii="Times New Roman" w:hAnsi="Times New Roman" w:cs="Times New Roman"/>
          <w:b/>
          <w:bCs/>
          <w:color w:val="000000" w:themeColor="text1"/>
          <w:kern w:val="2"/>
          <w:sz w:val="28"/>
          <w:szCs w:val="28"/>
          <w:lang w:val="en-US" w:eastAsia="zh-CN" w:bidi="ar-SA"/>
          <w14:textFill>
            <w14:solidFill>
              <w14:schemeClr w14:val="tx1"/>
            </w14:solidFill>
          </w14:textFill>
        </w:rPr>
        <w:t>五</w:t>
      </w:r>
      <w:r>
        <w:rPr>
          <w:rFonts w:hint="default" w:ascii="Times New Roman" w:hAnsi="Times New Roman" w:eastAsia="宋体" w:cs="Times New Roman"/>
          <w:b/>
          <w:bCs/>
          <w:color w:val="000000" w:themeColor="text1"/>
          <w:kern w:val="2"/>
          <w:sz w:val="28"/>
          <w:szCs w:val="28"/>
          <w:lang w:val="en-US" w:eastAsia="zh-CN" w:bidi="ar-SA"/>
          <w14:textFill>
            <w14:solidFill>
              <w14:schemeClr w14:val="tx1"/>
            </w14:solidFill>
          </w14:textFill>
        </w:rPr>
        <w:t>）</w:t>
      </w:r>
      <w:r>
        <w:rPr>
          <w:rFonts w:hint="default" w:ascii="Times New Roman" w:hAnsi="Times New Roman" w:cs="Times New Roman"/>
          <w:b/>
          <w:bCs/>
          <w:color w:val="000000" w:themeColor="text1"/>
          <w:kern w:val="2"/>
          <w:sz w:val="28"/>
          <w:szCs w:val="28"/>
          <w:lang w:val="en-US" w:eastAsia="zh-CN" w:bidi="ar-SA"/>
          <w14:textFill>
            <w14:solidFill>
              <w14:schemeClr w14:val="tx1"/>
            </w14:solidFill>
          </w14:textFill>
        </w:rPr>
        <w:t>不变更项目经理</w:t>
      </w:r>
      <w:r>
        <w:rPr>
          <w:rFonts w:hint="default" w:ascii="Times New Roman" w:hAnsi="Times New Roman" w:eastAsia="宋体" w:cs="Times New Roman"/>
          <w:b/>
          <w:bCs/>
          <w:color w:val="000000" w:themeColor="text1"/>
          <w:kern w:val="2"/>
          <w:sz w:val="28"/>
          <w:szCs w:val="28"/>
          <w:lang w:val="en-US" w:eastAsia="zh-CN" w:bidi="ar-SA"/>
          <w14:textFill>
            <w14:solidFill>
              <w14:schemeClr w14:val="tx1"/>
            </w14:solidFill>
          </w14:textFill>
        </w:rPr>
        <w:t>承诺书</w:t>
      </w:r>
    </w:p>
    <w:p w14:paraId="4F05E631">
      <w:pPr>
        <w:keepNext w:val="0"/>
        <w:keepLines w:val="0"/>
        <w:pageBreakBefore w:val="0"/>
        <w:widowControl w:val="0"/>
        <w:kinsoku/>
        <w:wordWrap/>
        <w:overflowPunct/>
        <w:topLinePunct w:val="0"/>
        <w:autoSpaceDE/>
        <w:autoSpaceDN/>
        <w:bidi w:val="0"/>
        <w:adjustRightInd/>
        <w:snapToGrid/>
        <w:spacing w:after="157" w:afterLines="50" w:line="480" w:lineRule="exact"/>
        <w:jc w:val="left"/>
        <w:textAlignment w:val="auto"/>
        <w:rPr>
          <w:rFonts w:hint="default" w:ascii="Times New Roman" w:hAnsi="Times New Roman" w:cs="Times New Roman" w:eastAsiaTheme="minorEastAsia"/>
          <w:color w:val="000000" w:themeColor="text1"/>
          <w:sz w:val="24"/>
          <w:szCs w:val="24"/>
          <w:highlight w:val="none"/>
          <w14:textFill>
            <w14:solidFill>
              <w14:schemeClr w14:val="tx1"/>
            </w14:solidFill>
          </w14:textFill>
        </w:rPr>
      </w:pPr>
      <w:r>
        <w:rPr>
          <w:rFonts w:hint="default" w:ascii="Times New Roman" w:hAnsi="Times New Roman" w:cs="Times New Roman" w:eastAsiaTheme="minorEastAsia"/>
          <w:b/>
          <w:color w:val="000000" w:themeColor="text1"/>
          <w:sz w:val="24"/>
          <w:szCs w:val="24"/>
          <w:highlight w:val="none"/>
          <w:u w:val="none"/>
          <w:lang w:val="en-US" w:eastAsia="zh-CN"/>
          <w14:textFill>
            <w14:solidFill>
              <w14:schemeClr w14:val="tx1"/>
            </w14:solidFill>
          </w14:textFill>
        </w:rPr>
        <w:t>致：</w:t>
      </w:r>
      <w:r>
        <w:rPr>
          <w:rFonts w:hint="default" w:ascii="Times New Roman" w:hAnsi="Times New Roman" w:cs="Times New Roman" w:eastAsiaTheme="minorEastAsia"/>
          <w:b/>
          <w:color w:val="000000" w:themeColor="text1"/>
          <w:sz w:val="24"/>
          <w:szCs w:val="24"/>
          <w:highlight w:val="none"/>
          <w:u w:val="single"/>
          <w14:textFill>
            <w14:solidFill>
              <w14:schemeClr w14:val="tx1"/>
            </w14:solidFill>
          </w14:textFill>
        </w:rPr>
        <w:t>　　</w:t>
      </w:r>
      <w:r>
        <w:rPr>
          <w:rFonts w:hint="default" w:ascii="Times New Roman" w:hAnsi="Times New Roman" w:cs="Times New Roman" w:eastAsiaTheme="minorEastAsia"/>
          <w:color w:val="000000" w:themeColor="text1"/>
          <w:sz w:val="24"/>
          <w:szCs w:val="24"/>
          <w:highlight w:val="none"/>
          <w:u w:val="single"/>
          <w14:textFill>
            <w14:solidFill>
              <w14:schemeClr w14:val="tx1"/>
            </w14:solidFill>
          </w14:textFill>
        </w:rPr>
        <w:t>（</w:t>
      </w:r>
      <w:r>
        <w:rPr>
          <w:rFonts w:hint="default" w:ascii="Times New Roman" w:hAnsi="Times New Roman" w:cs="Times New Roman" w:eastAsiaTheme="minorEastAsia"/>
          <w:color w:val="000000" w:themeColor="text1"/>
          <w:sz w:val="24"/>
          <w:szCs w:val="24"/>
          <w:highlight w:val="none"/>
          <w:u w:val="single"/>
          <w:lang w:val="en-US" w:eastAsia="zh-CN"/>
          <w14:textFill>
            <w14:solidFill>
              <w14:schemeClr w14:val="tx1"/>
            </w14:solidFill>
          </w14:textFill>
        </w:rPr>
        <w:t>采购人名称</w:t>
      </w:r>
      <w:r>
        <w:rPr>
          <w:rFonts w:hint="default" w:ascii="Times New Roman" w:hAnsi="Times New Roman" w:cs="Times New Roman" w:eastAsiaTheme="minorEastAsia"/>
          <w:color w:val="000000" w:themeColor="text1"/>
          <w:sz w:val="24"/>
          <w:szCs w:val="24"/>
          <w:highlight w:val="none"/>
          <w:u w:val="single"/>
          <w14:textFill>
            <w14:solidFill>
              <w14:schemeClr w14:val="tx1"/>
            </w14:solidFill>
          </w14:textFill>
        </w:rPr>
        <w:t>）</w:t>
      </w:r>
      <w:r>
        <w:rPr>
          <w:rFonts w:hint="default" w:ascii="Times New Roman" w:hAnsi="Times New Roman" w:cs="Times New Roman" w:eastAsiaTheme="minorEastAsia"/>
          <w:b/>
          <w:color w:val="000000" w:themeColor="text1"/>
          <w:sz w:val="24"/>
          <w:szCs w:val="24"/>
          <w:highlight w:val="none"/>
          <w:u w:val="single"/>
          <w14:textFill>
            <w14:solidFill>
              <w14:schemeClr w14:val="tx1"/>
            </w14:solidFill>
          </w14:textFill>
        </w:rPr>
        <w:t>　　</w:t>
      </w:r>
    </w:p>
    <w:p w14:paraId="26C512D3">
      <w:pPr>
        <w:keepNext w:val="0"/>
        <w:keepLines w:val="0"/>
        <w:pageBreakBefore w:val="0"/>
        <w:widowControl w:val="0"/>
        <w:kinsoku/>
        <w:wordWrap/>
        <w:overflowPunct/>
        <w:topLinePunct w:val="0"/>
        <w:autoSpaceDE/>
        <w:autoSpaceDN/>
        <w:bidi w:val="0"/>
        <w:adjustRightInd/>
        <w:snapToGrid/>
        <w:spacing w:after="157" w:afterLines="50" w:line="480" w:lineRule="exact"/>
        <w:ind w:firstLine="420"/>
        <w:textAlignment w:val="auto"/>
        <w:rPr>
          <w:rFonts w:hint="default" w:ascii="Times New Roman" w:hAnsi="Times New Roman" w:cs="Times New Roman" w:eastAsiaTheme="minorEastAsia"/>
          <w:color w:val="000000" w:themeColor="text1"/>
          <w:sz w:val="24"/>
          <w:szCs w:val="24"/>
          <w:u w:val="none"/>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u w:val="none"/>
          <w:lang w:val="en-US" w:eastAsia="zh-CN"/>
          <w14:textFill>
            <w14:solidFill>
              <w14:schemeClr w14:val="tx1"/>
            </w14:solidFill>
          </w14:textFill>
        </w:rPr>
        <w:t>我公司参加</w:t>
      </w:r>
      <w:r>
        <w:rPr>
          <w:rFonts w:hint="default" w:ascii="Times New Roman" w:hAnsi="Times New Roman" w:cs="Times New Roman" w:eastAsiaTheme="minorEastAsia"/>
          <w:color w:val="000000" w:themeColor="text1"/>
          <w:sz w:val="24"/>
          <w:szCs w:val="24"/>
          <w:highlight w:val="none"/>
          <w:u w:val="single"/>
          <w14:textFill>
            <w14:solidFill>
              <w14:schemeClr w14:val="tx1"/>
            </w14:solidFill>
          </w14:textFill>
        </w:rPr>
        <w:t>　　</w:t>
      </w:r>
      <w:r>
        <w:rPr>
          <w:rFonts w:hint="default" w:ascii="Times New Roman" w:hAnsi="Times New Roman" w:cs="Times New Roman" w:eastAsiaTheme="minorEastAsia"/>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4"/>
          <w:szCs w:val="24"/>
          <w:highlight w:val="none"/>
          <w:u w:val="single"/>
          <w14:textFill>
            <w14:solidFill>
              <w14:schemeClr w14:val="tx1"/>
            </w14:solidFill>
          </w14:textFill>
        </w:rPr>
        <w:t>　</w:t>
      </w:r>
      <w:r>
        <w:rPr>
          <w:rFonts w:hint="default" w:ascii="Times New Roman" w:hAnsi="Times New Roman" w:cs="Times New Roman" w:eastAsiaTheme="minorEastAsia"/>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4"/>
          <w:szCs w:val="24"/>
          <w:u w:val="single"/>
          <w:lang w:val="en-US" w:eastAsia="zh-CN"/>
          <w14:textFill>
            <w14:solidFill>
              <w14:schemeClr w14:val="tx1"/>
            </w14:solidFill>
          </w14:textFill>
        </w:rPr>
        <w:t xml:space="preserve">（项目名称）    </w:t>
      </w:r>
      <w:r>
        <w:rPr>
          <w:rFonts w:hint="default" w:ascii="Times New Roman" w:hAnsi="Times New Roman" w:cs="Times New Roman" w:eastAsiaTheme="minorEastAsia"/>
          <w:color w:val="000000" w:themeColor="text1"/>
          <w:sz w:val="24"/>
          <w:szCs w:val="24"/>
          <w:u w:val="none"/>
          <w:lang w:val="en-US" w:eastAsia="zh-CN"/>
          <w14:textFill>
            <w14:solidFill>
              <w14:schemeClr w14:val="tx1"/>
            </w14:solidFill>
          </w14:textFill>
        </w:rPr>
        <w:t>的投标，郑重承诺：如我公司有幸中标，我公司保证我方拟派往本项目的项目经理</w:t>
      </w:r>
      <w:r>
        <w:rPr>
          <w:rFonts w:hint="default" w:ascii="Times New Roman" w:hAnsi="Times New Roman" w:cs="Times New Roman" w:eastAsiaTheme="minorEastAsia"/>
          <w:color w:val="000000" w:themeColor="text1"/>
          <w:sz w:val="24"/>
          <w:szCs w:val="24"/>
          <w:u w:val="single"/>
          <w:lang w:val="en-US" w:eastAsia="zh-CN"/>
          <w14:textFill>
            <w14:solidFill>
              <w14:schemeClr w14:val="tx1"/>
            </w14:solidFill>
          </w14:textFill>
        </w:rPr>
        <w:t>（项目经理姓名）</w:t>
      </w:r>
      <w:r>
        <w:rPr>
          <w:rFonts w:hint="default" w:ascii="Times New Roman" w:hAnsi="Times New Roman" w:cs="Times New Roman" w:eastAsiaTheme="minorEastAsia"/>
          <w:color w:val="000000" w:themeColor="text1"/>
          <w:sz w:val="24"/>
          <w:szCs w:val="24"/>
          <w:u w:val="none"/>
          <w:lang w:val="en-US" w:eastAsia="zh-CN"/>
          <w14:textFill>
            <w14:solidFill>
              <w14:schemeClr w14:val="tx1"/>
            </w14:solidFill>
          </w14:textFill>
        </w:rPr>
        <w:t>一经委派，不会因任何因素更换人员及调离。</w:t>
      </w:r>
    </w:p>
    <w:p w14:paraId="4748AE36">
      <w:pPr>
        <w:pStyle w:val="13"/>
        <w:keepNext w:val="0"/>
        <w:keepLines w:val="0"/>
        <w:pageBreakBefore w:val="0"/>
        <w:widowControl w:val="0"/>
        <w:kinsoku/>
        <w:wordWrap/>
        <w:overflowPunct/>
        <w:topLinePunct w:val="0"/>
        <w:autoSpaceDE/>
        <w:autoSpaceDN/>
        <w:bidi w:val="0"/>
        <w:adjustRightInd/>
        <w:snapToGrid/>
        <w:spacing w:after="157" w:afterLines="50" w:line="480" w:lineRule="exact"/>
        <w:textAlignment w:val="auto"/>
        <w:rPr>
          <w:rFonts w:hint="default" w:ascii="Times New Roman" w:hAnsi="Times New Roman" w:cs="Times New Roman" w:eastAsiaTheme="minorEastAsia"/>
          <w:color w:val="000000" w:themeColor="text1"/>
          <w:sz w:val="24"/>
          <w:szCs w:val="24"/>
          <w:lang w:eastAsia="zh-CN"/>
          <w14:textFill>
            <w14:solidFill>
              <w14:schemeClr w14:val="tx1"/>
            </w14:solidFill>
          </w14:textFill>
        </w:rPr>
      </w:pPr>
    </w:p>
    <w:p w14:paraId="53AE9F06">
      <w:pPr>
        <w:spacing w:line="540" w:lineRule="exact"/>
        <w:ind w:firstLine="420"/>
        <w:rPr>
          <w:rFonts w:hint="default" w:ascii="Times New Roman" w:hAnsi="Times New Roman" w:cs="Times New Roman" w:eastAsiaTheme="minorEastAsia"/>
          <w:color w:val="000000" w:themeColor="text1"/>
          <w:sz w:val="24"/>
          <w:szCs w:val="24"/>
          <w:highlight w:val="none"/>
          <w:u w:val="single"/>
          <w14:textFill>
            <w14:solidFill>
              <w14:schemeClr w14:val="tx1"/>
            </w14:solidFill>
          </w14:textFill>
        </w:rPr>
      </w:pPr>
    </w:p>
    <w:p w14:paraId="45697188">
      <w:pPr>
        <w:spacing w:after="312" w:afterLines="100" w:line="440" w:lineRule="exact"/>
        <w:ind w:firstLine="480" w:firstLineChars="200"/>
        <w:rPr>
          <w:rFonts w:hint="default" w:ascii="Times New Roman" w:hAnsi="Times New Roman" w:cs="Times New Roman" w:eastAsiaTheme="minorEastAsia"/>
          <w:color w:val="000000" w:themeColor="text1"/>
          <w:sz w:val="24"/>
          <w:szCs w:val="24"/>
          <w:highlight w:val="none"/>
          <w:u w:val="none"/>
          <w:lang w:val="en-US" w:eastAsia="zh-CN"/>
          <w14:textFill>
            <w14:solidFill>
              <w14:schemeClr w14:val="tx1"/>
            </w14:solidFill>
          </w14:textFill>
        </w:rPr>
      </w:pPr>
    </w:p>
    <w:p w14:paraId="63F33454">
      <w:pPr>
        <w:pStyle w:val="9"/>
        <w:rPr>
          <w:rFonts w:hint="default" w:ascii="Times New Roman" w:hAnsi="Times New Roman" w:cs="Times New Roman" w:eastAsiaTheme="minorEastAsia"/>
          <w:color w:val="000000" w:themeColor="text1"/>
          <w:sz w:val="24"/>
          <w:szCs w:val="24"/>
          <w:highlight w:val="none"/>
          <w:u w:val="none"/>
          <w:lang w:val="en-US" w:eastAsia="zh-CN"/>
          <w14:textFill>
            <w14:solidFill>
              <w14:schemeClr w14:val="tx1"/>
            </w14:solidFill>
          </w14:textFill>
        </w:rPr>
      </w:pPr>
    </w:p>
    <w:p w14:paraId="4D5949C5">
      <w:pPr>
        <w:spacing w:line="440" w:lineRule="exact"/>
        <w:ind w:firstLine="480" w:firstLineChars="200"/>
        <w:rPr>
          <w:rFonts w:hint="default" w:ascii="Times New Roman" w:hAnsi="Times New Roman" w:cs="Times New Roman" w:eastAsiaTheme="minorEastAsia"/>
          <w:color w:val="000000" w:themeColor="text1"/>
          <w:sz w:val="24"/>
          <w:szCs w:val="24"/>
          <w:u w:val="none"/>
          <w14:textFill>
            <w14:solidFill>
              <w14:schemeClr w14:val="tx1"/>
            </w14:solidFill>
          </w14:textFill>
        </w:rPr>
      </w:pPr>
    </w:p>
    <w:p w14:paraId="12CB4B75">
      <w:pPr>
        <w:keepNext w:val="0"/>
        <w:keepLines w:val="0"/>
        <w:pageBreakBefore w:val="0"/>
        <w:widowControl w:val="0"/>
        <w:kinsoku/>
        <w:wordWrap/>
        <w:overflowPunct/>
        <w:topLinePunct w:val="0"/>
        <w:autoSpaceDE/>
        <w:autoSpaceDN/>
        <w:bidi w:val="0"/>
        <w:adjustRightInd/>
        <w:snapToGrid/>
        <w:spacing w:after="157" w:afterLines="50" w:line="480" w:lineRule="exact"/>
        <w:ind w:firstLine="420"/>
        <w:textAlignment w:val="auto"/>
        <w:rPr>
          <w:rFonts w:hint="default" w:ascii="Times New Roman" w:hAnsi="Times New Roman" w:cs="Times New Roman" w:eastAsiaTheme="minorEastAsia"/>
          <w:color w:val="000000" w:themeColor="text1"/>
          <w:sz w:val="24"/>
          <w:szCs w:val="24"/>
          <w:u w:val="none"/>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u w:val="none"/>
          <w:lang w:val="en-US" w:eastAsia="zh-CN"/>
          <w14:textFill>
            <w14:solidFill>
              <w14:schemeClr w14:val="tx1"/>
            </w14:solidFill>
          </w14:textFill>
        </w:rPr>
        <w:t>特此承诺</w:t>
      </w:r>
    </w:p>
    <w:p w14:paraId="1CDADB06">
      <w:pPr>
        <w:numPr>
          <w:ilvl w:val="0"/>
          <w:numId w:val="0"/>
        </w:numPr>
        <w:rPr>
          <w:rFonts w:hint="default" w:ascii="Times New Roman" w:hAnsi="Times New Roman" w:cs="Times New Roman" w:eastAsiaTheme="minorEastAsia"/>
          <w:color w:val="000000" w:themeColor="text1"/>
          <w:sz w:val="24"/>
          <w:szCs w:val="24"/>
          <w:u w:val="none"/>
          <w14:textFill>
            <w14:solidFill>
              <w14:schemeClr w14:val="tx1"/>
            </w14:solidFill>
          </w14:textFill>
        </w:rPr>
      </w:pPr>
    </w:p>
    <w:p w14:paraId="48B95C10">
      <w:pPr>
        <w:numPr>
          <w:ilvl w:val="0"/>
          <w:numId w:val="0"/>
        </w:numPr>
        <w:rPr>
          <w:rFonts w:hint="default" w:ascii="Times New Roman" w:hAnsi="Times New Roman" w:cs="Times New Roman" w:eastAsiaTheme="minorEastAsia"/>
          <w:color w:val="000000" w:themeColor="text1"/>
          <w:sz w:val="24"/>
          <w:szCs w:val="24"/>
          <w:u w:val="none"/>
          <w14:textFill>
            <w14:solidFill>
              <w14:schemeClr w14:val="tx1"/>
            </w14:solidFill>
          </w14:textFill>
        </w:rPr>
      </w:pPr>
    </w:p>
    <w:p w14:paraId="2AA7E160">
      <w:pPr>
        <w:numPr>
          <w:ilvl w:val="0"/>
          <w:numId w:val="0"/>
        </w:numPr>
        <w:rPr>
          <w:rFonts w:hint="default" w:ascii="Times New Roman" w:hAnsi="Times New Roman" w:cs="Times New Roman" w:eastAsiaTheme="minorEastAsia"/>
          <w:color w:val="000000" w:themeColor="text1"/>
          <w:sz w:val="24"/>
          <w:szCs w:val="24"/>
          <w:u w:val="none"/>
          <w14:textFill>
            <w14:solidFill>
              <w14:schemeClr w14:val="tx1"/>
            </w14:solidFill>
          </w14:textFill>
        </w:rPr>
      </w:pPr>
    </w:p>
    <w:p w14:paraId="72A42850">
      <w:pPr>
        <w:numPr>
          <w:ilvl w:val="0"/>
          <w:numId w:val="0"/>
        </w:numPr>
        <w:rPr>
          <w:rFonts w:hint="default" w:ascii="Times New Roman" w:hAnsi="Times New Roman" w:cs="Times New Roman" w:eastAsiaTheme="minorEastAsia"/>
          <w:color w:val="000000" w:themeColor="text1"/>
          <w:sz w:val="24"/>
          <w:szCs w:val="24"/>
          <w:u w:val="none"/>
          <w14:textFill>
            <w14:solidFill>
              <w14:schemeClr w14:val="tx1"/>
            </w14:solidFill>
          </w14:textFill>
        </w:rPr>
      </w:pPr>
    </w:p>
    <w:p w14:paraId="057ED837">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p>
    <w:p w14:paraId="01AACA83">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p>
    <w:p w14:paraId="54D1B6BA">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供应商</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名称</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06A83BA3">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法定代表人</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或委托代理人</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516E50D5">
      <w:pPr>
        <w:spacing w:before="20" w:after="120" w:line="360" w:lineRule="auto"/>
        <w:ind w:firstLine="420" w:firstLineChars="200"/>
        <w:jc w:val="both"/>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5AC4E3DF">
      <w:pPr>
        <w:spacing w:line="360" w:lineRule="auto"/>
        <w:jc w:val="both"/>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6199EDBC">
      <w:pPr>
        <w:spacing w:line="360" w:lineRule="auto"/>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66F870EF">
      <w:pPr>
        <w:spacing w:line="360" w:lineRule="auto"/>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21822E39">
      <w:pPr>
        <w:spacing w:line="360" w:lineRule="auto"/>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7869D8C4">
      <w:pPr>
        <w:spacing w:line="360" w:lineRule="auto"/>
        <w:jc w:val="both"/>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1304D8FE">
      <w:pPr>
        <w:spacing w:line="360" w:lineRule="auto"/>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517A88E0">
      <w:pPr>
        <w:spacing w:line="360" w:lineRule="auto"/>
        <w:jc w:val="center"/>
        <w:rPr>
          <w:rFonts w:hint="default" w:ascii="Times New Roman" w:hAnsi="Times New Roman" w:cs="Times New Roman"/>
          <w:color w:val="000000" w:themeColor="text1"/>
          <w:lang w:eastAsia="zh-CN"/>
          <w14:textFill>
            <w14:solidFill>
              <w14:schemeClr w14:val="tx1"/>
            </w14:solidFill>
          </w14:textFill>
        </w:rPr>
      </w:pPr>
      <w: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t>二次报价表</w:t>
      </w:r>
    </w:p>
    <w:p w14:paraId="3661F723">
      <w:pPr>
        <w:keepNext w:val="0"/>
        <w:keepLines w:val="0"/>
        <w:pageBreakBefore w:val="0"/>
        <w:widowControl w:val="0"/>
        <w:kinsoku/>
        <w:wordWrap/>
        <w:overflowPunct/>
        <w:topLinePunct w:val="0"/>
        <w:autoSpaceDE/>
        <w:autoSpaceDN/>
        <w:bidi w:val="0"/>
        <w:adjustRightInd w:val="0"/>
        <w:snapToGrid w:val="0"/>
        <w:spacing w:line="573" w:lineRule="exact"/>
        <w:ind w:right="0" w:rightChars="0"/>
        <w:jc w:val="both"/>
        <w:textAlignment w:val="auto"/>
        <w:outlineLvl w:val="9"/>
        <w:rPr>
          <w:rFonts w:hint="eastAsia"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项目</w:t>
      </w:r>
      <w:r>
        <w:rPr>
          <w:rFonts w:hint="default" w:ascii="Times New Roman" w:hAnsi="Times New Roman" w:cs="Times New Roman"/>
          <w:color w:val="000000" w:themeColor="text1"/>
          <w:lang w:val="en-US" w:eastAsia="zh-CN"/>
          <w14:textFill>
            <w14:solidFill>
              <w14:schemeClr w14:val="tx1"/>
            </w14:solidFill>
          </w14:textFill>
        </w:rPr>
        <w:t>名称：</w:t>
      </w:r>
      <w:r>
        <w:rPr>
          <w:rFonts w:hint="eastAsia" w:ascii="Times New Roman" w:hAnsi="Times New Roman" w:eastAsia="宋体" w:cs="Times New Roman"/>
          <w:color w:val="000000" w:themeColor="text1"/>
          <w:lang w:val="en-US" w:eastAsia="zh-CN"/>
          <w14:textFill>
            <w14:solidFill>
              <w14:schemeClr w14:val="tx1"/>
            </w14:solidFill>
          </w14:textFill>
        </w:rPr>
        <w:t>2026年勐海县勐阿镇南朗河村委会龙竹蓬村小组农村公益事业建设财政奖补项目（普惠）</w:t>
      </w:r>
    </w:p>
    <w:p w14:paraId="2DD641E3">
      <w:pPr>
        <w:jc w:val="both"/>
        <w:rPr>
          <w:rFonts w:hint="default" w:ascii="Times New Roman" w:hAnsi="Times New Roman"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项目编号： HMZB-</w:t>
      </w:r>
      <w:r>
        <w:rPr>
          <w:rFonts w:hint="default" w:ascii="Times New Roman" w:hAnsi="Times New Roman" w:cs="Times New Roman"/>
          <w:color w:val="000000" w:themeColor="text1"/>
          <w:lang w:val="en-US" w:eastAsia="zh-CN"/>
          <w14:textFill>
            <w14:solidFill>
              <w14:schemeClr w14:val="tx1"/>
            </w14:solidFill>
          </w14:textFill>
        </w:rPr>
        <w:t>2026-</w:t>
      </w:r>
      <w:r>
        <w:rPr>
          <w:rFonts w:hint="eastAsia" w:ascii="Times New Roman" w:hAnsi="Times New Roman" w:cs="Times New Roman"/>
          <w:color w:val="000000" w:themeColor="text1"/>
          <w:lang w:val="en-US" w:eastAsia="zh-CN"/>
          <w14:textFill>
            <w14:solidFill>
              <w14:schemeClr w14:val="tx1"/>
            </w14:solidFill>
          </w14:textFill>
        </w:rPr>
        <w:t>8</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16</w:t>
      </w:r>
    </w:p>
    <w:p w14:paraId="0F744662">
      <w:pPr>
        <w:keepNext w:val="0"/>
        <w:keepLines w:val="0"/>
        <w:widowControl/>
        <w:suppressLineNumbers w:val="0"/>
        <w:jc w:val="left"/>
        <w:rPr>
          <w:rFonts w:hint="default" w:ascii="Times New Roman" w:hAnsi="Times New Roman" w:cs="Times New Roman"/>
          <w:color w:val="000000" w:themeColor="text1"/>
          <w:lang w:val="en-US" w:eastAsia="zh-CN"/>
          <w14:textFill>
            <w14:solidFill>
              <w14:schemeClr w14:val="tx1"/>
            </w14:solidFill>
          </w14:textFill>
        </w:rPr>
      </w:pPr>
    </w:p>
    <w:tbl>
      <w:tblPr>
        <w:tblStyle w:val="30"/>
        <w:tblpPr w:leftFromText="180" w:rightFromText="180" w:vertAnchor="text" w:tblpXSpec="center" w:tblpY="1"/>
        <w:tblOverlap w:val="never"/>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969"/>
        <w:gridCol w:w="5085"/>
        <w:gridCol w:w="1451"/>
      </w:tblGrid>
      <w:tr w14:paraId="040C2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7" w:type="dxa"/>
            <w:noWrap w:val="0"/>
            <w:vAlign w:val="center"/>
          </w:tcPr>
          <w:p w14:paraId="497E83B6">
            <w:pPr>
              <w:spacing w:line="360" w:lineRule="auto"/>
              <w:jc w:val="center"/>
              <w:rPr>
                <w:rFonts w:hint="default" w:ascii="Times New Roman" w:hAnsi="Times New Roman" w:cs="Times New Roman"/>
                <w:b/>
                <w:color w:val="000000" w:themeColor="text1"/>
                <w:sz w:val="21"/>
                <w:szCs w:val="21"/>
                <w14:textFill>
                  <w14:solidFill>
                    <w14:schemeClr w14:val="tx1"/>
                  </w14:solidFill>
                </w14:textFill>
              </w:rPr>
            </w:pPr>
            <w:r>
              <w:rPr>
                <w:rFonts w:hint="default" w:ascii="Times New Roman" w:hAnsi="Times New Roman" w:cs="Times New Roman"/>
                <w:b/>
                <w:color w:val="000000" w:themeColor="text1"/>
                <w:sz w:val="21"/>
                <w:szCs w:val="21"/>
                <w14:textFill>
                  <w14:solidFill>
                    <w14:schemeClr w14:val="tx1"/>
                  </w14:solidFill>
                </w14:textFill>
              </w:rPr>
              <w:t>序号</w:t>
            </w:r>
          </w:p>
        </w:tc>
        <w:tc>
          <w:tcPr>
            <w:tcW w:w="1969" w:type="dxa"/>
            <w:noWrap w:val="0"/>
            <w:vAlign w:val="center"/>
          </w:tcPr>
          <w:p w14:paraId="4BF99094">
            <w:pPr>
              <w:spacing w:line="360" w:lineRule="auto"/>
              <w:jc w:val="center"/>
              <w:rPr>
                <w:rFonts w:hint="default" w:ascii="Times New Roman" w:hAnsi="Times New Roman" w:cs="Times New Roman"/>
                <w:b/>
                <w:color w:val="000000" w:themeColor="text1"/>
                <w:sz w:val="21"/>
                <w:szCs w:val="21"/>
                <w14:textFill>
                  <w14:solidFill>
                    <w14:schemeClr w14:val="tx1"/>
                  </w14:solidFill>
                </w14:textFill>
              </w:rPr>
            </w:pPr>
            <w:r>
              <w:rPr>
                <w:rFonts w:hint="default" w:ascii="Times New Roman" w:hAnsi="Times New Roman" w:cs="Times New Roman"/>
                <w:b/>
                <w:color w:val="000000" w:themeColor="text1"/>
                <w:sz w:val="21"/>
                <w:szCs w:val="21"/>
                <w14:textFill>
                  <w14:solidFill>
                    <w14:schemeClr w14:val="tx1"/>
                  </w14:solidFill>
                </w14:textFill>
              </w:rPr>
              <w:t>条款</w:t>
            </w:r>
          </w:p>
        </w:tc>
        <w:tc>
          <w:tcPr>
            <w:tcW w:w="5085" w:type="dxa"/>
            <w:noWrap w:val="0"/>
            <w:vAlign w:val="center"/>
          </w:tcPr>
          <w:p w14:paraId="6543E008">
            <w:pPr>
              <w:spacing w:line="360" w:lineRule="auto"/>
              <w:jc w:val="center"/>
              <w:rPr>
                <w:rFonts w:hint="default" w:ascii="Times New Roman" w:hAnsi="Times New Roman" w:cs="Times New Roman"/>
                <w:b/>
                <w:color w:val="000000" w:themeColor="text1"/>
                <w:sz w:val="21"/>
                <w:szCs w:val="21"/>
                <w14:textFill>
                  <w14:solidFill>
                    <w14:schemeClr w14:val="tx1"/>
                  </w14:solidFill>
                </w14:textFill>
              </w:rPr>
            </w:pPr>
            <w:r>
              <w:rPr>
                <w:rFonts w:hint="default" w:ascii="Times New Roman" w:hAnsi="Times New Roman" w:cs="Times New Roman"/>
                <w:b/>
                <w:color w:val="000000" w:themeColor="text1"/>
                <w:sz w:val="21"/>
                <w:szCs w:val="21"/>
                <w14:textFill>
                  <w14:solidFill>
                    <w14:schemeClr w14:val="tx1"/>
                  </w14:solidFill>
                </w14:textFill>
              </w:rPr>
              <w:t>内容</w:t>
            </w:r>
          </w:p>
        </w:tc>
        <w:tc>
          <w:tcPr>
            <w:tcW w:w="1451" w:type="dxa"/>
            <w:noWrap w:val="0"/>
            <w:vAlign w:val="center"/>
          </w:tcPr>
          <w:p w14:paraId="552F85D7">
            <w:pPr>
              <w:spacing w:line="360" w:lineRule="auto"/>
              <w:jc w:val="center"/>
              <w:rPr>
                <w:rFonts w:hint="default" w:ascii="Times New Roman" w:hAnsi="Times New Roman" w:cs="Times New Roman"/>
                <w:b/>
                <w:color w:val="000000" w:themeColor="text1"/>
                <w:sz w:val="21"/>
                <w:szCs w:val="21"/>
                <w14:textFill>
                  <w14:solidFill>
                    <w14:schemeClr w14:val="tx1"/>
                  </w14:solidFill>
                </w14:textFill>
              </w:rPr>
            </w:pPr>
            <w:r>
              <w:rPr>
                <w:rFonts w:hint="default" w:ascii="Times New Roman" w:hAnsi="Times New Roman" w:cs="Times New Roman"/>
                <w:b/>
                <w:color w:val="000000" w:themeColor="text1"/>
                <w:sz w:val="21"/>
                <w:szCs w:val="21"/>
                <w14:textFill>
                  <w14:solidFill>
                    <w14:schemeClr w14:val="tx1"/>
                  </w14:solidFill>
                </w14:textFill>
              </w:rPr>
              <w:t>备注</w:t>
            </w:r>
          </w:p>
        </w:tc>
      </w:tr>
      <w:tr w14:paraId="4C51D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7" w:type="dxa"/>
            <w:noWrap w:val="0"/>
            <w:vAlign w:val="center"/>
          </w:tcPr>
          <w:p w14:paraId="60C0A179">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1</w:t>
            </w:r>
          </w:p>
        </w:tc>
        <w:tc>
          <w:tcPr>
            <w:tcW w:w="1969" w:type="dxa"/>
            <w:noWrap w:val="0"/>
            <w:vAlign w:val="center"/>
          </w:tcPr>
          <w:p w14:paraId="34BCE31D">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磋商报价</w:t>
            </w:r>
          </w:p>
        </w:tc>
        <w:tc>
          <w:tcPr>
            <w:tcW w:w="5085" w:type="dxa"/>
            <w:noWrap w:val="0"/>
            <w:vAlign w:val="center"/>
          </w:tcPr>
          <w:p w14:paraId="3B86D543">
            <w:pPr>
              <w:spacing w:line="360" w:lineRule="auto"/>
              <w:jc w:val="lef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 xml:space="preserve"> </w:t>
            </w:r>
          </w:p>
          <w:p w14:paraId="77B4CD58">
            <w:pPr>
              <w:spacing w:line="360" w:lineRule="auto"/>
              <w:jc w:val="left"/>
              <w:rPr>
                <w:rFonts w:hint="default" w:ascii="Times New Roman" w:hAnsi="Times New Roman" w:cs="Times New Roman"/>
                <w:color w:val="000000" w:themeColor="text1"/>
                <w:sz w:val="21"/>
                <w:szCs w:val="21"/>
                <w:u w:val="single"/>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小写：</w:t>
            </w:r>
            <w:r>
              <w:rPr>
                <w:rFonts w:hint="default" w:ascii="Times New Roman" w:hAnsi="Times New Roman" w:cs="Times New Roman"/>
                <w:color w:val="000000" w:themeColor="text1"/>
                <w:sz w:val="21"/>
                <w:szCs w:val="21"/>
                <w:u w:val="single"/>
                <w:lang w:val="en-US" w:eastAsia="zh-CN"/>
                <w14:textFill>
                  <w14:solidFill>
                    <w14:schemeClr w14:val="tx1"/>
                  </w14:solidFill>
                </w14:textFill>
              </w:rPr>
              <w:t xml:space="preserve">                                          </w:t>
            </w:r>
          </w:p>
          <w:p w14:paraId="71561D06">
            <w:pPr>
              <w:spacing w:line="360" w:lineRule="auto"/>
              <w:jc w:val="left"/>
              <w:rPr>
                <w:rFonts w:hint="default" w:ascii="Times New Roman" w:hAnsi="Times New Roman" w:cs="Times New Roman"/>
                <w:color w:val="000000" w:themeColor="text1"/>
                <w:sz w:val="21"/>
                <w:szCs w:val="21"/>
                <w:u w:val="none"/>
                <w:lang w:val="en-US" w:eastAsia="zh-CN"/>
                <w14:textFill>
                  <w14:solidFill>
                    <w14:schemeClr w14:val="tx1"/>
                  </w14:solidFill>
                </w14:textFill>
              </w:rPr>
            </w:pPr>
          </w:p>
          <w:p w14:paraId="124F048F">
            <w:pPr>
              <w:spacing w:line="360" w:lineRule="auto"/>
              <w:jc w:val="lef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u w:val="none"/>
                <w:lang w:val="en-US" w:eastAsia="zh-CN"/>
                <w14:textFill>
                  <w14:solidFill>
                    <w14:schemeClr w14:val="tx1"/>
                  </w14:solidFill>
                </w14:textFill>
              </w:rPr>
              <w:t>大写：</w:t>
            </w:r>
            <w:r>
              <w:rPr>
                <w:rFonts w:hint="default" w:ascii="Times New Roman" w:hAnsi="Times New Roman" w:cs="Times New Roman"/>
                <w:color w:val="000000" w:themeColor="text1"/>
                <w:sz w:val="21"/>
                <w:szCs w:val="21"/>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 xml:space="preserve">         </w:t>
            </w:r>
          </w:p>
        </w:tc>
        <w:tc>
          <w:tcPr>
            <w:tcW w:w="1451" w:type="dxa"/>
            <w:noWrap w:val="0"/>
            <w:vAlign w:val="center"/>
          </w:tcPr>
          <w:p w14:paraId="77740AAA">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w:t>
            </w:r>
            <w:r>
              <w:rPr>
                <w:rFonts w:hint="default" w:ascii="Times New Roman" w:hAnsi="Times New Roman" w:cs="Times New Roman"/>
                <w:color w:val="000000" w:themeColor="text1"/>
                <w:sz w:val="21"/>
                <w:szCs w:val="21"/>
                <w:lang w:val="en-US" w:eastAsia="zh-CN"/>
                <w14:textFill>
                  <w14:solidFill>
                    <w14:schemeClr w14:val="tx1"/>
                  </w14:solidFill>
                </w14:textFill>
              </w:rPr>
              <w:t>二</w:t>
            </w:r>
            <w:r>
              <w:rPr>
                <w:rFonts w:hint="default" w:ascii="Times New Roman" w:hAnsi="Times New Roman" w:cs="Times New Roman"/>
                <w:color w:val="000000" w:themeColor="text1"/>
                <w:sz w:val="21"/>
                <w:szCs w:val="21"/>
                <w14:textFill>
                  <w14:solidFill>
                    <w14:schemeClr w14:val="tx1"/>
                  </w14:solidFill>
                </w14:textFill>
              </w:rPr>
              <w:t>次报价</w:t>
            </w:r>
          </w:p>
        </w:tc>
      </w:tr>
      <w:tr w14:paraId="48429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7" w:type="dxa"/>
            <w:noWrap w:val="0"/>
            <w:vAlign w:val="center"/>
          </w:tcPr>
          <w:p w14:paraId="2F91E2ED">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2</w:t>
            </w:r>
          </w:p>
        </w:tc>
        <w:tc>
          <w:tcPr>
            <w:tcW w:w="1969" w:type="dxa"/>
            <w:noWrap w:val="0"/>
            <w:vAlign w:val="center"/>
          </w:tcPr>
          <w:p w14:paraId="2DC7B8A6">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工期要求</w:t>
            </w:r>
          </w:p>
        </w:tc>
        <w:tc>
          <w:tcPr>
            <w:tcW w:w="5085" w:type="dxa"/>
            <w:noWrap w:val="0"/>
            <w:vAlign w:val="center"/>
          </w:tcPr>
          <w:p w14:paraId="2EB3D00F">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p>
        </w:tc>
        <w:tc>
          <w:tcPr>
            <w:tcW w:w="1451" w:type="dxa"/>
            <w:noWrap w:val="0"/>
            <w:vAlign w:val="center"/>
          </w:tcPr>
          <w:p w14:paraId="68751895">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p>
        </w:tc>
      </w:tr>
      <w:tr w14:paraId="7A895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7" w:type="dxa"/>
            <w:noWrap w:val="0"/>
            <w:vAlign w:val="center"/>
          </w:tcPr>
          <w:p w14:paraId="067F3AF6">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3</w:t>
            </w:r>
          </w:p>
        </w:tc>
        <w:tc>
          <w:tcPr>
            <w:tcW w:w="1969" w:type="dxa"/>
            <w:noWrap w:val="0"/>
            <w:vAlign w:val="center"/>
          </w:tcPr>
          <w:p w14:paraId="3A4E0510">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质量承诺</w:t>
            </w:r>
          </w:p>
        </w:tc>
        <w:tc>
          <w:tcPr>
            <w:tcW w:w="5085" w:type="dxa"/>
            <w:noWrap w:val="0"/>
            <w:vAlign w:val="center"/>
          </w:tcPr>
          <w:p w14:paraId="7CFB1163">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p>
        </w:tc>
        <w:tc>
          <w:tcPr>
            <w:tcW w:w="1451" w:type="dxa"/>
            <w:noWrap w:val="0"/>
            <w:vAlign w:val="center"/>
          </w:tcPr>
          <w:p w14:paraId="0BB8A41A">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p>
        </w:tc>
      </w:tr>
      <w:tr w14:paraId="4BFF5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7" w:type="dxa"/>
            <w:noWrap w:val="0"/>
            <w:vAlign w:val="center"/>
          </w:tcPr>
          <w:p w14:paraId="0D544F82">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4</w:t>
            </w:r>
          </w:p>
        </w:tc>
        <w:tc>
          <w:tcPr>
            <w:tcW w:w="1969" w:type="dxa"/>
            <w:noWrap w:val="0"/>
            <w:vAlign w:val="center"/>
          </w:tcPr>
          <w:p w14:paraId="49C5676D">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项目负责人</w:t>
            </w:r>
          </w:p>
        </w:tc>
        <w:tc>
          <w:tcPr>
            <w:tcW w:w="5085" w:type="dxa"/>
            <w:noWrap w:val="0"/>
            <w:vAlign w:val="center"/>
          </w:tcPr>
          <w:p w14:paraId="7A02FECC">
            <w:pPr>
              <w:spacing w:line="360" w:lineRule="auto"/>
              <w:rPr>
                <w:rFonts w:hint="default" w:ascii="Times New Roman" w:hAnsi="Times New Roman" w:cs="Times New Roman"/>
                <w:color w:val="000000" w:themeColor="text1"/>
                <w:sz w:val="21"/>
                <w:szCs w:val="21"/>
                <w14:textFill>
                  <w14:solidFill>
                    <w14:schemeClr w14:val="tx1"/>
                  </w14:solidFill>
                </w14:textFill>
              </w:rPr>
            </w:pPr>
          </w:p>
        </w:tc>
        <w:tc>
          <w:tcPr>
            <w:tcW w:w="1451" w:type="dxa"/>
            <w:noWrap w:val="0"/>
            <w:vAlign w:val="center"/>
          </w:tcPr>
          <w:p w14:paraId="6C4A9914">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p>
        </w:tc>
      </w:tr>
      <w:tr w14:paraId="08551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7" w:type="dxa"/>
            <w:noWrap w:val="0"/>
            <w:vAlign w:val="center"/>
          </w:tcPr>
          <w:p w14:paraId="5A196ACE">
            <w:pPr>
              <w:spacing w:line="360" w:lineRule="auto"/>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5</w:t>
            </w:r>
          </w:p>
        </w:tc>
        <w:tc>
          <w:tcPr>
            <w:tcW w:w="1969" w:type="dxa"/>
            <w:noWrap w:val="0"/>
            <w:vAlign w:val="center"/>
          </w:tcPr>
          <w:p w14:paraId="35613BE0">
            <w:pPr>
              <w:spacing w:line="360" w:lineRule="auto"/>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其他承诺</w:t>
            </w:r>
          </w:p>
        </w:tc>
        <w:tc>
          <w:tcPr>
            <w:tcW w:w="5085" w:type="dxa"/>
            <w:noWrap w:val="0"/>
            <w:vAlign w:val="center"/>
          </w:tcPr>
          <w:p w14:paraId="752C4F25">
            <w:pPr>
              <w:spacing w:line="360" w:lineRule="auto"/>
              <w:rPr>
                <w:rFonts w:hint="default" w:ascii="Times New Roman" w:hAnsi="Times New Roman" w:cs="Times New Roman"/>
                <w:color w:val="000000" w:themeColor="text1"/>
                <w:sz w:val="21"/>
                <w:szCs w:val="21"/>
                <w14:textFill>
                  <w14:solidFill>
                    <w14:schemeClr w14:val="tx1"/>
                  </w14:solidFill>
                </w14:textFill>
              </w:rPr>
            </w:pPr>
          </w:p>
        </w:tc>
        <w:tc>
          <w:tcPr>
            <w:tcW w:w="1451" w:type="dxa"/>
            <w:noWrap w:val="0"/>
            <w:vAlign w:val="center"/>
          </w:tcPr>
          <w:p w14:paraId="49CB1392">
            <w:pPr>
              <w:spacing w:line="360" w:lineRule="auto"/>
              <w:jc w:val="center"/>
              <w:rPr>
                <w:rFonts w:hint="default" w:ascii="Times New Roman" w:hAnsi="Times New Roman" w:cs="Times New Roman"/>
                <w:color w:val="000000" w:themeColor="text1"/>
                <w:sz w:val="21"/>
                <w:szCs w:val="21"/>
                <w14:textFill>
                  <w14:solidFill>
                    <w14:schemeClr w14:val="tx1"/>
                  </w14:solidFill>
                </w14:textFill>
              </w:rPr>
            </w:pPr>
          </w:p>
        </w:tc>
      </w:tr>
    </w:tbl>
    <w:p w14:paraId="3E4A8426">
      <w:pPr>
        <w:spacing w:line="360" w:lineRule="auto"/>
        <w:ind w:firstLine="441" w:firstLineChars="210"/>
        <w:rPr>
          <w:rFonts w:hint="default" w:ascii="Times New Roman" w:hAnsi="Times New Roman" w:cs="Times New Roman"/>
          <w:color w:val="000000" w:themeColor="text1"/>
          <w:sz w:val="21"/>
          <w:szCs w:val="21"/>
          <w14:textFill>
            <w14:solidFill>
              <w14:schemeClr w14:val="tx1"/>
            </w14:solidFill>
          </w14:textFill>
        </w:rPr>
      </w:pPr>
    </w:p>
    <w:p w14:paraId="325BFD4E">
      <w:pPr>
        <w:rPr>
          <w:rFonts w:hint="default" w:ascii="Times New Roman" w:hAnsi="Times New Roman" w:cs="Times New Roman"/>
          <w:color w:val="000000" w:themeColor="text1"/>
          <w:sz w:val="21"/>
          <w:szCs w:val="21"/>
          <w14:textFill>
            <w14:solidFill>
              <w14:schemeClr w14:val="tx1"/>
            </w14:solidFill>
          </w14:textFill>
        </w:rPr>
      </w:pPr>
    </w:p>
    <w:p w14:paraId="45ED4ED4">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供应商</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名称</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16F11CF6">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法定代表人</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或委托代理人</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561EE03A">
      <w:pPr>
        <w:spacing w:before="20" w:after="120" w:line="360" w:lineRule="auto"/>
        <w:jc w:val="both"/>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0EAB03DE">
      <w:pPr>
        <w:pStyle w:val="16"/>
        <w:ind w:left="0" w:leftChars="0" w:firstLine="0" w:firstLineChars="0"/>
        <w:rPr>
          <w:rFonts w:hint="default" w:ascii="Times New Roman" w:hAnsi="Times New Roman" w:cs="Times New Roman"/>
          <w:color w:val="000000" w:themeColor="text1"/>
          <w:sz w:val="24"/>
          <w:szCs w:val="24"/>
          <w14:textFill>
            <w14:solidFill>
              <w14:schemeClr w14:val="tx1"/>
            </w14:solidFill>
          </w14:textFill>
        </w:rPr>
      </w:pPr>
    </w:p>
    <w:p w14:paraId="2CA06B3F">
      <w:pPr>
        <w:pStyle w:val="16"/>
        <w:ind w:left="0" w:leftChars="0" w:firstLine="240" w:firstLineChars="1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注：本表在响应文件</w:t>
      </w:r>
      <w:r>
        <w:rPr>
          <w:rFonts w:hint="default" w:ascii="Times New Roman" w:hAnsi="Times New Roman" w:cs="Times New Roman"/>
          <w:color w:val="000000" w:themeColor="text1"/>
          <w:sz w:val="24"/>
          <w:szCs w:val="24"/>
          <w:lang w:val="en-US" w:eastAsia="zh-CN"/>
          <w14:textFill>
            <w14:solidFill>
              <w14:schemeClr w14:val="tx1"/>
            </w14:solidFill>
          </w14:textFill>
        </w:rPr>
        <w:t>格式</w:t>
      </w:r>
      <w:r>
        <w:rPr>
          <w:rFonts w:hint="default" w:ascii="Times New Roman" w:hAnsi="Times New Roman" w:cs="Times New Roman"/>
          <w:color w:val="000000" w:themeColor="text1"/>
          <w:sz w:val="24"/>
          <w:szCs w:val="24"/>
          <w14:textFill>
            <w14:solidFill>
              <w14:schemeClr w14:val="tx1"/>
            </w14:solidFill>
          </w14:textFill>
        </w:rPr>
        <w:t>中不提供</w:t>
      </w: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lang w:val="en-US" w:eastAsia="zh-CN"/>
          <w14:textFill>
            <w14:solidFill>
              <w14:schemeClr w14:val="tx1"/>
            </w14:solidFill>
          </w14:textFill>
        </w:rPr>
        <w:t>二次报价时间在填报并上传系统</w:t>
      </w:r>
      <w:r>
        <w:rPr>
          <w:rFonts w:hint="default" w:ascii="Times New Roman" w:hAnsi="Times New Roman" w:cs="Times New Roman"/>
          <w:color w:val="000000" w:themeColor="text1"/>
          <w:sz w:val="24"/>
          <w:szCs w:val="24"/>
          <w14:textFill>
            <w14:solidFill>
              <w14:schemeClr w14:val="tx1"/>
            </w14:solidFill>
          </w14:textFill>
        </w:rPr>
        <w:t>）。</w:t>
      </w:r>
    </w:p>
    <w:p w14:paraId="141A30B2">
      <w:pPr>
        <w:pStyle w:val="16"/>
        <w:ind w:left="0" w:leftChars="0" w:firstLine="240" w:firstLineChars="100"/>
        <w:rPr>
          <w:rFonts w:hint="default" w:ascii="Times New Roman" w:hAnsi="Times New Roman" w:cs="Times New Roman"/>
          <w:color w:val="000000" w:themeColor="text1"/>
          <w:sz w:val="24"/>
          <w:szCs w:val="24"/>
          <w14:textFill>
            <w14:solidFill>
              <w14:schemeClr w14:val="tx1"/>
            </w14:solidFill>
          </w14:textFill>
        </w:rPr>
      </w:pPr>
    </w:p>
    <w:p w14:paraId="065E7FA1">
      <w:pPr>
        <w:pStyle w:val="16"/>
        <w:ind w:left="0" w:leftChars="0" w:firstLine="240" w:firstLineChars="100"/>
        <w:rPr>
          <w:rFonts w:hint="default" w:ascii="Times New Roman" w:hAnsi="Times New Roman" w:cs="Times New Roman"/>
          <w:color w:val="000000" w:themeColor="text1"/>
          <w:sz w:val="24"/>
          <w:szCs w:val="24"/>
          <w14:textFill>
            <w14:solidFill>
              <w14:schemeClr w14:val="tx1"/>
            </w14:solidFill>
          </w14:textFill>
        </w:rPr>
      </w:pPr>
    </w:p>
    <w:p w14:paraId="7A1306C8">
      <w:pPr>
        <w:pStyle w:val="3"/>
        <w:jc w:val="center"/>
        <w:rPr>
          <w:rFonts w:hint="default" w:ascii="Times New Roman" w:hAnsi="Times New Roman" w:eastAsia="宋体" w:cs="Times New Roman"/>
          <w:color w:val="000000" w:themeColor="text1"/>
          <w:sz w:val="32"/>
          <w:szCs w:val="32"/>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二</w:t>
      </w:r>
      <w:bookmarkStart w:id="1404" w:name="_Toc9936"/>
      <w:bookmarkStart w:id="1405" w:name="_Toc14664"/>
      <w:r>
        <w:rPr>
          <w:rFonts w:hint="default" w:ascii="Times New Roman" w:hAnsi="Times New Roman" w:eastAsia="宋体" w:cs="Times New Roman"/>
          <w:color w:val="000000" w:themeColor="text1"/>
          <w:sz w:val="32"/>
          <w:szCs w:val="32"/>
          <w14:textFill>
            <w14:solidFill>
              <w14:schemeClr w14:val="tx1"/>
            </w14:solidFill>
          </w14:textFill>
        </w:rPr>
        <w:t>、</w:t>
      </w:r>
      <w:r>
        <w:rPr>
          <w:rFonts w:hint="default" w:ascii="Times New Roman" w:hAnsi="Times New Roman" w:eastAsia="宋体" w:cs="Times New Roman"/>
          <w:color w:val="000000" w:themeColor="text1"/>
          <w:sz w:val="32"/>
          <w:szCs w:val="32"/>
          <w:lang w:val="en-US" w:eastAsia="zh-CN"/>
          <w14:textFill>
            <w14:solidFill>
              <w14:schemeClr w14:val="tx1"/>
            </w14:solidFill>
          </w14:textFill>
        </w:rPr>
        <w:t>竞争性磋商</w:t>
      </w:r>
      <w:r>
        <w:rPr>
          <w:rFonts w:hint="default" w:ascii="Times New Roman" w:hAnsi="Times New Roman" w:eastAsia="宋体" w:cs="Times New Roman"/>
          <w:color w:val="000000" w:themeColor="text1"/>
          <w:sz w:val="32"/>
          <w:szCs w:val="32"/>
          <w14:textFill>
            <w14:solidFill>
              <w14:schemeClr w14:val="tx1"/>
            </w14:solidFill>
          </w14:textFill>
        </w:rPr>
        <w:t>资格审查部分格式</w:t>
      </w:r>
    </w:p>
    <w:p w14:paraId="15F1239C">
      <w:pPr>
        <w:pStyle w:val="5"/>
        <w:spacing w:before="0" w:after="0" w:line="360" w:lineRule="auto"/>
        <w:ind w:firstLine="3373" w:firstLineChars="1200"/>
        <w:jc w:val="both"/>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lang w:val="en-US" w:eastAsia="zh-CN"/>
          <w14:textFill>
            <w14:solidFill>
              <w14:schemeClr w14:val="tx1"/>
            </w14:solidFill>
          </w14:textFill>
        </w:rPr>
        <w:t>一</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供应商基本情况表</w:t>
      </w:r>
    </w:p>
    <w:tbl>
      <w:tblPr>
        <w:tblStyle w:val="30"/>
        <w:tblpPr w:leftFromText="180" w:rightFromText="180" w:vertAnchor="text" w:horzAnchor="margin" w:tblpXSpec="center" w:tblpY="169"/>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3420"/>
        <w:gridCol w:w="1260"/>
        <w:gridCol w:w="2763"/>
      </w:tblGrid>
      <w:tr w14:paraId="54680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exact"/>
          <w:jc w:val="center"/>
        </w:trPr>
        <w:tc>
          <w:tcPr>
            <w:tcW w:w="1969" w:type="dxa"/>
            <w:noWrap w:val="0"/>
            <w:vAlign w:val="center"/>
          </w:tcPr>
          <w:p w14:paraId="78CF4C5D">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单位名称</w:t>
            </w:r>
          </w:p>
        </w:tc>
        <w:tc>
          <w:tcPr>
            <w:tcW w:w="7443" w:type="dxa"/>
            <w:gridSpan w:val="3"/>
            <w:noWrap w:val="0"/>
            <w:vAlign w:val="center"/>
          </w:tcPr>
          <w:p w14:paraId="5E562DDD">
            <w:pPr>
              <w:spacing w:line="360" w:lineRule="auto"/>
              <w:rPr>
                <w:rFonts w:hint="default" w:ascii="Times New Roman" w:hAnsi="Times New Roman" w:cs="Times New Roman"/>
                <w:color w:val="000000" w:themeColor="text1"/>
                <w14:textFill>
                  <w14:solidFill>
                    <w14:schemeClr w14:val="tx1"/>
                  </w14:solidFill>
                </w14:textFill>
              </w:rPr>
            </w:pPr>
          </w:p>
        </w:tc>
      </w:tr>
      <w:tr w14:paraId="0C9DE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0" w:hRule="exact"/>
          <w:jc w:val="center"/>
        </w:trPr>
        <w:tc>
          <w:tcPr>
            <w:tcW w:w="1969" w:type="dxa"/>
            <w:noWrap w:val="0"/>
            <w:vAlign w:val="center"/>
          </w:tcPr>
          <w:p w14:paraId="4F2C0880">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经济类型</w:t>
            </w:r>
          </w:p>
        </w:tc>
        <w:tc>
          <w:tcPr>
            <w:tcW w:w="3420" w:type="dxa"/>
            <w:noWrap w:val="0"/>
            <w:vAlign w:val="center"/>
          </w:tcPr>
          <w:p w14:paraId="54D0D537">
            <w:pPr>
              <w:spacing w:line="360" w:lineRule="auto"/>
              <w:rPr>
                <w:rFonts w:hint="default" w:ascii="Times New Roman" w:hAnsi="Times New Roman" w:cs="Times New Roman"/>
                <w:color w:val="000000" w:themeColor="text1"/>
                <w14:textFill>
                  <w14:solidFill>
                    <w14:schemeClr w14:val="tx1"/>
                  </w14:solidFill>
                </w14:textFill>
              </w:rPr>
            </w:pPr>
          </w:p>
        </w:tc>
        <w:tc>
          <w:tcPr>
            <w:tcW w:w="1260" w:type="dxa"/>
            <w:noWrap w:val="0"/>
            <w:vAlign w:val="center"/>
          </w:tcPr>
          <w:p w14:paraId="177F70BF">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成立时间</w:t>
            </w:r>
          </w:p>
        </w:tc>
        <w:tc>
          <w:tcPr>
            <w:tcW w:w="2763" w:type="dxa"/>
            <w:noWrap w:val="0"/>
            <w:vAlign w:val="center"/>
          </w:tcPr>
          <w:p w14:paraId="03A08FCC">
            <w:pPr>
              <w:spacing w:line="360" w:lineRule="auto"/>
              <w:rPr>
                <w:rFonts w:hint="default" w:ascii="Times New Roman" w:hAnsi="Times New Roman" w:cs="Times New Roman"/>
                <w:color w:val="000000" w:themeColor="text1"/>
                <w14:textFill>
                  <w14:solidFill>
                    <w14:schemeClr w14:val="tx1"/>
                  </w14:solidFill>
                </w14:textFill>
              </w:rPr>
            </w:pPr>
          </w:p>
        </w:tc>
      </w:tr>
      <w:tr w14:paraId="5CB3D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exact"/>
          <w:jc w:val="center"/>
        </w:trPr>
        <w:tc>
          <w:tcPr>
            <w:tcW w:w="1969" w:type="dxa"/>
            <w:noWrap w:val="0"/>
            <w:vAlign w:val="center"/>
          </w:tcPr>
          <w:p w14:paraId="0234F7C1">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法定代表人</w:t>
            </w:r>
          </w:p>
        </w:tc>
        <w:tc>
          <w:tcPr>
            <w:tcW w:w="3420" w:type="dxa"/>
            <w:noWrap w:val="0"/>
            <w:vAlign w:val="center"/>
          </w:tcPr>
          <w:p w14:paraId="55F33FD4">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姓名</w:t>
            </w:r>
          </w:p>
        </w:tc>
        <w:tc>
          <w:tcPr>
            <w:tcW w:w="1260" w:type="dxa"/>
            <w:noWrap w:val="0"/>
            <w:vAlign w:val="center"/>
          </w:tcPr>
          <w:p w14:paraId="74B872D8">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职务</w:t>
            </w:r>
          </w:p>
        </w:tc>
        <w:tc>
          <w:tcPr>
            <w:tcW w:w="2763" w:type="dxa"/>
            <w:noWrap w:val="0"/>
            <w:vAlign w:val="center"/>
          </w:tcPr>
          <w:p w14:paraId="5E639E99">
            <w:pPr>
              <w:spacing w:line="360" w:lineRule="auto"/>
              <w:rPr>
                <w:rFonts w:hint="default" w:ascii="Times New Roman" w:hAnsi="Times New Roman" w:cs="Times New Roman"/>
                <w:color w:val="000000" w:themeColor="text1"/>
                <w14:textFill>
                  <w14:solidFill>
                    <w14:schemeClr w14:val="tx1"/>
                  </w14:solidFill>
                </w14:textFill>
              </w:rPr>
            </w:pPr>
          </w:p>
        </w:tc>
      </w:tr>
      <w:tr w14:paraId="05517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exact"/>
          <w:jc w:val="center"/>
        </w:trPr>
        <w:tc>
          <w:tcPr>
            <w:tcW w:w="1969" w:type="dxa"/>
            <w:noWrap w:val="0"/>
            <w:vAlign w:val="center"/>
          </w:tcPr>
          <w:p w14:paraId="2110462C">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社会信用统一代码（执照号）：</w:t>
            </w:r>
          </w:p>
        </w:tc>
        <w:tc>
          <w:tcPr>
            <w:tcW w:w="7443" w:type="dxa"/>
            <w:gridSpan w:val="3"/>
            <w:noWrap w:val="0"/>
            <w:vAlign w:val="center"/>
          </w:tcPr>
          <w:p w14:paraId="7CDA80E5">
            <w:pPr>
              <w:spacing w:line="360" w:lineRule="auto"/>
              <w:rPr>
                <w:rFonts w:hint="default" w:ascii="Times New Roman" w:hAnsi="Times New Roman" w:cs="Times New Roman"/>
                <w:color w:val="000000" w:themeColor="text1"/>
                <w14:textFill>
                  <w14:solidFill>
                    <w14:schemeClr w14:val="tx1"/>
                  </w14:solidFill>
                </w14:textFill>
              </w:rPr>
            </w:pPr>
          </w:p>
        </w:tc>
      </w:tr>
      <w:tr w14:paraId="7D9E9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exact"/>
          <w:jc w:val="center"/>
        </w:trPr>
        <w:tc>
          <w:tcPr>
            <w:tcW w:w="1969" w:type="dxa"/>
            <w:noWrap w:val="0"/>
            <w:vAlign w:val="center"/>
          </w:tcPr>
          <w:p w14:paraId="5A7DD3A0">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经营范围</w:t>
            </w:r>
          </w:p>
        </w:tc>
        <w:tc>
          <w:tcPr>
            <w:tcW w:w="7443" w:type="dxa"/>
            <w:gridSpan w:val="3"/>
            <w:noWrap w:val="0"/>
            <w:vAlign w:val="center"/>
          </w:tcPr>
          <w:p w14:paraId="1D3BBB9E">
            <w:pPr>
              <w:spacing w:line="360" w:lineRule="auto"/>
              <w:rPr>
                <w:rFonts w:hint="default" w:ascii="Times New Roman" w:hAnsi="Times New Roman" w:cs="Times New Roman"/>
                <w:color w:val="000000" w:themeColor="text1"/>
                <w14:textFill>
                  <w14:solidFill>
                    <w14:schemeClr w14:val="tx1"/>
                  </w14:solidFill>
                </w14:textFill>
              </w:rPr>
            </w:pPr>
          </w:p>
        </w:tc>
      </w:tr>
      <w:tr w14:paraId="57819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exact"/>
          <w:jc w:val="center"/>
        </w:trPr>
        <w:tc>
          <w:tcPr>
            <w:tcW w:w="1969" w:type="dxa"/>
            <w:noWrap w:val="0"/>
            <w:vAlign w:val="center"/>
          </w:tcPr>
          <w:p w14:paraId="61327B48">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单位详细地址</w:t>
            </w:r>
          </w:p>
        </w:tc>
        <w:tc>
          <w:tcPr>
            <w:tcW w:w="7443" w:type="dxa"/>
            <w:gridSpan w:val="3"/>
            <w:noWrap w:val="0"/>
            <w:vAlign w:val="center"/>
          </w:tcPr>
          <w:p w14:paraId="68F08CB3">
            <w:pPr>
              <w:spacing w:line="360" w:lineRule="auto"/>
              <w:rPr>
                <w:rFonts w:hint="default" w:ascii="Times New Roman" w:hAnsi="Times New Roman" w:cs="Times New Roman"/>
                <w:color w:val="000000" w:themeColor="text1"/>
                <w14:textFill>
                  <w14:solidFill>
                    <w14:schemeClr w14:val="tx1"/>
                  </w14:solidFill>
                </w14:textFill>
              </w:rPr>
            </w:pPr>
          </w:p>
        </w:tc>
      </w:tr>
      <w:tr w14:paraId="61C60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exact"/>
          <w:jc w:val="center"/>
        </w:trPr>
        <w:tc>
          <w:tcPr>
            <w:tcW w:w="1969" w:type="dxa"/>
            <w:vMerge w:val="restart"/>
            <w:noWrap w:val="0"/>
            <w:vAlign w:val="center"/>
          </w:tcPr>
          <w:p w14:paraId="026195FE">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通信联系</w:t>
            </w:r>
          </w:p>
        </w:tc>
        <w:tc>
          <w:tcPr>
            <w:tcW w:w="7443" w:type="dxa"/>
            <w:gridSpan w:val="3"/>
            <w:noWrap w:val="0"/>
            <w:vAlign w:val="center"/>
          </w:tcPr>
          <w:p w14:paraId="7ABF7E04">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企业联系电话：   传真</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 xml:space="preserve">            </w:t>
            </w:r>
          </w:p>
        </w:tc>
      </w:tr>
      <w:tr w14:paraId="2F059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1969" w:type="dxa"/>
            <w:vMerge w:val="continue"/>
            <w:noWrap w:val="0"/>
            <w:vAlign w:val="center"/>
          </w:tcPr>
          <w:p w14:paraId="4377FD83">
            <w:pPr>
              <w:spacing w:line="360" w:lineRule="auto"/>
              <w:rPr>
                <w:rFonts w:hint="default" w:ascii="Times New Roman" w:hAnsi="Times New Roman" w:cs="Times New Roman"/>
                <w:color w:val="000000" w:themeColor="text1"/>
                <w14:textFill>
                  <w14:solidFill>
                    <w14:schemeClr w14:val="tx1"/>
                  </w14:solidFill>
                </w14:textFill>
              </w:rPr>
            </w:pPr>
          </w:p>
        </w:tc>
        <w:tc>
          <w:tcPr>
            <w:tcW w:w="7443" w:type="dxa"/>
            <w:gridSpan w:val="3"/>
            <w:noWrap w:val="0"/>
            <w:vAlign w:val="center"/>
          </w:tcPr>
          <w:p w14:paraId="0784DD3C">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业务联系人：   </w:t>
            </w:r>
            <w:r>
              <w:rPr>
                <w:rFonts w:hint="eastAsia" w:cs="Times New Roman"/>
                <w:color w:val="000000" w:themeColor="text1"/>
                <w:lang w:val="en-US" w:eastAsia="zh-CN"/>
                <w14:textFill>
                  <w14:solidFill>
                    <w14:schemeClr w14:val="tx1"/>
                  </w14:solidFill>
                </w14:textFill>
              </w:rPr>
              <w:t xml:space="preserve"> </w:t>
            </w:r>
            <w:r>
              <w:rPr>
                <w:rFonts w:hint="default" w:ascii="Times New Roman" w:hAnsi="Times New Roman" w:cs="Times New Roman"/>
                <w:color w:val="000000" w:themeColor="text1"/>
                <w14:textFill>
                  <w14:solidFill>
                    <w14:schemeClr w14:val="tx1"/>
                  </w14:solidFill>
                </w14:textFill>
              </w:rPr>
              <w:t>电话：</w:t>
            </w:r>
          </w:p>
        </w:tc>
      </w:tr>
    </w:tbl>
    <w:p w14:paraId="6EF30F8F">
      <w:pPr>
        <w:pStyle w:val="10"/>
        <w:spacing w:line="360" w:lineRule="auto"/>
        <w:rPr>
          <w:rFonts w:hint="default" w:ascii="Times New Roman" w:hAnsi="Times New Roman" w:cs="Times New Roman"/>
          <w:color w:val="000000" w:themeColor="text1"/>
          <w:sz w:val="21"/>
          <w:szCs w:val="21"/>
          <w14:textFill>
            <w14:solidFill>
              <w14:schemeClr w14:val="tx1"/>
            </w14:solidFill>
          </w14:textFill>
        </w:rPr>
      </w:pPr>
    </w:p>
    <w:p w14:paraId="1E267DA2">
      <w:pPr>
        <w:pStyle w:val="10"/>
        <w:spacing w:line="360" w:lineRule="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注：本表后请附有效的营业执照或类似的法定凭证证明材料和资格证书扫描件。</w:t>
      </w:r>
    </w:p>
    <w:p w14:paraId="30C0F71F">
      <w:pPr>
        <w:spacing w:line="360" w:lineRule="auto"/>
        <w:rPr>
          <w:rFonts w:hint="default" w:ascii="Times New Roman" w:hAnsi="Times New Roman" w:cs="Times New Roman"/>
          <w:color w:val="000000" w:themeColor="text1"/>
          <w14:textFill>
            <w14:solidFill>
              <w14:schemeClr w14:val="tx1"/>
            </w14:solidFill>
          </w14:textFill>
        </w:rPr>
      </w:pPr>
    </w:p>
    <w:p w14:paraId="6059812D">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供应商</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名称</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7A54B3AF">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法定代表人</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或委托代理人</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486F410D">
      <w:pPr>
        <w:spacing w:before="20" w:after="120" w:line="360" w:lineRule="auto"/>
        <w:jc w:val="both"/>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1D58034B">
      <w:pPr>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br w:type="page"/>
      </w:r>
    </w:p>
    <w:bookmarkEnd w:id="1404"/>
    <w:bookmarkEnd w:id="1405"/>
    <w:p w14:paraId="568E223E">
      <w:pPr>
        <w:pStyle w:val="4"/>
        <w:ind w:firstLine="3534" w:firstLineChars="1100"/>
        <w:jc w:val="both"/>
        <w:rPr>
          <w:rFonts w:hint="default" w:ascii="Times New Roman" w:hAnsi="Times New Roman" w:cs="Times New Roman"/>
          <w:b w:val="0"/>
          <w:color w:val="000000" w:themeColor="text1"/>
          <w:sz w:val="28"/>
          <w:szCs w:val="28"/>
          <w14:textFill>
            <w14:solidFill>
              <w14:schemeClr w14:val="tx1"/>
            </w14:solidFill>
          </w14:textFill>
        </w:rPr>
      </w:pPr>
      <w: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t>（二）财务状况</w:t>
      </w:r>
    </w:p>
    <w:p w14:paraId="11469FC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r>
        <w:rPr>
          <w:rFonts w:hint="default" w:ascii="Times New Roman" w:hAnsi="Times New Roman" w:eastAsia="新宋体" w:cs="Times New Roman"/>
          <w:color w:val="000000" w:themeColor="text1"/>
          <w:kern w:val="2"/>
          <w:sz w:val="24"/>
          <w:szCs w:val="24"/>
          <w:lang w:val="en-US" w:eastAsia="en-US" w:bidi="ar-SA"/>
          <w14:textFill>
            <w14:solidFill>
              <w14:schemeClr w14:val="tx1"/>
            </w14:solidFill>
          </w14:textFill>
        </w:rPr>
        <w:t>具有良好的商业信誉和健全的财务会计制度，提供2023年至2025年（任意一年度）经审计的财务报告（扫描件）或近三个月内基本开户银行出具的资信证明（扫描件）（注：若成立时间不足一年的，可提供近三个月内基本开户银行出具的资信证明）</w:t>
      </w:r>
    </w:p>
    <w:p w14:paraId="0B380E7F">
      <w:pPr>
        <w:pStyle w:val="13"/>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0A372C0A">
      <w:pPr>
        <w:pStyle w:val="14"/>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01009B64">
      <w:pP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63DB4F04">
      <w:pPr>
        <w:pStyle w:val="13"/>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7C6DE77D">
      <w:pPr>
        <w:pStyle w:val="14"/>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55AD5EA3">
      <w:pP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3E3DE64E">
      <w:pPr>
        <w:pStyle w:val="13"/>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6842CB08">
      <w:pPr>
        <w:pStyle w:val="14"/>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74C71307">
      <w:pP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64B2C270">
      <w:pPr>
        <w:pStyle w:val="13"/>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3D0D1C4D">
      <w:pPr>
        <w:pStyle w:val="14"/>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3BD58CEE">
      <w:pP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57F66B36">
      <w:pPr>
        <w:pStyle w:val="13"/>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50A6FE00">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供应商</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名称</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09339E3F">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法定代表人</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或委托代理人</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4B422AAD">
      <w:pPr>
        <w:spacing w:before="20" w:after="120" w:line="360" w:lineRule="auto"/>
        <w:jc w:val="both"/>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5C1D5593">
      <w:pPr>
        <w:pStyle w:val="4"/>
        <w:jc w:val="both"/>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4E996FE3">
      <w:pPr>
        <w:rPr>
          <w:rFonts w:hint="default" w:ascii="Times New Roman" w:hAnsi="Times New Roman" w:cs="Times New Roman"/>
          <w:color w:val="000000" w:themeColor="text1"/>
          <w:lang w:val="en-US" w:eastAsia="zh-CN"/>
          <w14:textFill>
            <w14:solidFill>
              <w14:schemeClr w14:val="tx1"/>
            </w14:solidFill>
          </w14:textFill>
        </w:rPr>
      </w:pPr>
    </w:p>
    <w:p w14:paraId="57A0450C">
      <w:pPr>
        <w:bidi w:val="0"/>
        <w:ind w:firstLine="3213" w:firstLineChars="1000"/>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t>（三）信誉要求</w:t>
      </w:r>
    </w:p>
    <w:p w14:paraId="7048D069">
      <w:pPr>
        <w:keepNext w:val="0"/>
        <w:keepLines w:val="0"/>
        <w:pageBreakBefore w:val="0"/>
        <w:widowControl w:val="0"/>
        <w:kinsoku/>
        <w:wordWrap/>
        <w:overflowPunct/>
        <w:topLinePunct w:val="0"/>
        <w:autoSpaceDE/>
        <w:autoSpaceDN/>
        <w:bidi w:val="0"/>
        <w:adjustRightInd/>
        <w:snapToGrid/>
        <w:spacing w:after="157" w:afterLines="50" w:line="480" w:lineRule="exact"/>
        <w:jc w:val="left"/>
        <w:textAlignment w:val="auto"/>
        <w:rPr>
          <w:rFonts w:hint="default" w:ascii="Times New Roman" w:hAnsi="Times New Roman" w:cs="Times New Roman" w:eastAsiaTheme="minorEastAsia"/>
          <w:color w:val="000000" w:themeColor="text1"/>
          <w:sz w:val="24"/>
          <w:szCs w:val="24"/>
          <w:highlight w:val="none"/>
          <w14:textFill>
            <w14:solidFill>
              <w14:schemeClr w14:val="tx1"/>
            </w14:solidFill>
          </w14:textFill>
        </w:rPr>
      </w:pPr>
      <w:r>
        <w:rPr>
          <w:rFonts w:hint="default" w:ascii="Times New Roman" w:hAnsi="Times New Roman" w:cs="Times New Roman" w:eastAsiaTheme="minorEastAsia"/>
          <w:b/>
          <w:color w:val="000000" w:themeColor="text1"/>
          <w:sz w:val="24"/>
          <w:szCs w:val="24"/>
          <w:highlight w:val="none"/>
          <w:u w:val="none"/>
          <w:lang w:val="en-US" w:eastAsia="zh-CN"/>
          <w14:textFill>
            <w14:solidFill>
              <w14:schemeClr w14:val="tx1"/>
            </w14:solidFill>
          </w14:textFill>
        </w:rPr>
        <w:t>致：</w:t>
      </w:r>
      <w:r>
        <w:rPr>
          <w:rFonts w:hint="default" w:ascii="Times New Roman" w:hAnsi="Times New Roman" w:cs="Times New Roman" w:eastAsiaTheme="minorEastAsia"/>
          <w:b/>
          <w:color w:val="000000" w:themeColor="text1"/>
          <w:sz w:val="24"/>
          <w:szCs w:val="24"/>
          <w:highlight w:val="none"/>
          <w:u w:val="single"/>
          <w14:textFill>
            <w14:solidFill>
              <w14:schemeClr w14:val="tx1"/>
            </w14:solidFill>
          </w14:textFill>
        </w:rPr>
        <w:t>　　</w:t>
      </w:r>
      <w:r>
        <w:rPr>
          <w:rFonts w:hint="default" w:ascii="Times New Roman" w:hAnsi="Times New Roman" w:cs="Times New Roman" w:eastAsiaTheme="minorEastAsia"/>
          <w:color w:val="000000" w:themeColor="text1"/>
          <w:sz w:val="24"/>
          <w:szCs w:val="24"/>
          <w:highlight w:val="none"/>
          <w:u w:val="single"/>
          <w14:textFill>
            <w14:solidFill>
              <w14:schemeClr w14:val="tx1"/>
            </w14:solidFill>
          </w14:textFill>
        </w:rPr>
        <w:t>（</w:t>
      </w:r>
      <w:r>
        <w:rPr>
          <w:rFonts w:hint="default" w:ascii="Times New Roman" w:hAnsi="Times New Roman" w:cs="Times New Roman" w:eastAsiaTheme="minorEastAsia"/>
          <w:color w:val="000000" w:themeColor="text1"/>
          <w:sz w:val="24"/>
          <w:szCs w:val="24"/>
          <w:highlight w:val="none"/>
          <w:u w:val="single"/>
          <w:lang w:val="en-US" w:eastAsia="zh-CN"/>
          <w14:textFill>
            <w14:solidFill>
              <w14:schemeClr w14:val="tx1"/>
            </w14:solidFill>
          </w14:textFill>
        </w:rPr>
        <w:t>采购人名称</w:t>
      </w:r>
      <w:r>
        <w:rPr>
          <w:rFonts w:hint="default" w:ascii="Times New Roman" w:hAnsi="Times New Roman" w:cs="Times New Roman" w:eastAsiaTheme="minorEastAsia"/>
          <w:color w:val="000000" w:themeColor="text1"/>
          <w:sz w:val="24"/>
          <w:szCs w:val="24"/>
          <w:highlight w:val="none"/>
          <w:u w:val="single"/>
          <w14:textFill>
            <w14:solidFill>
              <w14:schemeClr w14:val="tx1"/>
            </w14:solidFill>
          </w14:textFill>
        </w:rPr>
        <w:t>）</w:t>
      </w:r>
      <w:r>
        <w:rPr>
          <w:rFonts w:hint="default" w:ascii="Times New Roman" w:hAnsi="Times New Roman" w:cs="Times New Roman" w:eastAsiaTheme="minorEastAsia"/>
          <w:b/>
          <w:color w:val="000000" w:themeColor="text1"/>
          <w:sz w:val="24"/>
          <w:szCs w:val="24"/>
          <w:highlight w:val="none"/>
          <w:u w:val="single"/>
          <w14:textFill>
            <w14:solidFill>
              <w14:schemeClr w14:val="tx1"/>
            </w14:solidFill>
          </w14:textFill>
        </w:rPr>
        <w:t>　　</w:t>
      </w:r>
    </w:p>
    <w:p w14:paraId="33532041">
      <w:pPr>
        <w:pStyle w:val="13"/>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我公司是参与</w:t>
      </w:r>
      <w:r>
        <w:rPr>
          <w:rFonts w:hint="default" w:ascii="Times New Roman" w:hAnsi="Times New Roman" w:cs="Times New Roman"/>
          <w:color w:val="000000" w:themeColor="text1"/>
          <w:sz w:val="24"/>
          <w:szCs w:val="24"/>
          <w:u w:val="single"/>
          <w14:textFill>
            <w14:solidFill>
              <w14:schemeClr w14:val="tx1"/>
            </w14:solidFill>
          </w14:textFill>
        </w:rPr>
        <w:t xml:space="preserve">                （项目名称）</w:t>
      </w:r>
      <w:r>
        <w:rPr>
          <w:rFonts w:hint="default" w:ascii="Times New Roman" w:hAnsi="Times New Roman"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u w:val="single"/>
          <w14:textFill>
            <w14:solidFill>
              <w14:schemeClr w14:val="tx1"/>
            </w14:solidFill>
          </w14:textFill>
        </w:rPr>
        <w:t xml:space="preserve"> </w:t>
      </w:r>
      <w:r>
        <w:rPr>
          <w:rFonts w:hint="default" w:ascii="Times New Roman" w:hAnsi="Times New Roman"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u w:val="single"/>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项目的供应商，现作如下承诺：</w:t>
      </w:r>
    </w:p>
    <w:p w14:paraId="5F536CBA">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我公司没有处于被责令停业或财产被接管、冻结、破产状态；没有受到取消投标资格的行政处罚；202</w:t>
      </w:r>
      <w:r>
        <w:rPr>
          <w:rFonts w:hint="default" w:ascii="Times New Roman" w:hAnsi="Times New Roman" w:cs="Times New Roman"/>
          <w:color w:val="000000" w:themeColor="text1"/>
          <w:sz w:val="24"/>
          <w:szCs w:val="24"/>
          <w:lang w:val="en-US" w:eastAsia="zh-CN"/>
          <w14:textFill>
            <w14:solidFill>
              <w14:schemeClr w14:val="tx1"/>
            </w14:solidFill>
          </w14:textFill>
        </w:rPr>
        <w:t>3</w:t>
      </w:r>
      <w:r>
        <w:rPr>
          <w:rFonts w:hint="default" w:ascii="Times New Roman" w:hAnsi="Times New Roman" w:cs="Times New Roman"/>
          <w:color w:val="000000" w:themeColor="text1"/>
          <w:sz w:val="24"/>
          <w:szCs w:val="24"/>
          <w14:textFill>
            <w14:solidFill>
              <w14:schemeClr w14:val="tx1"/>
            </w14:solidFill>
          </w14:textFill>
        </w:rPr>
        <w:t>年至今无因供应商违约或不恰当履约引起的合同中止、纠纷、争议、仲裁和诉讼记录； 202</w:t>
      </w:r>
      <w:r>
        <w:rPr>
          <w:rFonts w:hint="default" w:ascii="Times New Roman" w:hAnsi="Times New Roman" w:cs="Times New Roman"/>
          <w:color w:val="000000" w:themeColor="text1"/>
          <w:sz w:val="24"/>
          <w:szCs w:val="24"/>
          <w:lang w:val="en-US" w:eastAsia="zh-CN"/>
          <w14:textFill>
            <w14:solidFill>
              <w14:schemeClr w14:val="tx1"/>
            </w14:solidFill>
          </w14:textFill>
        </w:rPr>
        <w:t>3</w:t>
      </w:r>
      <w:r>
        <w:rPr>
          <w:rFonts w:hint="default" w:ascii="Times New Roman" w:hAnsi="Times New Roman" w:cs="Times New Roman"/>
          <w:color w:val="000000" w:themeColor="text1"/>
          <w:sz w:val="24"/>
          <w:szCs w:val="24"/>
          <w14:textFill>
            <w14:solidFill>
              <w14:schemeClr w14:val="tx1"/>
            </w14:solidFill>
          </w14:textFill>
        </w:rPr>
        <w:t>年至今，没有骗取中标和严重违约及重大质量问题。</w:t>
      </w:r>
    </w:p>
    <w:p w14:paraId="628F08AF">
      <w:pPr>
        <w:spacing w:line="416" w:lineRule="auto"/>
        <w:ind w:firstLine="456" w:firstLineChars="19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若</w:t>
      </w:r>
      <w:r>
        <w:rPr>
          <w:rFonts w:hint="default" w:ascii="Times New Roman" w:hAnsi="Times New Roman" w:cs="Times New Roman"/>
          <w:color w:val="000000" w:themeColor="text1"/>
          <w:sz w:val="24"/>
          <w:szCs w:val="24"/>
          <w:u w:val="single"/>
          <w14:textFill>
            <w14:solidFill>
              <w14:schemeClr w14:val="tx1"/>
            </w14:solidFill>
          </w14:textFill>
        </w:rPr>
        <w:t xml:space="preserve">   （供应商全称）</w:t>
      </w:r>
      <w:r>
        <w:rPr>
          <w:rFonts w:hint="default" w:ascii="Times New Roman" w:hAnsi="Times New Roman" w:cs="Times New Roman"/>
          <w:color w:val="000000" w:themeColor="text1"/>
          <w:sz w:val="24"/>
          <w:szCs w:val="24"/>
          <w14:textFill>
            <w14:solidFill>
              <w14:schemeClr w14:val="tx1"/>
            </w14:solidFill>
          </w14:textFill>
        </w:rPr>
        <w:t>有谎报、漏报，一经查实，我公司愿意接受行政主管部门依照有关规定作出的处理和处罚决定。</w:t>
      </w:r>
    </w:p>
    <w:p w14:paraId="4ABB3D1F">
      <w:pPr>
        <w:pStyle w:val="4"/>
        <w:spacing w:line="413" w:lineRule="auto"/>
        <w:jc w:val="center"/>
        <w:rPr>
          <w:rFonts w:hint="default" w:ascii="Times New Roman" w:hAnsi="Times New Roman" w:cs="Times New Roman"/>
          <w:color w:val="000000" w:themeColor="text1"/>
          <w:sz w:val="32"/>
          <w:szCs w:val="32"/>
          <w14:textFill>
            <w14:solidFill>
              <w14:schemeClr w14:val="tx1"/>
            </w14:solidFill>
          </w14:textFill>
        </w:rPr>
      </w:pPr>
    </w:p>
    <w:p w14:paraId="2DE7CBFE">
      <w:pPr>
        <w:pStyle w:val="4"/>
        <w:spacing w:line="413" w:lineRule="auto"/>
        <w:jc w:val="center"/>
        <w:rPr>
          <w:rFonts w:hint="default" w:ascii="Times New Roman" w:hAnsi="Times New Roman" w:cs="Times New Roman"/>
          <w:color w:val="000000" w:themeColor="text1"/>
          <w:sz w:val="32"/>
          <w:szCs w:val="32"/>
          <w14:textFill>
            <w14:solidFill>
              <w14:schemeClr w14:val="tx1"/>
            </w14:solidFill>
          </w14:textFill>
        </w:rPr>
      </w:pPr>
    </w:p>
    <w:p w14:paraId="49158FF9">
      <w:pPr>
        <w:pStyle w:val="4"/>
        <w:spacing w:line="413" w:lineRule="auto"/>
        <w:jc w:val="center"/>
        <w:rPr>
          <w:rFonts w:hint="default" w:ascii="Times New Roman" w:hAnsi="Times New Roman" w:cs="Times New Roman"/>
          <w:color w:val="000000" w:themeColor="text1"/>
          <w:sz w:val="32"/>
          <w:szCs w:val="32"/>
          <w14:textFill>
            <w14:solidFill>
              <w14:schemeClr w14:val="tx1"/>
            </w14:solidFill>
          </w14:textFill>
        </w:rPr>
      </w:pPr>
    </w:p>
    <w:p w14:paraId="0E7F1577">
      <w:pPr>
        <w:pStyle w:val="4"/>
        <w:spacing w:line="413" w:lineRule="auto"/>
        <w:jc w:val="center"/>
        <w:rPr>
          <w:rFonts w:hint="default" w:ascii="Times New Roman" w:hAnsi="Times New Roman" w:cs="Times New Roman"/>
          <w:color w:val="000000" w:themeColor="text1"/>
          <w:sz w:val="32"/>
          <w:szCs w:val="32"/>
          <w14:textFill>
            <w14:solidFill>
              <w14:schemeClr w14:val="tx1"/>
            </w14:solidFill>
          </w14:textFill>
        </w:rPr>
      </w:pPr>
    </w:p>
    <w:p w14:paraId="0720A4AA">
      <w:pPr>
        <w:pStyle w:val="4"/>
        <w:spacing w:line="413" w:lineRule="auto"/>
        <w:jc w:val="center"/>
        <w:rPr>
          <w:rFonts w:hint="default" w:ascii="Times New Roman" w:hAnsi="Times New Roman" w:cs="Times New Roman"/>
          <w:color w:val="000000" w:themeColor="text1"/>
          <w:sz w:val="32"/>
          <w:szCs w:val="32"/>
          <w14:textFill>
            <w14:solidFill>
              <w14:schemeClr w14:val="tx1"/>
            </w14:solidFill>
          </w14:textFill>
        </w:rPr>
      </w:pPr>
    </w:p>
    <w:p w14:paraId="1F463B6E">
      <w:pPr>
        <w:pStyle w:val="4"/>
        <w:spacing w:line="413" w:lineRule="auto"/>
        <w:jc w:val="both"/>
        <w:rPr>
          <w:rFonts w:hint="default" w:ascii="Times New Roman" w:hAnsi="Times New Roman" w:cs="Times New Roman"/>
          <w:color w:val="000000" w:themeColor="text1"/>
          <w:sz w:val="32"/>
          <w:szCs w:val="32"/>
          <w14:textFill>
            <w14:solidFill>
              <w14:schemeClr w14:val="tx1"/>
            </w14:solidFill>
          </w14:textFill>
        </w:rPr>
      </w:pPr>
    </w:p>
    <w:p w14:paraId="2D5B5FAE">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供应商</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名称</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3E695C6D">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法定代表人</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或委托代理人</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1FBE025E">
      <w:pPr>
        <w:spacing w:before="20" w:after="120" w:line="360" w:lineRule="auto"/>
        <w:jc w:val="both"/>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7C12E372">
      <w:pPr>
        <w:pStyle w:val="4"/>
        <w:spacing w:line="413" w:lineRule="auto"/>
        <w:jc w:val="center"/>
        <w:rPr>
          <w:rFonts w:hint="default" w:ascii="Times New Roman" w:hAnsi="Times New Roman" w:cs="Times New Roman"/>
          <w:color w:val="000000" w:themeColor="text1"/>
          <w:sz w:val="32"/>
          <w:szCs w:val="32"/>
          <w14:textFill>
            <w14:solidFill>
              <w14:schemeClr w14:val="tx1"/>
            </w14:solidFill>
          </w14:textFill>
        </w:rPr>
      </w:pPr>
    </w:p>
    <w:p w14:paraId="30E3A920">
      <w:pPr>
        <w:rPr>
          <w:rFonts w:hint="default" w:ascii="Times New Roman" w:hAnsi="Times New Roman" w:cs="Times New Roman"/>
          <w:color w:val="000000" w:themeColor="text1"/>
          <w:sz w:val="32"/>
          <w:szCs w:val="32"/>
          <w14:textFill>
            <w14:solidFill>
              <w14:schemeClr w14:val="tx1"/>
            </w14:solidFill>
          </w14:textFill>
        </w:rPr>
      </w:pPr>
    </w:p>
    <w:p w14:paraId="3528A434">
      <w:pPr>
        <w:pStyle w:val="14"/>
        <w:ind w:left="0" w:leftChars="0" w:firstLine="0" w:firstLineChars="0"/>
        <w:rPr>
          <w:rFonts w:hint="default" w:ascii="Times New Roman" w:hAnsi="Times New Roman" w:cs="Times New Roman"/>
          <w:color w:val="000000" w:themeColor="text1"/>
          <w14:textFill>
            <w14:solidFill>
              <w14:schemeClr w14:val="tx1"/>
            </w14:solidFill>
          </w14:textFill>
        </w:rPr>
      </w:pPr>
    </w:p>
    <w:p w14:paraId="0E75FF52">
      <w:pPr>
        <w:pStyle w:val="4"/>
        <w:spacing w:line="413" w:lineRule="auto"/>
        <w:jc w:val="center"/>
        <w:rPr>
          <w:rFonts w:hint="default" w:ascii="Times New Roman" w:hAnsi="Times New Roman" w:cs="Times New Roman"/>
          <w:color w:val="000000" w:themeColor="text1"/>
          <w:sz w:val="32"/>
          <w:szCs w:val="32"/>
          <w14:textFill>
            <w14:solidFill>
              <w14:schemeClr w14:val="tx1"/>
            </w14:solidFill>
          </w14:textFill>
        </w:rPr>
      </w:pPr>
      <w:r>
        <w:rPr>
          <w:rFonts w:hint="default" w:ascii="Times New Roman" w:hAnsi="Times New Roman" w:cs="Times New Roman"/>
          <w:color w:val="000000" w:themeColor="text1"/>
          <w:sz w:val="32"/>
          <w:szCs w:val="32"/>
          <w14:textFill>
            <w14:solidFill>
              <w14:schemeClr w14:val="tx1"/>
            </w14:solidFill>
          </w14:textFill>
        </w:rPr>
        <w:t>（四）供应商承诺书</w:t>
      </w:r>
    </w:p>
    <w:p w14:paraId="238EC682">
      <w:pPr>
        <w:jc w:val="cente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t>（1）廉政承诺书</w:t>
      </w:r>
    </w:p>
    <w:p w14:paraId="0945DE53">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本企业参与</w:t>
      </w:r>
      <w:r>
        <w:rPr>
          <w:rFonts w:hint="default" w:ascii="Times New Roman" w:hAnsi="Times New Roman" w:cs="Times New Roman"/>
          <w:color w:val="000000" w:themeColor="text1"/>
          <w:sz w:val="24"/>
          <w:szCs w:val="24"/>
          <w:u w:val="single"/>
          <w14:textFill>
            <w14:solidFill>
              <w14:schemeClr w14:val="tx1"/>
            </w14:solidFill>
          </w14:textFill>
        </w:rPr>
        <w:t xml:space="preserve">          （项目名称）            </w:t>
      </w:r>
      <w:r>
        <w:rPr>
          <w:rFonts w:hint="default" w:ascii="Times New Roman" w:hAnsi="Times New Roman" w:cs="Times New Roman"/>
          <w:color w:val="000000" w:themeColor="text1"/>
          <w:sz w:val="24"/>
          <w:szCs w:val="24"/>
          <w14:textFill>
            <w14:solidFill>
              <w14:schemeClr w14:val="tx1"/>
            </w14:solidFill>
          </w14:textFill>
        </w:rPr>
        <w:t>项目的供应商，现作如下承诺：</w:t>
      </w:r>
    </w:p>
    <w:p w14:paraId="338DA95E">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1.</w:t>
      </w:r>
      <w:r>
        <w:rPr>
          <w:rFonts w:hint="default" w:ascii="Times New Roman" w:hAnsi="Times New Roman" w:cs="Times New Roman"/>
          <w:color w:val="000000" w:themeColor="text1"/>
          <w:sz w:val="24"/>
          <w:szCs w:val="24"/>
          <w14:textFill>
            <w14:solidFill>
              <w14:schemeClr w14:val="tx1"/>
            </w14:solidFill>
          </w14:textFill>
        </w:rPr>
        <w:t>所提供的一切材料都是真实、有效、合法的。</w:t>
      </w:r>
    </w:p>
    <w:p w14:paraId="2BE77BFA">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2.</w:t>
      </w:r>
      <w:r>
        <w:rPr>
          <w:rFonts w:hint="default" w:ascii="Times New Roman" w:hAnsi="Times New Roman" w:cs="Times New Roman"/>
          <w:color w:val="000000" w:themeColor="text1"/>
          <w:sz w:val="24"/>
          <w:szCs w:val="24"/>
          <w14:textFill>
            <w14:solidFill>
              <w14:schemeClr w14:val="tx1"/>
            </w14:solidFill>
          </w14:textFill>
        </w:rPr>
        <w:t>不与其他供应商串通投标，不损害</w:t>
      </w:r>
      <w:r>
        <w:rPr>
          <w:rFonts w:hint="eastAsia" w:cs="Times New Roman"/>
          <w:color w:val="000000" w:themeColor="text1"/>
          <w:sz w:val="24"/>
          <w:szCs w:val="24"/>
          <w:lang w:val="en-US" w:eastAsia="zh-CN"/>
          <w14:textFill>
            <w14:solidFill>
              <w14:schemeClr w14:val="tx1"/>
            </w14:solidFill>
          </w14:textFill>
        </w:rPr>
        <w:t>采购人</w:t>
      </w:r>
      <w:r>
        <w:rPr>
          <w:rFonts w:hint="default" w:ascii="Times New Roman" w:hAnsi="Times New Roman" w:cs="Times New Roman"/>
          <w:color w:val="000000" w:themeColor="text1"/>
          <w:sz w:val="24"/>
          <w:szCs w:val="24"/>
          <w14:textFill>
            <w14:solidFill>
              <w14:schemeClr w14:val="tx1"/>
            </w14:solidFill>
          </w14:textFill>
        </w:rPr>
        <w:t>或其他供应商的合法权益。</w:t>
      </w:r>
    </w:p>
    <w:p w14:paraId="368691D2">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3.</w:t>
      </w:r>
      <w:r>
        <w:rPr>
          <w:rFonts w:hint="default" w:ascii="Times New Roman" w:hAnsi="Times New Roman" w:cs="Times New Roman"/>
          <w:color w:val="000000" w:themeColor="text1"/>
          <w:sz w:val="24"/>
          <w:szCs w:val="24"/>
          <w14:textFill>
            <w14:solidFill>
              <w14:schemeClr w14:val="tx1"/>
            </w14:solidFill>
          </w14:textFill>
        </w:rPr>
        <w:t>不转让、出租、出借资质证书、人员岗位证书或以其他方式允许他人以本企业名义投标。</w:t>
      </w:r>
    </w:p>
    <w:p w14:paraId="2479C206">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4.</w:t>
      </w:r>
      <w:r>
        <w:rPr>
          <w:rFonts w:hint="default" w:ascii="Times New Roman" w:hAnsi="Times New Roman" w:cs="Times New Roman"/>
          <w:color w:val="000000" w:themeColor="text1"/>
          <w:sz w:val="24"/>
          <w:szCs w:val="24"/>
          <w14:textFill>
            <w14:solidFill>
              <w14:schemeClr w14:val="tx1"/>
            </w14:solidFill>
          </w14:textFill>
        </w:rPr>
        <w:t>不与</w:t>
      </w:r>
      <w:r>
        <w:rPr>
          <w:rFonts w:hint="eastAsia" w:cs="Times New Roman"/>
          <w:color w:val="000000" w:themeColor="text1"/>
          <w:sz w:val="24"/>
          <w:szCs w:val="24"/>
          <w:lang w:val="en-US" w:eastAsia="zh-CN"/>
          <w14:textFill>
            <w14:solidFill>
              <w14:schemeClr w14:val="tx1"/>
            </w14:solidFill>
          </w14:textFill>
        </w:rPr>
        <w:t>采购人</w:t>
      </w:r>
      <w:r>
        <w:rPr>
          <w:rFonts w:hint="default" w:ascii="Times New Roman" w:hAnsi="Times New Roman" w:cs="Times New Roman"/>
          <w:color w:val="000000" w:themeColor="text1"/>
          <w:sz w:val="24"/>
          <w:szCs w:val="24"/>
          <w14:textFill>
            <w14:solidFill>
              <w14:schemeClr w14:val="tx1"/>
            </w14:solidFill>
          </w14:textFill>
        </w:rPr>
        <w:t>或</w:t>
      </w:r>
      <w:r>
        <w:rPr>
          <w:rFonts w:hint="eastAsia" w:cs="Times New Roman"/>
          <w:color w:val="000000" w:themeColor="text1"/>
          <w:sz w:val="24"/>
          <w:szCs w:val="24"/>
          <w:lang w:val="en-US" w:eastAsia="zh-CN"/>
          <w14:textFill>
            <w14:solidFill>
              <w14:schemeClr w14:val="tx1"/>
            </w14:solidFill>
          </w14:textFill>
        </w:rPr>
        <w:t>采购</w:t>
      </w:r>
      <w:r>
        <w:rPr>
          <w:rFonts w:hint="default" w:ascii="Times New Roman" w:hAnsi="Times New Roman" w:cs="Times New Roman"/>
          <w:color w:val="000000" w:themeColor="text1"/>
          <w:sz w:val="24"/>
          <w:szCs w:val="24"/>
          <w14:textFill>
            <w14:solidFill>
              <w14:schemeClr w14:val="tx1"/>
            </w14:solidFill>
          </w14:textFill>
        </w:rPr>
        <w:t>代理机构串通投标，损害国家利益、社会公共利益或者他人的合法权益。</w:t>
      </w:r>
    </w:p>
    <w:p w14:paraId="31D8BDCB">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5.</w:t>
      </w:r>
      <w:r>
        <w:rPr>
          <w:rFonts w:hint="default" w:ascii="Times New Roman" w:hAnsi="Times New Roman" w:cs="Times New Roman"/>
          <w:color w:val="000000" w:themeColor="text1"/>
          <w:sz w:val="24"/>
          <w:szCs w:val="24"/>
          <w14:textFill>
            <w14:solidFill>
              <w14:schemeClr w14:val="tx1"/>
            </w14:solidFill>
          </w14:textFill>
        </w:rPr>
        <w:t>不向</w:t>
      </w:r>
      <w:r>
        <w:rPr>
          <w:rFonts w:hint="eastAsia" w:cs="Times New Roman"/>
          <w:color w:val="000000" w:themeColor="text1"/>
          <w:sz w:val="24"/>
          <w:szCs w:val="24"/>
          <w:lang w:val="en-US" w:eastAsia="zh-CN"/>
          <w14:textFill>
            <w14:solidFill>
              <w14:schemeClr w14:val="tx1"/>
            </w14:solidFill>
          </w14:textFill>
        </w:rPr>
        <w:t>采购人</w:t>
      </w:r>
      <w:r>
        <w:rPr>
          <w:rFonts w:hint="default" w:ascii="Times New Roman" w:hAnsi="Times New Roman" w:cs="Times New Roman"/>
          <w:color w:val="000000" w:themeColor="text1"/>
          <w:sz w:val="24"/>
          <w:szCs w:val="24"/>
          <w14:textFill>
            <w14:solidFill>
              <w14:schemeClr w14:val="tx1"/>
            </w14:solidFill>
          </w14:textFill>
        </w:rPr>
        <w:t>、磋商小组成员、监督人员行贿。</w:t>
      </w:r>
    </w:p>
    <w:p w14:paraId="1DC84A15">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6.</w:t>
      </w:r>
      <w:r>
        <w:rPr>
          <w:rFonts w:hint="default" w:ascii="Times New Roman" w:hAnsi="Times New Roman" w:cs="Times New Roman"/>
          <w:color w:val="000000" w:themeColor="text1"/>
          <w:sz w:val="24"/>
          <w:szCs w:val="24"/>
          <w14:textFill>
            <w14:solidFill>
              <w14:schemeClr w14:val="tx1"/>
            </w14:solidFill>
          </w14:textFill>
        </w:rPr>
        <w:t>不扰乱招标投标活动正常秩序。</w:t>
      </w:r>
    </w:p>
    <w:p w14:paraId="4E091644">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7.</w:t>
      </w:r>
      <w:r>
        <w:rPr>
          <w:rFonts w:hint="default" w:ascii="Times New Roman" w:hAnsi="Times New Roman" w:cs="Times New Roman"/>
          <w:color w:val="000000" w:themeColor="text1"/>
          <w:sz w:val="24"/>
          <w:szCs w:val="24"/>
          <w14:textFill>
            <w14:solidFill>
              <w14:schemeClr w14:val="tx1"/>
            </w14:solidFill>
          </w14:textFill>
        </w:rPr>
        <w:t>不进行虚假恶意投诉。</w:t>
      </w:r>
    </w:p>
    <w:p w14:paraId="29A291CD">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8.</w:t>
      </w:r>
      <w:r>
        <w:rPr>
          <w:rFonts w:hint="default" w:ascii="Times New Roman" w:hAnsi="Times New Roman" w:cs="Times New Roman"/>
          <w:color w:val="000000" w:themeColor="text1"/>
          <w:sz w:val="24"/>
          <w:szCs w:val="24"/>
          <w14:textFill>
            <w14:solidFill>
              <w14:schemeClr w14:val="tx1"/>
            </w14:solidFill>
          </w14:textFill>
        </w:rPr>
        <w:t>因违反</w:t>
      </w:r>
      <w:r>
        <w:rPr>
          <w:rFonts w:hint="default" w:ascii="Times New Roman" w:hAnsi="Times New Roman" w:cs="Times New Roman"/>
          <w:color w:val="000000" w:themeColor="text1"/>
          <w:sz w:val="24"/>
          <w:szCs w:val="24"/>
          <w:lang w:eastAsia="zh-CN"/>
          <w14:textFill>
            <w14:solidFill>
              <w14:schemeClr w14:val="tx1"/>
            </w14:solidFill>
          </w14:textFill>
        </w:rPr>
        <w:t>法律法规</w:t>
      </w:r>
      <w:r>
        <w:rPr>
          <w:rFonts w:hint="default" w:ascii="Times New Roman" w:hAnsi="Times New Roman" w:cs="Times New Roman"/>
          <w:color w:val="000000" w:themeColor="text1"/>
          <w:sz w:val="24"/>
          <w:szCs w:val="24"/>
          <w14:textFill>
            <w14:solidFill>
              <w14:schemeClr w14:val="tx1"/>
            </w14:solidFill>
          </w14:textFill>
        </w:rPr>
        <w:t>、规章被查处的，不干预案件查处。</w:t>
      </w:r>
    </w:p>
    <w:p w14:paraId="7EC4137E">
      <w:pPr>
        <w:bidi w:val="0"/>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p>
    <w:p w14:paraId="417E8B60">
      <w:pPr>
        <w:bidi w:val="0"/>
        <w:rPr>
          <w:rFonts w:hint="default" w:ascii="Times New Roman" w:hAnsi="Times New Roman" w:cs="Times New Roman"/>
          <w:color w:val="000000" w:themeColor="text1"/>
          <w:lang w:val="en-US" w:eastAsia="zh-CN"/>
          <w14:textFill>
            <w14:solidFill>
              <w14:schemeClr w14:val="tx1"/>
            </w14:solidFill>
          </w14:textFill>
        </w:rPr>
      </w:pPr>
    </w:p>
    <w:p w14:paraId="1724E286">
      <w:pPr>
        <w:bidi w:val="0"/>
        <w:rPr>
          <w:rFonts w:hint="default" w:ascii="Times New Roman" w:hAnsi="Times New Roman" w:cs="Times New Roman"/>
          <w:color w:val="000000" w:themeColor="text1"/>
          <w:lang w:val="en-US" w:eastAsia="zh-CN"/>
          <w14:textFill>
            <w14:solidFill>
              <w14:schemeClr w14:val="tx1"/>
            </w14:solidFill>
          </w14:textFill>
        </w:rPr>
      </w:pPr>
    </w:p>
    <w:p w14:paraId="5F7016D3">
      <w:pPr>
        <w:bidi w:val="0"/>
        <w:rPr>
          <w:rFonts w:hint="default" w:ascii="Times New Roman" w:hAnsi="Times New Roman" w:cs="Times New Roman"/>
          <w:color w:val="000000" w:themeColor="text1"/>
          <w:lang w:val="en-US" w:eastAsia="zh-CN"/>
          <w14:textFill>
            <w14:solidFill>
              <w14:schemeClr w14:val="tx1"/>
            </w14:solidFill>
          </w14:textFill>
        </w:rPr>
      </w:pPr>
    </w:p>
    <w:p w14:paraId="58CF1640">
      <w:pPr>
        <w:bidi w:val="0"/>
        <w:rPr>
          <w:rFonts w:hint="default" w:ascii="Times New Roman" w:hAnsi="Times New Roman" w:cs="Times New Roman"/>
          <w:color w:val="000000" w:themeColor="text1"/>
          <w:lang w:val="en-US" w:eastAsia="zh-CN"/>
          <w14:textFill>
            <w14:solidFill>
              <w14:schemeClr w14:val="tx1"/>
            </w14:solidFill>
          </w14:textFill>
        </w:rPr>
      </w:pPr>
    </w:p>
    <w:p w14:paraId="710C77EC">
      <w:pPr>
        <w:bidi w:val="0"/>
        <w:rPr>
          <w:rFonts w:hint="default" w:ascii="Times New Roman" w:hAnsi="Times New Roman" w:cs="Times New Roman"/>
          <w:color w:val="000000" w:themeColor="text1"/>
          <w:lang w:val="en-US" w:eastAsia="zh-CN"/>
          <w14:textFill>
            <w14:solidFill>
              <w14:schemeClr w14:val="tx1"/>
            </w14:solidFill>
          </w14:textFill>
        </w:rPr>
      </w:pPr>
    </w:p>
    <w:p w14:paraId="2643B762">
      <w:pPr>
        <w:bidi w:val="0"/>
        <w:rPr>
          <w:rFonts w:hint="default" w:ascii="Times New Roman" w:hAnsi="Times New Roman" w:cs="Times New Roman"/>
          <w:color w:val="000000" w:themeColor="text1"/>
          <w:lang w:val="en-US" w:eastAsia="zh-CN"/>
          <w14:textFill>
            <w14:solidFill>
              <w14:schemeClr w14:val="tx1"/>
            </w14:solidFill>
          </w14:textFill>
        </w:rPr>
      </w:pPr>
    </w:p>
    <w:p w14:paraId="5FF3680D">
      <w:pPr>
        <w:bidi w:val="0"/>
        <w:rPr>
          <w:rFonts w:hint="default" w:ascii="Times New Roman" w:hAnsi="Times New Roman" w:cs="Times New Roman"/>
          <w:color w:val="000000" w:themeColor="text1"/>
          <w:lang w:val="en-US" w:eastAsia="zh-CN"/>
          <w14:textFill>
            <w14:solidFill>
              <w14:schemeClr w14:val="tx1"/>
            </w14:solidFill>
          </w14:textFill>
        </w:rPr>
      </w:pPr>
    </w:p>
    <w:p w14:paraId="07C67E08">
      <w:pPr>
        <w:bidi w:val="0"/>
        <w:rPr>
          <w:rFonts w:hint="default" w:ascii="Times New Roman" w:hAnsi="Times New Roman" w:cs="Times New Roman"/>
          <w:color w:val="000000" w:themeColor="text1"/>
          <w:lang w:val="en-US" w:eastAsia="zh-CN"/>
          <w14:textFill>
            <w14:solidFill>
              <w14:schemeClr w14:val="tx1"/>
            </w14:solidFill>
          </w14:textFill>
        </w:rPr>
      </w:pPr>
    </w:p>
    <w:p w14:paraId="68F79475">
      <w:pPr>
        <w:bidi w:val="0"/>
        <w:rPr>
          <w:rFonts w:hint="default" w:ascii="Times New Roman" w:hAnsi="Times New Roman" w:cs="Times New Roman"/>
          <w:color w:val="000000" w:themeColor="text1"/>
          <w:lang w:val="en-US" w:eastAsia="zh-CN"/>
          <w14:textFill>
            <w14:solidFill>
              <w14:schemeClr w14:val="tx1"/>
            </w14:solidFill>
          </w14:textFill>
        </w:rPr>
      </w:pPr>
    </w:p>
    <w:p w14:paraId="45B371BD">
      <w:pPr>
        <w:bidi w:val="0"/>
        <w:rPr>
          <w:rFonts w:hint="default" w:ascii="Times New Roman" w:hAnsi="Times New Roman" w:cs="Times New Roman"/>
          <w:color w:val="000000" w:themeColor="text1"/>
          <w:lang w:val="en-US" w:eastAsia="zh-CN"/>
          <w14:textFill>
            <w14:solidFill>
              <w14:schemeClr w14:val="tx1"/>
            </w14:solidFill>
          </w14:textFill>
        </w:rPr>
      </w:pPr>
    </w:p>
    <w:p w14:paraId="15D09D60">
      <w:pPr>
        <w:bidi w:val="0"/>
        <w:rPr>
          <w:rFonts w:hint="default" w:ascii="Times New Roman" w:hAnsi="Times New Roman" w:cs="Times New Roman"/>
          <w:color w:val="000000" w:themeColor="text1"/>
          <w:lang w:val="en-US" w:eastAsia="zh-CN"/>
          <w14:textFill>
            <w14:solidFill>
              <w14:schemeClr w14:val="tx1"/>
            </w14:solidFill>
          </w14:textFill>
        </w:rPr>
      </w:pPr>
    </w:p>
    <w:p w14:paraId="28541107">
      <w:pPr>
        <w:bidi w:val="0"/>
        <w:rPr>
          <w:rFonts w:hint="default" w:ascii="Times New Roman" w:hAnsi="Times New Roman" w:cs="Times New Roman"/>
          <w:color w:val="000000" w:themeColor="text1"/>
          <w:lang w:val="en-US" w:eastAsia="zh-CN"/>
          <w14:textFill>
            <w14:solidFill>
              <w14:schemeClr w14:val="tx1"/>
            </w14:solidFill>
          </w14:textFill>
        </w:rPr>
      </w:pPr>
    </w:p>
    <w:p w14:paraId="34A4387F">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供应商</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名称</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45F90458">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法定代表人</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或委托代理人</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103C6333">
      <w:pPr>
        <w:spacing w:before="20" w:after="120" w:line="360" w:lineRule="auto"/>
        <w:jc w:val="both"/>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3C8BA773">
      <w:pPr>
        <w:bidi w:val="0"/>
        <w:rPr>
          <w:rFonts w:hint="default" w:ascii="Times New Roman" w:hAnsi="Times New Roman" w:cs="Times New Roman"/>
          <w:color w:val="000000" w:themeColor="text1"/>
          <w:lang w:val="zh-CN" w:eastAsia="zh-CN"/>
          <w14:textFill>
            <w14:solidFill>
              <w14:schemeClr w14:val="tx1"/>
            </w14:solidFill>
          </w14:textFill>
        </w:rPr>
      </w:pPr>
    </w:p>
    <w:p w14:paraId="0F2A05C7">
      <w:pPr>
        <w:bidi w:val="0"/>
        <w:rPr>
          <w:rFonts w:hint="default" w:ascii="Times New Roman" w:hAnsi="Times New Roman" w:cs="Times New Roman"/>
          <w:color w:val="000000" w:themeColor="text1"/>
          <w:lang w:val="zh-CN" w:eastAsia="zh-CN"/>
          <w14:textFill>
            <w14:solidFill>
              <w14:schemeClr w14:val="tx1"/>
            </w14:solidFill>
          </w14:textFill>
        </w:rPr>
      </w:pPr>
    </w:p>
    <w:p w14:paraId="2A84551E">
      <w:pPr>
        <w:bidi w:val="0"/>
        <w:rPr>
          <w:rFonts w:hint="default" w:ascii="Times New Roman" w:hAnsi="Times New Roman" w:cs="Times New Roman"/>
          <w:color w:val="000000" w:themeColor="text1"/>
          <w:lang w:val="zh-CN" w:eastAsia="zh-CN"/>
          <w14:textFill>
            <w14:solidFill>
              <w14:schemeClr w14:val="tx1"/>
            </w14:solidFill>
          </w14:textFill>
        </w:rPr>
      </w:pPr>
    </w:p>
    <w:p w14:paraId="1BDE06E6">
      <w:pPr>
        <w:bidi w:val="0"/>
        <w:rPr>
          <w:rFonts w:hint="default" w:ascii="Times New Roman" w:hAnsi="Times New Roman" w:cs="Times New Roman"/>
          <w:color w:val="000000" w:themeColor="text1"/>
          <w:lang w:val="zh-CN" w:eastAsia="zh-CN"/>
          <w14:textFill>
            <w14:solidFill>
              <w14:schemeClr w14:val="tx1"/>
            </w14:solidFill>
          </w14:textFill>
        </w:rPr>
      </w:pPr>
    </w:p>
    <w:p w14:paraId="5E572C56">
      <w:pPr>
        <w:jc w:val="cente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5959D6CF">
      <w:pPr>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t>（2）无重大违法记录声明</w:t>
      </w:r>
      <w:r>
        <w:rPr>
          <w:rFonts w:hint="default" w:ascii="Times New Roman" w:hAnsi="Times New Roman" w:cs="Times New Roman"/>
          <w:b/>
          <w:bCs/>
          <w:color w:val="000000" w:themeColor="text1"/>
          <w:kern w:val="2"/>
          <w:sz w:val="32"/>
          <w:szCs w:val="32"/>
          <w:lang w:val="en-US" w:eastAsia="zh-CN" w:bidi="ar-SA"/>
          <w14:textFill>
            <w14:solidFill>
              <w14:schemeClr w14:val="tx1"/>
            </w14:solidFill>
          </w14:textFill>
        </w:rPr>
        <w:t>书</w:t>
      </w:r>
    </w:p>
    <w:p w14:paraId="6C0DA982">
      <w:pPr>
        <w:adjustRightInd w:val="0"/>
        <w:snapToGrid w:val="0"/>
        <w:spacing w:line="360" w:lineRule="auto"/>
        <w:jc w:val="center"/>
        <w:rPr>
          <w:rFonts w:hint="default" w:ascii="Times New Roman" w:hAnsi="Times New Roman" w:cs="Times New Roman"/>
          <w:b/>
          <w:color w:val="000000" w:themeColor="text1"/>
          <w:sz w:val="28"/>
          <w:szCs w:val="28"/>
          <w14:textFill>
            <w14:solidFill>
              <w14:schemeClr w14:val="tx1"/>
            </w14:solidFill>
          </w14:textFill>
        </w:rPr>
      </w:pPr>
    </w:p>
    <w:p w14:paraId="1B753A9D">
      <w:pPr>
        <w:keepNext w:val="0"/>
        <w:keepLines w:val="0"/>
        <w:pageBreakBefore w:val="0"/>
        <w:widowControl w:val="0"/>
        <w:kinsoku/>
        <w:wordWrap/>
        <w:overflowPunct/>
        <w:topLinePunct w:val="0"/>
        <w:autoSpaceDE/>
        <w:autoSpaceDN/>
        <w:bidi w:val="0"/>
        <w:adjustRightInd/>
        <w:snapToGrid/>
        <w:spacing w:after="157" w:afterLines="50" w:line="480" w:lineRule="exact"/>
        <w:jc w:val="left"/>
        <w:textAlignment w:val="auto"/>
        <w:rPr>
          <w:rFonts w:hint="default" w:ascii="Times New Roman" w:hAnsi="Times New Roman" w:cs="Times New Roman" w:eastAsiaTheme="minorEastAsia"/>
          <w:color w:val="000000" w:themeColor="text1"/>
          <w:sz w:val="24"/>
          <w:szCs w:val="24"/>
          <w:highlight w:val="none"/>
          <w14:textFill>
            <w14:solidFill>
              <w14:schemeClr w14:val="tx1"/>
            </w14:solidFill>
          </w14:textFill>
        </w:rPr>
      </w:pPr>
      <w:r>
        <w:rPr>
          <w:rFonts w:hint="default" w:ascii="Times New Roman" w:hAnsi="Times New Roman" w:cs="Times New Roman" w:eastAsiaTheme="minorEastAsia"/>
          <w:b/>
          <w:color w:val="000000" w:themeColor="text1"/>
          <w:sz w:val="24"/>
          <w:szCs w:val="24"/>
          <w:highlight w:val="none"/>
          <w:u w:val="none"/>
          <w:lang w:val="en-US" w:eastAsia="zh-CN"/>
          <w14:textFill>
            <w14:solidFill>
              <w14:schemeClr w14:val="tx1"/>
            </w14:solidFill>
          </w14:textFill>
        </w:rPr>
        <w:t>致：</w:t>
      </w:r>
      <w:r>
        <w:rPr>
          <w:rFonts w:hint="default" w:ascii="Times New Roman" w:hAnsi="Times New Roman" w:cs="Times New Roman"/>
          <w:color w:val="000000" w:themeColor="text1"/>
          <w:sz w:val="24"/>
          <w:szCs w:val="24"/>
          <w:u w:val="single"/>
          <w14:textFill>
            <w14:solidFill>
              <w14:schemeClr w14:val="tx1"/>
            </w14:solidFill>
          </w14:textFill>
        </w:rPr>
        <w:t>　　（</w:t>
      </w:r>
      <w:r>
        <w:rPr>
          <w:rFonts w:hint="default" w:ascii="Times New Roman" w:hAnsi="Times New Roman" w:cs="Times New Roman"/>
          <w:color w:val="000000" w:themeColor="text1"/>
          <w:sz w:val="24"/>
          <w:szCs w:val="24"/>
          <w:u w:val="single"/>
          <w:lang w:val="en-US" w:eastAsia="zh-CN"/>
          <w14:textFill>
            <w14:solidFill>
              <w14:schemeClr w14:val="tx1"/>
            </w14:solidFill>
          </w14:textFill>
        </w:rPr>
        <w:t>采购人名称</w:t>
      </w:r>
      <w:r>
        <w:rPr>
          <w:rFonts w:hint="default" w:ascii="Times New Roman" w:hAnsi="Times New Roman" w:cs="Times New Roman"/>
          <w:color w:val="000000" w:themeColor="text1"/>
          <w:sz w:val="24"/>
          <w:szCs w:val="24"/>
          <w:u w:val="single"/>
          <w14:textFill>
            <w14:solidFill>
              <w14:schemeClr w14:val="tx1"/>
            </w14:solidFill>
          </w14:textFill>
        </w:rPr>
        <w:t>）　　</w:t>
      </w:r>
    </w:p>
    <w:p w14:paraId="17458060">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en-US" w:bidi="ar-SA"/>
          <w14:textFill>
            <w14:solidFill>
              <w14:schemeClr w14:val="tx1"/>
            </w14:solidFill>
          </w14:textFill>
        </w:rPr>
        <w:t>我方在此承诺，我方参加</w:t>
      </w:r>
      <w:r>
        <w:rPr>
          <w:rFonts w:hint="default" w:ascii="Times New Roman" w:hAnsi="Times New Roman" w:cs="Times New Roman"/>
          <w:color w:val="000000" w:themeColor="text1"/>
          <w:sz w:val="24"/>
          <w:szCs w:val="24"/>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（项目名称） （以下简称“本项目”）的采购活动前三年内，在经营活动中没有重大违法记录（重大违法记录是指供应商因违法经营受到刑事处罚或者责令停产停业、吊销许可证或者执照、较大数额罚款等行政处罚）。</w:t>
      </w:r>
    </w:p>
    <w:p w14:paraId="3034D3BA">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我方保证上述信息的真实和准确，并愿意承担因我方就此弄虚作假所引起的一切法律后果。</w:t>
      </w:r>
    </w:p>
    <w:p w14:paraId="00E2E1D3">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p>
    <w:p w14:paraId="14F4FC60">
      <w:pPr>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特此承诺</w:t>
      </w:r>
    </w:p>
    <w:p w14:paraId="525C8FF5">
      <w:pPr>
        <w:bidi w:val="0"/>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p>
    <w:p w14:paraId="739E0989">
      <w:pPr>
        <w:bidi w:val="0"/>
        <w:rPr>
          <w:rFonts w:hint="default" w:ascii="Times New Roman" w:hAnsi="Times New Roman" w:cs="Times New Roman"/>
          <w:color w:val="000000" w:themeColor="text1"/>
          <w:lang w:val="en-US" w:eastAsia="zh-CN"/>
          <w14:textFill>
            <w14:solidFill>
              <w14:schemeClr w14:val="tx1"/>
            </w14:solidFill>
          </w14:textFill>
        </w:rPr>
      </w:pPr>
    </w:p>
    <w:p w14:paraId="3A952811">
      <w:pPr>
        <w:bidi w:val="0"/>
        <w:rPr>
          <w:rFonts w:hint="default" w:ascii="Times New Roman" w:hAnsi="Times New Roman" w:cs="Times New Roman"/>
          <w:color w:val="000000" w:themeColor="text1"/>
          <w:lang w:val="en-US" w:eastAsia="zh-CN"/>
          <w14:textFill>
            <w14:solidFill>
              <w14:schemeClr w14:val="tx1"/>
            </w14:solidFill>
          </w14:textFill>
        </w:rPr>
      </w:pPr>
    </w:p>
    <w:p w14:paraId="21CAEC0D">
      <w:pPr>
        <w:bidi w:val="0"/>
        <w:rPr>
          <w:rFonts w:hint="default" w:ascii="Times New Roman" w:hAnsi="Times New Roman" w:cs="Times New Roman"/>
          <w:color w:val="000000" w:themeColor="text1"/>
          <w:lang w:val="en-US" w:eastAsia="zh-CN"/>
          <w14:textFill>
            <w14:solidFill>
              <w14:schemeClr w14:val="tx1"/>
            </w14:solidFill>
          </w14:textFill>
        </w:rPr>
      </w:pPr>
    </w:p>
    <w:p w14:paraId="38704F72">
      <w:pPr>
        <w:bidi w:val="0"/>
        <w:rPr>
          <w:rFonts w:hint="default" w:ascii="Times New Roman" w:hAnsi="Times New Roman" w:cs="Times New Roman"/>
          <w:color w:val="000000" w:themeColor="text1"/>
          <w:lang w:val="en-US" w:eastAsia="zh-CN"/>
          <w14:textFill>
            <w14:solidFill>
              <w14:schemeClr w14:val="tx1"/>
            </w14:solidFill>
          </w14:textFill>
        </w:rPr>
      </w:pPr>
    </w:p>
    <w:p w14:paraId="62867EE3">
      <w:pPr>
        <w:bidi w:val="0"/>
        <w:rPr>
          <w:rFonts w:hint="default" w:ascii="Times New Roman" w:hAnsi="Times New Roman" w:cs="Times New Roman"/>
          <w:color w:val="000000" w:themeColor="text1"/>
          <w:lang w:val="en-US" w:eastAsia="zh-CN"/>
          <w14:textFill>
            <w14:solidFill>
              <w14:schemeClr w14:val="tx1"/>
            </w14:solidFill>
          </w14:textFill>
        </w:rPr>
      </w:pPr>
    </w:p>
    <w:p w14:paraId="431DA874">
      <w:pPr>
        <w:bidi w:val="0"/>
        <w:rPr>
          <w:rFonts w:hint="default" w:ascii="Times New Roman" w:hAnsi="Times New Roman" w:cs="Times New Roman"/>
          <w:color w:val="000000" w:themeColor="text1"/>
          <w:lang w:val="en-US" w:eastAsia="zh-CN"/>
          <w14:textFill>
            <w14:solidFill>
              <w14:schemeClr w14:val="tx1"/>
            </w14:solidFill>
          </w14:textFill>
        </w:rPr>
      </w:pPr>
    </w:p>
    <w:p w14:paraId="210F2811">
      <w:pPr>
        <w:bidi w:val="0"/>
        <w:rPr>
          <w:rFonts w:hint="default" w:ascii="Times New Roman" w:hAnsi="Times New Roman" w:cs="Times New Roman"/>
          <w:color w:val="000000" w:themeColor="text1"/>
          <w:lang w:val="en-US" w:eastAsia="zh-CN"/>
          <w14:textFill>
            <w14:solidFill>
              <w14:schemeClr w14:val="tx1"/>
            </w14:solidFill>
          </w14:textFill>
        </w:rPr>
      </w:pPr>
    </w:p>
    <w:p w14:paraId="5F91F10E">
      <w:pPr>
        <w:bidi w:val="0"/>
        <w:rPr>
          <w:rFonts w:hint="default" w:ascii="Times New Roman" w:hAnsi="Times New Roman" w:cs="Times New Roman"/>
          <w:color w:val="000000" w:themeColor="text1"/>
          <w:lang w:val="en-US" w:eastAsia="zh-CN"/>
          <w14:textFill>
            <w14:solidFill>
              <w14:schemeClr w14:val="tx1"/>
            </w14:solidFill>
          </w14:textFill>
        </w:rPr>
      </w:pPr>
    </w:p>
    <w:p w14:paraId="3974B847">
      <w:pPr>
        <w:bidi w:val="0"/>
        <w:rPr>
          <w:rFonts w:hint="default" w:ascii="Times New Roman" w:hAnsi="Times New Roman" w:cs="Times New Roman"/>
          <w:color w:val="000000" w:themeColor="text1"/>
          <w:lang w:val="en-US" w:eastAsia="zh-CN"/>
          <w14:textFill>
            <w14:solidFill>
              <w14:schemeClr w14:val="tx1"/>
            </w14:solidFill>
          </w14:textFill>
        </w:rPr>
      </w:pPr>
    </w:p>
    <w:p w14:paraId="704E66AC">
      <w:pPr>
        <w:bidi w:val="0"/>
        <w:rPr>
          <w:rFonts w:hint="default" w:ascii="Times New Roman" w:hAnsi="Times New Roman" w:cs="Times New Roman"/>
          <w:color w:val="000000" w:themeColor="text1"/>
          <w:lang w:val="en-US" w:eastAsia="zh-CN"/>
          <w14:textFill>
            <w14:solidFill>
              <w14:schemeClr w14:val="tx1"/>
            </w14:solidFill>
          </w14:textFill>
        </w:rPr>
      </w:pPr>
    </w:p>
    <w:p w14:paraId="17E368CD">
      <w:pPr>
        <w:bidi w:val="0"/>
        <w:rPr>
          <w:rFonts w:hint="default" w:ascii="Times New Roman" w:hAnsi="Times New Roman" w:cs="Times New Roman"/>
          <w:color w:val="000000" w:themeColor="text1"/>
          <w:lang w:val="en-US" w:eastAsia="zh-CN"/>
          <w14:textFill>
            <w14:solidFill>
              <w14:schemeClr w14:val="tx1"/>
            </w14:solidFill>
          </w14:textFill>
        </w:rPr>
      </w:pPr>
    </w:p>
    <w:p w14:paraId="09DCAAE3">
      <w:pPr>
        <w:bidi w:val="0"/>
        <w:rPr>
          <w:rFonts w:hint="default" w:ascii="Times New Roman" w:hAnsi="Times New Roman" w:cs="Times New Roman"/>
          <w:color w:val="000000" w:themeColor="text1"/>
          <w:lang w:val="en-US" w:eastAsia="zh-CN"/>
          <w14:textFill>
            <w14:solidFill>
              <w14:schemeClr w14:val="tx1"/>
            </w14:solidFill>
          </w14:textFill>
        </w:rPr>
      </w:pPr>
    </w:p>
    <w:p w14:paraId="09FD92EF">
      <w:pPr>
        <w:bidi w:val="0"/>
        <w:rPr>
          <w:rFonts w:hint="default" w:ascii="Times New Roman" w:hAnsi="Times New Roman" w:cs="Times New Roman"/>
          <w:color w:val="000000" w:themeColor="text1"/>
          <w:lang w:val="en-US" w:eastAsia="zh-CN"/>
          <w14:textFill>
            <w14:solidFill>
              <w14:schemeClr w14:val="tx1"/>
            </w14:solidFill>
          </w14:textFill>
        </w:rPr>
      </w:pPr>
    </w:p>
    <w:p w14:paraId="01E9EAF4">
      <w:pPr>
        <w:pStyle w:val="13"/>
        <w:rPr>
          <w:rFonts w:hint="default" w:ascii="Times New Roman" w:hAnsi="Times New Roman" w:cs="Times New Roman"/>
          <w:color w:val="000000" w:themeColor="text1"/>
          <w:lang w:val="en-US" w:eastAsia="zh-CN"/>
          <w14:textFill>
            <w14:solidFill>
              <w14:schemeClr w14:val="tx1"/>
            </w14:solidFill>
          </w14:textFill>
        </w:rPr>
      </w:pPr>
    </w:p>
    <w:p w14:paraId="5302FB03">
      <w:pPr>
        <w:pStyle w:val="14"/>
        <w:rPr>
          <w:rFonts w:hint="default" w:ascii="Times New Roman" w:hAnsi="Times New Roman" w:cs="Times New Roman"/>
          <w:color w:val="000000" w:themeColor="text1"/>
          <w:lang w:val="en-US" w:eastAsia="zh-CN"/>
          <w14:textFill>
            <w14:solidFill>
              <w14:schemeClr w14:val="tx1"/>
            </w14:solidFill>
          </w14:textFill>
        </w:rPr>
      </w:pPr>
    </w:p>
    <w:p w14:paraId="0ADBCF76">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供应商</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名称</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446032F8">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法定代表人</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或委托代理人</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567E7644">
      <w:pPr>
        <w:spacing w:before="20" w:after="120" w:line="360" w:lineRule="auto"/>
        <w:jc w:val="both"/>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5B93C190">
      <w:pPr>
        <w:bidi w:val="0"/>
        <w:jc w:val="left"/>
        <w:rPr>
          <w:rFonts w:hint="default" w:ascii="Times New Roman" w:hAnsi="Times New Roman" w:cs="Times New Roman"/>
          <w:color w:val="000000" w:themeColor="text1"/>
          <w:lang w:val="en-US" w:eastAsia="zh-CN"/>
          <w14:textFill>
            <w14:solidFill>
              <w14:schemeClr w14:val="tx1"/>
            </w14:solidFill>
          </w14:textFill>
        </w:rPr>
      </w:pPr>
    </w:p>
    <w:p w14:paraId="0E384799">
      <w:pPr>
        <w:bidi w:val="0"/>
        <w:ind w:firstLine="538" w:firstLineChars="0"/>
        <w:jc w:val="left"/>
        <w:rPr>
          <w:rFonts w:hint="default" w:ascii="Times New Roman" w:hAnsi="Times New Roman" w:cs="Times New Roman"/>
          <w:color w:val="000000" w:themeColor="text1"/>
          <w:lang w:val="en-US" w:eastAsia="zh-CN"/>
          <w14:textFill>
            <w14:solidFill>
              <w14:schemeClr w14:val="tx1"/>
            </w14:solidFill>
          </w14:textFill>
        </w:rPr>
      </w:pPr>
    </w:p>
    <w:p w14:paraId="436230D3">
      <w:pPr>
        <w:bidi w:val="0"/>
        <w:jc w:val="cente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4C3C5FAE">
      <w:pPr>
        <w:bidi w:val="0"/>
        <w:jc w:val="both"/>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3E04A28F">
      <w:pPr>
        <w:bidi w:val="0"/>
        <w:jc w:val="both"/>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373A92DD">
      <w:pPr>
        <w:bidi w:val="0"/>
        <w:jc w:val="cente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t>（</w:t>
      </w:r>
      <w: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t>3</w:t>
      </w:r>
      <w: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t>）具有履行合同所必需的设备和专业技术能力</w:t>
      </w:r>
    </w:p>
    <w:p w14:paraId="7DC555A9">
      <w:pPr>
        <w:ind w:firstLine="4176" w:firstLineChars="1300"/>
        <w:jc w:val="both"/>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t>（格式自拟）</w:t>
      </w:r>
    </w:p>
    <w:p w14:paraId="45B64A7A">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7F85C2B6">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7DD7474A">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0E660C30">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0DAFDE3C">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7E4EE48B">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593CE6A4">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3EBF5716">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6802ECCF">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71589C94">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0993D5D8">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354F5F4E">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46865CC0">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629DCC47">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32FCA695">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67200FAF">
      <w:pPr>
        <w:bidi w:val="0"/>
        <w:jc w:val="cente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346A9C35">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供应商</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名称</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48F00BBC">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法定代表人</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或委托代理人</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5215F207">
      <w:pPr>
        <w:spacing w:before="20" w:after="120" w:line="360" w:lineRule="auto"/>
        <w:jc w:val="both"/>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5643F176">
      <w:pPr>
        <w:bidi w:val="0"/>
        <w:jc w:val="both"/>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76F201CC">
      <w:pPr>
        <w:bidi w:val="0"/>
        <w:jc w:val="both"/>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p>
    <w:p w14:paraId="42B9B68B">
      <w:pPr>
        <w:numPr>
          <w:ilvl w:val="0"/>
          <w:numId w:val="0"/>
        </w:numPr>
        <w:bidi w:val="0"/>
        <w:ind w:firstLine="2570" w:firstLineChars="800"/>
        <w:jc w:val="both"/>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r>
        <w:rPr>
          <w:rFonts w:hint="default" w:ascii="Times New Roman" w:hAnsi="Times New Roman" w:cs="Times New Roman"/>
          <w:b/>
          <w:bCs/>
          <w:color w:val="000000" w:themeColor="text1"/>
          <w:kern w:val="2"/>
          <w:sz w:val="32"/>
          <w:szCs w:val="32"/>
          <w:lang w:val="zh-CN" w:eastAsia="zh-CN" w:bidi="ar-SA"/>
          <w14:textFill>
            <w14:solidFill>
              <w14:schemeClr w14:val="tx1"/>
            </w14:solidFill>
          </w14:textFill>
        </w:rPr>
        <w:t>（</w:t>
      </w:r>
      <w:r>
        <w:rPr>
          <w:rFonts w:hint="default" w:ascii="Times New Roman" w:hAnsi="Times New Roman" w:cs="Times New Roman"/>
          <w:b/>
          <w:bCs/>
          <w:color w:val="000000" w:themeColor="text1"/>
          <w:kern w:val="2"/>
          <w:sz w:val="32"/>
          <w:szCs w:val="32"/>
          <w:lang w:val="en-US" w:eastAsia="zh-CN" w:bidi="ar-SA"/>
          <w14:textFill>
            <w14:solidFill>
              <w14:schemeClr w14:val="tx1"/>
            </w14:solidFill>
          </w14:textFill>
        </w:rPr>
        <w:t>4</w:t>
      </w:r>
      <w:r>
        <w:rPr>
          <w:rFonts w:hint="default" w:ascii="Times New Roman" w:hAnsi="Times New Roman" w:cs="Times New Roman"/>
          <w:b/>
          <w:bCs/>
          <w:color w:val="000000" w:themeColor="text1"/>
          <w:kern w:val="2"/>
          <w:sz w:val="32"/>
          <w:szCs w:val="32"/>
          <w:lang w:val="zh-CN" w:eastAsia="zh-CN" w:bidi="ar-SA"/>
          <w14:textFill>
            <w14:solidFill>
              <w14:schemeClr w14:val="tx1"/>
            </w14:solidFill>
          </w14:textFill>
        </w:rPr>
        <w:t>）</w:t>
      </w:r>
      <w: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t>缴纳税收和社会保障资金记录</w:t>
      </w:r>
    </w:p>
    <w:p w14:paraId="53BFE2E1">
      <w:pPr>
        <w:pStyle w:val="16"/>
        <w:spacing w:line="360" w:lineRule="auto"/>
        <w:ind w:left="0" w:leftChars="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en-US" w:bidi="ar-SA"/>
          <w14:textFill>
            <w14:solidFill>
              <w14:schemeClr w14:val="tx1"/>
            </w14:solidFill>
          </w14:textFill>
        </w:rPr>
        <w:t>具有依法缴纳税收和社会保障资金的良好记录；（提供202</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5</w:t>
      </w:r>
      <w:r>
        <w:rPr>
          <w:rFonts w:hint="default" w:ascii="Times New Roman" w:hAnsi="Times New Roman" w:eastAsia="宋体" w:cs="Times New Roman"/>
          <w:color w:val="000000" w:themeColor="text1"/>
          <w:kern w:val="2"/>
          <w:sz w:val="24"/>
          <w:szCs w:val="24"/>
          <w:highlight w:val="none"/>
          <w:lang w:val="en-US" w:eastAsia="en-US" w:bidi="ar-SA"/>
          <w14:textFill>
            <w14:solidFill>
              <w14:schemeClr w14:val="tx1"/>
            </w14:solidFill>
          </w14:textFill>
        </w:rPr>
        <w:t>年1月至投标文件提交截止时间（税款所属时期）任意1个月的税务局税收通用缴款书复印件或银行电子缴税（费）凭证或税务局出具纳税情况的相关证明或具有依法缴纳税收的良好记录的承诺函及提供参加招标活动前段时间202</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5</w:t>
      </w:r>
      <w:r>
        <w:rPr>
          <w:rFonts w:hint="default" w:ascii="Times New Roman" w:hAnsi="Times New Roman" w:eastAsia="宋体" w:cs="Times New Roman"/>
          <w:color w:val="000000" w:themeColor="text1"/>
          <w:kern w:val="2"/>
          <w:sz w:val="24"/>
          <w:szCs w:val="24"/>
          <w:highlight w:val="none"/>
          <w:lang w:val="en-US" w:eastAsia="en-US" w:bidi="ar-SA"/>
          <w14:textFill>
            <w14:solidFill>
              <w14:schemeClr w14:val="tx1"/>
            </w14:solidFill>
          </w14:textFill>
        </w:rPr>
        <w:t>年1月至今任意连续 1个月的社会保险费缴款书复印件或银行电子缴税（费）凭证或社保管理部门出具的有效的缴款证明或具有依法缴纳社会保障资金的良好记录承诺函；依法免税或不需要缴纳社会保障资金的投标人，应提供相应文件证明其依法免税或不需要缴纳社会保障资金，成立未满3个月</w:t>
      </w:r>
      <w:r>
        <w:rPr>
          <w:rFonts w:hint="default" w:ascii="Times New Roman" w:hAnsi="Times New Roman" w:cs="Times New Roman"/>
          <w:color w:val="000000" w:themeColor="text1"/>
          <w:kern w:val="2"/>
          <w:sz w:val="24"/>
          <w:szCs w:val="24"/>
          <w:highlight w:val="none"/>
          <w:lang w:val="en-US" w:eastAsia="zh-CN" w:bidi="ar-SA"/>
          <w14:textFill>
            <w14:solidFill>
              <w14:schemeClr w14:val="tx1"/>
            </w14:solidFill>
          </w14:textFill>
        </w:rPr>
        <w:t>的</w:t>
      </w:r>
      <w:r>
        <w:rPr>
          <w:rFonts w:hint="default" w:ascii="Times New Roman" w:hAnsi="Times New Roman" w:eastAsia="宋体" w:cs="Times New Roman"/>
          <w:color w:val="000000" w:themeColor="text1"/>
          <w:kern w:val="2"/>
          <w:sz w:val="24"/>
          <w:szCs w:val="24"/>
          <w:highlight w:val="none"/>
          <w:lang w:val="en-US" w:eastAsia="en-US" w:bidi="ar-SA"/>
          <w14:textFill>
            <w14:solidFill>
              <w14:schemeClr w14:val="tx1"/>
            </w14:solidFill>
          </w14:textFill>
        </w:rPr>
        <w:t>提供成立以来的税收和社会保障资金缴纳凭证或相关情况说明）</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w:t>
      </w:r>
    </w:p>
    <w:p w14:paraId="627D5168">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19B2F993">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11BC8A72">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47C1D02A">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2094E6DF">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39F4069A">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2C2A22E5">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52FA049C">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77BFCF7F">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44D29063">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6840E098">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3C038FAE">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55758906">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7578BEE2">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19874E56">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4047C096">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1E01F903">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1E911130">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0801089D">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5D3CD9B6">
      <w:pPr>
        <w:pStyle w:val="16"/>
        <w:spacing w:line="360" w:lineRule="auto"/>
        <w:ind w:left="0" w:left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0B546435">
      <w:pPr>
        <w:bidi w:val="0"/>
        <w:ind w:left="643" w:hanging="643" w:hangingChars="200"/>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r>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t>（5）单位法人为同一人或存在控股、管理关系的不同单位，没有参加同一标段投标或者未划分标段的同一招标项目投标的承诺书</w:t>
      </w:r>
    </w:p>
    <w:p w14:paraId="7E99DAA7">
      <w:pPr>
        <w:bidi w:val="0"/>
        <w:ind w:firstLine="1928" w:firstLineChars="600"/>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441D6ACF">
      <w:pPr>
        <w:pStyle w:val="67"/>
        <w:ind w:firstLine="420"/>
        <w:rPr>
          <w:rFonts w:hint="default" w:ascii="Times New Roman" w:hAnsi="Times New Roman" w:eastAsia="宋体" w:cs="Times New Roman"/>
          <w:color w:val="000000" w:themeColor="text1"/>
          <w:kern w:val="2"/>
          <w:sz w:val="24"/>
          <w:szCs w:val="24"/>
          <w:highlight w:val="none"/>
          <w:u w:val="single"/>
          <w:lang w:val="en-US" w:eastAsia="zh-CN" w:bidi="ar-SA"/>
          <w14:textFill>
            <w14:solidFill>
              <w14:schemeClr w14:val="tx1"/>
            </w14:solidFill>
          </w14:textFill>
        </w:rPr>
      </w:pPr>
      <w:r>
        <w:rPr>
          <w:rFonts w:hint="default" w:ascii="Times New Roman" w:hAnsi="Times New Roman" w:cs="Times New Roman" w:eastAsiaTheme="minorEastAsia"/>
          <w:color w:val="000000" w:themeColor="text1"/>
          <w:kern w:val="1"/>
          <w:sz w:val="24"/>
          <w:szCs w:val="24"/>
          <w:highlight w:val="none"/>
          <w:lang w:val="en-US" w:eastAsia="zh-CN" w:bidi="ar-SA"/>
          <w14:textFill>
            <w14:solidFill>
              <w14:schemeClr w14:val="tx1"/>
            </w14:solidFill>
          </w14:textFill>
        </w:rPr>
        <w:t>致：</w:t>
      </w:r>
      <w:r>
        <w:rPr>
          <w:rFonts w:hint="default" w:ascii="Times New Roman" w:hAnsi="Times New Roman" w:cs="Times New Roman" w:eastAsiaTheme="minorEastAsia"/>
          <w:color w:val="000000" w:themeColor="text1"/>
          <w:kern w:val="1"/>
          <w:sz w:val="24"/>
          <w:szCs w:val="24"/>
          <w:highlight w:val="none"/>
          <w:u w:val="single"/>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u w:val="single"/>
          <w:lang w:val="en-US" w:eastAsia="zh-CN" w:bidi="ar-SA"/>
          <w14:textFill>
            <w14:solidFill>
              <w14:schemeClr w14:val="tx1"/>
            </w14:solidFill>
          </w14:textFill>
        </w:rPr>
        <w:t>（采购人名称）</w:t>
      </w:r>
      <w:r>
        <w:rPr>
          <w:rFonts w:hint="default" w:ascii="Times New Roman" w:hAnsi="Times New Roman" w:cs="Times New Roman" w:eastAsiaTheme="minorEastAsia"/>
          <w:color w:val="000000" w:themeColor="text1"/>
          <w:kern w:val="1"/>
          <w:sz w:val="24"/>
          <w:szCs w:val="24"/>
          <w:highlight w:val="none"/>
          <w:u w:val="single"/>
          <w:lang w:val="en-US" w:eastAsia="zh-CN" w:bidi="ar-SA"/>
          <w14:textFill>
            <w14:solidFill>
              <w14:schemeClr w14:val="tx1"/>
            </w14:solidFill>
          </w14:textFill>
        </w:rPr>
        <w:t xml:space="preserve">  </w:t>
      </w:r>
    </w:p>
    <w:p w14:paraId="7B58EA19">
      <w:pPr>
        <w:pStyle w:val="28"/>
        <w:wordWrap w:val="0"/>
        <w:spacing w:line="360" w:lineRule="auto"/>
        <w:ind w:firstLine="480" w:firstLineChars="20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我公司参加贵单位</w:t>
      </w:r>
      <w:r>
        <w:rPr>
          <w:rFonts w:hint="default" w:ascii="Times New Roman" w:hAnsi="Times New Roman" w:eastAsia="宋体" w:cs="Times New Roman"/>
          <w:color w:val="000000" w:themeColor="text1"/>
          <w:kern w:val="2"/>
          <w:sz w:val="24"/>
          <w:szCs w:val="24"/>
          <w:highlight w:val="none"/>
          <w:u w:val="single"/>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（项目名称）的磋商招标活动，现郑重承诺： 在参加本次招标活动中不存在单位法人为同一人或者存在控股、管理关系的不同单位，参加同一标段投标或者未划分标段的同一采购项目投标的情形， 本公司对上述承诺的真实性负责。 如有虚假，将依法承担相应责任。</w:t>
      </w:r>
    </w:p>
    <w:p w14:paraId="2596CAA3">
      <w:pPr>
        <w:pStyle w:val="28"/>
        <w:wordWrap w:val="0"/>
        <w:spacing w:line="360" w:lineRule="auto"/>
        <w:ind w:firstLine="480" w:firstLineChars="20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特此承诺！</w:t>
      </w:r>
    </w:p>
    <w:p w14:paraId="40755579">
      <w:pPr>
        <w:bidi w:val="0"/>
        <w:ind w:firstLine="1928" w:firstLineChars="600"/>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3983B7F2">
      <w:pPr>
        <w:bidi w:val="0"/>
        <w:ind w:firstLine="1928" w:firstLineChars="600"/>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51C04F2F">
      <w:pPr>
        <w:bidi w:val="0"/>
        <w:ind w:firstLine="1928" w:firstLineChars="600"/>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7ACCF288">
      <w:pPr>
        <w:bidi w:val="0"/>
        <w:ind w:firstLine="1928" w:firstLineChars="600"/>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721C8398">
      <w:pPr>
        <w:bidi w:val="0"/>
        <w:ind w:firstLine="1928" w:firstLineChars="600"/>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57BCBA22">
      <w:pPr>
        <w:bidi w:val="0"/>
        <w:ind w:firstLine="1928" w:firstLineChars="600"/>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097D44C0">
      <w:pPr>
        <w:bidi w:val="0"/>
        <w:ind w:firstLine="1928" w:firstLineChars="600"/>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56912C70">
      <w:pPr>
        <w:bidi w:val="0"/>
        <w:ind w:firstLine="1928" w:firstLineChars="600"/>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47BF61C1">
      <w:pPr>
        <w:bidi w:val="0"/>
        <w:ind w:firstLine="1928" w:firstLineChars="600"/>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37E43599">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供应商</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名称</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69A945DA">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法定代表人</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或委托代理人</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5A757C45">
      <w:pPr>
        <w:spacing w:before="20" w:after="120" w:line="360" w:lineRule="auto"/>
        <w:jc w:val="both"/>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4DDC1891">
      <w:pPr>
        <w:bidi w:val="0"/>
        <w:ind w:firstLine="1928" w:firstLineChars="600"/>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6699140A">
      <w:pPr>
        <w:bidi w:val="0"/>
        <w:ind w:firstLine="1928" w:firstLineChars="600"/>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p>
    <w:p w14:paraId="7BB51A85">
      <w:pPr>
        <w:bidi w:val="0"/>
        <w:ind w:firstLine="1928" w:firstLineChars="600"/>
        <w:rPr>
          <w:rFonts w:hint="default" w:ascii="Times New Roman" w:hAnsi="Times New Roman" w:eastAsia="宋体" w:cs="Times New Roman"/>
          <w:b/>
          <w:bCs/>
          <w:color w:val="000000" w:themeColor="text1"/>
          <w:kern w:val="2"/>
          <w:sz w:val="32"/>
          <w:szCs w:val="32"/>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t>（</w:t>
      </w:r>
      <w:r>
        <w:rPr>
          <w:rFonts w:hint="default" w:ascii="Times New Roman" w:hAnsi="Times New Roman" w:cs="Times New Roman"/>
          <w:b/>
          <w:bCs/>
          <w:color w:val="000000" w:themeColor="text1"/>
          <w:kern w:val="2"/>
          <w:sz w:val="32"/>
          <w:szCs w:val="32"/>
          <w:lang w:val="en-US" w:eastAsia="zh-CN" w:bidi="ar-SA"/>
          <w14:textFill>
            <w14:solidFill>
              <w14:schemeClr w14:val="tx1"/>
            </w14:solidFill>
          </w14:textFill>
        </w:rPr>
        <w:t>6</w:t>
      </w:r>
      <w: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t>）</w:t>
      </w:r>
      <w:r>
        <w:rPr>
          <w:rFonts w:hint="default" w:ascii="Times New Roman" w:hAnsi="Times New Roman" w:cs="Times New Roman"/>
          <w:b/>
          <w:bCs/>
          <w:color w:val="000000" w:themeColor="text1"/>
          <w:kern w:val="2"/>
          <w:sz w:val="32"/>
          <w:szCs w:val="32"/>
          <w:lang w:val="en-US" w:eastAsia="zh-CN" w:bidi="ar-SA"/>
          <w14:textFill>
            <w14:solidFill>
              <w14:schemeClr w14:val="tx1"/>
            </w14:solidFill>
          </w14:textFill>
        </w:rPr>
        <w:t>法律行政法规规定的其他条件</w:t>
      </w:r>
    </w:p>
    <w:p w14:paraId="24FC6947">
      <w:pPr>
        <w:ind w:firstLine="3534" w:firstLineChars="1100"/>
        <w:jc w:val="both"/>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pPr>
      <w:r>
        <w:rPr>
          <w:rFonts w:hint="default" w:ascii="Times New Roman" w:hAnsi="Times New Roman" w:eastAsia="宋体" w:cs="Times New Roman"/>
          <w:b/>
          <w:bCs/>
          <w:color w:val="000000" w:themeColor="text1"/>
          <w:kern w:val="2"/>
          <w:sz w:val="32"/>
          <w:szCs w:val="32"/>
          <w:lang w:val="zh-CN" w:eastAsia="zh-CN" w:bidi="ar-SA"/>
          <w14:textFill>
            <w14:solidFill>
              <w14:schemeClr w14:val="tx1"/>
            </w14:solidFill>
          </w14:textFill>
        </w:rPr>
        <w:t>（格式自拟）</w:t>
      </w:r>
    </w:p>
    <w:p w14:paraId="23CEB64D">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2ED8362F">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265BB816">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1905D15C">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4D798AE6">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33A1C2CC">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027D3C60">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569B494A">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4BBF8A1B">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78F2370F">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3DC2659D">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46AA845A">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633A2F41">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4509E6A0">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69CBA836">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07BDADC1">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7A8A7D2C">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1AA8B854">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21E7311C">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33D42D6E">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5E611635">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57046EC8">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3606D16F">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0EDBE1C0">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002C54A3">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26CD857C">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7E1BB240">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66798D06">
      <w:pPr>
        <w:pStyle w:val="5"/>
        <w:spacing w:before="0" w:after="0" w:line="360"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kern w:val="0"/>
          <w:sz w:val="28"/>
          <w:szCs w:val="28"/>
          <w:lang w:val="en-US" w:eastAsia="zh-CN"/>
          <w14:textFill>
            <w14:solidFill>
              <w14:schemeClr w14:val="tx1"/>
            </w14:solidFill>
          </w14:textFill>
        </w:rPr>
        <w:t>（五）</w:t>
      </w:r>
      <w:r>
        <w:rPr>
          <w:rFonts w:hint="default" w:ascii="Times New Roman" w:hAnsi="Times New Roman" w:eastAsia="宋体" w:cs="Times New Roman"/>
          <w:color w:val="000000" w:themeColor="text1"/>
          <w:kern w:val="0"/>
          <w:sz w:val="28"/>
          <w:szCs w:val="28"/>
          <w14:textFill>
            <w14:solidFill>
              <w14:schemeClr w14:val="tx1"/>
            </w14:solidFill>
          </w14:textFill>
        </w:rPr>
        <w:t>中小企业声明函</w:t>
      </w:r>
    </w:p>
    <w:p w14:paraId="59E629BE">
      <w:pPr>
        <w:pStyle w:val="57"/>
        <w:ind w:firstLine="42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本公司（联合体）郑重声明，根据《政府采购促进中小 企业发展管理办法》（财库﹝2020﹞46 号）的规定，本公司 （联合体）参加</w:t>
      </w:r>
      <w:r>
        <w:rPr>
          <w:rFonts w:hint="default" w:ascii="Times New Roman" w:hAnsi="Times New Roman" w:cs="Times New Roman"/>
          <w:color w:val="000000" w:themeColor="text1"/>
          <w:kern w:val="2"/>
          <w:sz w:val="24"/>
          <w:szCs w:val="24"/>
          <w:highlight w:val="none"/>
          <w:u w:val="single"/>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（单位名称）的</w:t>
      </w:r>
      <w:r>
        <w:rPr>
          <w:rFonts w:hint="default" w:ascii="Times New Roman" w:hAnsi="Times New Roman" w:cs="Times New Roman"/>
          <w:color w:val="000000" w:themeColor="text1"/>
          <w:kern w:val="2"/>
          <w:sz w:val="24"/>
          <w:szCs w:val="24"/>
          <w:highlight w:val="none"/>
          <w:u w:val="single"/>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（项目名称）采购活动，工程的施工单位全部为符合政策要求的中小企业（或者：服务 全部由符合政策要求的中小企业承接）。相关企业（含联合体中的中小企业、签订分包意向协议的中小企业）的具体情况如下：</w:t>
      </w:r>
    </w:p>
    <w:p w14:paraId="6DF9451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eastAsiaTheme="minorEastAsia"/>
          <w:b w:val="0"/>
          <w:color w:val="000000" w:themeColor="text1"/>
          <w:kern w:val="0"/>
          <w:sz w:val="24"/>
          <w:szCs w:val="24"/>
          <w:highlight w:val="none"/>
          <w:u w:val="none"/>
          <w:lang w:val="en-US" w:eastAsia="zh-CN" w:bidi="ar-SA"/>
          <w14:textFill>
            <w14:solidFill>
              <w14:schemeClr w14:val="tx1"/>
            </w14:solidFill>
          </w14:textFill>
        </w:rPr>
        <w:t>1.</w:t>
      </w:r>
      <w:r>
        <w:rPr>
          <w:rFonts w:hint="default" w:ascii="Times New Roman" w:hAnsi="Times New Roman" w:cs="Times New Roman" w:eastAsiaTheme="minorEastAsia"/>
          <w:b w:val="0"/>
          <w:color w:val="000000" w:themeColor="text1"/>
          <w:kern w:val="0"/>
          <w:sz w:val="24"/>
          <w:szCs w:val="24"/>
          <w:highlight w:val="none"/>
          <w:u w:val="single"/>
          <w:lang w:val="en-US" w:eastAsia="zh-CN" w:bidi="ar-SA"/>
          <w14:textFill>
            <w14:solidFill>
              <w14:schemeClr w14:val="tx1"/>
            </w14:solidFill>
          </w14:textFill>
        </w:rPr>
        <w:t xml:space="preserve">                 项目名称</w:t>
      </w:r>
      <w:r>
        <w:rPr>
          <w:rFonts w:hint="default"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属于</w:t>
      </w:r>
      <w:r>
        <w:rPr>
          <w:rFonts w:hint="default" w:ascii="Times New Roman" w:hAnsi="Times New Roman"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u w:val="none"/>
          <w:lang w:val="en-US" w:eastAsia="zh-CN"/>
          <w14:textFill>
            <w14:solidFill>
              <w14:schemeClr w14:val="tx1"/>
            </w14:solidFill>
          </w14:textFill>
        </w:rPr>
        <w:t>行业</w:t>
      </w:r>
      <w:r>
        <w:rPr>
          <w:rFonts w:hint="default" w:ascii="Times New Roman" w:hAnsi="Times New Roman" w:eastAsia="宋体" w:cs="Times New Roman"/>
          <w:color w:val="000000" w:themeColor="text1"/>
          <w:sz w:val="24"/>
          <w:szCs w:val="24"/>
          <w:highlight w:val="none"/>
          <w:u w:val="none"/>
          <w14:textFill>
            <w14:solidFill>
              <w14:schemeClr w14:val="tx1"/>
            </w14:solidFill>
          </w14:textFill>
        </w:rPr>
        <w:t>承建</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（承接）企业为</w:t>
      </w:r>
      <w:r>
        <w:rPr>
          <w:rFonts w:hint="default" w:ascii="Times New Roman" w:hAnsi="Times New Roman" w:eastAsia="宋体" w:cs="Times New Roman"/>
          <w:color w:val="000000" w:themeColor="text1"/>
          <w:kern w:val="2"/>
          <w:sz w:val="24"/>
          <w:szCs w:val="24"/>
          <w:highlight w:val="none"/>
          <w:u w:val="single"/>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（单位名称），从业人员</w:t>
      </w:r>
      <w:r>
        <w:rPr>
          <w:rFonts w:hint="default" w:ascii="Times New Roman" w:hAnsi="Times New Roman" w:eastAsia="宋体" w:cs="Times New Roman"/>
          <w:color w:val="000000" w:themeColor="text1"/>
          <w:kern w:val="2"/>
          <w:sz w:val="24"/>
          <w:szCs w:val="24"/>
          <w:highlight w:val="none"/>
          <w:u w:val="single"/>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人，营业收入为</w:t>
      </w:r>
      <w:r>
        <w:rPr>
          <w:rFonts w:hint="default" w:ascii="Times New Roman" w:hAnsi="Times New Roman" w:eastAsia="宋体" w:cs="Times New Roman"/>
          <w:color w:val="000000" w:themeColor="text1"/>
          <w:kern w:val="2"/>
          <w:sz w:val="24"/>
          <w:szCs w:val="24"/>
          <w:highlight w:val="none"/>
          <w:u w:val="single"/>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万元，资产总额为</w:t>
      </w:r>
      <w:r>
        <w:rPr>
          <w:rFonts w:hint="default" w:ascii="Times New Roman" w:hAnsi="Times New Roman" w:eastAsia="宋体" w:cs="Times New Roman"/>
          <w:color w:val="000000" w:themeColor="text1"/>
          <w:kern w:val="2"/>
          <w:sz w:val="24"/>
          <w:szCs w:val="24"/>
          <w:highlight w:val="none"/>
          <w:u w:val="single"/>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万元，属于</w:t>
      </w:r>
      <w:r>
        <w:rPr>
          <w:rFonts w:hint="default" w:ascii="Times New Roman" w:hAnsi="Times New Roman" w:eastAsia="宋体" w:cs="Times New Roman"/>
          <w:color w:val="000000" w:themeColor="text1"/>
          <w:kern w:val="2"/>
          <w:sz w:val="24"/>
          <w:szCs w:val="24"/>
          <w:highlight w:val="none"/>
          <w:u w:val="single"/>
          <w:lang w:val="en-US" w:eastAsia="zh-CN" w:bidi="ar-SA"/>
          <w14:textFill>
            <w14:solidFill>
              <w14:schemeClr w14:val="tx1"/>
            </w14:solidFill>
          </w14:textFill>
        </w:rPr>
        <w:t xml:space="preserve">        </w:t>
      </w:r>
      <w:r>
        <w:rPr>
          <w:rFonts w:hint="default" w:ascii="Times New Roman" w:hAnsi="Times New Roman" w:cs="Times New Roman"/>
          <w:color w:val="000000" w:themeColor="text1"/>
          <w:kern w:val="2"/>
          <w:sz w:val="24"/>
          <w:szCs w:val="24"/>
          <w:highlight w:val="none"/>
          <w:u w:val="single"/>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u w:val="single"/>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（中型企业、 小型企业、微型企业）；</w:t>
      </w:r>
      <w:r>
        <w:rPr>
          <w:rFonts w:hint="default" w:ascii="Times New Roman" w:hAnsi="Times New Roman" w:cs="Times New Roman"/>
          <w:color w:val="000000" w:themeColor="text1"/>
          <w:sz w:val="21"/>
          <w:szCs w:val="21"/>
          <w14:textFill>
            <w14:solidFill>
              <w14:schemeClr w14:val="tx1"/>
            </w14:solidFill>
          </w14:textFill>
        </w:rPr>
        <w:t xml:space="preserve"> </w:t>
      </w:r>
    </w:p>
    <w:p w14:paraId="392D8CC9">
      <w:pPr>
        <w:spacing w:line="360" w:lineRule="auto"/>
        <w:ind w:firstLine="480" w:firstLineChars="20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kern w:val="2"/>
          <w:sz w:val="24"/>
          <w:szCs w:val="24"/>
          <w:highlight w:val="none"/>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 xml:space="preserve">以上企业，不属于大企业的分支机构，不存在控股股东 为大企业的情形，也不存在与大企业的负责人为同一人的情形。 </w:t>
      </w:r>
    </w:p>
    <w:p w14:paraId="7283C843">
      <w:pPr>
        <w:spacing w:line="360" w:lineRule="auto"/>
        <w:ind w:firstLine="480" w:firstLineChars="20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 xml:space="preserve">2.本企业对上述声明内容的真实性负责。如有虚假，将依法承担相应责任。 </w:t>
      </w:r>
    </w:p>
    <w:p w14:paraId="66F3E420">
      <w:pPr>
        <w:spacing w:line="360" w:lineRule="auto"/>
        <w:ind w:firstLine="480" w:firstLineChars="20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3.注：若不为中、小、微企业的不需填写。</w:t>
      </w:r>
    </w:p>
    <w:p w14:paraId="2B7BAC96">
      <w:pPr>
        <w:spacing w:line="360" w:lineRule="auto"/>
        <w:ind w:firstLine="480" w:firstLineChars="20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p>
    <w:p w14:paraId="34323E29">
      <w:pPr>
        <w:spacing w:line="360" w:lineRule="auto"/>
        <w:ind w:firstLine="420" w:firstLineChars="200"/>
        <w:rPr>
          <w:rFonts w:hint="default" w:ascii="Times New Roman" w:hAnsi="Times New Roman" w:cs="Times New Roman"/>
          <w:color w:val="000000" w:themeColor="text1"/>
          <w:sz w:val="21"/>
          <w:szCs w:val="21"/>
          <w14:textFill>
            <w14:solidFill>
              <w14:schemeClr w14:val="tx1"/>
            </w14:solidFill>
          </w14:textFill>
        </w:rPr>
      </w:pPr>
    </w:p>
    <w:p w14:paraId="57DD402D">
      <w:pPr>
        <w:spacing w:line="360" w:lineRule="auto"/>
        <w:ind w:firstLine="420" w:firstLineChars="200"/>
        <w:rPr>
          <w:rFonts w:hint="default" w:ascii="Times New Roman" w:hAnsi="Times New Roman" w:cs="Times New Roman"/>
          <w:color w:val="000000" w:themeColor="text1"/>
          <w:sz w:val="21"/>
          <w:szCs w:val="21"/>
          <w14:textFill>
            <w14:solidFill>
              <w14:schemeClr w14:val="tx1"/>
            </w14:solidFill>
          </w14:textFill>
        </w:rPr>
      </w:pPr>
    </w:p>
    <w:p w14:paraId="60775BA4">
      <w:pPr>
        <w:spacing w:line="360" w:lineRule="auto"/>
        <w:ind w:firstLine="420" w:firstLineChars="200"/>
        <w:rPr>
          <w:rFonts w:hint="default" w:ascii="Times New Roman" w:hAnsi="Times New Roman" w:cs="Times New Roman"/>
          <w:color w:val="000000" w:themeColor="text1"/>
          <w:sz w:val="21"/>
          <w:szCs w:val="21"/>
          <w14:textFill>
            <w14:solidFill>
              <w14:schemeClr w14:val="tx1"/>
            </w14:solidFill>
          </w14:textFill>
        </w:rPr>
      </w:pPr>
    </w:p>
    <w:p w14:paraId="350E9291">
      <w:pPr>
        <w:spacing w:line="360" w:lineRule="auto"/>
        <w:rPr>
          <w:rFonts w:hint="default" w:ascii="Times New Roman" w:hAnsi="Times New Roman" w:cs="Times New Roman"/>
          <w:color w:val="000000" w:themeColor="text1"/>
          <w14:textFill>
            <w14:solidFill>
              <w14:schemeClr w14:val="tx1"/>
            </w14:solidFill>
          </w14:textFill>
        </w:rPr>
      </w:pPr>
    </w:p>
    <w:p w14:paraId="05C4D473">
      <w:pPr>
        <w:spacing w:line="360" w:lineRule="auto"/>
        <w:rPr>
          <w:rFonts w:hint="default" w:ascii="Times New Roman" w:hAnsi="Times New Roman" w:cs="Times New Roman"/>
          <w:color w:val="000000" w:themeColor="text1"/>
          <w14:textFill>
            <w14:solidFill>
              <w14:schemeClr w14:val="tx1"/>
            </w14:solidFill>
          </w14:textFill>
        </w:rPr>
      </w:pPr>
    </w:p>
    <w:p w14:paraId="2B21F36F">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p>
    <w:p w14:paraId="59490298">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p>
    <w:p w14:paraId="3506C674">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p>
    <w:p w14:paraId="377DD3B3">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p>
    <w:p w14:paraId="4BD1B1F1">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供应商</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名称</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68E6F676">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法定代表人</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或委托代理人</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29DEE42C">
      <w:pPr>
        <w:spacing w:before="20" w:after="120" w:line="360" w:lineRule="auto"/>
        <w:ind w:firstLine="420" w:firstLineChars="200"/>
        <w:jc w:val="both"/>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4BF9B4E8">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4B07227E">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6298F19A">
      <w:pPr>
        <w:pStyle w:val="5"/>
        <w:spacing w:before="0" w:after="0" w:line="360" w:lineRule="auto"/>
        <w:jc w:val="center"/>
        <w:rPr>
          <w:rStyle w:val="45"/>
          <w:rFonts w:hint="default" w:ascii="Times New Roman" w:hAnsi="Times New Roman" w:eastAsia="宋体" w:cs="Times New Roman"/>
          <w:b/>
          <w:color w:val="000000" w:themeColor="text1"/>
          <w:sz w:val="32"/>
          <w:szCs w:val="21"/>
          <w:lang w:eastAsia="zh-CN"/>
          <w14:textFill>
            <w14:solidFill>
              <w14:schemeClr w14:val="tx1"/>
            </w14:solidFill>
          </w14:textFill>
        </w:rPr>
      </w:pPr>
      <w:r>
        <w:rPr>
          <w:rFonts w:hint="default" w:ascii="Times New Roman" w:hAnsi="Times New Roman" w:eastAsia="宋体" w:cs="Times New Roman"/>
          <w:color w:val="000000" w:themeColor="text1"/>
          <w:kern w:val="0"/>
          <w:sz w:val="28"/>
          <w:szCs w:val="28"/>
          <w:lang w:val="en-US" w:eastAsia="zh-CN"/>
          <w14:textFill>
            <w14:solidFill>
              <w14:schemeClr w14:val="tx1"/>
            </w14:solidFill>
          </w14:textFill>
        </w:rPr>
        <w:t>（六）</w:t>
      </w:r>
      <w:r>
        <w:rPr>
          <w:rFonts w:hint="default" w:ascii="Times New Roman" w:hAnsi="Times New Roman" w:eastAsia="宋体" w:cs="Times New Roman"/>
          <w:color w:val="000000" w:themeColor="text1"/>
          <w:kern w:val="0"/>
          <w:sz w:val="28"/>
          <w:szCs w:val="28"/>
          <w14:textFill>
            <w14:solidFill>
              <w14:schemeClr w14:val="tx1"/>
            </w14:solidFill>
          </w14:textFill>
        </w:rPr>
        <w:t>残疾人福利性单位声明函</w:t>
      </w:r>
      <w:r>
        <w:rPr>
          <w:rFonts w:hint="default" w:ascii="Times New Roman" w:hAnsi="Times New Roman" w:eastAsia="宋体" w:cs="Times New Roman"/>
          <w:color w:val="000000" w:themeColor="text1"/>
          <w:kern w:val="0"/>
          <w:sz w:val="28"/>
          <w:szCs w:val="28"/>
          <w:lang w:eastAsia="zh-CN"/>
          <w14:textFill>
            <w14:solidFill>
              <w14:schemeClr w14:val="tx1"/>
            </w14:solidFill>
          </w14:textFill>
        </w:rPr>
        <w:t>（</w:t>
      </w:r>
      <w:r>
        <w:rPr>
          <w:rFonts w:hint="default" w:ascii="Times New Roman" w:hAnsi="Times New Roman" w:eastAsia="宋体" w:cs="Times New Roman"/>
          <w:color w:val="000000" w:themeColor="text1"/>
          <w:kern w:val="0"/>
          <w:sz w:val="28"/>
          <w:szCs w:val="28"/>
          <w:lang w:val="en-US" w:eastAsia="zh-CN"/>
          <w14:textFill>
            <w14:solidFill>
              <w14:schemeClr w14:val="tx1"/>
            </w14:solidFill>
          </w14:textFill>
        </w:rPr>
        <w:t>如有</w:t>
      </w:r>
      <w:r>
        <w:rPr>
          <w:rFonts w:hint="default" w:ascii="Times New Roman" w:hAnsi="Times New Roman" w:eastAsia="宋体" w:cs="Times New Roman"/>
          <w:color w:val="000000" w:themeColor="text1"/>
          <w:kern w:val="0"/>
          <w:sz w:val="28"/>
          <w:szCs w:val="28"/>
          <w:lang w:eastAsia="zh-CN"/>
          <w14:textFill>
            <w14:solidFill>
              <w14:schemeClr w14:val="tx1"/>
            </w14:solidFill>
          </w14:textFill>
        </w:rPr>
        <w:t>）</w:t>
      </w:r>
    </w:p>
    <w:p w14:paraId="14837260">
      <w:pPr>
        <w:tabs>
          <w:tab w:val="left" w:pos="4860"/>
        </w:tabs>
        <w:spacing w:line="360" w:lineRule="auto"/>
        <w:ind w:firstLine="444" w:firstLineChars="200"/>
        <w:rPr>
          <w:rFonts w:hint="default" w:ascii="Times New Roman" w:hAnsi="Times New Roman" w:cs="Times New Roman"/>
          <w:color w:val="000000" w:themeColor="text1"/>
          <w:spacing w:val="6"/>
          <w:sz w:val="21"/>
          <w:szCs w:val="21"/>
          <w14:textFill>
            <w14:solidFill>
              <w14:schemeClr w14:val="tx1"/>
            </w14:solidFill>
          </w14:textFill>
        </w:rPr>
      </w:pPr>
    </w:p>
    <w:p w14:paraId="64CE1252">
      <w:pPr>
        <w:tabs>
          <w:tab w:val="left" w:pos="4860"/>
        </w:tabs>
        <w:spacing w:line="360" w:lineRule="auto"/>
        <w:ind w:firstLine="480" w:firstLineChars="20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本单位郑重声明，根据《财政部民政部中国残疾人联合会关于促进残疾人就业政府采购政策的通知》（财库</w:t>
      </w:r>
      <w:r>
        <w:rPr>
          <w:rFonts w:hint="default" w:ascii="Times New Roman" w:hAnsi="Times New Roman" w:cs="Times New Roman"/>
          <w:color w:val="000000" w:themeColor="text1"/>
          <w:kern w:val="2"/>
          <w:sz w:val="24"/>
          <w:szCs w:val="24"/>
          <w:highlight w:val="none"/>
          <w:lang w:val="en-US" w:eastAsia="zh-CN" w:bidi="ar-SA"/>
          <w14:textFill>
            <w14:solidFill>
              <w14:schemeClr w14:val="tx1"/>
            </w14:solidFill>
          </w14:textFill>
        </w:rPr>
        <w:t>〔2017〕141号</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）的规定，本单位为符合条件的残疾人福利性单位，且本单位参加</w:t>
      </w:r>
      <w:r>
        <w:rPr>
          <w:rFonts w:hint="default" w:ascii="Times New Roman" w:hAnsi="Times New Roman" w:cs="Times New Roman"/>
          <w:color w:val="000000" w:themeColor="text1"/>
          <w:kern w:val="2"/>
          <w:sz w:val="24"/>
          <w:szCs w:val="24"/>
          <w:highlight w:val="none"/>
          <w:u w:val="single"/>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单位的</w:t>
      </w:r>
      <w:r>
        <w:rPr>
          <w:rFonts w:hint="default" w:ascii="Times New Roman" w:hAnsi="Times New Roman" w:cs="Times New Roman"/>
          <w:color w:val="000000" w:themeColor="text1"/>
          <w:spacing w:val="6"/>
          <w:sz w:val="21"/>
          <w:szCs w:val="21"/>
          <w:u w:val="single"/>
          <w:lang w:val="en-US" w:eastAsia="zh-CN"/>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项目采购活动由本单位承担工程/提供服务，或者提供其他残疾人福利性单位制造的货物（不包括使用非残疾人福利性单位注册商标的货物）。本单位对上述声明的真实性负责。如有虚假，将依法承担相应责任。</w:t>
      </w:r>
    </w:p>
    <w:p w14:paraId="426B838D">
      <w:pPr>
        <w:spacing w:line="360" w:lineRule="auto"/>
        <w:rPr>
          <w:rFonts w:hint="default" w:ascii="Times New Roman" w:hAnsi="Times New Roman" w:cs="Times New Roman"/>
          <w:color w:val="000000" w:themeColor="text1"/>
          <w14:textFill>
            <w14:solidFill>
              <w14:schemeClr w14:val="tx1"/>
            </w14:solidFill>
          </w14:textFill>
        </w:rPr>
      </w:pPr>
    </w:p>
    <w:p w14:paraId="3447918E">
      <w:pPr>
        <w:spacing w:line="360" w:lineRule="auto"/>
        <w:rPr>
          <w:rFonts w:hint="default" w:ascii="Times New Roman" w:hAnsi="Times New Roman" w:cs="Times New Roman"/>
          <w:color w:val="000000" w:themeColor="text1"/>
          <w14:textFill>
            <w14:solidFill>
              <w14:schemeClr w14:val="tx1"/>
            </w14:solidFill>
          </w14:textFill>
        </w:rPr>
      </w:pPr>
    </w:p>
    <w:p w14:paraId="58E8D5A1">
      <w:pPr>
        <w:spacing w:line="360" w:lineRule="auto"/>
        <w:rPr>
          <w:rFonts w:hint="default" w:ascii="Times New Roman" w:hAnsi="Times New Roman" w:cs="Times New Roman"/>
          <w:color w:val="000000" w:themeColor="text1"/>
          <w14:textFill>
            <w14:solidFill>
              <w14:schemeClr w14:val="tx1"/>
            </w14:solidFill>
          </w14:textFill>
        </w:rPr>
      </w:pPr>
    </w:p>
    <w:p w14:paraId="7FE07C55">
      <w:pPr>
        <w:spacing w:line="360" w:lineRule="auto"/>
        <w:rPr>
          <w:rFonts w:hint="default" w:ascii="Times New Roman" w:hAnsi="Times New Roman" w:cs="Times New Roman"/>
          <w:color w:val="000000" w:themeColor="text1"/>
          <w14:textFill>
            <w14:solidFill>
              <w14:schemeClr w14:val="tx1"/>
            </w14:solidFill>
          </w14:textFill>
        </w:rPr>
      </w:pPr>
    </w:p>
    <w:p w14:paraId="7CFCE4BF">
      <w:pPr>
        <w:spacing w:line="360" w:lineRule="auto"/>
        <w:rPr>
          <w:rFonts w:hint="default" w:ascii="Times New Roman" w:hAnsi="Times New Roman" w:cs="Times New Roman"/>
          <w:color w:val="000000" w:themeColor="text1"/>
          <w14:textFill>
            <w14:solidFill>
              <w14:schemeClr w14:val="tx1"/>
            </w14:solidFill>
          </w14:textFill>
        </w:rPr>
      </w:pPr>
    </w:p>
    <w:p w14:paraId="468FF6AD">
      <w:pPr>
        <w:spacing w:line="360" w:lineRule="auto"/>
        <w:rPr>
          <w:rFonts w:hint="default" w:ascii="Times New Roman" w:hAnsi="Times New Roman" w:cs="Times New Roman"/>
          <w:color w:val="000000" w:themeColor="text1"/>
          <w14:textFill>
            <w14:solidFill>
              <w14:schemeClr w14:val="tx1"/>
            </w14:solidFill>
          </w14:textFill>
        </w:rPr>
      </w:pPr>
    </w:p>
    <w:p w14:paraId="51E0D2A9">
      <w:pPr>
        <w:spacing w:line="360" w:lineRule="auto"/>
        <w:rPr>
          <w:rFonts w:hint="default" w:ascii="Times New Roman" w:hAnsi="Times New Roman" w:cs="Times New Roman"/>
          <w:color w:val="000000" w:themeColor="text1"/>
          <w14:textFill>
            <w14:solidFill>
              <w14:schemeClr w14:val="tx1"/>
            </w14:solidFill>
          </w14:textFill>
        </w:rPr>
      </w:pPr>
    </w:p>
    <w:p w14:paraId="78D16349">
      <w:pPr>
        <w:spacing w:line="360" w:lineRule="auto"/>
        <w:rPr>
          <w:rFonts w:hint="default" w:ascii="Times New Roman" w:hAnsi="Times New Roman" w:cs="Times New Roman"/>
          <w:color w:val="000000" w:themeColor="text1"/>
          <w14:textFill>
            <w14:solidFill>
              <w14:schemeClr w14:val="tx1"/>
            </w14:solidFill>
          </w14:textFill>
        </w:rPr>
      </w:pPr>
    </w:p>
    <w:p w14:paraId="035FFA02">
      <w:pPr>
        <w:spacing w:line="360" w:lineRule="auto"/>
        <w:rPr>
          <w:rFonts w:hint="default" w:ascii="Times New Roman" w:hAnsi="Times New Roman" w:cs="Times New Roman"/>
          <w:color w:val="000000" w:themeColor="text1"/>
          <w14:textFill>
            <w14:solidFill>
              <w14:schemeClr w14:val="tx1"/>
            </w14:solidFill>
          </w14:textFill>
        </w:rPr>
      </w:pPr>
    </w:p>
    <w:p w14:paraId="312007BD">
      <w:pPr>
        <w:spacing w:line="360" w:lineRule="auto"/>
        <w:rPr>
          <w:rFonts w:hint="default" w:ascii="Times New Roman" w:hAnsi="Times New Roman" w:cs="Times New Roman"/>
          <w:color w:val="000000" w:themeColor="text1"/>
          <w14:textFill>
            <w14:solidFill>
              <w14:schemeClr w14:val="tx1"/>
            </w14:solidFill>
          </w14:textFill>
        </w:rPr>
      </w:pPr>
    </w:p>
    <w:p w14:paraId="0E390FA4">
      <w:pPr>
        <w:spacing w:line="360" w:lineRule="auto"/>
        <w:rPr>
          <w:rFonts w:hint="default" w:ascii="Times New Roman" w:hAnsi="Times New Roman" w:cs="Times New Roman"/>
          <w:color w:val="000000" w:themeColor="text1"/>
          <w14:textFill>
            <w14:solidFill>
              <w14:schemeClr w14:val="tx1"/>
            </w14:solidFill>
          </w14:textFill>
        </w:rPr>
      </w:pPr>
    </w:p>
    <w:p w14:paraId="6D5966BD">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lang w:eastAsia="zh-CN"/>
          <w14:textFill>
            <w14:solidFill>
              <w14:schemeClr w14:val="tx1"/>
            </w14:solidFill>
          </w14:textFill>
        </w:rPr>
        <w:t>供</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应商</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名称</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17AEB8DD">
      <w:pPr>
        <w:spacing w:line="360" w:lineRule="auto"/>
        <w:ind w:firstLine="420" w:firstLineChars="200"/>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法定代表人</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或委托代理人</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76499965">
      <w:pPr>
        <w:spacing w:before="20" w:after="120" w:line="360" w:lineRule="auto"/>
        <w:ind w:firstLine="420" w:firstLineChars="200"/>
        <w:jc w:val="both"/>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154D7D6B">
      <w:pPr>
        <w:spacing w:before="20" w:after="120" w:line="360" w:lineRule="auto"/>
        <w:jc w:val="both"/>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p>
    <w:p w14:paraId="22FBDBA2">
      <w:pPr>
        <w:tabs>
          <w:tab w:val="left" w:pos="4860"/>
        </w:tabs>
        <w:spacing w:line="360" w:lineRule="auto"/>
        <w:ind w:firstLine="504" w:firstLineChars="200"/>
        <w:rPr>
          <w:rFonts w:hint="default" w:ascii="Times New Roman" w:hAnsi="Times New Roman" w:eastAsia="宋体" w:cs="Times New Roman"/>
          <w:color w:val="000000" w:themeColor="text1"/>
          <w:spacing w:val="6"/>
          <w:sz w:val="24"/>
          <w:szCs w:val="24"/>
          <w:lang w:eastAsia="zh-CN"/>
          <w14:textFill>
            <w14:solidFill>
              <w14:schemeClr w14:val="tx1"/>
            </w14:solidFill>
          </w14:textFill>
        </w:rPr>
      </w:pPr>
      <w:r>
        <w:rPr>
          <w:rFonts w:hint="default" w:ascii="Times New Roman" w:hAnsi="Times New Roman" w:eastAsia="宋体" w:cs="Times New Roman"/>
          <w:color w:val="000000" w:themeColor="text1"/>
          <w:spacing w:val="6"/>
          <w:sz w:val="24"/>
          <w:szCs w:val="24"/>
          <w14:textFill>
            <w14:solidFill>
              <w14:schemeClr w14:val="tx1"/>
            </w14:solidFill>
          </w14:textFill>
        </w:rPr>
        <w:t>注：若不为“残疾人福利性单位”</w:t>
      </w:r>
      <w:r>
        <w:rPr>
          <w:rFonts w:hint="default" w:ascii="Times New Roman" w:hAnsi="Times New Roman" w:eastAsia="宋体" w:cs="Times New Roman"/>
          <w:color w:val="000000" w:themeColor="text1"/>
          <w:spacing w:val="6"/>
          <w:sz w:val="24"/>
          <w:szCs w:val="24"/>
          <w:lang w:val="en-US" w:eastAsia="zh-CN"/>
          <w14:textFill>
            <w14:solidFill>
              <w14:schemeClr w14:val="tx1"/>
            </w14:solidFill>
          </w14:textFill>
        </w:rPr>
        <w:t>可不填写以上内容</w:t>
      </w:r>
    </w:p>
    <w:p w14:paraId="314D3DAE">
      <w:pPr>
        <w:tabs>
          <w:tab w:val="left" w:pos="4860"/>
        </w:tabs>
        <w:spacing w:line="360" w:lineRule="auto"/>
        <w:ind w:firstLine="444" w:firstLineChars="200"/>
        <w:rPr>
          <w:rFonts w:hint="default" w:ascii="Times New Roman" w:hAnsi="Times New Roman" w:cs="Times New Roman"/>
          <w:color w:val="000000" w:themeColor="text1"/>
          <w:spacing w:val="6"/>
          <w:sz w:val="21"/>
          <w:szCs w:val="21"/>
          <w14:textFill>
            <w14:solidFill>
              <w14:schemeClr w14:val="tx1"/>
            </w14:solidFill>
          </w14:textFill>
        </w:rPr>
      </w:pPr>
    </w:p>
    <w:p w14:paraId="5715608C">
      <w:pPr>
        <w:pStyle w:val="10"/>
        <w:spacing w:line="360" w:lineRule="auto"/>
        <w:rPr>
          <w:rFonts w:hint="default" w:ascii="Times New Roman" w:hAnsi="Times New Roman" w:cs="Times New Roman"/>
          <w:color w:val="000000" w:themeColor="text1"/>
          <w:spacing w:val="6"/>
          <w:sz w:val="18"/>
          <w:szCs w:val="21"/>
          <w14:textFill>
            <w14:solidFill>
              <w14:schemeClr w14:val="tx1"/>
            </w14:solidFill>
          </w14:textFill>
        </w:rPr>
      </w:pPr>
    </w:p>
    <w:p w14:paraId="7393B746">
      <w:pPr>
        <w:pStyle w:val="10"/>
        <w:spacing w:line="360" w:lineRule="auto"/>
        <w:rPr>
          <w:rFonts w:hint="default" w:ascii="Times New Roman" w:hAnsi="Times New Roman" w:cs="Times New Roman"/>
          <w:color w:val="000000" w:themeColor="text1"/>
          <w:spacing w:val="6"/>
          <w:sz w:val="18"/>
          <w:szCs w:val="21"/>
          <w14:textFill>
            <w14:solidFill>
              <w14:schemeClr w14:val="tx1"/>
            </w14:solidFill>
          </w14:textFill>
        </w:rPr>
      </w:pPr>
    </w:p>
    <w:p w14:paraId="62DDB8A6">
      <w:pPr>
        <w:pStyle w:val="10"/>
        <w:spacing w:line="360" w:lineRule="auto"/>
        <w:rPr>
          <w:rFonts w:hint="default" w:ascii="Times New Roman" w:hAnsi="Times New Roman" w:cs="Times New Roman"/>
          <w:color w:val="000000" w:themeColor="text1"/>
          <w:spacing w:val="6"/>
          <w:sz w:val="18"/>
          <w:szCs w:val="21"/>
          <w14:textFill>
            <w14:solidFill>
              <w14:schemeClr w14:val="tx1"/>
            </w14:solidFill>
          </w14:textFill>
        </w:rPr>
      </w:pPr>
    </w:p>
    <w:p w14:paraId="65270F1E">
      <w:pPr>
        <w:rPr>
          <w:rFonts w:hint="default" w:ascii="Times New Roman" w:hAnsi="Times New Roman" w:cs="Times New Roman"/>
          <w:color w:val="000000" w:themeColor="text1"/>
          <w:sz w:val="21"/>
          <w:szCs w:val="21"/>
          <w14:textFill>
            <w14:solidFill>
              <w14:schemeClr w14:val="tx1"/>
            </w14:solidFill>
          </w14:textFill>
        </w:rPr>
      </w:pPr>
    </w:p>
    <w:p w14:paraId="24E58BA7">
      <w:pPr>
        <w:pStyle w:val="5"/>
        <w:spacing w:before="0" w:after="0" w:line="360" w:lineRule="auto"/>
        <w:jc w:val="center"/>
        <w:rPr>
          <w:rStyle w:val="45"/>
          <w:rFonts w:hint="default" w:ascii="Times New Roman" w:hAnsi="Times New Roman" w:eastAsia="宋体" w:cs="Times New Roman"/>
          <w:b/>
          <w:color w:val="000000" w:themeColor="text1"/>
          <w:sz w:val="32"/>
          <w:szCs w:val="21"/>
          <w14:textFill>
            <w14:solidFill>
              <w14:schemeClr w14:val="tx1"/>
            </w14:solidFill>
          </w14:textFill>
        </w:rPr>
      </w:pPr>
      <w:r>
        <w:rPr>
          <w:rFonts w:hint="default" w:ascii="Times New Roman" w:hAnsi="Times New Roman" w:eastAsia="宋体" w:cs="Times New Roman"/>
          <w:color w:val="000000" w:themeColor="text1"/>
          <w:kern w:val="0"/>
          <w:sz w:val="28"/>
          <w:szCs w:val="28"/>
          <w:lang w:val="en-US" w:eastAsia="zh-CN"/>
          <w14:textFill>
            <w14:solidFill>
              <w14:schemeClr w14:val="tx1"/>
            </w14:solidFill>
          </w14:textFill>
        </w:rPr>
        <w:t>（七）</w:t>
      </w:r>
      <w:r>
        <w:rPr>
          <w:rFonts w:hint="default" w:ascii="Times New Roman" w:hAnsi="Times New Roman" w:eastAsia="宋体" w:cs="Times New Roman"/>
          <w:color w:val="000000" w:themeColor="text1"/>
          <w:kern w:val="0"/>
          <w:sz w:val="28"/>
          <w:szCs w:val="28"/>
          <w14:textFill>
            <w14:solidFill>
              <w14:schemeClr w14:val="tx1"/>
            </w14:solidFill>
          </w14:textFill>
        </w:rPr>
        <w:t>监狱企业证明材料</w:t>
      </w:r>
      <w:r>
        <w:rPr>
          <w:rFonts w:hint="default" w:ascii="Times New Roman" w:hAnsi="Times New Roman" w:eastAsia="宋体" w:cs="Times New Roman"/>
          <w:color w:val="000000" w:themeColor="text1"/>
          <w:kern w:val="0"/>
          <w:sz w:val="28"/>
          <w:szCs w:val="28"/>
          <w:lang w:eastAsia="zh-CN"/>
          <w14:textFill>
            <w14:solidFill>
              <w14:schemeClr w14:val="tx1"/>
            </w14:solidFill>
          </w14:textFill>
        </w:rPr>
        <w:t>（</w:t>
      </w:r>
      <w:r>
        <w:rPr>
          <w:rFonts w:hint="default" w:ascii="Times New Roman" w:hAnsi="Times New Roman" w:eastAsia="宋体" w:cs="Times New Roman"/>
          <w:color w:val="000000" w:themeColor="text1"/>
          <w:kern w:val="0"/>
          <w:sz w:val="28"/>
          <w:szCs w:val="28"/>
          <w:lang w:val="en-US" w:eastAsia="zh-CN"/>
          <w14:textFill>
            <w14:solidFill>
              <w14:schemeClr w14:val="tx1"/>
            </w14:solidFill>
          </w14:textFill>
        </w:rPr>
        <w:t>如有</w:t>
      </w:r>
      <w:r>
        <w:rPr>
          <w:rFonts w:hint="default" w:ascii="Times New Roman" w:hAnsi="Times New Roman" w:eastAsia="宋体" w:cs="Times New Roman"/>
          <w:color w:val="000000" w:themeColor="text1"/>
          <w:kern w:val="0"/>
          <w:sz w:val="28"/>
          <w:szCs w:val="28"/>
          <w:lang w:eastAsia="zh-CN"/>
          <w14:textFill>
            <w14:solidFill>
              <w14:schemeClr w14:val="tx1"/>
            </w14:solidFill>
          </w14:textFill>
        </w:rPr>
        <w:t>）</w:t>
      </w:r>
    </w:p>
    <w:p w14:paraId="54BEC01B">
      <w:pPr>
        <w:pStyle w:val="5"/>
        <w:spacing w:before="0" w:after="0" w:line="360" w:lineRule="auto"/>
        <w:jc w:val="center"/>
        <w:rPr>
          <w:rFonts w:hint="default" w:ascii="Times New Roman" w:hAnsi="Times New Roman" w:eastAsia="宋体" w:cs="Times New Roman"/>
          <w:b w:val="0"/>
          <w:color w:val="000000" w:themeColor="text1"/>
          <w:sz w:val="28"/>
          <w:szCs w:val="28"/>
          <w14:textFill>
            <w14:solidFill>
              <w14:schemeClr w14:val="tx1"/>
            </w14:solidFill>
          </w14:textFill>
        </w:rPr>
      </w:pPr>
    </w:p>
    <w:p w14:paraId="1BB41E70">
      <w:pPr>
        <w:tabs>
          <w:tab w:val="left" w:pos="4860"/>
        </w:tabs>
        <w:spacing w:line="360" w:lineRule="auto"/>
        <w:ind w:firstLine="480" w:firstLineChars="20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D48C2E">
      <w:pPr>
        <w:tabs>
          <w:tab w:val="left" w:pos="4860"/>
        </w:tabs>
        <w:spacing w:line="360" w:lineRule="auto"/>
        <w:ind w:firstLine="480" w:firstLineChars="20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监狱企业参加政府采购活动时，应当提供由省级以上监狱管理局、戒毒管理局（含新疆生产建设兵团）出具的属于监狱企业的证明文件。</w:t>
      </w:r>
    </w:p>
    <w:p w14:paraId="719AEF9F">
      <w:pPr>
        <w:tabs>
          <w:tab w:val="left" w:pos="4860"/>
        </w:tabs>
        <w:spacing w:line="360" w:lineRule="auto"/>
        <w:ind w:firstLine="480" w:firstLineChars="20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p>
    <w:p w14:paraId="393C9E9C">
      <w:pPr>
        <w:tabs>
          <w:tab w:val="left" w:pos="4860"/>
        </w:tabs>
        <w:spacing w:line="360" w:lineRule="auto"/>
        <w:ind w:firstLine="480" w:firstLineChars="20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注：符合条件的监狱企业在参加政府采购活动时，应当按《财政部 司法部关于政府采购支持监狱企业发展有关问题的通知》（财库〔2014〕68号）提供规定的《监狱企业证明文件》，并对声明的真实性负责，如不为监狱企业可不需填写。</w:t>
      </w:r>
    </w:p>
    <w:p w14:paraId="2EFCBF0F">
      <w:pPr>
        <w:pStyle w:val="16"/>
        <w:spacing w:line="360" w:lineRule="auto"/>
        <w:ind w:left="0" w:leftChars="0"/>
        <w:rPr>
          <w:rFonts w:hint="default" w:ascii="Times New Roman" w:hAnsi="Times New Roman" w:cs="Times New Roman"/>
          <w:color w:val="000000" w:themeColor="text1"/>
          <w:sz w:val="21"/>
          <w:szCs w:val="21"/>
          <w14:textFill>
            <w14:solidFill>
              <w14:schemeClr w14:val="tx1"/>
            </w14:solidFill>
          </w14:textFill>
        </w:rPr>
      </w:pPr>
    </w:p>
    <w:p w14:paraId="5518A626">
      <w:pPr>
        <w:pStyle w:val="5"/>
        <w:spacing w:before="0" w:after="0" w:line="360" w:lineRule="auto"/>
        <w:jc w:val="both"/>
        <w:rPr>
          <w:rFonts w:hint="default" w:ascii="Times New Roman" w:hAnsi="Times New Roman" w:eastAsia="宋体" w:cs="Times New Roman"/>
          <w:color w:val="000000" w:themeColor="text1"/>
          <w14:textFill>
            <w14:solidFill>
              <w14:schemeClr w14:val="tx1"/>
            </w14:solidFill>
          </w14:textFill>
        </w:rPr>
      </w:pPr>
    </w:p>
    <w:p w14:paraId="1C8EF3CA">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p>
    <w:p w14:paraId="5B93A310">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p>
    <w:p w14:paraId="6C3C7C04">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p>
    <w:p w14:paraId="7A968A33">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供应商</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名称</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6BBBC97D">
      <w:pPr>
        <w:spacing w:line="360" w:lineRule="auto"/>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法定代表人</w:t>
      </w:r>
      <w: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t>或委托代理人</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（电子签章）</w:t>
      </w:r>
    </w:p>
    <w:p w14:paraId="5742C1E2">
      <w:pPr>
        <w:spacing w:before="20" w:after="120" w:line="360" w:lineRule="auto"/>
        <w:jc w:val="both"/>
        <w:rPr>
          <w:rFonts w:hint="default" w:ascii="Times New Roman" w:hAnsi="Times New Roman" w:cs="Times New Roman" w:eastAsiaTheme="minorEastAsia"/>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  期：</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年</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月</w:t>
      </w:r>
      <w:r>
        <w:rPr>
          <w:rFonts w:hint="default" w:ascii="Times New Roman" w:hAnsi="Times New Roman" w:cs="Times New Roman" w:eastAsiaTheme="minorEastAsia"/>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cs="Times New Roman" w:eastAsiaTheme="minorEastAsia"/>
          <w:color w:val="000000" w:themeColor="text1"/>
          <w:sz w:val="21"/>
          <w:szCs w:val="21"/>
          <w:highlight w:val="none"/>
          <w14:textFill>
            <w14:solidFill>
              <w14:schemeClr w14:val="tx1"/>
            </w14:solidFill>
          </w14:textFill>
        </w:rPr>
        <w:t>日</w:t>
      </w:r>
    </w:p>
    <w:p w14:paraId="196103A7">
      <w:pPr>
        <w:tabs>
          <w:tab w:val="left" w:pos="4860"/>
        </w:tabs>
        <w:spacing w:line="360" w:lineRule="auto"/>
        <w:ind w:firstLine="504" w:firstLineChars="200"/>
        <w:rPr>
          <w:rFonts w:hint="default" w:ascii="Times New Roman" w:hAnsi="Times New Roman" w:eastAsia="宋体" w:cs="Times New Roman"/>
          <w:color w:val="000000" w:themeColor="text1"/>
          <w:spacing w:val="6"/>
          <w:sz w:val="24"/>
          <w:szCs w:val="24"/>
          <w:lang w:val="en-US" w:eastAsia="zh-CN"/>
          <w14:textFill>
            <w14:solidFill>
              <w14:schemeClr w14:val="tx1"/>
            </w14:solidFill>
          </w14:textFill>
        </w:rPr>
      </w:pPr>
    </w:p>
    <w:p w14:paraId="40076F35">
      <w:pPr>
        <w:tabs>
          <w:tab w:val="left" w:pos="4860"/>
        </w:tabs>
        <w:spacing w:line="360" w:lineRule="auto"/>
        <w:ind w:firstLine="504" w:firstLineChars="200"/>
        <w:rPr>
          <w:rFonts w:hint="default" w:ascii="Times New Roman" w:hAnsi="Times New Roman" w:eastAsia="宋体" w:cs="Times New Roman"/>
          <w:color w:val="000000" w:themeColor="text1"/>
          <w:spacing w:val="6"/>
          <w:sz w:val="24"/>
          <w:szCs w:val="24"/>
          <w:lang w:val="en-US" w:eastAsia="zh-CN"/>
          <w14:textFill>
            <w14:solidFill>
              <w14:schemeClr w14:val="tx1"/>
            </w14:solidFill>
          </w14:textFill>
        </w:rPr>
      </w:pPr>
    </w:p>
    <w:p w14:paraId="43BDB212">
      <w:pPr>
        <w:tabs>
          <w:tab w:val="left" w:pos="4860"/>
        </w:tabs>
        <w:spacing w:line="360" w:lineRule="auto"/>
        <w:ind w:firstLine="504" w:firstLineChars="200"/>
        <w:rPr>
          <w:rFonts w:hint="default" w:ascii="Times New Roman" w:hAnsi="Times New Roman" w:eastAsia="宋体" w:cs="Times New Roman"/>
          <w:color w:val="000000" w:themeColor="text1"/>
          <w:spacing w:val="6"/>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pacing w:val="6"/>
          <w:sz w:val="24"/>
          <w:szCs w:val="24"/>
          <w:lang w:val="en-US" w:eastAsia="zh-CN"/>
          <w14:textFill>
            <w14:solidFill>
              <w14:schemeClr w14:val="tx1"/>
            </w14:solidFill>
          </w14:textFill>
        </w:rPr>
        <w:t>注：若不为</w:t>
      </w:r>
      <w:r>
        <w:rPr>
          <w:rFonts w:hint="default" w:ascii="Times New Roman" w:hAnsi="Times New Roman" w:cs="Times New Roman"/>
          <w:color w:val="000000" w:themeColor="text1"/>
          <w:spacing w:val="6"/>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pacing w:val="6"/>
          <w:sz w:val="24"/>
          <w:szCs w:val="24"/>
          <w:lang w:val="en-US" w:eastAsia="zh-CN"/>
          <w14:textFill>
            <w14:solidFill>
              <w14:schemeClr w14:val="tx1"/>
            </w14:solidFill>
          </w14:textFill>
        </w:rPr>
        <w:t>监狱企业</w:t>
      </w:r>
      <w:r>
        <w:rPr>
          <w:rFonts w:hint="default" w:ascii="Times New Roman" w:hAnsi="Times New Roman" w:cs="Times New Roman"/>
          <w:color w:val="000000" w:themeColor="text1"/>
          <w:spacing w:val="6"/>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pacing w:val="6"/>
          <w:sz w:val="24"/>
          <w:szCs w:val="24"/>
          <w:lang w:val="en-US" w:eastAsia="zh-CN"/>
          <w14:textFill>
            <w14:solidFill>
              <w14:schemeClr w14:val="tx1"/>
            </w14:solidFill>
          </w14:textFill>
        </w:rPr>
        <w:t>可不填写以上内容</w:t>
      </w:r>
    </w:p>
    <w:p w14:paraId="3F37A94F">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437B08AB">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049C85E0">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33D1B1BD">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6F1F552D">
      <w:pPr>
        <w:numPr>
          <w:ilvl w:val="0"/>
          <w:numId w:val="0"/>
        </w:numPr>
        <w:jc w:val="center"/>
        <w:rPr>
          <w:rFonts w:hint="default" w:ascii="Times New Roman" w:hAnsi="Times New Roman" w:eastAsia="宋体" w:cs="Times New Roman"/>
          <w:b/>
          <w:bCs/>
          <w:snapToGrid w:val="0"/>
          <w:color w:val="000000" w:themeColor="text1"/>
          <w:kern w:val="0"/>
          <w:sz w:val="32"/>
          <w:szCs w:val="21"/>
          <w:lang w:val="en-US" w:eastAsia="zh-CN"/>
          <w14:textFill>
            <w14:solidFill>
              <w14:schemeClr w14:val="tx1"/>
            </w14:solidFill>
          </w14:textFill>
        </w:rPr>
      </w:pPr>
      <w:r>
        <w:rPr>
          <w:rFonts w:hint="default" w:ascii="Times New Roman" w:hAnsi="Times New Roman" w:cs="Times New Roman"/>
          <w:b/>
          <w:bCs/>
          <w:snapToGrid w:val="0"/>
          <w:color w:val="000000" w:themeColor="text1"/>
          <w:kern w:val="0"/>
          <w:sz w:val="32"/>
          <w:szCs w:val="21"/>
          <w:lang w:val="en-US" w:eastAsia="zh-CN"/>
          <w14:textFill>
            <w14:solidFill>
              <w14:schemeClr w14:val="tx1"/>
            </w14:solidFill>
          </w14:textFill>
        </w:rPr>
        <w:t>（八）</w:t>
      </w:r>
      <w:r>
        <w:rPr>
          <w:rFonts w:hint="default" w:ascii="Times New Roman" w:hAnsi="Times New Roman" w:eastAsia="宋体" w:cs="Times New Roman"/>
          <w:b/>
          <w:bCs/>
          <w:snapToGrid w:val="0"/>
          <w:color w:val="000000" w:themeColor="text1"/>
          <w:kern w:val="0"/>
          <w:sz w:val="32"/>
          <w:szCs w:val="21"/>
          <w:lang w:val="en-US" w:eastAsia="zh-CN"/>
          <w14:textFill>
            <w14:solidFill>
              <w14:schemeClr w14:val="tx1"/>
            </w14:solidFill>
          </w14:textFill>
        </w:rPr>
        <w:t>拟派往本项目的团队人员配置</w:t>
      </w:r>
    </w:p>
    <w:p w14:paraId="12EF61F9">
      <w:pPr>
        <w:numPr>
          <w:ilvl w:val="0"/>
          <w:numId w:val="0"/>
        </w:numPr>
        <w:jc w:val="both"/>
        <w:rPr>
          <w:rFonts w:hint="default" w:ascii="Times New Roman" w:hAnsi="Times New Roman" w:eastAsia="宋体" w:cs="Times New Roman"/>
          <w:b/>
          <w:bCs/>
          <w:snapToGrid w:val="0"/>
          <w:color w:val="000000" w:themeColor="text1"/>
          <w:kern w:val="0"/>
          <w:sz w:val="32"/>
          <w:szCs w:val="21"/>
          <w:lang w:val="en-US" w:eastAsia="zh-CN"/>
          <w14:textFill>
            <w14:solidFill>
              <w14:schemeClr w14:val="tx1"/>
            </w14:solidFill>
          </w14:textFill>
        </w:rPr>
      </w:pPr>
    </w:p>
    <w:tbl>
      <w:tblPr>
        <w:tblStyle w:val="30"/>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984"/>
        <w:gridCol w:w="984"/>
        <w:gridCol w:w="1225"/>
        <w:gridCol w:w="984"/>
        <w:gridCol w:w="829"/>
        <w:gridCol w:w="2125"/>
        <w:gridCol w:w="1185"/>
      </w:tblGrid>
      <w:tr w14:paraId="7CD97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984" w:type="dxa"/>
            <w:vMerge w:val="restart"/>
            <w:tcBorders>
              <w:top w:val="single" w:color="auto" w:sz="4" w:space="0"/>
              <w:left w:val="single" w:color="auto" w:sz="4" w:space="0"/>
              <w:bottom w:val="single" w:color="auto" w:sz="4" w:space="0"/>
              <w:right w:val="single" w:color="auto" w:sz="4" w:space="0"/>
            </w:tcBorders>
            <w:noWrap w:val="0"/>
            <w:vAlign w:val="center"/>
          </w:tcPr>
          <w:p w14:paraId="74E08CEA">
            <w:pPr>
              <w:autoSpaceDE w:val="0"/>
              <w:autoSpaceDN w:val="0"/>
              <w:adjustRightInd w:val="0"/>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姓名</w:t>
            </w:r>
          </w:p>
        </w:tc>
        <w:tc>
          <w:tcPr>
            <w:tcW w:w="984" w:type="dxa"/>
            <w:vMerge w:val="restart"/>
            <w:tcBorders>
              <w:top w:val="single" w:color="auto" w:sz="4" w:space="0"/>
              <w:left w:val="single" w:color="auto" w:sz="4" w:space="0"/>
              <w:bottom w:val="single" w:color="auto" w:sz="4" w:space="0"/>
              <w:right w:val="single" w:color="auto" w:sz="4" w:space="0"/>
            </w:tcBorders>
            <w:noWrap w:val="0"/>
            <w:vAlign w:val="center"/>
          </w:tcPr>
          <w:p w14:paraId="13DD6CC1">
            <w:pPr>
              <w:autoSpaceDE w:val="0"/>
              <w:autoSpaceDN w:val="0"/>
              <w:adjustRightInd w:val="0"/>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性别</w:t>
            </w:r>
          </w:p>
        </w:tc>
        <w:tc>
          <w:tcPr>
            <w:tcW w:w="984" w:type="dxa"/>
            <w:vMerge w:val="restart"/>
            <w:tcBorders>
              <w:top w:val="single" w:color="auto" w:sz="4" w:space="0"/>
              <w:left w:val="single" w:color="auto" w:sz="4" w:space="0"/>
              <w:bottom w:val="single" w:color="auto" w:sz="4" w:space="0"/>
              <w:right w:val="single" w:color="auto" w:sz="4" w:space="0"/>
            </w:tcBorders>
            <w:noWrap w:val="0"/>
            <w:vAlign w:val="center"/>
          </w:tcPr>
          <w:p w14:paraId="5DB88200">
            <w:pPr>
              <w:autoSpaceDE w:val="0"/>
              <w:autoSpaceDN w:val="0"/>
              <w:adjustRightInd w:val="0"/>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年龄</w:t>
            </w:r>
          </w:p>
        </w:tc>
        <w:tc>
          <w:tcPr>
            <w:tcW w:w="5163" w:type="dxa"/>
            <w:gridSpan w:val="4"/>
            <w:tcBorders>
              <w:top w:val="single" w:color="auto" w:sz="4" w:space="0"/>
              <w:left w:val="single" w:color="auto" w:sz="4" w:space="0"/>
              <w:bottom w:val="single" w:color="auto" w:sz="4" w:space="0"/>
              <w:right w:val="single" w:color="auto" w:sz="4" w:space="0"/>
            </w:tcBorders>
            <w:noWrap w:val="0"/>
            <w:vAlign w:val="center"/>
          </w:tcPr>
          <w:p w14:paraId="7797BC56">
            <w:pPr>
              <w:autoSpaceDE w:val="0"/>
              <w:autoSpaceDN w:val="0"/>
              <w:adjustRightInd w:val="0"/>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执业或职业资格证明</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5F6714D3">
            <w:pPr>
              <w:autoSpaceDE w:val="0"/>
              <w:autoSpaceDN w:val="0"/>
              <w:adjustRightInd w:val="0"/>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备注</w:t>
            </w:r>
          </w:p>
        </w:tc>
      </w:tr>
      <w:tr w14:paraId="4213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984" w:type="dxa"/>
            <w:vMerge w:val="continue"/>
            <w:tcBorders>
              <w:top w:val="single" w:color="auto" w:sz="4" w:space="0"/>
              <w:left w:val="single" w:color="auto" w:sz="4" w:space="0"/>
              <w:bottom w:val="single" w:color="auto" w:sz="4" w:space="0"/>
              <w:right w:val="single" w:color="auto" w:sz="4" w:space="0"/>
            </w:tcBorders>
            <w:noWrap w:val="0"/>
            <w:vAlign w:val="center"/>
          </w:tcPr>
          <w:p w14:paraId="50758333">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984" w:type="dxa"/>
            <w:vMerge w:val="continue"/>
            <w:tcBorders>
              <w:top w:val="single" w:color="auto" w:sz="4" w:space="0"/>
              <w:left w:val="single" w:color="auto" w:sz="4" w:space="0"/>
              <w:bottom w:val="single" w:color="auto" w:sz="4" w:space="0"/>
              <w:right w:val="single" w:color="auto" w:sz="4" w:space="0"/>
            </w:tcBorders>
            <w:noWrap w:val="0"/>
            <w:vAlign w:val="center"/>
          </w:tcPr>
          <w:p w14:paraId="788CBC31">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984" w:type="dxa"/>
            <w:vMerge w:val="continue"/>
            <w:tcBorders>
              <w:top w:val="single" w:color="auto" w:sz="4" w:space="0"/>
              <w:left w:val="single" w:color="auto" w:sz="4" w:space="0"/>
              <w:bottom w:val="single" w:color="auto" w:sz="4" w:space="0"/>
              <w:right w:val="single" w:color="auto" w:sz="4" w:space="0"/>
            </w:tcBorders>
            <w:noWrap w:val="0"/>
            <w:vAlign w:val="center"/>
          </w:tcPr>
          <w:p w14:paraId="70787FCA">
            <w:pPr>
              <w:widowControl/>
              <w:spacing w:line="360" w:lineRule="auto"/>
              <w:jc w:val="left"/>
              <w:rPr>
                <w:rFonts w:hint="default" w:ascii="Times New Roman" w:hAnsi="Times New Roman" w:cs="Times New Roman"/>
                <w:color w:val="000000" w:themeColor="text1"/>
                <w14:textFill>
                  <w14:solidFill>
                    <w14:schemeClr w14:val="tx1"/>
                  </w14:solidFill>
                </w14:textFill>
              </w:rPr>
            </w:pPr>
          </w:p>
        </w:tc>
        <w:tc>
          <w:tcPr>
            <w:tcW w:w="1225" w:type="dxa"/>
            <w:tcBorders>
              <w:top w:val="single" w:color="auto" w:sz="4" w:space="0"/>
              <w:left w:val="single" w:color="auto" w:sz="4" w:space="0"/>
              <w:bottom w:val="single" w:color="auto" w:sz="4" w:space="0"/>
              <w:right w:val="single" w:color="auto" w:sz="4" w:space="0"/>
            </w:tcBorders>
            <w:noWrap w:val="0"/>
            <w:vAlign w:val="center"/>
          </w:tcPr>
          <w:p w14:paraId="390C495C">
            <w:pPr>
              <w:autoSpaceDE w:val="0"/>
              <w:autoSpaceDN w:val="0"/>
              <w:adjustRightInd w:val="0"/>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证书名称</w:t>
            </w:r>
          </w:p>
        </w:tc>
        <w:tc>
          <w:tcPr>
            <w:tcW w:w="984" w:type="dxa"/>
            <w:tcBorders>
              <w:top w:val="single" w:color="auto" w:sz="4" w:space="0"/>
              <w:left w:val="single" w:color="auto" w:sz="4" w:space="0"/>
              <w:bottom w:val="single" w:color="auto" w:sz="4" w:space="0"/>
              <w:right w:val="single" w:color="auto" w:sz="4" w:space="0"/>
            </w:tcBorders>
            <w:noWrap w:val="0"/>
            <w:vAlign w:val="center"/>
          </w:tcPr>
          <w:p w14:paraId="66267D09">
            <w:pPr>
              <w:autoSpaceDE w:val="0"/>
              <w:autoSpaceDN w:val="0"/>
              <w:adjustRightInd w:val="0"/>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级别</w:t>
            </w:r>
          </w:p>
        </w:tc>
        <w:tc>
          <w:tcPr>
            <w:tcW w:w="829" w:type="dxa"/>
            <w:tcBorders>
              <w:top w:val="single" w:color="auto" w:sz="4" w:space="0"/>
              <w:left w:val="single" w:color="auto" w:sz="4" w:space="0"/>
              <w:bottom w:val="single" w:color="auto" w:sz="4" w:space="0"/>
              <w:right w:val="single" w:color="auto" w:sz="4" w:space="0"/>
            </w:tcBorders>
            <w:noWrap w:val="0"/>
            <w:vAlign w:val="center"/>
          </w:tcPr>
          <w:p w14:paraId="41A8E8DD">
            <w:pPr>
              <w:autoSpaceDE w:val="0"/>
              <w:autoSpaceDN w:val="0"/>
              <w:adjustRightInd w:val="0"/>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证号</w:t>
            </w:r>
          </w:p>
        </w:tc>
        <w:tc>
          <w:tcPr>
            <w:tcW w:w="2125" w:type="dxa"/>
            <w:tcBorders>
              <w:top w:val="single" w:color="auto" w:sz="4" w:space="0"/>
              <w:left w:val="single" w:color="auto" w:sz="4" w:space="0"/>
              <w:bottom w:val="single" w:color="auto" w:sz="4" w:space="0"/>
              <w:right w:val="single" w:color="auto" w:sz="4" w:space="0"/>
            </w:tcBorders>
            <w:noWrap w:val="0"/>
            <w:vAlign w:val="center"/>
          </w:tcPr>
          <w:p w14:paraId="4456F4AE">
            <w:pPr>
              <w:autoSpaceDE w:val="0"/>
              <w:autoSpaceDN w:val="0"/>
              <w:adjustRightInd w:val="0"/>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专业</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777F1162">
            <w:pPr>
              <w:autoSpaceDE w:val="0"/>
              <w:autoSpaceDN w:val="0"/>
              <w:adjustRightInd w:val="0"/>
              <w:spacing w:line="360" w:lineRule="auto"/>
              <w:jc w:val="center"/>
              <w:rPr>
                <w:rFonts w:hint="default" w:ascii="Times New Roman" w:hAnsi="Times New Roman" w:cs="Times New Roman"/>
                <w:color w:val="000000" w:themeColor="text1"/>
                <w14:textFill>
                  <w14:solidFill>
                    <w14:schemeClr w14:val="tx1"/>
                  </w14:solidFill>
                </w14:textFill>
              </w:rPr>
            </w:pPr>
          </w:p>
        </w:tc>
      </w:tr>
      <w:tr w14:paraId="37633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84" w:type="dxa"/>
            <w:tcBorders>
              <w:top w:val="single" w:color="auto" w:sz="4" w:space="0"/>
              <w:left w:val="single" w:color="auto" w:sz="4" w:space="0"/>
              <w:bottom w:val="single" w:color="auto" w:sz="4" w:space="0"/>
              <w:right w:val="single" w:color="auto" w:sz="4" w:space="0"/>
            </w:tcBorders>
            <w:noWrap w:val="0"/>
            <w:vAlign w:val="top"/>
          </w:tcPr>
          <w:p w14:paraId="0147C357">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70D0CEC7">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49C8399C">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225" w:type="dxa"/>
            <w:tcBorders>
              <w:top w:val="single" w:color="auto" w:sz="4" w:space="0"/>
              <w:left w:val="single" w:color="auto" w:sz="4" w:space="0"/>
              <w:bottom w:val="single" w:color="auto" w:sz="4" w:space="0"/>
              <w:right w:val="single" w:color="auto" w:sz="4" w:space="0"/>
            </w:tcBorders>
            <w:noWrap w:val="0"/>
            <w:vAlign w:val="top"/>
          </w:tcPr>
          <w:p w14:paraId="22E3D075">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2BECC651">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noWrap w:val="0"/>
            <w:vAlign w:val="top"/>
          </w:tcPr>
          <w:p w14:paraId="35FE9BDC">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2125" w:type="dxa"/>
            <w:tcBorders>
              <w:top w:val="single" w:color="auto" w:sz="4" w:space="0"/>
              <w:left w:val="single" w:color="auto" w:sz="4" w:space="0"/>
              <w:bottom w:val="single" w:color="auto" w:sz="4" w:space="0"/>
              <w:right w:val="single" w:color="auto" w:sz="4" w:space="0"/>
            </w:tcBorders>
            <w:noWrap w:val="0"/>
            <w:vAlign w:val="top"/>
          </w:tcPr>
          <w:p w14:paraId="1E26C9C6">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noWrap w:val="0"/>
            <w:vAlign w:val="top"/>
          </w:tcPr>
          <w:p w14:paraId="3FC8BD7D">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r>
      <w:tr w14:paraId="551BD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84" w:type="dxa"/>
            <w:tcBorders>
              <w:top w:val="single" w:color="auto" w:sz="4" w:space="0"/>
              <w:left w:val="single" w:color="auto" w:sz="4" w:space="0"/>
              <w:bottom w:val="single" w:color="auto" w:sz="4" w:space="0"/>
              <w:right w:val="single" w:color="auto" w:sz="4" w:space="0"/>
            </w:tcBorders>
            <w:noWrap w:val="0"/>
            <w:vAlign w:val="top"/>
          </w:tcPr>
          <w:p w14:paraId="1A4BAE9A">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69776228">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50170ECA">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225" w:type="dxa"/>
            <w:tcBorders>
              <w:top w:val="single" w:color="auto" w:sz="4" w:space="0"/>
              <w:left w:val="single" w:color="auto" w:sz="4" w:space="0"/>
              <w:bottom w:val="single" w:color="auto" w:sz="4" w:space="0"/>
              <w:right w:val="single" w:color="auto" w:sz="4" w:space="0"/>
            </w:tcBorders>
            <w:noWrap w:val="0"/>
            <w:vAlign w:val="top"/>
          </w:tcPr>
          <w:p w14:paraId="0288BBD0">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2EF7A8FF">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noWrap w:val="0"/>
            <w:vAlign w:val="top"/>
          </w:tcPr>
          <w:p w14:paraId="05748C52">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2125" w:type="dxa"/>
            <w:tcBorders>
              <w:top w:val="single" w:color="auto" w:sz="4" w:space="0"/>
              <w:left w:val="single" w:color="auto" w:sz="4" w:space="0"/>
              <w:bottom w:val="single" w:color="auto" w:sz="4" w:space="0"/>
              <w:right w:val="single" w:color="auto" w:sz="4" w:space="0"/>
            </w:tcBorders>
            <w:noWrap w:val="0"/>
            <w:vAlign w:val="top"/>
          </w:tcPr>
          <w:p w14:paraId="016E7EE2">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noWrap w:val="0"/>
            <w:vAlign w:val="top"/>
          </w:tcPr>
          <w:p w14:paraId="387FEA67">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r>
      <w:tr w14:paraId="03D70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84" w:type="dxa"/>
            <w:tcBorders>
              <w:top w:val="single" w:color="auto" w:sz="4" w:space="0"/>
              <w:left w:val="single" w:color="auto" w:sz="4" w:space="0"/>
              <w:bottom w:val="single" w:color="auto" w:sz="4" w:space="0"/>
              <w:right w:val="single" w:color="auto" w:sz="4" w:space="0"/>
            </w:tcBorders>
            <w:noWrap w:val="0"/>
            <w:vAlign w:val="top"/>
          </w:tcPr>
          <w:p w14:paraId="68DAA2C3">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24C152FC">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7894A7A4">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225" w:type="dxa"/>
            <w:tcBorders>
              <w:top w:val="single" w:color="auto" w:sz="4" w:space="0"/>
              <w:left w:val="single" w:color="auto" w:sz="4" w:space="0"/>
              <w:bottom w:val="single" w:color="auto" w:sz="4" w:space="0"/>
              <w:right w:val="single" w:color="auto" w:sz="4" w:space="0"/>
            </w:tcBorders>
            <w:noWrap w:val="0"/>
            <w:vAlign w:val="top"/>
          </w:tcPr>
          <w:p w14:paraId="77ED26AF">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1CBB0A1C">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noWrap w:val="0"/>
            <w:vAlign w:val="top"/>
          </w:tcPr>
          <w:p w14:paraId="0AA4A1BB">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2125" w:type="dxa"/>
            <w:tcBorders>
              <w:top w:val="single" w:color="auto" w:sz="4" w:space="0"/>
              <w:left w:val="single" w:color="auto" w:sz="4" w:space="0"/>
              <w:bottom w:val="single" w:color="auto" w:sz="4" w:space="0"/>
              <w:right w:val="single" w:color="auto" w:sz="4" w:space="0"/>
            </w:tcBorders>
            <w:noWrap w:val="0"/>
            <w:vAlign w:val="top"/>
          </w:tcPr>
          <w:p w14:paraId="0F176E71">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noWrap w:val="0"/>
            <w:vAlign w:val="top"/>
          </w:tcPr>
          <w:p w14:paraId="2960133D">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r>
      <w:tr w14:paraId="5E617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84" w:type="dxa"/>
            <w:tcBorders>
              <w:top w:val="single" w:color="auto" w:sz="4" w:space="0"/>
              <w:left w:val="single" w:color="auto" w:sz="4" w:space="0"/>
              <w:bottom w:val="single" w:color="auto" w:sz="4" w:space="0"/>
              <w:right w:val="single" w:color="auto" w:sz="4" w:space="0"/>
            </w:tcBorders>
            <w:noWrap w:val="0"/>
            <w:vAlign w:val="top"/>
          </w:tcPr>
          <w:p w14:paraId="36CCE452">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43482C5D">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5A9082B2">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225" w:type="dxa"/>
            <w:tcBorders>
              <w:top w:val="single" w:color="auto" w:sz="4" w:space="0"/>
              <w:left w:val="single" w:color="auto" w:sz="4" w:space="0"/>
              <w:bottom w:val="single" w:color="auto" w:sz="4" w:space="0"/>
              <w:right w:val="single" w:color="auto" w:sz="4" w:space="0"/>
            </w:tcBorders>
            <w:noWrap w:val="0"/>
            <w:vAlign w:val="top"/>
          </w:tcPr>
          <w:p w14:paraId="08B20D15">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4EE8F8E7">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noWrap w:val="0"/>
            <w:vAlign w:val="top"/>
          </w:tcPr>
          <w:p w14:paraId="46ADE136">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2125" w:type="dxa"/>
            <w:tcBorders>
              <w:top w:val="single" w:color="auto" w:sz="4" w:space="0"/>
              <w:left w:val="single" w:color="auto" w:sz="4" w:space="0"/>
              <w:bottom w:val="single" w:color="auto" w:sz="4" w:space="0"/>
              <w:right w:val="single" w:color="auto" w:sz="4" w:space="0"/>
            </w:tcBorders>
            <w:noWrap w:val="0"/>
            <w:vAlign w:val="top"/>
          </w:tcPr>
          <w:p w14:paraId="0DBD482E">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noWrap w:val="0"/>
            <w:vAlign w:val="top"/>
          </w:tcPr>
          <w:p w14:paraId="75228753">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r>
      <w:tr w14:paraId="093A0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84" w:type="dxa"/>
            <w:tcBorders>
              <w:top w:val="single" w:color="auto" w:sz="4" w:space="0"/>
              <w:left w:val="single" w:color="auto" w:sz="4" w:space="0"/>
              <w:bottom w:val="single" w:color="auto" w:sz="4" w:space="0"/>
              <w:right w:val="single" w:color="auto" w:sz="4" w:space="0"/>
            </w:tcBorders>
            <w:noWrap w:val="0"/>
            <w:vAlign w:val="top"/>
          </w:tcPr>
          <w:p w14:paraId="048F5E21">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50FA3DB2">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0EF848BD">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225" w:type="dxa"/>
            <w:tcBorders>
              <w:top w:val="single" w:color="auto" w:sz="4" w:space="0"/>
              <w:left w:val="single" w:color="auto" w:sz="4" w:space="0"/>
              <w:bottom w:val="single" w:color="auto" w:sz="4" w:space="0"/>
              <w:right w:val="single" w:color="auto" w:sz="4" w:space="0"/>
            </w:tcBorders>
            <w:noWrap w:val="0"/>
            <w:vAlign w:val="top"/>
          </w:tcPr>
          <w:p w14:paraId="72085031">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6D3839AC">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noWrap w:val="0"/>
            <w:vAlign w:val="top"/>
          </w:tcPr>
          <w:p w14:paraId="620A60C9">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2125" w:type="dxa"/>
            <w:tcBorders>
              <w:top w:val="single" w:color="auto" w:sz="4" w:space="0"/>
              <w:left w:val="single" w:color="auto" w:sz="4" w:space="0"/>
              <w:bottom w:val="single" w:color="auto" w:sz="4" w:space="0"/>
              <w:right w:val="single" w:color="auto" w:sz="4" w:space="0"/>
            </w:tcBorders>
            <w:noWrap w:val="0"/>
            <w:vAlign w:val="top"/>
          </w:tcPr>
          <w:p w14:paraId="612AB19D">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noWrap w:val="0"/>
            <w:vAlign w:val="top"/>
          </w:tcPr>
          <w:p w14:paraId="09E6F16C">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r>
      <w:tr w14:paraId="55192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84" w:type="dxa"/>
            <w:tcBorders>
              <w:top w:val="single" w:color="auto" w:sz="4" w:space="0"/>
              <w:left w:val="single" w:color="auto" w:sz="4" w:space="0"/>
              <w:bottom w:val="single" w:color="auto" w:sz="4" w:space="0"/>
              <w:right w:val="single" w:color="auto" w:sz="4" w:space="0"/>
            </w:tcBorders>
            <w:noWrap w:val="0"/>
            <w:vAlign w:val="top"/>
          </w:tcPr>
          <w:p w14:paraId="2EAF5042">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5A3C41C5">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7E6F8447">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225" w:type="dxa"/>
            <w:tcBorders>
              <w:top w:val="single" w:color="auto" w:sz="4" w:space="0"/>
              <w:left w:val="single" w:color="auto" w:sz="4" w:space="0"/>
              <w:bottom w:val="single" w:color="auto" w:sz="4" w:space="0"/>
              <w:right w:val="single" w:color="auto" w:sz="4" w:space="0"/>
            </w:tcBorders>
            <w:noWrap w:val="0"/>
            <w:vAlign w:val="top"/>
          </w:tcPr>
          <w:p w14:paraId="29245FDE">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002CABF2">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noWrap w:val="0"/>
            <w:vAlign w:val="top"/>
          </w:tcPr>
          <w:p w14:paraId="0B862F35">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2125" w:type="dxa"/>
            <w:tcBorders>
              <w:top w:val="single" w:color="auto" w:sz="4" w:space="0"/>
              <w:left w:val="single" w:color="auto" w:sz="4" w:space="0"/>
              <w:bottom w:val="single" w:color="auto" w:sz="4" w:space="0"/>
              <w:right w:val="single" w:color="auto" w:sz="4" w:space="0"/>
            </w:tcBorders>
            <w:noWrap w:val="0"/>
            <w:vAlign w:val="top"/>
          </w:tcPr>
          <w:p w14:paraId="13E36D5F">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noWrap w:val="0"/>
            <w:vAlign w:val="top"/>
          </w:tcPr>
          <w:p w14:paraId="539E6EBC">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r>
      <w:tr w14:paraId="7B0CF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84" w:type="dxa"/>
            <w:tcBorders>
              <w:top w:val="single" w:color="auto" w:sz="4" w:space="0"/>
              <w:left w:val="single" w:color="auto" w:sz="4" w:space="0"/>
              <w:bottom w:val="single" w:color="auto" w:sz="4" w:space="0"/>
              <w:right w:val="single" w:color="auto" w:sz="4" w:space="0"/>
            </w:tcBorders>
            <w:noWrap w:val="0"/>
            <w:vAlign w:val="top"/>
          </w:tcPr>
          <w:p w14:paraId="2C062D2E">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1E468163">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60722772">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225" w:type="dxa"/>
            <w:tcBorders>
              <w:top w:val="single" w:color="auto" w:sz="4" w:space="0"/>
              <w:left w:val="single" w:color="auto" w:sz="4" w:space="0"/>
              <w:bottom w:val="single" w:color="auto" w:sz="4" w:space="0"/>
              <w:right w:val="single" w:color="auto" w:sz="4" w:space="0"/>
            </w:tcBorders>
            <w:noWrap w:val="0"/>
            <w:vAlign w:val="top"/>
          </w:tcPr>
          <w:p w14:paraId="261DEE42">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12404FD0">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noWrap w:val="0"/>
            <w:vAlign w:val="top"/>
          </w:tcPr>
          <w:p w14:paraId="3389B7D4">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2125" w:type="dxa"/>
            <w:tcBorders>
              <w:top w:val="single" w:color="auto" w:sz="4" w:space="0"/>
              <w:left w:val="single" w:color="auto" w:sz="4" w:space="0"/>
              <w:bottom w:val="single" w:color="auto" w:sz="4" w:space="0"/>
              <w:right w:val="single" w:color="auto" w:sz="4" w:space="0"/>
            </w:tcBorders>
            <w:noWrap w:val="0"/>
            <w:vAlign w:val="top"/>
          </w:tcPr>
          <w:p w14:paraId="124EDE95">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noWrap w:val="0"/>
            <w:vAlign w:val="top"/>
          </w:tcPr>
          <w:p w14:paraId="21E2B15E">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r>
      <w:tr w14:paraId="4ADB8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84" w:type="dxa"/>
            <w:tcBorders>
              <w:top w:val="single" w:color="auto" w:sz="4" w:space="0"/>
              <w:left w:val="single" w:color="auto" w:sz="4" w:space="0"/>
              <w:bottom w:val="single" w:color="auto" w:sz="4" w:space="0"/>
              <w:right w:val="single" w:color="auto" w:sz="4" w:space="0"/>
            </w:tcBorders>
            <w:noWrap w:val="0"/>
            <w:vAlign w:val="top"/>
          </w:tcPr>
          <w:p w14:paraId="143E055D">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37871317">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66E01187">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225" w:type="dxa"/>
            <w:tcBorders>
              <w:top w:val="single" w:color="auto" w:sz="4" w:space="0"/>
              <w:left w:val="single" w:color="auto" w:sz="4" w:space="0"/>
              <w:bottom w:val="single" w:color="auto" w:sz="4" w:space="0"/>
              <w:right w:val="single" w:color="auto" w:sz="4" w:space="0"/>
            </w:tcBorders>
            <w:noWrap w:val="0"/>
            <w:vAlign w:val="top"/>
          </w:tcPr>
          <w:p w14:paraId="41E4A9A9">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1A9D2FF4">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noWrap w:val="0"/>
            <w:vAlign w:val="top"/>
          </w:tcPr>
          <w:p w14:paraId="03C40D6E">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2125" w:type="dxa"/>
            <w:tcBorders>
              <w:top w:val="single" w:color="auto" w:sz="4" w:space="0"/>
              <w:left w:val="single" w:color="auto" w:sz="4" w:space="0"/>
              <w:bottom w:val="single" w:color="auto" w:sz="4" w:space="0"/>
              <w:right w:val="single" w:color="auto" w:sz="4" w:space="0"/>
            </w:tcBorders>
            <w:noWrap w:val="0"/>
            <w:vAlign w:val="top"/>
          </w:tcPr>
          <w:p w14:paraId="102FDF05">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noWrap w:val="0"/>
            <w:vAlign w:val="top"/>
          </w:tcPr>
          <w:p w14:paraId="59F59A98">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r>
      <w:tr w14:paraId="05C98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84" w:type="dxa"/>
            <w:tcBorders>
              <w:top w:val="single" w:color="auto" w:sz="4" w:space="0"/>
              <w:left w:val="single" w:color="auto" w:sz="4" w:space="0"/>
              <w:bottom w:val="single" w:color="auto" w:sz="4" w:space="0"/>
              <w:right w:val="single" w:color="auto" w:sz="4" w:space="0"/>
            </w:tcBorders>
            <w:noWrap w:val="0"/>
            <w:vAlign w:val="top"/>
          </w:tcPr>
          <w:p w14:paraId="26844DC0">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1DFF559E">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5A42C756">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225" w:type="dxa"/>
            <w:tcBorders>
              <w:top w:val="single" w:color="auto" w:sz="4" w:space="0"/>
              <w:left w:val="single" w:color="auto" w:sz="4" w:space="0"/>
              <w:bottom w:val="single" w:color="auto" w:sz="4" w:space="0"/>
              <w:right w:val="single" w:color="auto" w:sz="4" w:space="0"/>
            </w:tcBorders>
            <w:noWrap w:val="0"/>
            <w:vAlign w:val="top"/>
          </w:tcPr>
          <w:p w14:paraId="6DF7838C">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74F693AA">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noWrap w:val="0"/>
            <w:vAlign w:val="top"/>
          </w:tcPr>
          <w:p w14:paraId="478FB576">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2125" w:type="dxa"/>
            <w:tcBorders>
              <w:top w:val="single" w:color="auto" w:sz="4" w:space="0"/>
              <w:left w:val="single" w:color="auto" w:sz="4" w:space="0"/>
              <w:bottom w:val="single" w:color="auto" w:sz="4" w:space="0"/>
              <w:right w:val="single" w:color="auto" w:sz="4" w:space="0"/>
            </w:tcBorders>
            <w:noWrap w:val="0"/>
            <w:vAlign w:val="top"/>
          </w:tcPr>
          <w:p w14:paraId="2D553325">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noWrap w:val="0"/>
            <w:vAlign w:val="top"/>
          </w:tcPr>
          <w:p w14:paraId="3FC42906">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r>
      <w:tr w14:paraId="06CE9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84" w:type="dxa"/>
            <w:tcBorders>
              <w:top w:val="single" w:color="auto" w:sz="4" w:space="0"/>
              <w:left w:val="single" w:color="auto" w:sz="4" w:space="0"/>
              <w:bottom w:val="single" w:color="auto" w:sz="4" w:space="0"/>
              <w:right w:val="single" w:color="auto" w:sz="4" w:space="0"/>
            </w:tcBorders>
            <w:noWrap w:val="0"/>
            <w:vAlign w:val="top"/>
          </w:tcPr>
          <w:p w14:paraId="5781A889">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513DD0B9">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6E681BB9">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225" w:type="dxa"/>
            <w:tcBorders>
              <w:top w:val="single" w:color="auto" w:sz="4" w:space="0"/>
              <w:left w:val="single" w:color="auto" w:sz="4" w:space="0"/>
              <w:bottom w:val="single" w:color="auto" w:sz="4" w:space="0"/>
              <w:right w:val="single" w:color="auto" w:sz="4" w:space="0"/>
            </w:tcBorders>
            <w:noWrap w:val="0"/>
            <w:vAlign w:val="top"/>
          </w:tcPr>
          <w:p w14:paraId="5C1B8298">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49D0754E">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noWrap w:val="0"/>
            <w:vAlign w:val="top"/>
          </w:tcPr>
          <w:p w14:paraId="52B45CF1">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2125" w:type="dxa"/>
            <w:tcBorders>
              <w:top w:val="single" w:color="auto" w:sz="4" w:space="0"/>
              <w:left w:val="single" w:color="auto" w:sz="4" w:space="0"/>
              <w:bottom w:val="single" w:color="auto" w:sz="4" w:space="0"/>
              <w:right w:val="single" w:color="auto" w:sz="4" w:space="0"/>
            </w:tcBorders>
            <w:noWrap w:val="0"/>
            <w:vAlign w:val="top"/>
          </w:tcPr>
          <w:p w14:paraId="6541F83D">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noWrap w:val="0"/>
            <w:vAlign w:val="top"/>
          </w:tcPr>
          <w:p w14:paraId="0890F5C5">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r>
      <w:tr w14:paraId="677EA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84" w:type="dxa"/>
            <w:tcBorders>
              <w:top w:val="single" w:color="auto" w:sz="4" w:space="0"/>
              <w:left w:val="single" w:color="auto" w:sz="4" w:space="0"/>
              <w:bottom w:val="single" w:color="auto" w:sz="4" w:space="0"/>
              <w:right w:val="single" w:color="auto" w:sz="4" w:space="0"/>
            </w:tcBorders>
            <w:noWrap w:val="0"/>
            <w:vAlign w:val="top"/>
          </w:tcPr>
          <w:p w14:paraId="185E1A59">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7CABF283">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6F22FCF6">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225" w:type="dxa"/>
            <w:tcBorders>
              <w:top w:val="single" w:color="auto" w:sz="4" w:space="0"/>
              <w:left w:val="single" w:color="auto" w:sz="4" w:space="0"/>
              <w:bottom w:val="single" w:color="auto" w:sz="4" w:space="0"/>
              <w:right w:val="single" w:color="auto" w:sz="4" w:space="0"/>
            </w:tcBorders>
            <w:noWrap w:val="0"/>
            <w:vAlign w:val="top"/>
          </w:tcPr>
          <w:p w14:paraId="53A90798">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677B2608">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noWrap w:val="0"/>
            <w:vAlign w:val="top"/>
          </w:tcPr>
          <w:p w14:paraId="2ACD53FB">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2125" w:type="dxa"/>
            <w:tcBorders>
              <w:top w:val="single" w:color="auto" w:sz="4" w:space="0"/>
              <w:left w:val="single" w:color="auto" w:sz="4" w:space="0"/>
              <w:bottom w:val="single" w:color="auto" w:sz="4" w:space="0"/>
              <w:right w:val="single" w:color="auto" w:sz="4" w:space="0"/>
            </w:tcBorders>
            <w:noWrap w:val="0"/>
            <w:vAlign w:val="top"/>
          </w:tcPr>
          <w:p w14:paraId="1137741C">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noWrap w:val="0"/>
            <w:vAlign w:val="top"/>
          </w:tcPr>
          <w:p w14:paraId="0C89F86B">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r>
      <w:tr w14:paraId="1FEE3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84" w:type="dxa"/>
            <w:tcBorders>
              <w:top w:val="single" w:color="auto" w:sz="4" w:space="0"/>
              <w:left w:val="single" w:color="auto" w:sz="4" w:space="0"/>
              <w:bottom w:val="single" w:color="auto" w:sz="4" w:space="0"/>
              <w:right w:val="single" w:color="auto" w:sz="4" w:space="0"/>
            </w:tcBorders>
            <w:noWrap w:val="0"/>
            <w:vAlign w:val="top"/>
          </w:tcPr>
          <w:p w14:paraId="377DAC2A">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42D1913C">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514B41D6">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225" w:type="dxa"/>
            <w:tcBorders>
              <w:top w:val="single" w:color="auto" w:sz="4" w:space="0"/>
              <w:left w:val="single" w:color="auto" w:sz="4" w:space="0"/>
              <w:bottom w:val="single" w:color="auto" w:sz="4" w:space="0"/>
              <w:right w:val="single" w:color="auto" w:sz="4" w:space="0"/>
            </w:tcBorders>
            <w:noWrap w:val="0"/>
            <w:vAlign w:val="top"/>
          </w:tcPr>
          <w:p w14:paraId="6B48A8F0">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40D18495">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noWrap w:val="0"/>
            <w:vAlign w:val="top"/>
          </w:tcPr>
          <w:p w14:paraId="2C7B5F3E">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2125" w:type="dxa"/>
            <w:tcBorders>
              <w:top w:val="single" w:color="auto" w:sz="4" w:space="0"/>
              <w:left w:val="single" w:color="auto" w:sz="4" w:space="0"/>
              <w:bottom w:val="single" w:color="auto" w:sz="4" w:space="0"/>
              <w:right w:val="single" w:color="auto" w:sz="4" w:space="0"/>
            </w:tcBorders>
            <w:noWrap w:val="0"/>
            <w:vAlign w:val="top"/>
          </w:tcPr>
          <w:p w14:paraId="0BED3220">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noWrap w:val="0"/>
            <w:vAlign w:val="top"/>
          </w:tcPr>
          <w:p w14:paraId="0D55F9D6">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r>
      <w:tr w14:paraId="0D09B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84" w:type="dxa"/>
            <w:tcBorders>
              <w:top w:val="single" w:color="auto" w:sz="4" w:space="0"/>
              <w:left w:val="single" w:color="auto" w:sz="4" w:space="0"/>
              <w:bottom w:val="single" w:color="auto" w:sz="4" w:space="0"/>
              <w:right w:val="single" w:color="auto" w:sz="4" w:space="0"/>
            </w:tcBorders>
            <w:noWrap w:val="0"/>
            <w:vAlign w:val="top"/>
          </w:tcPr>
          <w:p w14:paraId="40FD16EA">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21F5E292">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7BF68E2A">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225" w:type="dxa"/>
            <w:tcBorders>
              <w:top w:val="single" w:color="auto" w:sz="4" w:space="0"/>
              <w:left w:val="single" w:color="auto" w:sz="4" w:space="0"/>
              <w:bottom w:val="single" w:color="auto" w:sz="4" w:space="0"/>
              <w:right w:val="single" w:color="auto" w:sz="4" w:space="0"/>
            </w:tcBorders>
            <w:noWrap w:val="0"/>
            <w:vAlign w:val="top"/>
          </w:tcPr>
          <w:p w14:paraId="238B0E2D">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984" w:type="dxa"/>
            <w:tcBorders>
              <w:top w:val="single" w:color="auto" w:sz="4" w:space="0"/>
              <w:left w:val="single" w:color="auto" w:sz="4" w:space="0"/>
              <w:bottom w:val="single" w:color="auto" w:sz="4" w:space="0"/>
              <w:right w:val="single" w:color="auto" w:sz="4" w:space="0"/>
            </w:tcBorders>
            <w:noWrap w:val="0"/>
            <w:vAlign w:val="top"/>
          </w:tcPr>
          <w:p w14:paraId="7632AD63">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noWrap w:val="0"/>
            <w:vAlign w:val="top"/>
          </w:tcPr>
          <w:p w14:paraId="5EBCF8D8">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2125" w:type="dxa"/>
            <w:tcBorders>
              <w:top w:val="single" w:color="auto" w:sz="4" w:space="0"/>
              <w:left w:val="single" w:color="auto" w:sz="4" w:space="0"/>
              <w:bottom w:val="single" w:color="auto" w:sz="4" w:space="0"/>
              <w:right w:val="single" w:color="auto" w:sz="4" w:space="0"/>
            </w:tcBorders>
            <w:noWrap w:val="0"/>
            <w:vAlign w:val="top"/>
          </w:tcPr>
          <w:p w14:paraId="3369E9E9">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c>
          <w:tcPr>
            <w:tcW w:w="1185" w:type="dxa"/>
            <w:tcBorders>
              <w:top w:val="single" w:color="auto" w:sz="4" w:space="0"/>
              <w:left w:val="single" w:color="auto" w:sz="4" w:space="0"/>
              <w:bottom w:val="single" w:color="auto" w:sz="4" w:space="0"/>
              <w:right w:val="single" w:color="auto" w:sz="4" w:space="0"/>
            </w:tcBorders>
            <w:noWrap w:val="0"/>
            <w:vAlign w:val="top"/>
          </w:tcPr>
          <w:p w14:paraId="08FFA3A7">
            <w:pPr>
              <w:autoSpaceDE w:val="0"/>
              <w:autoSpaceDN w:val="0"/>
              <w:adjustRightInd w:val="0"/>
              <w:spacing w:line="360" w:lineRule="auto"/>
              <w:rPr>
                <w:rFonts w:hint="default" w:ascii="Times New Roman" w:hAnsi="Times New Roman" w:cs="Times New Roman"/>
                <w:color w:val="000000" w:themeColor="text1"/>
                <w14:textFill>
                  <w14:solidFill>
                    <w14:schemeClr w14:val="tx1"/>
                  </w14:solidFill>
                </w14:textFill>
              </w:rPr>
            </w:pPr>
          </w:p>
        </w:tc>
      </w:tr>
    </w:tbl>
    <w:p w14:paraId="1AB44935">
      <w:pPr>
        <w:spacing w:line="360" w:lineRule="auto"/>
        <w:rPr>
          <w:rFonts w:hint="default" w:ascii="Times New Roman" w:hAnsi="Times New Roman" w:cs="Times New Roman"/>
          <w:b/>
          <w:color w:val="000000" w:themeColor="text1"/>
          <w14:textFill>
            <w14:solidFill>
              <w14:schemeClr w14:val="tx1"/>
            </w14:solidFill>
          </w14:textFill>
        </w:rPr>
      </w:pPr>
    </w:p>
    <w:p w14:paraId="0D7DE6A7">
      <w:pPr>
        <w:spacing w:line="360" w:lineRule="auto"/>
        <w:rPr>
          <w:rFonts w:hint="default" w:ascii="Times New Roman" w:hAnsi="Times New Roman" w:cs="Times New Roman"/>
          <w:b/>
          <w:color w:val="000000" w:themeColor="text1"/>
          <w14:textFill>
            <w14:solidFill>
              <w14:schemeClr w14:val="tx1"/>
            </w14:solidFill>
          </w14:textFill>
        </w:rPr>
      </w:pPr>
      <w:r>
        <w:rPr>
          <w:rFonts w:hint="default" w:ascii="Times New Roman" w:hAnsi="Times New Roman" w:cs="Times New Roman"/>
          <w:b/>
          <w:color w:val="000000" w:themeColor="text1"/>
          <w14:textFill>
            <w14:solidFill>
              <w14:schemeClr w14:val="tx1"/>
            </w14:solidFill>
          </w14:textFill>
        </w:rPr>
        <w:t>注：附项目组成员的职业资格证书（如有）等相关资料扫描件。</w:t>
      </w:r>
    </w:p>
    <w:p w14:paraId="41813E20">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135580A7">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7B4732B9">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243F3B9B">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221CFD25">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10BE545B">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53CD6751">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12656FA1">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3AEA0D1F">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2D43911B">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289A0EE8">
      <w:pPr>
        <w:spacing w:line="360" w:lineRule="auto"/>
        <w:jc w:val="center"/>
        <w:outlineLvl w:val="3"/>
        <w:rPr>
          <w:rFonts w:hint="default" w:ascii="Times New Roman" w:hAnsi="Times New Roman" w:cs="Times New Roman"/>
          <w:b/>
          <w:color w:val="000000" w:themeColor="text1"/>
          <w:sz w:val="30"/>
          <w:szCs w:val="30"/>
          <w14:textFill>
            <w14:solidFill>
              <w14:schemeClr w14:val="tx1"/>
            </w14:solidFill>
          </w14:textFill>
        </w:rPr>
      </w:pPr>
      <w:r>
        <w:rPr>
          <w:rFonts w:hint="default" w:ascii="Times New Roman" w:hAnsi="Times New Roman" w:cs="Times New Roman"/>
          <w:b/>
          <w:color w:val="000000" w:themeColor="text1"/>
          <w:sz w:val="30"/>
          <w:szCs w:val="30"/>
          <w:lang w:val="en-US" w:eastAsia="zh-CN"/>
          <w14:textFill>
            <w14:solidFill>
              <w14:schemeClr w14:val="tx1"/>
            </w14:solidFill>
          </w14:textFill>
        </w:rPr>
        <w:t>（九）</w:t>
      </w:r>
      <w:r>
        <w:rPr>
          <w:rFonts w:hint="default" w:ascii="Times New Roman" w:hAnsi="Times New Roman" w:cs="Times New Roman"/>
          <w:b/>
          <w:color w:val="000000" w:themeColor="text1"/>
          <w:sz w:val="30"/>
          <w:szCs w:val="30"/>
          <w14:textFill>
            <w14:solidFill>
              <w14:schemeClr w14:val="tx1"/>
            </w14:solidFill>
          </w14:textFill>
        </w:rPr>
        <w:t>项目负责人</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354"/>
        <w:gridCol w:w="1364"/>
        <w:gridCol w:w="1335"/>
        <w:gridCol w:w="898"/>
        <w:gridCol w:w="539"/>
        <w:gridCol w:w="1249"/>
        <w:gridCol w:w="726"/>
        <w:gridCol w:w="1785"/>
      </w:tblGrid>
      <w:tr w14:paraId="4670C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613" w:type="dxa"/>
            <w:gridSpan w:val="2"/>
            <w:tcBorders>
              <w:top w:val="single" w:color="auto" w:sz="4" w:space="0"/>
              <w:left w:val="single" w:color="auto" w:sz="4" w:space="0"/>
              <w:bottom w:val="single" w:color="auto" w:sz="4" w:space="0"/>
              <w:right w:val="single" w:color="auto" w:sz="4" w:space="0"/>
            </w:tcBorders>
            <w:noWrap w:val="0"/>
            <w:vAlign w:val="center"/>
          </w:tcPr>
          <w:p w14:paraId="65C191B2">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姓名</w:t>
            </w:r>
          </w:p>
        </w:tc>
        <w:tc>
          <w:tcPr>
            <w:tcW w:w="1364" w:type="dxa"/>
            <w:tcBorders>
              <w:top w:val="single" w:color="auto" w:sz="4" w:space="0"/>
              <w:left w:val="single" w:color="auto" w:sz="4" w:space="0"/>
              <w:bottom w:val="single" w:color="auto" w:sz="4" w:space="0"/>
              <w:right w:val="single" w:color="auto" w:sz="4" w:space="0"/>
            </w:tcBorders>
            <w:noWrap w:val="0"/>
            <w:vAlign w:val="center"/>
          </w:tcPr>
          <w:p w14:paraId="533E775E">
            <w:pPr>
              <w:spacing w:line="360" w:lineRule="auto"/>
              <w:jc w:val="center"/>
              <w:rPr>
                <w:rFonts w:hint="default" w:ascii="Times New Roman" w:hAnsi="Times New Roman" w:cs="Times New Roman"/>
                <w:color w:val="000000" w:themeColor="text1"/>
                <w14:textFill>
                  <w14:solidFill>
                    <w14:schemeClr w14:val="tx1"/>
                  </w14:solidFill>
                </w14:textFill>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14:paraId="2840AFEB">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年龄</w:t>
            </w:r>
          </w:p>
        </w:tc>
        <w:tc>
          <w:tcPr>
            <w:tcW w:w="1437" w:type="dxa"/>
            <w:gridSpan w:val="2"/>
            <w:tcBorders>
              <w:top w:val="single" w:color="auto" w:sz="4" w:space="0"/>
              <w:left w:val="single" w:color="auto" w:sz="4" w:space="0"/>
              <w:bottom w:val="single" w:color="auto" w:sz="4" w:space="0"/>
              <w:right w:val="single" w:color="auto" w:sz="4" w:space="0"/>
            </w:tcBorders>
            <w:noWrap w:val="0"/>
            <w:vAlign w:val="center"/>
          </w:tcPr>
          <w:p w14:paraId="30AA2273">
            <w:pPr>
              <w:spacing w:line="360" w:lineRule="auto"/>
              <w:jc w:val="center"/>
              <w:rPr>
                <w:rFonts w:hint="default" w:ascii="Times New Roman" w:hAnsi="Times New Roman" w:cs="Times New Roman"/>
                <w:color w:val="000000" w:themeColor="text1"/>
                <w14:textFill>
                  <w14:solidFill>
                    <w14:schemeClr w14:val="tx1"/>
                  </w14:solidFill>
                </w14:textFill>
              </w:rPr>
            </w:pPr>
          </w:p>
        </w:tc>
        <w:tc>
          <w:tcPr>
            <w:tcW w:w="1975" w:type="dxa"/>
            <w:gridSpan w:val="2"/>
            <w:tcBorders>
              <w:top w:val="single" w:color="auto" w:sz="4" w:space="0"/>
              <w:left w:val="single" w:color="auto" w:sz="4" w:space="0"/>
              <w:bottom w:val="single" w:color="auto" w:sz="4" w:space="0"/>
              <w:right w:val="single" w:color="auto" w:sz="4" w:space="0"/>
            </w:tcBorders>
            <w:noWrap w:val="0"/>
            <w:vAlign w:val="center"/>
          </w:tcPr>
          <w:p w14:paraId="4A1F5D6E">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学          历</w:t>
            </w:r>
          </w:p>
        </w:tc>
        <w:tc>
          <w:tcPr>
            <w:tcW w:w="1785" w:type="dxa"/>
            <w:tcBorders>
              <w:top w:val="single" w:color="auto" w:sz="4" w:space="0"/>
              <w:left w:val="single" w:color="auto" w:sz="4" w:space="0"/>
              <w:bottom w:val="single" w:color="auto" w:sz="4" w:space="0"/>
              <w:right w:val="single" w:color="auto" w:sz="4" w:space="0"/>
            </w:tcBorders>
            <w:noWrap w:val="0"/>
            <w:vAlign w:val="center"/>
          </w:tcPr>
          <w:p w14:paraId="15A63F02">
            <w:pPr>
              <w:spacing w:line="360" w:lineRule="auto"/>
              <w:jc w:val="center"/>
              <w:rPr>
                <w:rFonts w:hint="default" w:ascii="Times New Roman" w:hAnsi="Times New Roman" w:cs="Times New Roman"/>
                <w:color w:val="000000" w:themeColor="text1"/>
                <w14:textFill>
                  <w14:solidFill>
                    <w14:schemeClr w14:val="tx1"/>
                  </w14:solidFill>
                </w14:textFill>
              </w:rPr>
            </w:pPr>
          </w:p>
        </w:tc>
      </w:tr>
      <w:tr w14:paraId="4FC17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613" w:type="dxa"/>
            <w:gridSpan w:val="2"/>
            <w:tcBorders>
              <w:top w:val="single" w:color="auto" w:sz="4" w:space="0"/>
              <w:left w:val="single" w:color="auto" w:sz="4" w:space="0"/>
              <w:bottom w:val="single" w:color="auto" w:sz="4" w:space="0"/>
              <w:right w:val="single" w:color="auto" w:sz="4" w:space="0"/>
            </w:tcBorders>
            <w:noWrap w:val="0"/>
            <w:vAlign w:val="center"/>
          </w:tcPr>
          <w:p w14:paraId="34D6FE13">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职称</w:t>
            </w:r>
          </w:p>
        </w:tc>
        <w:tc>
          <w:tcPr>
            <w:tcW w:w="1364" w:type="dxa"/>
            <w:tcBorders>
              <w:top w:val="single" w:color="auto" w:sz="4" w:space="0"/>
              <w:left w:val="single" w:color="auto" w:sz="4" w:space="0"/>
              <w:bottom w:val="single" w:color="auto" w:sz="4" w:space="0"/>
              <w:right w:val="single" w:color="auto" w:sz="4" w:space="0"/>
            </w:tcBorders>
            <w:noWrap w:val="0"/>
            <w:vAlign w:val="center"/>
          </w:tcPr>
          <w:p w14:paraId="74E90F83">
            <w:pPr>
              <w:spacing w:line="360" w:lineRule="auto"/>
              <w:jc w:val="center"/>
              <w:rPr>
                <w:rFonts w:hint="default" w:ascii="Times New Roman" w:hAnsi="Times New Roman" w:cs="Times New Roman"/>
                <w:color w:val="000000" w:themeColor="text1"/>
                <w14:textFill>
                  <w14:solidFill>
                    <w14:schemeClr w14:val="tx1"/>
                  </w14:solidFill>
                </w14:textFill>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14:paraId="1AD48719">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职业资格</w:t>
            </w:r>
          </w:p>
        </w:tc>
        <w:tc>
          <w:tcPr>
            <w:tcW w:w="1437" w:type="dxa"/>
            <w:gridSpan w:val="2"/>
            <w:tcBorders>
              <w:top w:val="single" w:color="auto" w:sz="4" w:space="0"/>
              <w:left w:val="single" w:color="auto" w:sz="4" w:space="0"/>
              <w:bottom w:val="single" w:color="auto" w:sz="4" w:space="0"/>
              <w:right w:val="single" w:color="auto" w:sz="4" w:space="0"/>
            </w:tcBorders>
            <w:noWrap w:val="0"/>
            <w:vAlign w:val="center"/>
          </w:tcPr>
          <w:p w14:paraId="03709D41">
            <w:pPr>
              <w:spacing w:line="360" w:lineRule="auto"/>
              <w:jc w:val="center"/>
              <w:rPr>
                <w:rFonts w:hint="default" w:ascii="Times New Roman" w:hAnsi="Times New Roman" w:cs="Times New Roman"/>
                <w:color w:val="000000" w:themeColor="text1"/>
                <w14:textFill>
                  <w14:solidFill>
                    <w14:schemeClr w14:val="tx1"/>
                  </w14:solidFill>
                </w14:textFill>
              </w:rPr>
            </w:pPr>
          </w:p>
        </w:tc>
        <w:tc>
          <w:tcPr>
            <w:tcW w:w="1975" w:type="dxa"/>
            <w:gridSpan w:val="2"/>
            <w:tcBorders>
              <w:top w:val="single" w:color="auto" w:sz="4" w:space="0"/>
              <w:left w:val="single" w:color="auto" w:sz="4" w:space="0"/>
              <w:bottom w:val="single" w:color="auto" w:sz="4" w:space="0"/>
              <w:right w:val="single" w:color="auto" w:sz="4" w:space="0"/>
            </w:tcBorders>
            <w:noWrap w:val="0"/>
            <w:vAlign w:val="center"/>
          </w:tcPr>
          <w:p w14:paraId="02494228">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拟在本合同任职</w:t>
            </w:r>
          </w:p>
        </w:tc>
        <w:tc>
          <w:tcPr>
            <w:tcW w:w="1785" w:type="dxa"/>
            <w:tcBorders>
              <w:top w:val="single" w:color="auto" w:sz="4" w:space="0"/>
              <w:left w:val="single" w:color="auto" w:sz="4" w:space="0"/>
              <w:bottom w:val="single" w:color="auto" w:sz="4" w:space="0"/>
              <w:right w:val="single" w:color="auto" w:sz="4" w:space="0"/>
            </w:tcBorders>
            <w:noWrap w:val="0"/>
            <w:vAlign w:val="center"/>
          </w:tcPr>
          <w:p w14:paraId="4EA499ED">
            <w:pPr>
              <w:spacing w:line="360" w:lineRule="auto"/>
              <w:jc w:val="center"/>
              <w:rPr>
                <w:rFonts w:hint="default" w:ascii="Times New Roman" w:hAnsi="Times New Roman" w:cs="Times New Roman"/>
                <w:color w:val="000000" w:themeColor="text1"/>
                <w14:textFill>
                  <w14:solidFill>
                    <w14:schemeClr w14:val="tx1"/>
                  </w14:solidFill>
                </w14:textFill>
              </w:rPr>
            </w:pPr>
          </w:p>
        </w:tc>
      </w:tr>
      <w:tr w14:paraId="19D17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13" w:type="dxa"/>
            <w:gridSpan w:val="2"/>
            <w:tcBorders>
              <w:top w:val="single" w:color="auto" w:sz="4" w:space="0"/>
              <w:left w:val="single" w:color="auto" w:sz="4" w:space="0"/>
              <w:bottom w:val="single" w:color="auto" w:sz="4" w:space="0"/>
              <w:right w:val="single" w:color="auto" w:sz="4" w:space="0"/>
            </w:tcBorders>
            <w:noWrap w:val="0"/>
            <w:vAlign w:val="center"/>
          </w:tcPr>
          <w:p w14:paraId="73678F4E">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毕业学校</w:t>
            </w:r>
          </w:p>
        </w:tc>
        <w:tc>
          <w:tcPr>
            <w:tcW w:w="7896" w:type="dxa"/>
            <w:gridSpan w:val="7"/>
            <w:tcBorders>
              <w:top w:val="single" w:color="auto" w:sz="4" w:space="0"/>
              <w:left w:val="single" w:color="auto" w:sz="4" w:space="0"/>
              <w:bottom w:val="single" w:color="auto" w:sz="4" w:space="0"/>
              <w:right w:val="single" w:color="auto" w:sz="4" w:space="0"/>
            </w:tcBorders>
            <w:noWrap w:val="0"/>
            <w:vAlign w:val="center"/>
          </w:tcPr>
          <w:p w14:paraId="3294A18B">
            <w:pPr>
              <w:spacing w:line="360" w:lineRule="auto"/>
              <w:ind w:firstLine="525" w:firstLineChars="250"/>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年毕业于                 学校         专业</w:t>
            </w:r>
          </w:p>
        </w:tc>
      </w:tr>
      <w:tr w14:paraId="52169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509" w:type="dxa"/>
            <w:gridSpan w:val="9"/>
            <w:tcBorders>
              <w:top w:val="single" w:color="auto" w:sz="4" w:space="0"/>
              <w:left w:val="single" w:color="auto" w:sz="4" w:space="0"/>
              <w:bottom w:val="single" w:color="auto" w:sz="4" w:space="0"/>
              <w:right w:val="single" w:color="auto" w:sz="4" w:space="0"/>
            </w:tcBorders>
            <w:noWrap w:val="0"/>
            <w:vAlign w:val="center"/>
          </w:tcPr>
          <w:p w14:paraId="470C1D40">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主要工作经历</w:t>
            </w:r>
          </w:p>
        </w:tc>
      </w:tr>
      <w:tr w14:paraId="7AC56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259" w:type="dxa"/>
            <w:tcBorders>
              <w:top w:val="single" w:color="auto" w:sz="4" w:space="0"/>
              <w:left w:val="single" w:color="auto" w:sz="4" w:space="0"/>
              <w:bottom w:val="single" w:color="auto" w:sz="4" w:space="0"/>
              <w:right w:val="single" w:color="auto" w:sz="4" w:space="0"/>
            </w:tcBorders>
            <w:noWrap w:val="0"/>
            <w:vAlign w:val="center"/>
          </w:tcPr>
          <w:p w14:paraId="37F0B2DD">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时间</w:t>
            </w:r>
          </w:p>
        </w:tc>
        <w:tc>
          <w:tcPr>
            <w:tcW w:w="3951" w:type="dxa"/>
            <w:gridSpan w:val="4"/>
            <w:tcBorders>
              <w:top w:val="single" w:color="auto" w:sz="4" w:space="0"/>
              <w:left w:val="single" w:color="auto" w:sz="4" w:space="0"/>
              <w:bottom w:val="single" w:color="auto" w:sz="4" w:space="0"/>
              <w:right w:val="single" w:color="auto" w:sz="4" w:space="0"/>
            </w:tcBorders>
            <w:noWrap w:val="0"/>
            <w:vAlign w:val="center"/>
          </w:tcPr>
          <w:p w14:paraId="7BB5475A">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参加过的类似项目</w:t>
            </w:r>
          </w:p>
        </w:tc>
        <w:tc>
          <w:tcPr>
            <w:tcW w:w="1788" w:type="dxa"/>
            <w:gridSpan w:val="2"/>
            <w:tcBorders>
              <w:top w:val="single" w:color="auto" w:sz="4" w:space="0"/>
              <w:left w:val="single" w:color="auto" w:sz="4" w:space="0"/>
              <w:bottom w:val="single" w:color="auto" w:sz="4" w:space="0"/>
              <w:right w:val="single" w:color="auto" w:sz="4" w:space="0"/>
            </w:tcBorders>
            <w:noWrap w:val="0"/>
            <w:vAlign w:val="center"/>
          </w:tcPr>
          <w:p w14:paraId="094BC9B4">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担任职务</w:t>
            </w:r>
          </w:p>
        </w:tc>
        <w:tc>
          <w:tcPr>
            <w:tcW w:w="2511" w:type="dxa"/>
            <w:gridSpan w:val="2"/>
            <w:tcBorders>
              <w:top w:val="single" w:color="auto" w:sz="4" w:space="0"/>
              <w:left w:val="single" w:color="auto" w:sz="4" w:space="0"/>
              <w:bottom w:val="single" w:color="auto" w:sz="4" w:space="0"/>
              <w:right w:val="single" w:color="auto" w:sz="4" w:space="0"/>
            </w:tcBorders>
            <w:noWrap w:val="0"/>
            <w:vAlign w:val="center"/>
          </w:tcPr>
          <w:p w14:paraId="58D92276">
            <w:pPr>
              <w:spacing w:line="360" w:lineRule="auto"/>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采购单位</w:t>
            </w:r>
          </w:p>
        </w:tc>
      </w:tr>
      <w:tr w14:paraId="32D5F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259" w:type="dxa"/>
            <w:tcBorders>
              <w:top w:val="single" w:color="auto" w:sz="4" w:space="0"/>
              <w:left w:val="single" w:color="auto" w:sz="4" w:space="0"/>
              <w:bottom w:val="single" w:color="auto" w:sz="4" w:space="0"/>
              <w:right w:val="single" w:color="auto" w:sz="4" w:space="0"/>
            </w:tcBorders>
            <w:noWrap w:val="0"/>
            <w:vAlign w:val="top"/>
          </w:tcPr>
          <w:p w14:paraId="5E2B3DC0">
            <w:pPr>
              <w:spacing w:line="360" w:lineRule="auto"/>
              <w:rPr>
                <w:rFonts w:hint="default" w:ascii="Times New Roman" w:hAnsi="Times New Roman" w:cs="Times New Roman"/>
                <w:color w:val="000000" w:themeColor="text1"/>
                <w14:textFill>
                  <w14:solidFill>
                    <w14:schemeClr w14:val="tx1"/>
                  </w14:solidFill>
                </w14:textFill>
              </w:rPr>
            </w:pPr>
          </w:p>
        </w:tc>
        <w:tc>
          <w:tcPr>
            <w:tcW w:w="3951" w:type="dxa"/>
            <w:gridSpan w:val="4"/>
            <w:tcBorders>
              <w:top w:val="single" w:color="auto" w:sz="4" w:space="0"/>
              <w:left w:val="single" w:color="auto" w:sz="4" w:space="0"/>
              <w:bottom w:val="single" w:color="auto" w:sz="4" w:space="0"/>
              <w:right w:val="single" w:color="auto" w:sz="4" w:space="0"/>
            </w:tcBorders>
            <w:noWrap w:val="0"/>
            <w:vAlign w:val="top"/>
          </w:tcPr>
          <w:p w14:paraId="17334E16">
            <w:pPr>
              <w:spacing w:line="360" w:lineRule="auto"/>
              <w:rPr>
                <w:rFonts w:hint="default" w:ascii="Times New Roman" w:hAnsi="Times New Roman" w:cs="Times New Roman"/>
                <w:color w:val="000000" w:themeColor="text1"/>
                <w14:textFill>
                  <w14:solidFill>
                    <w14:schemeClr w14:val="tx1"/>
                  </w14:solidFill>
                </w14:textFill>
              </w:rPr>
            </w:pPr>
          </w:p>
        </w:tc>
        <w:tc>
          <w:tcPr>
            <w:tcW w:w="1788" w:type="dxa"/>
            <w:gridSpan w:val="2"/>
            <w:tcBorders>
              <w:top w:val="single" w:color="auto" w:sz="4" w:space="0"/>
              <w:left w:val="single" w:color="auto" w:sz="4" w:space="0"/>
              <w:bottom w:val="single" w:color="auto" w:sz="4" w:space="0"/>
              <w:right w:val="single" w:color="auto" w:sz="4" w:space="0"/>
            </w:tcBorders>
            <w:noWrap w:val="0"/>
            <w:vAlign w:val="top"/>
          </w:tcPr>
          <w:p w14:paraId="7331A3E2">
            <w:pPr>
              <w:spacing w:line="360" w:lineRule="auto"/>
              <w:rPr>
                <w:rFonts w:hint="default" w:ascii="Times New Roman" w:hAnsi="Times New Roman" w:cs="Times New Roman"/>
                <w:color w:val="000000" w:themeColor="text1"/>
                <w14:textFill>
                  <w14:solidFill>
                    <w14:schemeClr w14:val="tx1"/>
                  </w14:solidFill>
                </w14:textFill>
              </w:rPr>
            </w:pPr>
          </w:p>
        </w:tc>
        <w:tc>
          <w:tcPr>
            <w:tcW w:w="2511" w:type="dxa"/>
            <w:gridSpan w:val="2"/>
            <w:tcBorders>
              <w:top w:val="single" w:color="auto" w:sz="4" w:space="0"/>
              <w:left w:val="single" w:color="auto" w:sz="4" w:space="0"/>
              <w:bottom w:val="single" w:color="auto" w:sz="4" w:space="0"/>
              <w:right w:val="single" w:color="auto" w:sz="4" w:space="0"/>
            </w:tcBorders>
            <w:noWrap w:val="0"/>
            <w:vAlign w:val="top"/>
          </w:tcPr>
          <w:p w14:paraId="01FCAA50">
            <w:pPr>
              <w:spacing w:line="360" w:lineRule="auto"/>
              <w:rPr>
                <w:rFonts w:hint="default" w:ascii="Times New Roman" w:hAnsi="Times New Roman" w:cs="Times New Roman"/>
                <w:color w:val="000000" w:themeColor="text1"/>
                <w14:textFill>
                  <w14:solidFill>
                    <w14:schemeClr w14:val="tx1"/>
                  </w14:solidFill>
                </w14:textFill>
              </w:rPr>
            </w:pPr>
          </w:p>
        </w:tc>
      </w:tr>
      <w:tr w14:paraId="52A70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259" w:type="dxa"/>
            <w:tcBorders>
              <w:top w:val="single" w:color="auto" w:sz="4" w:space="0"/>
              <w:left w:val="single" w:color="auto" w:sz="4" w:space="0"/>
              <w:bottom w:val="single" w:color="auto" w:sz="4" w:space="0"/>
              <w:right w:val="single" w:color="auto" w:sz="4" w:space="0"/>
            </w:tcBorders>
            <w:noWrap w:val="0"/>
            <w:vAlign w:val="top"/>
          </w:tcPr>
          <w:p w14:paraId="63FB5677">
            <w:pPr>
              <w:spacing w:line="360" w:lineRule="auto"/>
              <w:rPr>
                <w:rFonts w:hint="default" w:ascii="Times New Roman" w:hAnsi="Times New Roman" w:cs="Times New Roman"/>
                <w:color w:val="000000" w:themeColor="text1"/>
                <w14:textFill>
                  <w14:solidFill>
                    <w14:schemeClr w14:val="tx1"/>
                  </w14:solidFill>
                </w14:textFill>
              </w:rPr>
            </w:pPr>
          </w:p>
        </w:tc>
        <w:tc>
          <w:tcPr>
            <w:tcW w:w="3951" w:type="dxa"/>
            <w:gridSpan w:val="4"/>
            <w:tcBorders>
              <w:top w:val="single" w:color="auto" w:sz="4" w:space="0"/>
              <w:left w:val="single" w:color="auto" w:sz="4" w:space="0"/>
              <w:bottom w:val="single" w:color="auto" w:sz="4" w:space="0"/>
              <w:right w:val="single" w:color="auto" w:sz="4" w:space="0"/>
            </w:tcBorders>
            <w:noWrap w:val="0"/>
            <w:vAlign w:val="top"/>
          </w:tcPr>
          <w:p w14:paraId="03A6D8C2">
            <w:pPr>
              <w:spacing w:line="360" w:lineRule="auto"/>
              <w:rPr>
                <w:rFonts w:hint="default" w:ascii="Times New Roman" w:hAnsi="Times New Roman" w:cs="Times New Roman"/>
                <w:color w:val="000000" w:themeColor="text1"/>
                <w14:textFill>
                  <w14:solidFill>
                    <w14:schemeClr w14:val="tx1"/>
                  </w14:solidFill>
                </w14:textFill>
              </w:rPr>
            </w:pPr>
          </w:p>
        </w:tc>
        <w:tc>
          <w:tcPr>
            <w:tcW w:w="1788" w:type="dxa"/>
            <w:gridSpan w:val="2"/>
            <w:tcBorders>
              <w:top w:val="single" w:color="auto" w:sz="4" w:space="0"/>
              <w:left w:val="single" w:color="auto" w:sz="4" w:space="0"/>
              <w:bottom w:val="single" w:color="auto" w:sz="4" w:space="0"/>
              <w:right w:val="single" w:color="auto" w:sz="4" w:space="0"/>
            </w:tcBorders>
            <w:noWrap w:val="0"/>
            <w:vAlign w:val="top"/>
          </w:tcPr>
          <w:p w14:paraId="44923B79">
            <w:pPr>
              <w:spacing w:line="360" w:lineRule="auto"/>
              <w:rPr>
                <w:rFonts w:hint="default" w:ascii="Times New Roman" w:hAnsi="Times New Roman" w:cs="Times New Roman"/>
                <w:color w:val="000000" w:themeColor="text1"/>
                <w14:textFill>
                  <w14:solidFill>
                    <w14:schemeClr w14:val="tx1"/>
                  </w14:solidFill>
                </w14:textFill>
              </w:rPr>
            </w:pPr>
          </w:p>
        </w:tc>
        <w:tc>
          <w:tcPr>
            <w:tcW w:w="2511" w:type="dxa"/>
            <w:gridSpan w:val="2"/>
            <w:tcBorders>
              <w:top w:val="single" w:color="auto" w:sz="4" w:space="0"/>
              <w:left w:val="single" w:color="auto" w:sz="4" w:space="0"/>
              <w:bottom w:val="single" w:color="auto" w:sz="4" w:space="0"/>
              <w:right w:val="single" w:color="auto" w:sz="4" w:space="0"/>
            </w:tcBorders>
            <w:noWrap w:val="0"/>
            <w:vAlign w:val="top"/>
          </w:tcPr>
          <w:p w14:paraId="4A4BB5B3">
            <w:pPr>
              <w:spacing w:line="360" w:lineRule="auto"/>
              <w:rPr>
                <w:rFonts w:hint="default" w:ascii="Times New Roman" w:hAnsi="Times New Roman" w:cs="Times New Roman"/>
                <w:color w:val="000000" w:themeColor="text1"/>
                <w14:textFill>
                  <w14:solidFill>
                    <w14:schemeClr w14:val="tx1"/>
                  </w14:solidFill>
                </w14:textFill>
              </w:rPr>
            </w:pPr>
          </w:p>
        </w:tc>
      </w:tr>
      <w:tr w14:paraId="59E69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259" w:type="dxa"/>
            <w:tcBorders>
              <w:top w:val="single" w:color="auto" w:sz="4" w:space="0"/>
              <w:left w:val="single" w:color="auto" w:sz="4" w:space="0"/>
              <w:bottom w:val="single" w:color="auto" w:sz="4" w:space="0"/>
              <w:right w:val="single" w:color="auto" w:sz="4" w:space="0"/>
            </w:tcBorders>
            <w:noWrap w:val="0"/>
            <w:vAlign w:val="top"/>
          </w:tcPr>
          <w:p w14:paraId="54F866F4">
            <w:pPr>
              <w:spacing w:line="360" w:lineRule="auto"/>
              <w:rPr>
                <w:rFonts w:hint="default" w:ascii="Times New Roman" w:hAnsi="Times New Roman" w:cs="Times New Roman"/>
                <w:color w:val="000000" w:themeColor="text1"/>
                <w14:textFill>
                  <w14:solidFill>
                    <w14:schemeClr w14:val="tx1"/>
                  </w14:solidFill>
                </w14:textFill>
              </w:rPr>
            </w:pPr>
          </w:p>
        </w:tc>
        <w:tc>
          <w:tcPr>
            <w:tcW w:w="3951" w:type="dxa"/>
            <w:gridSpan w:val="4"/>
            <w:tcBorders>
              <w:top w:val="single" w:color="auto" w:sz="4" w:space="0"/>
              <w:left w:val="single" w:color="auto" w:sz="4" w:space="0"/>
              <w:bottom w:val="single" w:color="auto" w:sz="4" w:space="0"/>
              <w:right w:val="single" w:color="auto" w:sz="4" w:space="0"/>
            </w:tcBorders>
            <w:noWrap w:val="0"/>
            <w:vAlign w:val="top"/>
          </w:tcPr>
          <w:p w14:paraId="709805EC">
            <w:pPr>
              <w:spacing w:line="360" w:lineRule="auto"/>
              <w:rPr>
                <w:rFonts w:hint="default" w:ascii="Times New Roman" w:hAnsi="Times New Roman" w:cs="Times New Roman"/>
                <w:color w:val="000000" w:themeColor="text1"/>
                <w14:textFill>
                  <w14:solidFill>
                    <w14:schemeClr w14:val="tx1"/>
                  </w14:solidFill>
                </w14:textFill>
              </w:rPr>
            </w:pPr>
          </w:p>
        </w:tc>
        <w:tc>
          <w:tcPr>
            <w:tcW w:w="1788" w:type="dxa"/>
            <w:gridSpan w:val="2"/>
            <w:tcBorders>
              <w:top w:val="single" w:color="auto" w:sz="4" w:space="0"/>
              <w:left w:val="single" w:color="auto" w:sz="4" w:space="0"/>
              <w:bottom w:val="single" w:color="auto" w:sz="4" w:space="0"/>
              <w:right w:val="single" w:color="auto" w:sz="4" w:space="0"/>
            </w:tcBorders>
            <w:noWrap w:val="0"/>
            <w:vAlign w:val="top"/>
          </w:tcPr>
          <w:p w14:paraId="5BCE6765">
            <w:pPr>
              <w:spacing w:line="360" w:lineRule="auto"/>
              <w:rPr>
                <w:rFonts w:hint="default" w:ascii="Times New Roman" w:hAnsi="Times New Roman" w:cs="Times New Roman"/>
                <w:color w:val="000000" w:themeColor="text1"/>
                <w14:textFill>
                  <w14:solidFill>
                    <w14:schemeClr w14:val="tx1"/>
                  </w14:solidFill>
                </w14:textFill>
              </w:rPr>
            </w:pPr>
          </w:p>
        </w:tc>
        <w:tc>
          <w:tcPr>
            <w:tcW w:w="2511" w:type="dxa"/>
            <w:gridSpan w:val="2"/>
            <w:tcBorders>
              <w:top w:val="single" w:color="auto" w:sz="4" w:space="0"/>
              <w:left w:val="single" w:color="auto" w:sz="4" w:space="0"/>
              <w:bottom w:val="single" w:color="auto" w:sz="4" w:space="0"/>
              <w:right w:val="single" w:color="auto" w:sz="4" w:space="0"/>
            </w:tcBorders>
            <w:noWrap w:val="0"/>
            <w:vAlign w:val="top"/>
          </w:tcPr>
          <w:p w14:paraId="7212DA13">
            <w:pPr>
              <w:spacing w:line="360" w:lineRule="auto"/>
              <w:rPr>
                <w:rFonts w:hint="default" w:ascii="Times New Roman" w:hAnsi="Times New Roman" w:cs="Times New Roman"/>
                <w:color w:val="000000" w:themeColor="text1"/>
                <w14:textFill>
                  <w14:solidFill>
                    <w14:schemeClr w14:val="tx1"/>
                  </w14:solidFill>
                </w14:textFill>
              </w:rPr>
            </w:pPr>
          </w:p>
        </w:tc>
      </w:tr>
      <w:tr w14:paraId="4889D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59" w:type="dxa"/>
            <w:tcBorders>
              <w:top w:val="single" w:color="auto" w:sz="4" w:space="0"/>
              <w:left w:val="single" w:color="auto" w:sz="4" w:space="0"/>
              <w:bottom w:val="single" w:color="auto" w:sz="4" w:space="0"/>
              <w:right w:val="single" w:color="auto" w:sz="4" w:space="0"/>
            </w:tcBorders>
            <w:noWrap w:val="0"/>
            <w:vAlign w:val="top"/>
          </w:tcPr>
          <w:p w14:paraId="181919C4">
            <w:pPr>
              <w:spacing w:line="360" w:lineRule="auto"/>
              <w:rPr>
                <w:rFonts w:hint="default" w:ascii="Times New Roman" w:hAnsi="Times New Roman" w:cs="Times New Roman"/>
                <w:color w:val="000000" w:themeColor="text1"/>
                <w14:textFill>
                  <w14:solidFill>
                    <w14:schemeClr w14:val="tx1"/>
                  </w14:solidFill>
                </w14:textFill>
              </w:rPr>
            </w:pPr>
          </w:p>
        </w:tc>
        <w:tc>
          <w:tcPr>
            <w:tcW w:w="3951" w:type="dxa"/>
            <w:gridSpan w:val="4"/>
            <w:tcBorders>
              <w:top w:val="single" w:color="auto" w:sz="4" w:space="0"/>
              <w:left w:val="single" w:color="auto" w:sz="4" w:space="0"/>
              <w:bottom w:val="single" w:color="auto" w:sz="4" w:space="0"/>
              <w:right w:val="single" w:color="auto" w:sz="4" w:space="0"/>
            </w:tcBorders>
            <w:noWrap w:val="0"/>
            <w:vAlign w:val="top"/>
          </w:tcPr>
          <w:p w14:paraId="5BCA5357">
            <w:pPr>
              <w:spacing w:line="360" w:lineRule="auto"/>
              <w:rPr>
                <w:rFonts w:hint="default" w:ascii="Times New Roman" w:hAnsi="Times New Roman" w:cs="Times New Roman"/>
                <w:color w:val="000000" w:themeColor="text1"/>
                <w14:textFill>
                  <w14:solidFill>
                    <w14:schemeClr w14:val="tx1"/>
                  </w14:solidFill>
                </w14:textFill>
              </w:rPr>
            </w:pPr>
          </w:p>
        </w:tc>
        <w:tc>
          <w:tcPr>
            <w:tcW w:w="1788" w:type="dxa"/>
            <w:gridSpan w:val="2"/>
            <w:tcBorders>
              <w:top w:val="single" w:color="auto" w:sz="4" w:space="0"/>
              <w:left w:val="single" w:color="auto" w:sz="4" w:space="0"/>
              <w:bottom w:val="single" w:color="auto" w:sz="4" w:space="0"/>
              <w:right w:val="single" w:color="auto" w:sz="4" w:space="0"/>
            </w:tcBorders>
            <w:noWrap w:val="0"/>
            <w:vAlign w:val="top"/>
          </w:tcPr>
          <w:p w14:paraId="5FE47FAE">
            <w:pPr>
              <w:spacing w:line="360" w:lineRule="auto"/>
              <w:rPr>
                <w:rFonts w:hint="default" w:ascii="Times New Roman" w:hAnsi="Times New Roman" w:cs="Times New Roman"/>
                <w:color w:val="000000" w:themeColor="text1"/>
                <w14:textFill>
                  <w14:solidFill>
                    <w14:schemeClr w14:val="tx1"/>
                  </w14:solidFill>
                </w14:textFill>
              </w:rPr>
            </w:pPr>
          </w:p>
        </w:tc>
        <w:tc>
          <w:tcPr>
            <w:tcW w:w="2511" w:type="dxa"/>
            <w:gridSpan w:val="2"/>
            <w:tcBorders>
              <w:top w:val="single" w:color="auto" w:sz="4" w:space="0"/>
              <w:left w:val="single" w:color="auto" w:sz="4" w:space="0"/>
              <w:bottom w:val="single" w:color="auto" w:sz="4" w:space="0"/>
              <w:right w:val="single" w:color="auto" w:sz="4" w:space="0"/>
            </w:tcBorders>
            <w:noWrap w:val="0"/>
            <w:vAlign w:val="top"/>
          </w:tcPr>
          <w:p w14:paraId="1FF970C9">
            <w:pPr>
              <w:spacing w:line="360" w:lineRule="auto"/>
              <w:rPr>
                <w:rFonts w:hint="default" w:ascii="Times New Roman" w:hAnsi="Times New Roman" w:cs="Times New Roman"/>
                <w:color w:val="000000" w:themeColor="text1"/>
                <w14:textFill>
                  <w14:solidFill>
                    <w14:schemeClr w14:val="tx1"/>
                  </w14:solidFill>
                </w14:textFill>
              </w:rPr>
            </w:pPr>
          </w:p>
        </w:tc>
      </w:tr>
      <w:tr w14:paraId="3D335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59" w:type="dxa"/>
            <w:tcBorders>
              <w:top w:val="single" w:color="auto" w:sz="4" w:space="0"/>
              <w:left w:val="single" w:color="auto" w:sz="4" w:space="0"/>
              <w:bottom w:val="single" w:color="auto" w:sz="4" w:space="0"/>
              <w:right w:val="single" w:color="auto" w:sz="4" w:space="0"/>
            </w:tcBorders>
            <w:noWrap w:val="0"/>
            <w:vAlign w:val="top"/>
          </w:tcPr>
          <w:p w14:paraId="0360DED7">
            <w:pPr>
              <w:spacing w:line="360" w:lineRule="auto"/>
              <w:rPr>
                <w:rFonts w:hint="default" w:ascii="Times New Roman" w:hAnsi="Times New Roman" w:cs="Times New Roman"/>
                <w:color w:val="000000" w:themeColor="text1"/>
                <w14:textFill>
                  <w14:solidFill>
                    <w14:schemeClr w14:val="tx1"/>
                  </w14:solidFill>
                </w14:textFill>
              </w:rPr>
            </w:pPr>
          </w:p>
        </w:tc>
        <w:tc>
          <w:tcPr>
            <w:tcW w:w="3951" w:type="dxa"/>
            <w:gridSpan w:val="4"/>
            <w:tcBorders>
              <w:top w:val="single" w:color="auto" w:sz="4" w:space="0"/>
              <w:left w:val="single" w:color="auto" w:sz="4" w:space="0"/>
              <w:bottom w:val="single" w:color="auto" w:sz="4" w:space="0"/>
              <w:right w:val="single" w:color="auto" w:sz="4" w:space="0"/>
            </w:tcBorders>
            <w:noWrap w:val="0"/>
            <w:vAlign w:val="top"/>
          </w:tcPr>
          <w:p w14:paraId="6CAA386A">
            <w:pPr>
              <w:spacing w:line="360" w:lineRule="auto"/>
              <w:rPr>
                <w:rFonts w:hint="default" w:ascii="Times New Roman" w:hAnsi="Times New Roman" w:cs="Times New Roman"/>
                <w:color w:val="000000" w:themeColor="text1"/>
                <w14:textFill>
                  <w14:solidFill>
                    <w14:schemeClr w14:val="tx1"/>
                  </w14:solidFill>
                </w14:textFill>
              </w:rPr>
            </w:pPr>
          </w:p>
        </w:tc>
        <w:tc>
          <w:tcPr>
            <w:tcW w:w="1788" w:type="dxa"/>
            <w:gridSpan w:val="2"/>
            <w:tcBorders>
              <w:top w:val="single" w:color="auto" w:sz="4" w:space="0"/>
              <w:left w:val="single" w:color="auto" w:sz="4" w:space="0"/>
              <w:bottom w:val="single" w:color="auto" w:sz="4" w:space="0"/>
              <w:right w:val="single" w:color="auto" w:sz="4" w:space="0"/>
            </w:tcBorders>
            <w:noWrap w:val="0"/>
            <w:vAlign w:val="top"/>
          </w:tcPr>
          <w:p w14:paraId="0DAC94E3">
            <w:pPr>
              <w:spacing w:line="360" w:lineRule="auto"/>
              <w:rPr>
                <w:rFonts w:hint="default" w:ascii="Times New Roman" w:hAnsi="Times New Roman" w:cs="Times New Roman"/>
                <w:color w:val="000000" w:themeColor="text1"/>
                <w14:textFill>
                  <w14:solidFill>
                    <w14:schemeClr w14:val="tx1"/>
                  </w14:solidFill>
                </w14:textFill>
              </w:rPr>
            </w:pPr>
          </w:p>
        </w:tc>
        <w:tc>
          <w:tcPr>
            <w:tcW w:w="2511" w:type="dxa"/>
            <w:gridSpan w:val="2"/>
            <w:tcBorders>
              <w:top w:val="single" w:color="auto" w:sz="4" w:space="0"/>
              <w:left w:val="single" w:color="auto" w:sz="4" w:space="0"/>
              <w:bottom w:val="single" w:color="auto" w:sz="4" w:space="0"/>
              <w:right w:val="single" w:color="auto" w:sz="4" w:space="0"/>
            </w:tcBorders>
            <w:noWrap w:val="0"/>
            <w:vAlign w:val="top"/>
          </w:tcPr>
          <w:p w14:paraId="41868B38">
            <w:pPr>
              <w:spacing w:line="360" w:lineRule="auto"/>
              <w:rPr>
                <w:rFonts w:hint="default" w:ascii="Times New Roman" w:hAnsi="Times New Roman" w:cs="Times New Roman"/>
                <w:color w:val="000000" w:themeColor="text1"/>
                <w14:textFill>
                  <w14:solidFill>
                    <w14:schemeClr w14:val="tx1"/>
                  </w14:solidFill>
                </w14:textFill>
              </w:rPr>
            </w:pPr>
          </w:p>
        </w:tc>
      </w:tr>
      <w:tr w14:paraId="36713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259" w:type="dxa"/>
            <w:tcBorders>
              <w:top w:val="single" w:color="auto" w:sz="4" w:space="0"/>
              <w:left w:val="single" w:color="auto" w:sz="4" w:space="0"/>
              <w:bottom w:val="single" w:color="auto" w:sz="4" w:space="0"/>
              <w:right w:val="single" w:color="auto" w:sz="4" w:space="0"/>
            </w:tcBorders>
            <w:noWrap w:val="0"/>
            <w:vAlign w:val="top"/>
          </w:tcPr>
          <w:p w14:paraId="28BEA4E3">
            <w:pPr>
              <w:spacing w:line="360" w:lineRule="auto"/>
              <w:rPr>
                <w:rFonts w:hint="default" w:ascii="Times New Roman" w:hAnsi="Times New Roman" w:cs="Times New Roman"/>
                <w:color w:val="000000" w:themeColor="text1"/>
                <w14:textFill>
                  <w14:solidFill>
                    <w14:schemeClr w14:val="tx1"/>
                  </w14:solidFill>
                </w14:textFill>
              </w:rPr>
            </w:pPr>
          </w:p>
        </w:tc>
        <w:tc>
          <w:tcPr>
            <w:tcW w:w="3951" w:type="dxa"/>
            <w:gridSpan w:val="4"/>
            <w:tcBorders>
              <w:top w:val="single" w:color="auto" w:sz="4" w:space="0"/>
              <w:left w:val="single" w:color="auto" w:sz="4" w:space="0"/>
              <w:bottom w:val="single" w:color="auto" w:sz="4" w:space="0"/>
              <w:right w:val="single" w:color="auto" w:sz="4" w:space="0"/>
            </w:tcBorders>
            <w:noWrap w:val="0"/>
            <w:vAlign w:val="top"/>
          </w:tcPr>
          <w:p w14:paraId="55ADE711">
            <w:pPr>
              <w:spacing w:line="360" w:lineRule="auto"/>
              <w:rPr>
                <w:rFonts w:hint="default" w:ascii="Times New Roman" w:hAnsi="Times New Roman" w:cs="Times New Roman"/>
                <w:color w:val="000000" w:themeColor="text1"/>
                <w14:textFill>
                  <w14:solidFill>
                    <w14:schemeClr w14:val="tx1"/>
                  </w14:solidFill>
                </w14:textFill>
              </w:rPr>
            </w:pPr>
          </w:p>
        </w:tc>
        <w:tc>
          <w:tcPr>
            <w:tcW w:w="1788" w:type="dxa"/>
            <w:gridSpan w:val="2"/>
            <w:tcBorders>
              <w:top w:val="single" w:color="auto" w:sz="4" w:space="0"/>
              <w:left w:val="single" w:color="auto" w:sz="4" w:space="0"/>
              <w:bottom w:val="single" w:color="auto" w:sz="4" w:space="0"/>
              <w:right w:val="single" w:color="auto" w:sz="4" w:space="0"/>
            </w:tcBorders>
            <w:noWrap w:val="0"/>
            <w:vAlign w:val="top"/>
          </w:tcPr>
          <w:p w14:paraId="50EF6751">
            <w:pPr>
              <w:spacing w:line="360" w:lineRule="auto"/>
              <w:rPr>
                <w:rFonts w:hint="default" w:ascii="Times New Roman" w:hAnsi="Times New Roman" w:cs="Times New Roman"/>
                <w:color w:val="000000" w:themeColor="text1"/>
                <w14:textFill>
                  <w14:solidFill>
                    <w14:schemeClr w14:val="tx1"/>
                  </w14:solidFill>
                </w14:textFill>
              </w:rPr>
            </w:pPr>
          </w:p>
        </w:tc>
        <w:tc>
          <w:tcPr>
            <w:tcW w:w="2511" w:type="dxa"/>
            <w:gridSpan w:val="2"/>
            <w:tcBorders>
              <w:top w:val="single" w:color="auto" w:sz="4" w:space="0"/>
              <w:left w:val="single" w:color="auto" w:sz="4" w:space="0"/>
              <w:bottom w:val="single" w:color="auto" w:sz="4" w:space="0"/>
              <w:right w:val="single" w:color="auto" w:sz="4" w:space="0"/>
            </w:tcBorders>
            <w:noWrap w:val="0"/>
            <w:vAlign w:val="top"/>
          </w:tcPr>
          <w:p w14:paraId="7D2371B8">
            <w:pPr>
              <w:spacing w:line="360" w:lineRule="auto"/>
              <w:rPr>
                <w:rFonts w:hint="default" w:ascii="Times New Roman" w:hAnsi="Times New Roman" w:cs="Times New Roman"/>
                <w:color w:val="000000" w:themeColor="text1"/>
                <w14:textFill>
                  <w14:solidFill>
                    <w14:schemeClr w14:val="tx1"/>
                  </w14:solidFill>
                </w14:textFill>
              </w:rPr>
            </w:pPr>
          </w:p>
        </w:tc>
      </w:tr>
      <w:tr w14:paraId="4BB9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259" w:type="dxa"/>
            <w:tcBorders>
              <w:top w:val="single" w:color="auto" w:sz="4" w:space="0"/>
              <w:left w:val="single" w:color="auto" w:sz="4" w:space="0"/>
              <w:bottom w:val="single" w:color="auto" w:sz="4" w:space="0"/>
              <w:right w:val="single" w:color="auto" w:sz="4" w:space="0"/>
            </w:tcBorders>
            <w:noWrap w:val="0"/>
            <w:vAlign w:val="top"/>
          </w:tcPr>
          <w:p w14:paraId="7799FF85">
            <w:pPr>
              <w:spacing w:line="360" w:lineRule="auto"/>
              <w:rPr>
                <w:rFonts w:hint="default" w:ascii="Times New Roman" w:hAnsi="Times New Roman" w:cs="Times New Roman"/>
                <w:color w:val="000000" w:themeColor="text1"/>
                <w14:textFill>
                  <w14:solidFill>
                    <w14:schemeClr w14:val="tx1"/>
                  </w14:solidFill>
                </w14:textFill>
              </w:rPr>
            </w:pPr>
          </w:p>
        </w:tc>
        <w:tc>
          <w:tcPr>
            <w:tcW w:w="3951" w:type="dxa"/>
            <w:gridSpan w:val="4"/>
            <w:tcBorders>
              <w:top w:val="single" w:color="auto" w:sz="4" w:space="0"/>
              <w:left w:val="single" w:color="auto" w:sz="4" w:space="0"/>
              <w:bottom w:val="single" w:color="auto" w:sz="4" w:space="0"/>
              <w:right w:val="single" w:color="auto" w:sz="4" w:space="0"/>
            </w:tcBorders>
            <w:noWrap w:val="0"/>
            <w:vAlign w:val="top"/>
          </w:tcPr>
          <w:p w14:paraId="3A674C74">
            <w:pPr>
              <w:spacing w:line="360" w:lineRule="auto"/>
              <w:rPr>
                <w:rFonts w:hint="default" w:ascii="Times New Roman" w:hAnsi="Times New Roman" w:cs="Times New Roman"/>
                <w:color w:val="000000" w:themeColor="text1"/>
                <w14:textFill>
                  <w14:solidFill>
                    <w14:schemeClr w14:val="tx1"/>
                  </w14:solidFill>
                </w14:textFill>
              </w:rPr>
            </w:pPr>
          </w:p>
        </w:tc>
        <w:tc>
          <w:tcPr>
            <w:tcW w:w="1788" w:type="dxa"/>
            <w:gridSpan w:val="2"/>
            <w:tcBorders>
              <w:top w:val="single" w:color="auto" w:sz="4" w:space="0"/>
              <w:left w:val="single" w:color="auto" w:sz="4" w:space="0"/>
              <w:bottom w:val="single" w:color="auto" w:sz="4" w:space="0"/>
              <w:right w:val="single" w:color="auto" w:sz="4" w:space="0"/>
            </w:tcBorders>
            <w:noWrap w:val="0"/>
            <w:vAlign w:val="top"/>
          </w:tcPr>
          <w:p w14:paraId="3A6C4D11">
            <w:pPr>
              <w:spacing w:line="360" w:lineRule="auto"/>
              <w:rPr>
                <w:rFonts w:hint="default" w:ascii="Times New Roman" w:hAnsi="Times New Roman" w:cs="Times New Roman"/>
                <w:color w:val="000000" w:themeColor="text1"/>
                <w14:textFill>
                  <w14:solidFill>
                    <w14:schemeClr w14:val="tx1"/>
                  </w14:solidFill>
                </w14:textFill>
              </w:rPr>
            </w:pPr>
          </w:p>
        </w:tc>
        <w:tc>
          <w:tcPr>
            <w:tcW w:w="2511" w:type="dxa"/>
            <w:gridSpan w:val="2"/>
            <w:tcBorders>
              <w:top w:val="single" w:color="auto" w:sz="4" w:space="0"/>
              <w:left w:val="single" w:color="auto" w:sz="4" w:space="0"/>
              <w:bottom w:val="single" w:color="auto" w:sz="4" w:space="0"/>
              <w:right w:val="single" w:color="auto" w:sz="4" w:space="0"/>
            </w:tcBorders>
            <w:noWrap w:val="0"/>
            <w:vAlign w:val="top"/>
          </w:tcPr>
          <w:p w14:paraId="1B368647">
            <w:pPr>
              <w:spacing w:line="360" w:lineRule="auto"/>
              <w:rPr>
                <w:rFonts w:hint="default" w:ascii="Times New Roman" w:hAnsi="Times New Roman" w:cs="Times New Roman"/>
                <w:color w:val="000000" w:themeColor="text1"/>
                <w14:textFill>
                  <w14:solidFill>
                    <w14:schemeClr w14:val="tx1"/>
                  </w14:solidFill>
                </w14:textFill>
              </w:rPr>
            </w:pPr>
          </w:p>
        </w:tc>
      </w:tr>
      <w:tr w14:paraId="4431A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259" w:type="dxa"/>
            <w:tcBorders>
              <w:top w:val="single" w:color="auto" w:sz="4" w:space="0"/>
              <w:left w:val="single" w:color="auto" w:sz="4" w:space="0"/>
              <w:bottom w:val="single" w:color="auto" w:sz="4" w:space="0"/>
              <w:right w:val="single" w:color="auto" w:sz="4" w:space="0"/>
            </w:tcBorders>
            <w:noWrap w:val="0"/>
            <w:vAlign w:val="top"/>
          </w:tcPr>
          <w:p w14:paraId="3569B4C1">
            <w:pPr>
              <w:spacing w:line="360" w:lineRule="auto"/>
              <w:rPr>
                <w:rFonts w:hint="default" w:ascii="Times New Roman" w:hAnsi="Times New Roman" w:cs="Times New Roman"/>
                <w:color w:val="000000" w:themeColor="text1"/>
                <w14:textFill>
                  <w14:solidFill>
                    <w14:schemeClr w14:val="tx1"/>
                  </w14:solidFill>
                </w14:textFill>
              </w:rPr>
            </w:pPr>
          </w:p>
        </w:tc>
        <w:tc>
          <w:tcPr>
            <w:tcW w:w="3951" w:type="dxa"/>
            <w:gridSpan w:val="4"/>
            <w:tcBorders>
              <w:top w:val="single" w:color="auto" w:sz="4" w:space="0"/>
              <w:left w:val="single" w:color="auto" w:sz="4" w:space="0"/>
              <w:bottom w:val="single" w:color="auto" w:sz="4" w:space="0"/>
              <w:right w:val="single" w:color="auto" w:sz="4" w:space="0"/>
            </w:tcBorders>
            <w:noWrap w:val="0"/>
            <w:vAlign w:val="top"/>
          </w:tcPr>
          <w:p w14:paraId="1C280706">
            <w:pPr>
              <w:spacing w:line="360" w:lineRule="auto"/>
              <w:rPr>
                <w:rFonts w:hint="default" w:ascii="Times New Roman" w:hAnsi="Times New Roman" w:cs="Times New Roman"/>
                <w:color w:val="000000" w:themeColor="text1"/>
                <w14:textFill>
                  <w14:solidFill>
                    <w14:schemeClr w14:val="tx1"/>
                  </w14:solidFill>
                </w14:textFill>
              </w:rPr>
            </w:pPr>
          </w:p>
        </w:tc>
        <w:tc>
          <w:tcPr>
            <w:tcW w:w="1788" w:type="dxa"/>
            <w:gridSpan w:val="2"/>
            <w:tcBorders>
              <w:top w:val="single" w:color="auto" w:sz="4" w:space="0"/>
              <w:left w:val="single" w:color="auto" w:sz="4" w:space="0"/>
              <w:bottom w:val="single" w:color="auto" w:sz="4" w:space="0"/>
              <w:right w:val="single" w:color="auto" w:sz="4" w:space="0"/>
            </w:tcBorders>
            <w:noWrap w:val="0"/>
            <w:vAlign w:val="top"/>
          </w:tcPr>
          <w:p w14:paraId="4E1B79C5">
            <w:pPr>
              <w:spacing w:line="360" w:lineRule="auto"/>
              <w:rPr>
                <w:rFonts w:hint="default" w:ascii="Times New Roman" w:hAnsi="Times New Roman" w:cs="Times New Roman"/>
                <w:color w:val="000000" w:themeColor="text1"/>
                <w14:textFill>
                  <w14:solidFill>
                    <w14:schemeClr w14:val="tx1"/>
                  </w14:solidFill>
                </w14:textFill>
              </w:rPr>
            </w:pPr>
          </w:p>
        </w:tc>
        <w:tc>
          <w:tcPr>
            <w:tcW w:w="2511" w:type="dxa"/>
            <w:gridSpan w:val="2"/>
            <w:tcBorders>
              <w:top w:val="single" w:color="auto" w:sz="4" w:space="0"/>
              <w:left w:val="single" w:color="auto" w:sz="4" w:space="0"/>
              <w:bottom w:val="single" w:color="auto" w:sz="4" w:space="0"/>
              <w:right w:val="single" w:color="auto" w:sz="4" w:space="0"/>
            </w:tcBorders>
            <w:noWrap w:val="0"/>
            <w:vAlign w:val="top"/>
          </w:tcPr>
          <w:p w14:paraId="47B53A10">
            <w:pPr>
              <w:spacing w:line="360" w:lineRule="auto"/>
              <w:rPr>
                <w:rFonts w:hint="default" w:ascii="Times New Roman" w:hAnsi="Times New Roman" w:cs="Times New Roman"/>
                <w:color w:val="000000" w:themeColor="text1"/>
                <w14:textFill>
                  <w14:solidFill>
                    <w14:schemeClr w14:val="tx1"/>
                  </w14:solidFill>
                </w14:textFill>
              </w:rPr>
            </w:pPr>
          </w:p>
        </w:tc>
      </w:tr>
      <w:tr w14:paraId="24916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59" w:type="dxa"/>
            <w:tcBorders>
              <w:top w:val="single" w:color="auto" w:sz="4" w:space="0"/>
              <w:left w:val="single" w:color="auto" w:sz="4" w:space="0"/>
              <w:bottom w:val="single" w:color="auto" w:sz="4" w:space="0"/>
              <w:right w:val="single" w:color="auto" w:sz="4" w:space="0"/>
            </w:tcBorders>
            <w:noWrap w:val="0"/>
            <w:vAlign w:val="top"/>
          </w:tcPr>
          <w:p w14:paraId="325EA9F7">
            <w:pPr>
              <w:spacing w:line="360" w:lineRule="auto"/>
              <w:rPr>
                <w:rFonts w:hint="default" w:ascii="Times New Roman" w:hAnsi="Times New Roman" w:cs="Times New Roman"/>
                <w:color w:val="000000" w:themeColor="text1"/>
                <w14:textFill>
                  <w14:solidFill>
                    <w14:schemeClr w14:val="tx1"/>
                  </w14:solidFill>
                </w14:textFill>
              </w:rPr>
            </w:pPr>
          </w:p>
        </w:tc>
        <w:tc>
          <w:tcPr>
            <w:tcW w:w="3951" w:type="dxa"/>
            <w:gridSpan w:val="4"/>
            <w:tcBorders>
              <w:top w:val="single" w:color="auto" w:sz="4" w:space="0"/>
              <w:left w:val="single" w:color="auto" w:sz="4" w:space="0"/>
              <w:bottom w:val="single" w:color="auto" w:sz="4" w:space="0"/>
              <w:right w:val="single" w:color="auto" w:sz="4" w:space="0"/>
            </w:tcBorders>
            <w:noWrap w:val="0"/>
            <w:vAlign w:val="top"/>
          </w:tcPr>
          <w:p w14:paraId="16237026">
            <w:pPr>
              <w:spacing w:line="360" w:lineRule="auto"/>
              <w:rPr>
                <w:rFonts w:hint="default" w:ascii="Times New Roman" w:hAnsi="Times New Roman" w:cs="Times New Roman"/>
                <w:color w:val="000000" w:themeColor="text1"/>
                <w14:textFill>
                  <w14:solidFill>
                    <w14:schemeClr w14:val="tx1"/>
                  </w14:solidFill>
                </w14:textFill>
              </w:rPr>
            </w:pPr>
          </w:p>
        </w:tc>
        <w:tc>
          <w:tcPr>
            <w:tcW w:w="1788" w:type="dxa"/>
            <w:gridSpan w:val="2"/>
            <w:tcBorders>
              <w:top w:val="single" w:color="auto" w:sz="4" w:space="0"/>
              <w:left w:val="single" w:color="auto" w:sz="4" w:space="0"/>
              <w:bottom w:val="single" w:color="auto" w:sz="4" w:space="0"/>
              <w:right w:val="single" w:color="auto" w:sz="4" w:space="0"/>
            </w:tcBorders>
            <w:noWrap w:val="0"/>
            <w:vAlign w:val="top"/>
          </w:tcPr>
          <w:p w14:paraId="28DC2E6A">
            <w:pPr>
              <w:spacing w:line="360" w:lineRule="auto"/>
              <w:rPr>
                <w:rFonts w:hint="default" w:ascii="Times New Roman" w:hAnsi="Times New Roman" w:cs="Times New Roman"/>
                <w:color w:val="000000" w:themeColor="text1"/>
                <w14:textFill>
                  <w14:solidFill>
                    <w14:schemeClr w14:val="tx1"/>
                  </w14:solidFill>
                </w14:textFill>
              </w:rPr>
            </w:pPr>
          </w:p>
        </w:tc>
        <w:tc>
          <w:tcPr>
            <w:tcW w:w="2511" w:type="dxa"/>
            <w:gridSpan w:val="2"/>
            <w:tcBorders>
              <w:top w:val="single" w:color="auto" w:sz="4" w:space="0"/>
              <w:left w:val="single" w:color="auto" w:sz="4" w:space="0"/>
              <w:bottom w:val="single" w:color="auto" w:sz="4" w:space="0"/>
              <w:right w:val="single" w:color="auto" w:sz="4" w:space="0"/>
            </w:tcBorders>
            <w:noWrap w:val="0"/>
            <w:vAlign w:val="top"/>
          </w:tcPr>
          <w:p w14:paraId="3B1E9CF2">
            <w:pPr>
              <w:spacing w:line="360" w:lineRule="auto"/>
              <w:rPr>
                <w:rFonts w:hint="default" w:ascii="Times New Roman" w:hAnsi="Times New Roman" w:cs="Times New Roman"/>
                <w:color w:val="000000" w:themeColor="text1"/>
                <w14:textFill>
                  <w14:solidFill>
                    <w14:schemeClr w14:val="tx1"/>
                  </w14:solidFill>
                </w14:textFill>
              </w:rPr>
            </w:pPr>
          </w:p>
        </w:tc>
      </w:tr>
      <w:tr w14:paraId="7DE55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259" w:type="dxa"/>
            <w:tcBorders>
              <w:top w:val="single" w:color="auto" w:sz="4" w:space="0"/>
              <w:left w:val="single" w:color="auto" w:sz="4" w:space="0"/>
              <w:bottom w:val="single" w:color="auto" w:sz="4" w:space="0"/>
              <w:right w:val="single" w:color="auto" w:sz="4" w:space="0"/>
            </w:tcBorders>
            <w:noWrap w:val="0"/>
            <w:vAlign w:val="top"/>
          </w:tcPr>
          <w:p w14:paraId="4903A7DC">
            <w:pPr>
              <w:spacing w:line="360" w:lineRule="auto"/>
              <w:rPr>
                <w:rFonts w:hint="default" w:ascii="Times New Roman" w:hAnsi="Times New Roman" w:cs="Times New Roman"/>
                <w:color w:val="000000" w:themeColor="text1"/>
                <w14:textFill>
                  <w14:solidFill>
                    <w14:schemeClr w14:val="tx1"/>
                  </w14:solidFill>
                </w14:textFill>
              </w:rPr>
            </w:pPr>
          </w:p>
        </w:tc>
        <w:tc>
          <w:tcPr>
            <w:tcW w:w="3951" w:type="dxa"/>
            <w:gridSpan w:val="4"/>
            <w:tcBorders>
              <w:top w:val="single" w:color="auto" w:sz="4" w:space="0"/>
              <w:left w:val="single" w:color="auto" w:sz="4" w:space="0"/>
              <w:bottom w:val="single" w:color="auto" w:sz="4" w:space="0"/>
              <w:right w:val="single" w:color="auto" w:sz="4" w:space="0"/>
            </w:tcBorders>
            <w:noWrap w:val="0"/>
            <w:vAlign w:val="top"/>
          </w:tcPr>
          <w:p w14:paraId="2CC68C2F">
            <w:pPr>
              <w:spacing w:line="360" w:lineRule="auto"/>
              <w:rPr>
                <w:rFonts w:hint="default" w:ascii="Times New Roman" w:hAnsi="Times New Roman" w:cs="Times New Roman"/>
                <w:color w:val="000000" w:themeColor="text1"/>
                <w14:textFill>
                  <w14:solidFill>
                    <w14:schemeClr w14:val="tx1"/>
                  </w14:solidFill>
                </w14:textFill>
              </w:rPr>
            </w:pPr>
          </w:p>
        </w:tc>
        <w:tc>
          <w:tcPr>
            <w:tcW w:w="1788" w:type="dxa"/>
            <w:gridSpan w:val="2"/>
            <w:tcBorders>
              <w:top w:val="single" w:color="auto" w:sz="4" w:space="0"/>
              <w:left w:val="single" w:color="auto" w:sz="4" w:space="0"/>
              <w:bottom w:val="single" w:color="auto" w:sz="4" w:space="0"/>
              <w:right w:val="single" w:color="auto" w:sz="4" w:space="0"/>
            </w:tcBorders>
            <w:noWrap w:val="0"/>
            <w:vAlign w:val="top"/>
          </w:tcPr>
          <w:p w14:paraId="79920CA8">
            <w:pPr>
              <w:spacing w:line="360" w:lineRule="auto"/>
              <w:rPr>
                <w:rFonts w:hint="default" w:ascii="Times New Roman" w:hAnsi="Times New Roman" w:cs="Times New Roman"/>
                <w:color w:val="000000" w:themeColor="text1"/>
                <w14:textFill>
                  <w14:solidFill>
                    <w14:schemeClr w14:val="tx1"/>
                  </w14:solidFill>
                </w14:textFill>
              </w:rPr>
            </w:pPr>
          </w:p>
        </w:tc>
        <w:tc>
          <w:tcPr>
            <w:tcW w:w="2511" w:type="dxa"/>
            <w:gridSpan w:val="2"/>
            <w:tcBorders>
              <w:top w:val="single" w:color="auto" w:sz="4" w:space="0"/>
              <w:left w:val="single" w:color="auto" w:sz="4" w:space="0"/>
              <w:bottom w:val="single" w:color="auto" w:sz="4" w:space="0"/>
              <w:right w:val="single" w:color="auto" w:sz="4" w:space="0"/>
            </w:tcBorders>
            <w:noWrap w:val="0"/>
            <w:vAlign w:val="top"/>
          </w:tcPr>
          <w:p w14:paraId="4023B491">
            <w:pPr>
              <w:spacing w:line="360" w:lineRule="auto"/>
              <w:rPr>
                <w:rFonts w:hint="default" w:ascii="Times New Roman" w:hAnsi="Times New Roman" w:cs="Times New Roman"/>
                <w:color w:val="000000" w:themeColor="text1"/>
                <w14:textFill>
                  <w14:solidFill>
                    <w14:schemeClr w14:val="tx1"/>
                  </w14:solidFill>
                </w14:textFill>
              </w:rPr>
            </w:pPr>
          </w:p>
        </w:tc>
      </w:tr>
    </w:tbl>
    <w:p w14:paraId="57326227">
      <w:pPr>
        <w:spacing w:line="360" w:lineRule="auto"/>
        <w:rPr>
          <w:rFonts w:hint="default" w:ascii="Times New Roman" w:hAnsi="Times New Roman" w:cs="Times New Roman"/>
          <w:color w:val="000000" w:themeColor="text1"/>
          <w14:textFill>
            <w14:solidFill>
              <w14:schemeClr w14:val="tx1"/>
            </w14:solidFill>
          </w14:textFill>
        </w:rPr>
      </w:pPr>
    </w:p>
    <w:p w14:paraId="46B75889">
      <w:pPr>
        <w:spacing w:line="360" w:lineRule="auto"/>
        <w:rPr>
          <w:rFonts w:hint="default" w:ascii="Times New Roman" w:hAnsi="Times New Roman" w:cs="Times New Roman"/>
          <w:b/>
          <w:color w:val="000000" w:themeColor="text1"/>
          <w:lang w:val="en-GB"/>
          <w14:textFill>
            <w14:solidFill>
              <w14:schemeClr w14:val="tx1"/>
            </w14:solidFill>
          </w14:textFill>
        </w:rPr>
      </w:pPr>
      <w:r>
        <w:rPr>
          <w:rFonts w:hint="default" w:ascii="Times New Roman" w:hAnsi="Times New Roman" w:cs="Times New Roman"/>
          <w:b/>
          <w:color w:val="000000" w:themeColor="text1"/>
          <w14:textFill>
            <w14:solidFill>
              <w14:schemeClr w14:val="tx1"/>
            </w14:solidFill>
          </w14:textFill>
        </w:rPr>
        <w:t>注：后附项目负责人的身份证、二级建造师等相关资料扫描件。</w:t>
      </w:r>
    </w:p>
    <w:p w14:paraId="2FD239C6">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2F622915">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65BC47AB">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6408FCB7">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158D5F07">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755ED6CD">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10E83852">
      <w:pPr>
        <w:spacing w:line="360" w:lineRule="auto"/>
        <w:jc w:val="center"/>
        <w:outlineLvl w:val="3"/>
        <w:rPr>
          <w:rFonts w:hint="default" w:ascii="Times New Roman" w:hAnsi="Times New Roman" w:cs="Times New Roman"/>
          <w:b/>
          <w:color w:val="000000" w:themeColor="text1"/>
          <w:sz w:val="30"/>
          <w:szCs w:val="30"/>
          <w14:textFill>
            <w14:solidFill>
              <w14:schemeClr w14:val="tx1"/>
            </w14:solidFill>
          </w14:textFill>
        </w:rPr>
      </w:pPr>
      <w:r>
        <w:rPr>
          <w:rFonts w:hint="default" w:ascii="Times New Roman" w:hAnsi="Times New Roman" w:cs="Times New Roman"/>
          <w:b/>
          <w:color w:val="000000" w:themeColor="text1"/>
          <w:sz w:val="30"/>
          <w:szCs w:val="30"/>
          <w:lang w:eastAsia="zh-CN"/>
          <w14:textFill>
            <w14:solidFill>
              <w14:schemeClr w14:val="tx1"/>
            </w14:solidFill>
          </w14:textFill>
        </w:rPr>
        <w:t>（</w:t>
      </w:r>
      <w:r>
        <w:rPr>
          <w:rFonts w:hint="default" w:ascii="Times New Roman" w:hAnsi="Times New Roman" w:cs="Times New Roman"/>
          <w:b/>
          <w:color w:val="000000" w:themeColor="text1"/>
          <w:sz w:val="30"/>
          <w:szCs w:val="30"/>
          <w:lang w:val="en-US" w:eastAsia="zh-CN"/>
          <w14:textFill>
            <w14:solidFill>
              <w14:schemeClr w14:val="tx1"/>
            </w14:solidFill>
          </w14:textFill>
        </w:rPr>
        <w:t>十</w:t>
      </w:r>
      <w:r>
        <w:rPr>
          <w:rFonts w:hint="default" w:ascii="Times New Roman" w:hAnsi="Times New Roman" w:cs="Times New Roman"/>
          <w:b/>
          <w:color w:val="000000" w:themeColor="text1"/>
          <w:sz w:val="30"/>
          <w:szCs w:val="30"/>
          <w:lang w:eastAsia="zh-CN"/>
          <w14:textFill>
            <w14:solidFill>
              <w14:schemeClr w14:val="tx1"/>
            </w14:solidFill>
          </w14:textFill>
        </w:rPr>
        <w:t>）</w:t>
      </w:r>
      <w:r>
        <w:rPr>
          <w:rFonts w:hint="default" w:ascii="Times New Roman" w:hAnsi="Times New Roman" w:cs="Times New Roman"/>
          <w:b/>
          <w:color w:val="000000" w:themeColor="text1"/>
          <w:sz w:val="30"/>
          <w:szCs w:val="30"/>
          <w14:textFill>
            <w14:solidFill>
              <w14:schemeClr w14:val="tx1"/>
            </w14:solidFill>
          </w14:textFill>
        </w:rPr>
        <w:t>类似业绩</w:t>
      </w:r>
    </w:p>
    <w:tbl>
      <w:tblPr>
        <w:tblStyle w:val="30"/>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1"/>
        <w:gridCol w:w="2007"/>
        <w:gridCol w:w="3098"/>
        <w:gridCol w:w="1417"/>
        <w:gridCol w:w="1247"/>
      </w:tblGrid>
      <w:tr w14:paraId="508D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2101" w:type="dxa"/>
            <w:tcBorders>
              <w:top w:val="single" w:color="auto" w:sz="4" w:space="0"/>
              <w:left w:val="single" w:color="auto" w:sz="4" w:space="0"/>
              <w:bottom w:val="single" w:color="auto" w:sz="4" w:space="0"/>
              <w:right w:val="single" w:color="auto" w:sz="4" w:space="0"/>
            </w:tcBorders>
            <w:noWrap w:val="0"/>
            <w:vAlign w:val="center"/>
          </w:tcPr>
          <w:p w14:paraId="25FFF252">
            <w:pPr>
              <w:spacing w:line="360" w:lineRule="auto"/>
              <w:jc w:val="center"/>
              <w:rPr>
                <w:rFonts w:hint="default" w:ascii="Times New Roman" w:hAnsi="Times New Roman" w:cs="Times New Roman"/>
                <w:color w:val="000000" w:themeColor="text1"/>
                <w:kern w:val="0"/>
                <w14:textFill>
                  <w14:solidFill>
                    <w14:schemeClr w14:val="tx1"/>
                  </w14:solidFill>
                </w14:textFill>
              </w:rPr>
            </w:pPr>
            <w:r>
              <w:rPr>
                <w:rFonts w:hint="default" w:ascii="Times New Roman" w:hAnsi="Times New Roman" w:cs="Times New Roman"/>
                <w:color w:val="000000" w:themeColor="text1"/>
                <w:kern w:val="0"/>
                <w14:textFill>
                  <w14:solidFill>
                    <w14:schemeClr w14:val="tx1"/>
                  </w14:solidFill>
                </w14:textFill>
              </w:rPr>
              <w:t>项目名称</w:t>
            </w:r>
          </w:p>
        </w:tc>
        <w:tc>
          <w:tcPr>
            <w:tcW w:w="2007" w:type="dxa"/>
            <w:tcBorders>
              <w:top w:val="single" w:color="auto" w:sz="4" w:space="0"/>
              <w:left w:val="single" w:color="auto" w:sz="4" w:space="0"/>
              <w:bottom w:val="single" w:color="auto" w:sz="4" w:space="0"/>
              <w:right w:val="single" w:color="auto" w:sz="4" w:space="0"/>
            </w:tcBorders>
            <w:noWrap w:val="0"/>
            <w:vAlign w:val="center"/>
          </w:tcPr>
          <w:p w14:paraId="47A67E8C">
            <w:pPr>
              <w:spacing w:line="360" w:lineRule="auto"/>
              <w:jc w:val="center"/>
              <w:rPr>
                <w:rFonts w:hint="default" w:ascii="Times New Roman" w:hAnsi="Times New Roman" w:cs="Times New Roman"/>
                <w:color w:val="000000" w:themeColor="text1"/>
                <w:kern w:val="0"/>
                <w14:textFill>
                  <w14:solidFill>
                    <w14:schemeClr w14:val="tx1"/>
                  </w14:solidFill>
                </w14:textFill>
              </w:rPr>
            </w:pPr>
            <w:r>
              <w:rPr>
                <w:rFonts w:hint="default" w:ascii="Times New Roman" w:hAnsi="Times New Roman" w:cs="Times New Roman"/>
                <w:color w:val="000000" w:themeColor="text1"/>
                <w:kern w:val="0"/>
                <w14:textFill>
                  <w14:solidFill>
                    <w14:schemeClr w14:val="tx1"/>
                  </w14:solidFill>
                </w14:textFill>
              </w:rPr>
              <w:t>业主单位名称</w:t>
            </w:r>
          </w:p>
        </w:tc>
        <w:tc>
          <w:tcPr>
            <w:tcW w:w="3098" w:type="dxa"/>
            <w:tcBorders>
              <w:top w:val="single" w:color="auto" w:sz="4" w:space="0"/>
              <w:left w:val="single" w:color="auto" w:sz="4" w:space="0"/>
              <w:bottom w:val="single" w:color="auto" w:sz="4" w:space="0"/>
              <w:right w:val="single" w:color="auto" w:sz="4" w:space="0"/>
            </w:tcBorders>
            <w:noWrap w:val="0"/>
            <w:vAlign w:val="center"/>
          </w:tcPr>
          <w:p w14:paraId="01128534">
            <w:pPr>
              <w:spacing w:line="360" w:lineRule="auto"/>
              <w:jc w:val="center"/>
              <w:rPr>
                <w:rFonts w:hint="default" w:ascii="Times New Roman" w:hAnsi="Times New Roman" w:cs="Times New Roman"/>
                <w:color w:val="000000" w:themeColor="text1"/>
                <w:kern w:val="0"/>
                <w14:textFill>
                  <w14:solidFill>
                    <w14:schemeClr w14:val="tx1"/>
                  </w14:solidFill>
                </w14:textFill>
              </w:rPr>
            </w:pPr>
            <w:r>
              <w:rPr>
                <w:rFonts w:hint="default" w:ascii="Times New Roman" w:hAnsi="Times New Roman" w:cs="Times New Roman"/>
                <w:color w:val="000000" w:themeColor="text1"/>
                <w:kern w:val="0"/>
                <w14:textFill>
                  <w14:solidFill>
                    <w14:schemeClr w14:val="tx1"/>
                  </w14:solidFill>
                </w14:textFill>
              </w:rPr>
              <w:t>合同金额（元）</w:t>
            </w:r>
          </w:p>
        </w:tc>
        <w:tc>
          <w:tcPr>
            <w:tcW w:w="1417" w:type="dxa"/>
            <w:tcBorders>
              <w:top w:val="single" w:color="auto" w:sz="4" w:space="0"/>
              <w:left w:val="single" w:color="auto" w:sz="4" w:space="0"/>
              <w:bottom w:val="single" w:color="auto" w:sz="4" w:space="0"/>
              <w:right w:val="single" w:color="auto" w:sz="4" w:space="0"/>
            </w:tcBorders>
            <w:noWrap w:val="0"/>
            <w:vAlign w:val="center"/>
          </w:tcPr>
          <w:p w14:paraId="58077F2C">
            <w:pPr>
              <w:spacing w:line="360" w:lineRule="auto"/>
              <w:jc w:val="center"/>
              <w:rPr>
                <w:rFonts w:hint="default" w:ascii="Times New Roman" w:hAnsi="Times New Roman" w:cs="Times New Roman"/>
                <w:color w:val="000000" w:themeColor="text1"/>
                <w:kern w:val="0"/>
                <w14:textFill>
                  <w14:solidFill>
                    <w14:schemeClr w14:val="tx1"/>
                  </w14:solidFill>
                </w14:textFill>
              </w:rPr>
            </w:pPr>
            <w:r>
              <w:rPr>
                <w:rFonts w:hint="default" w:ascii="Times New Roman" w:hAnsi="Times New Roman" w:cs="Times New Roman"/>
                <w:color w:val="000000" w:themeColor="text1"/>
                <w:kern w:val="0"/>
                <w14:textFill>
                  <w14:solidFill>
                    <w14:schemeClr w14:val="tx1"/>
                  </w14:solidFill>
                </w14:textFill>
              </w:rPr>
              <w:t>完成年份</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0EB57956">
            <w:pPr>
              <w:spacing w:line="360" w:lineRule="auto"/>
              <w:jc w:val="center"/>
              <w:rPr>
                <w:rFonts w:hint="default" w:ascii="Times New Roman" w:hAnsi="Times New Roman" w:cs="Times New Roman"/>
                <w:color w:val="000000" w:themeColor="text1"/>
                <w:kern w:val="0"/>
                <w14:textFill>
                  <w14:solidFill>
                    <w14:schemeClr w14:val="tx1"/>
                  </w14:solidFill>
                </w14:textFill>
              </w:rPr>
            </w:pPr>
            <w:r>
              <w:rPr>
                <w:rFonts w:hint="default" w:ascii="Times New Roman" w:hAnsi="Times New Roman" w:cs="Times New Roman"/>
                <w:color w:val="000000" w:themeColor="text1"/>
                <w:kern w:val="0"/>
                <w14:textFill>
                  <w14:solidFill>
                    <w14:schemeClr w14:val="tx1"/>
                  </w14:solidFill>
                </w14:textFill>
              </w:rPr>
              <w:t>备注</w:t>
            </w:r>
          </w:p>
        </w:tc>
      </w:tr>
      <w:tr w14:paraId="006BC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2101" w:type="dxa"/>
            <w:tcBorders>
              <w:top w:val="single" w:color="auto" w:sz="4" w:space="0"/>
              <w:left w:val="single" w:color="auto" w:sz="4" w:space="0"/>
              <w:bottom w:val="single" w:color="auto" w:sz="4" w:space="0"/>
              <w:right w:val="single" w:color="auto" w:sz="4" w:space="0"/>
            </w:tcBorders>
            <w:noWrap w:val="0"/>
            <w:vAlign w:val="top"/>
          </w:tcPr>
          <w:p w14:paraId="0A7CCE86">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2007" w:type="dxa"/>
            <w:tcBorders>
              <w:top w:val="single" w:color="auto" w:sz="4" w:space="0"/>
              <w:left w:val="single" w:color="auto" w:sz="4" w:space="0"/>
              <w:bottom w:val="single" w:color="auto" w:sz="4" w:space="0"/>
              <w:right w:val="single" w:color="auto" w:sz="4" w:space="0"/>
            </w:tcBorders>
            <w:noWrap w:val="0"/>
            <w:vAlign w:val="top"/>
          </w:tcPr>
          <w:p w14:paraId="4F829663">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3098" w:type="dxa"/>
            <w:tcBorders>
              <w:top w:val="single" w:color="auto" w:sz="4" w:space="0"/>
              <w:left w:val="single" w:color="auto" w:sz="4" w:space="0"/>
              <w:bottom w:val="single" w:color="auto" w:sz="4" w:space="0"/>
              <w:right w:val="single" w:color="auto" w:sz="4" w:space="0"/>
            </w:tcBorders>
            <w:noWrap w:val="0"/>
            <w:vAlign w:val="top"/>
          </w:tcPr>
          <w:p w14:paraId="4DD07BCF">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1417" w:type="dxa"/>
            <w:tcBorders>
              <w:top w:val="single" w:color="auto" w:sz="4" w:space="0"/>
              <w:left w:val="single" w:color="auto" w:sz="4" w:space="0"/>
              <w:bottom w:val="single" w:color="auto" w:sz="4" w:space="0"/>
              <w:right w:val="single" w:color="auto" w:sz="4" w:space="0"/>
            </w:tcBorders>
            <w:noWrap w:val="0"/>
            <w:vAlign w:val="top"/>
          </w:tcPr>
          <w:p w14:paraId="7C739310">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1247" w:type="dxa"/>
            <w:tcBorders>
              <w:top w:val="single" w:color="auto" w:sz="4" w:space="0"/>
              <w:left w:val="single" w:color="auto" w:sz="4" w:space="0"/>
              <w:bottom w:val="single" w:color="auto" w:sz="4" w:space="0"/>
              <w:right w:val="single" w:color="auto" w:sz="4" w:space="0"/>
            </w:tcBorders>
            <w:noWrap w:val="0"/>
            <w:vAlign w:val="top"/>
          </w:tcPr>
          <w:p w14:paraId="352CB405">
            <w:pPr>
              <w:spacing w:line="360" w:lineRule="auto"/>
              <w:rPr>
                <w:rFonts w:hint="default" w:ascii="Times New Roman" w:hAnsi="Times New Roman" w:cs="Times New Roman"/>
                <w:color w:val="000000" w:themeColor="text1"/>
                <w:kern w:val="0"/>
                <w14:textFill>
                  <w14:solidFill>
                    <w14:schemeClr w14:val="tx1"/>
                  </w14:solidFill>
                </w14:textFill>
              </w:rPr>
            </w:pPr>
          </w:p>
        </w:tc>
      </w:tr>
      <w:tr w14:paraId="30845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2101" w:type="dxa"/>
            <w:tcBorders>
              <w:top w:val="single" w:color="auto" w:sz="4" w:space="0"/>
              <w:left w:val="single" w:color="auto" w:sz="4" w:space="0"/>
              <w:bottom w:val="single" w:color="auto" w:sz="4" w:space="0"/>
              <w:right w:val="single" w:color="auto" w:sz="4" w:space="0"/>
            </w:tcBorders>
            <w:noWrap w:val="0"/>
            <w:vAlign w:val="top"/>
          </w:tcPr>
          <w:p w14:paraId="6A7277AB">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2007" w:type="dxa"/>
            <w:tcBorders>
              <w:top w:val="single" w:color="auto" w:sz="4" w:space="0"/>
              <w:left w:val="single" w:color="auto" w:sz="4" w:space="0"/>
              <w:bottom w:val="single" w:color="auto" w:sz="4" w:space="0"/>
              <w:right w:val="single" w:color="auto" w:sz="4" w:space="0"/>
            </w:tcBorders>
            <w:noWrap w:val="0"/>
            <w:vAlign w:val="top"/>
          </w:tcPr>
          <w:p w14:paraId="5F0812FB">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3098" w:type="dxa"/>
            <w:tcBorders>
              <w:top w:val="single" w:color="auto" w:sz="4" w:space="0"/>
              <w:left w:val="single" w:color="auto" w:sz="4" w:space="0"/>
              <w:bottom w:val="single" w:color="auto" w:sz="4" w:space="0"/>
              <w:right w:val="single" w:color="auto" w:sz="4" w:space="0"/>
            </w:tcBorders>
            <w:noWrap w:val="0"/>
            <w:vAlign w:val="top"/>
          </w:tcPr>
          <w:p w14:paraId="65E9BC2E">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1417" w:type="dxa"/>
            <w:tcBorders>
              <w:top w:val="single" w:color="auto" w:sz="4" w:space="0"/>
              <w:left w:val="single" w:color="auto" w:sz="4" w:space="0"/>
              <w:bottom w:val="single" w:color="auto" w:sz="4" w:space="0"/>
              <w:right w:val="single" w:color="auto" w:sz="4" w:space="0"/>
            </w:tcBorders>
            <w:noWrap w:val="0"/>
            <w:vAlign w:val="top"/>
          </w:tcPr>
          <w:p w14:paraId="0FB8D0DD">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1247" w:type="dxa"/>
            <w:tcBorders>
              <w:top w:val="single" w:color="auto" w:sz="4" w:space="0"/>
              <w:left w:val="single" w:color="auto" w:sz="4" w:space="0"/>
              <w:bottom w:val="single" w:color="auto" w:sz="4" w:space="0"/>
              <w:right w:val="single" w:color="auto" w:sz="4" w:space="0"/>
            </w:tcBorders>
            <w:noWrap w:val="0"/>
            <w:vAlign w:val="top"/>
          </w:tcPr>
          <w:p w14:paraId="4BB9E17B">
            <w:pPr>
              <w:spacing w:line="360" w:lineRule="auto"/>
              <w:rPr>
                <w:rFonts w:hint="default" w:ascii="Times New Roman" w:hAnsi="Times New Roman" w:cs="Times New Roman"/>
                <w:color w:val="000000" w:themeColor="text1"/>
                <w:kern w:val="0"/>
                <w14:textFill>
                  <w14:solidFill>
                    <w14:schemeClr w14:val="tx1"/>
                  </w14:solidFill>
                </w14:textFill>
              </w:rPr>
            </w:pPr>
          </w:p>
        </w:tc>
      </w:tr>
      <w:tr w14:paraId="72E4B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101" w:type="dxa"/>
            <w:tcBorders>
              <w:top w:val="single" w:color="auto" w:sz="4" w:space="0"/>
              <w:left w:val="single" w:color="auto" w:sz="4" w:space="0"/>
              <w:bottom w:val="single" w:color="auto" w:sz="4" w:space="0"/>
              <w:right w:val="single" w:color="auto" w:sz="4" w:space="0"/>
            </w:tcBorders>
            <w:noWrap w:val="0"/>
            <w:vAlign w:val="top"/>
          </w:tcPr>
          <w:p w14:paraId="1E60F60C">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2007" w:type="dxa"/>
            <w:tcBorders>
              <w:top w:val="single" w:color="auto" w:sz="4" w:space="0"/>
              <w:left w:val="single" w:color="auto" w:sz="4" w:space="0"/>
              <w:bottom w:val="single" w:color="auto" w:sz="4" w:space="0"/>
              <w:right w:val="single" w:color="auto" w:sz="4" w:space="0"/>
            </w:tcBorders>
            <w:noWrap w:val="0"/>
            <w:vAlign w:val="top"/>
          </w:tcPr>
          <w:p w14:paraId="01C7024A">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3098" w:type="dxa"/>
            <w:tcBorders>
              <w:top w:val="single" w:color="auto" w:sz="4" w:space="0"/>
              <w:left w:val="single" w:color="auto" w:sz="4" w:space="0"/>
              <w:bottom w:val="single" w:color="auto" w:sz="4" w:space="0"/>
              <w:right w:val="single" w:color="auto" w:sz="4" w:space="0"/>
            </w:tcBorders>
            <w:noWrap w:val="0"/>
            <w:vAlign w:val="top"/>
          </w:tcPr>
          <w:p w14:paraId="56954C6B">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1417" w:type="dxa"/>
            <w:tcBorders>
              <w:top w:val="single" w:color="auto" w:sz="4" w:space="0"/>
              <w:left w:val="single" w:color="auto" w:sz="4" w:space="0"/>
              <w:bottom w:val="single" w:color="auto" w:sz="4" w:space="0"/>
              <w:right w:val="single" w:color="auto" w:sz="4" w:space="0"/>
            </w:tcBorders>
            <w:noWrap w:val="0"/>
            <w:vAlign w:val="top"/>
          </w:tcPr>
          <w:p w14:paraId="312F7E94">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1247" w:type="dxa"/>
            <w:tcBorders>
              <w:top w:val="single" w:color="auto" w:sz="4" w:space="0"/>
              <w:left w:val="single" w:color="auto" w:sz="4" w:space="0"/>
              <w:bottom w:val="single" w:color="auto" w:sz="4" w:space="0"/>
              <w:right w:val="single" w:color="auto" w:sz="4" w:space="0"/>
            </w:tcBorders>
            <w:noWrap w:val="0"/>
            <w:vAlign w:val="top"/>
          </w:tcPr>
          <w:p w14:paraId="3B305C8A">
            <w:pPr>
              <w:spacing w:line="360" w:lineRule="auto"/>
              <w:rPr>
                <w:rFonts w:hint="default" w:ascii="Times New Roman" w:hAnsi="Times New Roman" w:cs="Times New Roman"/>
                <w:color w:val="000000" w:themeColor="text1"/>
                <w:kern w:val="0"/>
                <w14:textFill>
                  <w14:solidFill>
                    <w14:schemeClr w14:val="tx1"/>
                  </w14:solidFill>
                </w14:textFill>
              </w:rPr>
            </w:pPr>
          </w:p>
        </w:tc>
      </w:tr>
      <w:tr w14:paraId="56B96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101" w:type="dxa"/>
            <w:tcBorders>
              <w:top w:val="single" w:color="auto" w:sz="4" w:space="0"/>
              <w:left w:val="single" w:color="auto" w:sz="4" w:space="0"/>
              <w:bottom w:val="single" w:color="auto" w:sz="4" w:space="0"/>
              <w:right w:val="single" w:color="auto" w:sz="4" w:space="0"/>
            </w:tcBorders>
            <w:noWrap w:val="0"/>
            <w:vAlign w:val="top"/>
          </w:tcPr>
          <w:p w14:paraId="08348C24">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2007" w:type="dxa"/>
            <w:tcBorders>
              <w:top w:val="single" w:color="auto" w:sz="4" w:space="0"/>
              <w:left w:val="single" w:color="auto" w:sz="4" w:space="0"/>
              <w:bottom w:val="single" w:color="auto" w:sz="4" w:space="0"/>
              <w:right w:val="single" w:color="auto" w:sz="4" w:space="0"/>
            </w:tcBorders>
            <w:noWrap w:val="0"/>
            <w:vAlign w:val="top"/>
          </w:tcPr>
          <w:p w14:paraId="0DB1D456">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3098" w:type="dxa"/>
            <w:tcBorders>
              <w:top w:val="single" w:color="auto" w:sz="4" w:space="0"/>
              <w:left w:val="single" w:color="auto" w:sz="4" w:space="0"/>
              <w:bottom w:val="single" w:color="auto" w:sz="4" w:space="0"/>
              <w:right w:val="single" w:color="auto" w:sz="4" w:space="0"/>
            </w:tcBorders>
            <w:noWrap w:val="0"/>
            <w:vAlign w:val="top"/>
          </w:tcPr>
          <w:p w14:paraId="3E997904">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1417" w:type="dxa"/>
            <w:tcBorders>
              <w:top w:val="single" w:color="auto" w:sz="4" w:space="0"/>
              <w:left w:val="single" w:color="auto" w:sz="4" w:space="0"/>
              <w:bottom w:val="single" w:color="auto" w:sz="4" w:space="0"/>
              <w:right w:val="single" w:color="auto" w:sz="4" w:space="0"/>
            </w:tcBorders>
            <w:noWrap w:val="0"/>
            <w:vAlign w:val="top"/>
          </w:tcPr>
          <w:p w14:paraId="3F8B27D2">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1247" w:type="dxa"/>
            <w:tcBorders>
              <w:top w:val="single" w:color="auto" w:sz="4" w:space="0"/>
              <w:left w:val="single" w:color="auto" w:sz="4" w:space="0"/>
              <w:bottom w:val="single" w:color="auto" w:sz="4" w:space="0"/>
              <w:right w:val="single" w:color="auto" w:sz="4" w:space="0"/>
            </w:tcBorders>
            <w:noWrap w:val="0"/>
            <w:vAlign w:val="top"/>
          </w:tcPr>
          <w:p w14:paraId="52DF1FDB">
            <w:pPr>
              <w:spacing w:line="360" w:lineRule="auto"/>
              <w:rPr>
                <w:rFonts w:hint="default" w:ascii="Times New Roman" w:hAnsi="Times New Roman" w:cs="Times New Roman"/>
                <w:color w:val="000000" w:themeColor="text1"/>
                <w:kern w:val="0"/>
                <w14:textFill>
                  <w14:solidFill>
                    <w14:schemeClr w14:val="tx1"/>
                  </w14:solidFill>
                </w14:textFill>
              </w:rPr>
            </w:pPr>
          </w:p>
        </w:tc>
      </w:tr>
      <w:tr w14:paraId="15CF8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101" w:type="dxa"/>
            <w:tcBorders>
              <w:top w:val="single" w:color="auto" w:sz="4" w:space="0"/>
              <w:left w:val="single" w:color="auto" w:sz="4" w:space="0"/>
              <w:bottom w:val="single" w:color="auto" w:sz="4" w:space="0"/>
              <w:right w:val="single" w:color="auto" w:sz="4" w:space="0"/>
            </w:tcBorders>
            <w:noWrap w:val="0"/>
            <w:vAlign w:val="top"/>
          </w:tcPr>
          <w:p w14:paraId="031FF50A">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2007" w:type="dxa"/>
            <w:tcBorders>
              <w:top w:val="single" w:color="auto" w:sz="4" w:space="0"/>
              <w:left w:val="single" w:color="auto" w:sz="4" w:space="0"/>
              <w:bottom w:val="single" w:color="auto" w:sz="4" w:space="0"/>
              <w:right w:val="single" w:color="auto" w:sz="4" w:space="0"/>
            </w:tcBorders>
            <w:noWrap w:val="0"/>
            <w:vAlign w:val="top"/>
          </w:tcPr>
          <w:p w14:paraId="3BE5C191">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3098" w:type="dxa"/>
            <w:tcBorders>
              <w:top w:val="single" w:color="auto" w:sz="4" w:space="0"/>
              <w:left w:val="single" w:color="auto" w:sz="4" w:space="0"/>
              <w:bottom w:val="single" w:color="auto" w:sz="4" w:space="0"/>
              <w:right w:val="single" w:color="auto" w:sz="4" w:space="0"/>
            </w:tcBorders>
            <w:noWrap w:val="0"/>
            <w:vAlign w:val="top"/>
          </w:tcPr>
          <w:p w14:paraId="027F170D">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1417" w:type="dxa"/>
            <w:tcBorders>
              <w:top w:val="single" w:color="auto" w:sz="4" w:space="0"/>
              <w:left w:val="single" w:color="auto" w:sz="4" w:space="0"/>
              <w:bottom w:val="single" w:color="auto" w:sz="4" w:space="0"/>
              <w:right w:val="single" w:color="auto" w:sz="4" w:space="0"/>
            </w:tcBorders>
            <w:noWrap w:val="0"/>
            <w:vAlign w:val="top"/>
          </w:tcPr>
          <w:p w14:paraId="73C85C34">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1247" w:type="dxa"/>
            <w:tcBorders>
              <w:top w:val="single" w:color="auto" w:sz="4" w:space="0"/>
              <w:left w:val="single" w:color="auto" w:sz="4" w:space="0"/>
              <w:bottom w:val="single" w:color="auto" w:sz="4" w:space="0"/>
              <w:right w:val="single" w:color="auto" w:sz="4" w:space="0"/>
            </w:tcBorders>
            <w:noWrap w:val="0"/>
            <w:vAlign w:val="top"/>
          </w:tcPr>
          <w:p w14:paraId="0194BEB9">
            <w:pPr>
              <w:spacing w:line="360" w:lineRule="auto"/>
              <w:rPr>
                <w:rFonts w:hint="default" w:ascii="Times New Roman" w:hAnsi="Times New Roman" w:cs="Times New Roman"/>
                <w:color w:val="000000" w:themeColor="text1"/>
                <w:kern w:val="0"/>
                <w14:textFill>
                  <w14:solidFill>
                    <w14:schemeClr w14:val="tx1"/>
                  </w14:solidFill>
                </w14:textFill>
              </w:rPr>
            </w:pPr>
          </w:p>
        </w:tc>
      </w:tr>
      <w:tr w14:paraId="67D4A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101" w:type="dxa"/>
            <w:tcBorders>
              <w:top w:val="single" w:color="auto" w:sz="4" w:space="0"/>
              <w:left w:val="single" w:color="auto" w:sz="4" w:space="0"/>
              <w:bottom w:val="single" w:color="auto" w:sz="4" w:space="0"/>
              <w:right w:val="single" w:color="auto" w:sz="4" w:space="0"/>
            </w:tcBorders>
            <w:noWrap w:val="0"/>
            <w:vAlign w:val="top"/>
          </w:tcPr>
          <w:p w14:paraId="5103269D">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2007" w:type="dxa"/>
            <w:tcBorders>
              <w:top w:val="single" w:color="auto" w:sz="4" w:space="0"/>
              <w:left w:val="single" w:color="auto" w:sz="4" w:space="0"/>
              <w:bottom w:val="single" w:color="auto" w:sz="4" w:space="0"/>
              <w:right w:val="single" w:color="auto" w:sz="4" w:space="0"/>
            </w:tcBorders>
            <w:noWrap w:val="0"/>
            <w:vAlign w:val="top"/>
          </w:tcPr>
          <w:p w14:paraId="244FC51F">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3098" w:type="dxa"/>
            <w:tcBorders>
              <w:top w:val="single" w:color="auto" w:sz="4" w:space="0"/>
              <w:left w:val="single" w:color="auto" w:sz="4" w:space="0"/>
              <w:bottom w:val="single" w:color="auto" w:sz="4" w:space="0"/>
              <w:right w:val="single" w:color="auto" w:sz="4" w:space="0"/>
            </w:tcBorders>
            <w:noWrap w:val="0"/>
            <w:vAlign w:val="top"/>
          </w:tcPr>
          <w:p w14:paraId="527EFD99">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1417" w:type="dxa"/>
            <w:tcBorders>
              <w:top w:val="single" w:color="auto" w:sz="4" w:space="0"/>
              <w:left w:val="single" w:color="auto" w:sz="4" w:space="0"/>
              <w:bottom w:val="single" w:color="auto" w:sz="4" w:space="0"/>
              <w:right w:val="single" w:color="auto" w:sz="4" w:space="0"/>
            </w:tcBorders>
            <w:noWrap w:val="0"/>
            <w:vAlign w:val="top"/>
          </w:tcPr>
          <w:p w14:paraId="39F9C67D">
            <w:pPr>
              <w:spacing w:line="360" w:lineRule="auto"/>
              <w:rPr>
                <w:rFonts w:hint="default" w:ascii="Times New Roman" w:hAnsi="Times New Roman" w:cs="Times New Roman"/>
                <w:color w:val="000000" w:themeColor="text1"/>
                <w:kern w:val="0"/>
                <w14:textFill>
                  <w14:solidFill>
                    <w14:schemeClr w14:val="tx1"/>
                  </w14:solidFill>
                </w14:textFill>
              </w:rPr>
            </w:pPr>
          </w:p>
        </w:tc>
        <w:tc>
          <w:tcPr>
            <w:tcW w:w="1247" w:type="dxa"/>
            <w:tcBorders>
              <w:top w:val="single" w:color="auto" w:sz="4" w:space="0"/>
              <w:left w:val="single" w:color="auto" w:sz="4" w:space="0"/>
              <w:bottom w:val="single" w:color="auto" w:sz="4" w:space="0"/>
              <w:right w:val="single" w:color="auto" w:sz="4" w:space="0"/>
            </w:tcBorders>
            <w:noWrap w:val="0"/>
            <w:vAlign w:val="top"/>
          </w:tcPr>
          <w:p w14:paraId="3507DAF9">
            <w:pPr>
              <w:spacing w:line="360" w:lineRule="auto"/>
              <w:rPr>
                <w:rFonts w:hint="default" w:ascii="Times New Roman" w:hAnsi="Times New Roman" w:cs="Times New Roman"/>
                <w:color w:val="000000" w:themeColor="text1"/>
                <w:kern w:val="0"/>
                <w14:textFill>
                  <w14:solidFill>
                    <w14:schemeClr w14:val="tx1"/>
                  </w14:solidFill>
                </w14:textFill>
              </w:rPr>
            </w:pPr>
          </w:p>
        </w:tc>
      </w:tr>
    </w:tbl>
    <w:p w14:paraId="43836D9F">
      <w:pPr>
        <w:spacing w:line="360" w:lineRule="auto"/>
        <w:rPr>
          <w:rFonts w:hint="default" w:ascii="Times New Roman" w:hAnsi="Times New Roman" w:cs="Times New Roman"/>
          <w:b/>
          <w:color w:val="000000" w:themeColor="text1"/>
          <w14:textFill>
            <w14:solidFill>
              <w14:schemeClr w14:val="tx1"/>
            </w14:solidFill>
          </w14:textFill>
        </w:rPr>
      </w:pPr>
    </w:p>
    <w:p w14:paraId="6E5659FA">
      <w:pPr>
        <w:spacing w:line="360" w:lineRule="auto"/>
        <w:rPr>
          <w:rFonts w:hint="default" w:ascii="Times New Roman" w:hAnsi="Times New Roman" w:cs="Times New Roman"/>
          <w:b/>
          <w:color w:val="000000" w:themeColor="text1"/>
          <w14:textFill>
            <w14:solidFill>
              <w14:schemeClr w14:val="tx1"/>
            </w14:solidFill>
          </w14:textFill>
        </w:rPr>
      </w:pPr>
      <w:r>
        <w:rPr>
          <w:rFonts w:hint="default" w:ascii="Times New Roman" w:hAnsi="Times New Roman" w:cs="Times New Roman"/>
          <w:b/>
          <w:color w:val="000000" w:themeColor="text1"/>
          <w14:textFill>
            <w14:solidFill>
              <w14:schemeClr w14:val="tx1"/>
            </w14:solidFill>
          </w14:textFill>
        </w:rPr>
        <w:t>注：须提供业绩证明材料（如：中标</w:t>
      </w:r>
      <w:r>
        <w:rPr>
          <w:rFonts w:hint="default" w:ascii="Times New Roman" w:hAnsi="Times New Roman" w:cs="Times New Roman"/>
          <w:b/>
          <w:color w:val="000000" w:themeColor="text1"/>
          <w:lang w:eastAsia="zh-CN"/>
          <w14:textFill>
            <w14:solidFill>
              <w14:schemeClr w14:val="tx1"/>
            </w14:solidFill>
          </w14:textFill>
        </w:rPr>
        <w:t>（</w:t>
      </w:r>
      <w:r>
        <w:rPr>
          <w:rFonts w:hint="default" w:ascii="Times New Roman" w:hAnsi="Times New Roman" w:cs="Times New Roman"/>
          <w:b/>
          <w:color w:val="000000" w:themeColor="text1"/>
          <w:lang w:val="en-US" w:eastAsia="zh-CN"/>
          <w14:textFill>
            <w14:solidFill>
              <w14:schemeClr w14:val="tx1"/>
            </w14:solidFill>
          </w14:textFill>
        </w:rPr>
        <w:t>成交</w:t>
      </w:r>
      <w:r>
        <w:rPr>
          <w:rFonts w:hint="default" w:ascii="Times New Roman" w:hAnsi="Times New Roman" w:cs="Times New Roman"/>
          <w:b/>
          <w:color w:val="000000" w:themeColor="text1"/>
          <w:lang w:eastAsia="zh-CN"/>
          <w14:textFill>
            <w14:solidFill>
              <w14:schemeClr w14:val="tx1"/>
            </w14:solidFill>
          </w14:textFill>
        </w:rPr>
        <w:t>）</w:t>
      </w:r>
      <w:r>
        <w:rPr>
          <w:rFonts w:hint="default" w:ascii="Times New Roman" w:hAnsi="Times New Roman" w:cs="Times New Roman"/>
          <w:b/>
          <w:color w:val="000000" w:themeColor="text1"/>
          <w14:textFill>
            <w14:solidFill>
              <w14:schemeClr w14:val="tx1"/>
            </w14:solidFill>
          </w14:textFill>
        </w:rPr>
        <w:t>通知书或合同协议书或业主证明材料）扫描件。</w:t>
      </w:r>
    </w:p>
    <w:p w14:paraId="7A2997C7">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790A6007">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420E6D5C">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36FAE03D">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69F7CABB">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35CE200A">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6301F934">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5E50BAE5">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2586BB1F">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1341F93E">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621B4FFD">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618DB9D3">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484A3153">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56009A10">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7A000E72">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522A4C1C">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p w14:paraId="65E40B23">
      <w:pPr>
        <w:spacing w:line="360" w:lineRule="auto"/>
        <w:jc w:val="center"/>
        <w:outlineLvl w:val="3"/>
        <w:rPr>
          <w:rFonts w:hint="default" w:ascii="Times New Roman" w:hAnsi="Times New Roman" w:eastAsia="宋体" w:cs="Times New Roman"/>
          <w:b/>
          <w:color w:val="000000" w:themeColor="text1"/>
          <w:sz w:val="30"/>
          <w:szCs w:val="30"/>
          <w:lang w:val="en-US" w:eastAsia="zh-CN"/>
          <w14:textFill>
            <w14:solidFill>
              <w14:schemeClr w14:val="tx1"/>
            </w14:solidFill>
          </w14:textFill>
        </w:rPr>
      </w:pPr>
      <w:r>
        <w:rPr>
          <w:rFonts w:hint="default" w:ascii="Times New Roman" w:hAnsi="Times New Roman" w:eastAsia="宋体" w:cs="Times New Roman"/>
          <w:b/>
          <w:color w:val="000000" w:themeColor="text1"/>
          <w:sz w:val="30"/>
          <w:szCs w:val="30"/>
          <w:lang w:val="en-US" w:eastAsia="zh-CN"/>
          <w14:textFill>
            <w14:solidFill>
              <w14:schemeClr w14:val="tx1"/>
            </w14:solidFill>
          </w14:textFill>
        </w:rPr>
        <w:t>三、供应商认为</w:t>
      </w:r>
      <w:r>
        <w:rPr>
          <w:rFonts w:hint="default" w:ascii="Times New Roman" w:hAnsi="Times New Roman" w:cs="Times New Roman"/>
          <w:b/>
          <w:color w:val="000000" w:themeColor="text1"/>
          <w:sz w:val="30"/>
          <w:szCs w:val="30"/>
          <w:lang w:val="en-US" w:eastAsia="zh-CN"/>
          <w14:textFill>
            <w14:solidFill>
              <w14:schemeClr w14:val="tx1"/>
            </w14:solidFill>
          </w14:textFill>
        </w:rPr>
        <w:t>需</w:t>
      </w:r>
      <w:r>
        <w:rPr>
          <w:rFonts w:hint="default" w:ascii="Times New Roman" w:hAnsi="Times New Roman" w:eastAsia="宋体" w:cs="Times New Roman"/>
          <w:b/>
          <w:color w:val="000000" w:themeColor="text1"/>
          <w:sz w:val="30"/>
          <w:szCs w:val="30"/>
          <w:lang w:val="en-US" w:eastAsia="zh-CN"/>
          <w14:textFill>
            <w14:solidFill>
              <w14:schemeClr w14:val="tx1"/>
            </w14:solidFill>
          </w14:textFill>
        </w:rPr>
        <w:t>提供的其他相关资料</w:t>
      </w:r>
    </w:p>
    <w:p w14:paraId="1E966E9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548619C9">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1275EEB9">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6B9379B0">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2D5D73E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03D9551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4317E602">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797401C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77A5F5F0">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0C5790A7">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39679320">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2CCF3457">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18533282">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73F72C0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3F302A20">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1C758FF7">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2E34565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2082E4E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7BC661A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1C5E88E7">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7532A10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3AAC14A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08D1373A">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339C81CC">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05E106B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1D5710C7">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480A7BE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72A0F44A">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6621A36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6220480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2219C140">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336E9DBA">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4D189BD4">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69398B6C">
      <w:pPr>
        <w:spacing w:line="360" w:lineRule="auto"/>
        <w:jc w:val="center"/>
        <w:outlineLvl w:val="3"/>
        <w:rPr>
          <w:rFonts w:hint="default" w:ascii="Times New Roman" w:hAnsi="Times New Roman" w:eastAsia="宋体" w:cs="Times New Roman"/>
          <w:b/>
          <w:color w:val="000000" w:themeColor="text1"/>
          <w:sz w:val="30"/>
          <w:szCs w:val="30"/>
          <w:lang w:val="en-US" w:eastAsia="zh-CN"/>
          <w14:textFill>
            <w14:solidFill>
              <w14:schemeClr w14:val="tx1"/>
            </w14:solidFill>
          </w14:textFill>
        </w:rPr>
      </w:pPr>
      <w:r>
        <w:rPr>
          <w:rFonts w:hint="default" w:ascii="Times New Roman" w:hAnsi="Times New Roman" w:eastAsia="宋体" w:cs="Times New Roman"/>
          <w:b/>
          <w:color w:val="000000" w:themeColor="text1"/>
          <w:sz w:val="30"/>
          <w:szCs w:val="30"/>
          <w:lang w:val="en-US" w:eastAsia="zh-CN"/>
          <w14:textFill>
            <w14:solidFill>
              <w14:schemeClr w14:val="tx1"/>
            </w14:solidFill>
          </w14:textFill>
        </w:rPr>
        <w:t>四、已标价的工程量清单</w:t>
      </w:r>
    </w:p>
    <w:p w14:paraId="222049F4">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32CE47DC">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449CA240">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0A4F60E7">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5BEE23D9">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32A64F34">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63CCB744">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1F3D0BE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484D288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563D74EF">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0CFE3D0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21C8681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68F4999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284468A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630B014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410A658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19A519E3">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39EBAA0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7EA0D6B0">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5D73AF8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23CCD77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6E5E4A7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0D14E9BA">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7852F87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5541D89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58F3822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4A4874B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7D1BEDEA">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2248CC70">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513E4ABA">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3CE59DC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2C5FF16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77CB33B9">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小标宋_GBK" w:cs="Times New Roman"/>
          <w:b w:val="0"/>
          <w:bCs w:val="0"/>
          <w:color w:val="000000" w:themeColor="text1"/>
          <w:kern w:val="2"/>
          <w:sz w:val="24"/>
          <w:szCs w:val="24"/>
          <w:lang w:val="en-US" w:eastAsia="zh-CN" w:bidi="ar-SA"/>
          <w14:textFill>
            <w14:solidFill>
              <w14:schemeClr w14:val="tx1"/>
            </w14:solidFill>
          </w14:textFill>
        </w:rPr>
      </w:pPr>
    </w:p>
    <w:p w14:paraId="2AF59DE7">
      <w:pPr>
        <w:numPr>
          <w:ilvl w:val="0"/>
          <w:numId w:val="0"/>
        </w:numPr>
        <w:spacing w:line="360" w:lineRule="auto"/>
        <w:ind w:firstLine="3915" w:firstLineChars="1300"/>
        <w:jc w:val="both"/>
        <w:outlineLvl w:val="3"/>
        <w:rPr>
          <w:rFonts w:hint="default" w:ascii="Times New Roman" w:hAnsi="Times New Roman" w:eastAsia="宋体" w:cs="Times New Roman"/>
          <w:b/>
          <w:color w:val="000000" w:themeColor="text1"/>
          <w:sz w:val="30"/>
          <w:szCs w:val="30"/>
          <w:lang w:val="en-US" w:eastAsia="zh-CN"/>
          <w14:textFill>
            <w14:solidFill>
              <w14:schemeClr w14:val="tx1"/>
            </w14:solidFill>
          </w14:textFill>
        </w:rPr>
      </w:pPr>
      <w:r>
        <w:rPr>
          <w:rFonts w:hint="default" w:ascii="Times New Roman" w:hAnsi="Times New Roman" w:cs="Times New Roman"/>
          <w:b/>
          <w:color w:val="000000" w:themeColor="text1"/>
          <w:sz w:val="30"/>
          <w:szCs w:val="30"/>
          <w:lang w:val="en-US" w:eastAsia="zh-CN"/>
          <w14:textFill>
            <w14:solidFill>
              <w14:schemeClr w14:val="tx1"/>
            </w14:solidFill>
          </w14:textFill>
        </w:rPr>
        <w:t>五、</w:t>
      </w:r>
      <w:r>
        <w:rPr>
          <w:rFonts w:hint="default" w:ascii="Times New Roman" w:hAnsi="Times New Roman" w:eastAsia="宋体" w:cs="Times New Roman"/>
          <w:b/>
          <w:color w:val="000000" w:themeColor="text1"/>
          <w:sz w:val="30"/>
          <w:szCs w:val="30"/>
          <w:lang w:val="en-US" w:eastAsia="zh-CN"/>
          <w14:textFill>
            <w14:solidFill>
              <w14:schemeClr w14:val="tx1"/>
            </w14:solidFill>
          </w14:textFill>
        </w:rPr>
        <w:t>施工组织方案</w:t>
      </w:r>
    </w:p>
    <w:p w14:paraId="165D6976">
      <w:pPr>
        <w:ind w:firstLine="4410" w:firstLineChars="2100"/>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1"/>
          <w:szCs w:val="21"/>
          <w:lang w:val="en-US" w:eastAsia="zh-CN" w:bidi="ar-SA"/>
          <w14:textFill>
            <w14:solidFill>
              <w14:schemeClr w14:val="tx1"/>
            </w14:solidFill>
          </w14:textFill>
        </w:rPr>
        <w:t>（格式自拟）</w:t>
      </w:r>
    </w:p>
    <w:p w14:paraId="1F0A7274">
      <w:pPr>
        <w:numPr>
          <w:ilvl w:val="0"/>
          <w:numId w:val="0"/>
        </w:numPr>
        <w:spacing w:line="360" w:lineRule="auto"/>
        <w:jc w:val="both"/>
        <w:outlineLvl w:val="3"/>
        <w:rPr>
          <w:rFonts w:hint="default" w:ascii="Times New Roman" w:hAnsi="Times New Roman" w:eastAsia="宋体" w:cs="Times New Roman"/>
          <w:b/>
          <w:color w:val="000000" w:themeColor="text1"/>
          <w:sz w:val="30"/>
          <w:szCs w:val="30"/>
          <w:lang w:val="en-US" w:eastAsia="zh-CN"/>
          <w14:textFill>
            <w14:solidFill>
              <w14:schemeClr w14:val="tx1"/>
            </w14:solidFill>
          </w14:textFill>
        </w:rPr>
      </w:pPr>
    </w:p>
    <w:p w14:paraId="6DD534B8">
      <w:pPr>
        <w:pStyle w:val="16"/>
        <w:spacing w:line="360" w:lineRule="auto"/>
        <w:ind w:left="0" w:leftChars="0" w:firstLine="0" w:firstLineChars="0"/>
        <w:rPr>
          <w:rFonts w:hint="default" w:ascii="Times New Roman" w:hAnsi="Times New Roman" w:cs="Times New Roman"/>
          <w:color w:val="000000" w:themeColor="text1"/>
          <w:kern w:val="2"/>
          <w:sz w:val="24"/>
          <w:szCs w:val="22"/>
          <w:highlight w:val="none"/>
          <w:u w:val="none"/>
          <w:lang w:val="en-US" w:eastAsia="zh-CN" w:bidi="ar-SA"/>
          <w14:textFill>
            <w14:solidFill>
              <w14:schemeClr w14:val="tx1"/>
            </w14:solidFill>
          </w14:textFill>
        </w:rPr>
      </w:pPr>
    </w:p>
    <w:sectPr>
      <w:pgSz w:w="11906" w:h="16838"/>
      <w:pgMar w:top="1440" w:right="1080" w:bottom="1440" w:left="1080"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10653">
    <w:pPr>
      <w:pStyle w:val="21"/>
      <w:tabs>
        <w:tab w:val="left" w:pos="4251"/>
        <w:tab w:val="clear" w:pos="4153"/>
      </w:tabs>
      <w:rPr>
        <w:rFonts w:hint="eastAsia" w:eastAsia="宋体"/>
        <w:lang w:eastAsia="zh-CN"/>
      </w:rPr>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71465">
    <w:pPr>
      <w:pStyle w:val="21"/>
      <w:tabs>
        <w:tab w:val="left" w:pos="4251"/>
        <w:tab w:val="clear" w:pos="4153"/>
      </w:tabs>
      <w:rPr>
        <w:rFonts w:hint="eastAsia" w:eastAsia="宋体"/>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0024B5">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D0024B5">
                    <w:pPr>
                      <w:pStyle w:val="21"/>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B676B">
    <w:pPr>
      <w:pStyle w:val="21"/>
      <w:rPr>
        <w:rFonts w:ascii="Times New Roman" w:hAnsi="Times New Roman" w:eastAsia="仿宋_GB2312"/>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76B2C1">
                          <w:pPr>
                            <w:pStyle w:val="2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476B2C1">
                    <w:pPr>
                      <w:pStyle w:val="2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FF1E7">
    <w:pPr>
      <w:rPr>
        <w:rFonts w:hint="eastAsia"/>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7E4E95">
                          <w:pPr>
                            <w:pStyle w:val="2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A7E4E95">
                    <w:pPr>
                      <w:pStyle w:val="21"/>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F0054">
    <w:pPr>
      <w:pStyle w:val="2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DC6EA">
                          <w:pPr>
                            <w:pStyle w:val="21"/>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3BDC6EA">
                    <w:pPr>
                      <w:pStyle w:val="21"/>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6AE08">
    <w:pPr>
      <w:pStyle w:val="2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2AA8A4"/>
    <w:multiLevelType w:val="singleLevel"/>
    <w:tmpl w:val="A12AA8A4"/>
    <w:lvl w:ilvl="0" w:tentative="0">
      <w:start w:val="1"/>
      <w:numFmt w:val="chineseCounting"/>
      <w:suff w:val="space"/>
      <w:lvlText w:val="第%1部分"/>
      <w:lvlJc w:val="left"/>
      <w:rPr>
        <w:rFonts w:hint="eastAsia"/>
      </w:rPr>
    </w:lvl>
  </w:abstractNum>
  <w:abstractNum w:abstractNumId="1">
    <w:nsid w:val="AA1C9ECC"/>
    <w:multiLevelType w:val="singleLevel"/>
    <w:tmpl w:val="AA1C9ECC"/>
    <w:lvl w:ilvl="0" w:tentative="0">
      <w:start w:val="4"/>
      <w:numFmt w:val="decimal"/>
      <w:suff w:val="nothing"/>
      <w:lvlText w:val="（%1）"/>
      <w:lvlJc w:val="left"/>
    </w:lvl>
  </w:abstractNum>
  <w:abstractNum w:abstractNumId="2">
    <w:nsid w:val="00000006"/>
    <w:multiLevelType w:val="singleLevel"/>
    <w:tmpl w:val="00000006"/>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xNzVjMDBkOWQ1ODkxYTc2ZWZkYjVkZGE1NmM4OGIifQ=="/>
  </w:docVars>
  <w:rsids>
    <w:rsidRoot w:val="1B4364C8"/>
    <w:rsid w:val="00002A1C"/>
    <w:rsid w:val="00005388"/>
    <w:rsid w:val="0001685F"/>
    <w:rsid w:val="00031FF8"/>
    <w:rsid w:val="00032B30"/>
    <w:rsid w:val="00033F38"/>
    <w:rsid w:val="00042018"/>
    <w:rsid w:val="00047679"/>
    <w:rsid w:val="00052560"/>
    <w:rsid w:val="00053BAD"/>
    <w:rsid w:val="00060159"/>
    <w:rsid w:val="00065F96"/>
    <w:rsid w:val="00076285"/>
    <w:rsid w:val="000804FC"/>
    <w:rsid w:val="000818C7"/>
    <w:rsid w:val="0008224F"/>
    <w:rsid w:val="000823DE"/>
    <w:rsid w:val="00085B13"/>
    <w:rsid w:val="000874E3"/>
    <w:rsid w:val="000A002F"/>
    <w:rsid w:val="000A20C9"/>
    <w:rsid w:val="000A2E56"/>
    <w:rsid w:val="000A347E"/>
    <w:rsid w:val="000B187B"/>
    <w:rsid w:val="000B4EF4"/>
    <w:rsid w:val="000C170A"/>
    <w:rsid w:val="000C26EB"/>
    <w:rsid w:val="000C5FA9"/>
    <w:rsid w:val="000C61DE"/>
    <w:rsid w:val="000D42EB"/>
    <w:rsid w:val="000D4B8B"/>
    <w:rsid w:val="000E712C"/>
    <w:rsid w:val="000F2916"/>
    <w:rsid w:val="000F3813"/>
    <w:rsid w:val="000F69C6"/>
    <w:rsid w:val="00110CE4"/>
    <w:rsid w:val="00125A57"/>
    <w:rsid w:val="0013076B"/>
    <w:rsid w:val="00131C63"/>
    <w:rsid w:val="00135E36"/>
    <w:rsid w:val="00140273"/>
    <w:rsid w:val="0015144E"/>
    <w:rsid w:val="00154D58"/>
    <w:rsid w:val="00166006"/>
    <w:rsid w:val="001668C8"/>
    <w:rsid w:val="001814DF"/>
    <w:rsid w:val="00181679"/>
    <w:rsid w:val="00181B81"/>
    <w:rsid w:val="00182AE0"/>
    <w:rsid w:val="00193CE9"/>
    <w:rsid w:val="001A204A"/>
    <w:rsid w:val="001A352A"/>
    <w:rsid w:val="001B672B"/>
    <w:rsid w:val="001B7754"/>
    <w:rsid w:val="001B7CE6"/>
    <w:rsid w:val="001C5C79"/>
    <w:rsid w:val="001D0BB7"/>
    <w:rsid w:val="001E4CFE"/>
    <w:rsid w:val="001F141C"/>
    <w:rsid w:val="001F3A7C"/>
    <w:rsid w:val="00212E93"/>
    <w:rsid w:val="00215C08"/>
    <w:rsid w:val="00220419"/>
    <w:rsid w:val="00237439"/>
    <w:rsid w:val="002459E9"/>
    <w:rsid w:val="00261386"/>
    <w:rsid w:val="00276A63"/>
    <w:rsid w:val="00296559"/>
    <w:rsid w:val="002A5E8D"/>
    <w:rsid w:val="002B6743"/>
    <w:rsid w:val="002E103E"/>
    <w:rsid w:val="002E197D"/>
    <w:rsid w:val="002E22C1"/>
    <w:rsid w:val="002F40D5"/>
    <w:rsid w:val="002F554E"/>
    <w:rsid w:val="003058BF"/>
    <w:rsid w:val="00305F89"/>
    <w:rsid w:val="003145FF"/>
    <w:rsid w:val="0031716E"/>
    <w:rsid w:val="00320FD3"/>
    <w:rsid w:val="003229DF"/>
    <w:rsid w:val="00333400"/>
    <w:rsid w:val="00337751"/>
    <w:rsid w:val="00337A79"/>
    <w:rsid w:val="00355BE8"/>
    <w:rsid w:val="00360D77"/>
    <w:rsid w:val="00387DC9"/>
    <w:rsid w:val="0039216F"/>
    <w:rsid w:val="0039727D"/>
    <w:rsid w:val="003A08C7"/>
    <w:rsid w:val="003A3A4B"/>
    <w:rsid w:val="003A53C0"/>
    <w:rsid w:val="003B32B1"/>
    <w:rsid w:val="003B35FB"/>
    <w:rsid w:val="003B637A"/>
    <w:rsid w:val="003B7440"/>
    <w:rsid w:val="003C133F"/>
    <w:rsid w:val="003D1C43"/>
    <w:rsid w:val="003D33BA"/>
    <w:rsid w:val="003E28A9"/>
    <w:rsid w:val="003F2D1B"/>
    <w:rsid w:val="003F504C"/>
    <w:rsid w:val="003F69B9"/>
    <w:rsid w:val="00405FA7"/>
    <w:rsid w:val="004070A9"/>
    <w:rsid w:val="00417343"/>
    <w:rsid w:val="0042561B"/>
    <w:rsid w:val="004302DE"/>
    <w:rsid w:val="00450821"/>
    <w:rsid w:val="004554BF"/>
    <w:rsid w:val="00462425"/>
    <w:rsid w:val="00465E9C"/>
    <w:rsid w:val="00470215"/>
    <w:rsid w:val="00480267"/>
    <w:rsid w:val="00494FFB"/>
    <w:rsid w:val="004B0548"/>
    <w:rsid w:val="004D66B4"/>
    <w:rsid w:val="004E123F"/>
    <w:rsid w:val="004E3335"/>
    <w:rsid w:val="004F06D8"/>
    <w:rsid w:val="00502A97"/>
    <w:rsid w:val="0052719A"/>
    <w:rsid w:val="00541F9E"/>
    <w:rsid w:val="005511B1"/>
    <w:rsid w:val="00555B0B"/>
    <w:rsid w:val="00574A4F"/>
    <w:rsid w:val="00584819"/>
    <w:rsid w:val="00586095"/>
    <w:rsid w:val="00587052"/>
    <w:rsid w:val="0059246E"/>
    <w:rsid w:val="00593DCB"/>
    <w:rsid w:val="00596890"/>
    <w:rsid w:val="005972B9"/>
    <w:rsid w:val="005B1BD1"/>
    <w:rsid w:val="005C2C54"/>
    <w:rsid w:val="005C3CFE"/>
    <w:rsid w:val="005C6ADC"/>
    <w:rsid w:val="005C6B82"/>
    <w:rsid w:val="005D21DB"/>
    <w:rsid w:val="005E50E0"/>
    <w:rsid w:val="005E6C5D"/>
    <w:rsid w:val="005F037B"/>
    <w:rsid w:val="005F2088"/>
    <w:rsid w:val="005F30D2"/>
    <w:rsid w:val="005F48F6"/>
    <w:rsid w:val="0060514A"/>
    <w:rsid w:val="0060655D"/>
    <w:rsid w:val="006114CF"/>
    <w:rsid w:val="006141DC"/>
    <w:rsid w:val="006176A5"/>
    <w:rsid w:val="006333F0"/>
    <w:rsid w:val="00634EDB"/>
    <w:rsid w:val="006539FE"/>
    <w:rsid w:val="00661856"/>
    <w:rsid w:val="00661FFA"/>
    <w:rsid w:val="006637A8"/>
    <w:rsid w:val="0066574A"/>
    <w:rsid w:val="006710DA"/>
    <w:rsid w:val="006724D3"/>
    <w:rsid w:val="00674919"/>
    <w:rsid w:val="00677C3A"/>
    <w:rsid w:val="00682D9A"/>
    <w:rsid w:val="0068324D"/>
    <w:rsid w:val="006848ED"/>
    <w:rsid w:val="0068773A"/>
    <w:rsid w:val="00694F72"/>
    <w:rsid w:val="00695583"/>
    <w:rsid w:val="006C3E51"/>
    <w:rsid w:val="006C59D8"/>
    <w:rsid w:val="006C6AFD"/>
    <w:rsid w:val="006D3C45"/>
    <w:rsid w:val="006D544C"/>
    <w:rsid w:val="006E4184"/>
    <w:rsid w:val="00704230"/>
    <w:rsid w:val="00706E16"/>
    <w:rsid w:val="007116E7"/>
    <w:rsid w:val="0073015A"/>
    <w:rsid w:val="0073491F"/>
    <w:rsid w:val="007405B0"/>
    <w:rsid w:val="00742F7A"/>
    <w:rsid w:val="0075665B"/>
    <w:rsid w:val="00760AE3"/>
    <w:rsid w:val="00761E3A"/>
    <w:rsid w:val="00766773"/>
    <w:rsid w:val="00773916"/>
    <w:rsid w:val="007743FF"/>
    <w:rsid w:val="00776DE0"/>
    <w:rsid w:val="00777B2A"/>
    <w:rsid w:val="0079141A"/>
    <w:rsid w:val="007A074D"/>
    <w:rsid w:val="007A0D85"/>
    <w:rsid w:val="007A3EA3"/>
    <w:rsid w:val="007A5656"/>
    <w:rsid w:val="007A7580"/>
    <w:rsid w:val="007B1ECB"/>
    <w:rsid w:val="007C05A3"/>
    <w:rsid w:val="007C07C2"/>
    <w:rsid w:val="007C46D0"/>
    <w:rsid w:val="007C491D"/>
    <w:rsid w:val="007C7954"/>
    <w:rsid w:val="007D1F26"/>
    <w:rsid w:val="007D2691"/>
    <w:rsid w:val="007D4410"/>
    <w:rsid w:val="007E463E"/>
    <w:rsid w:val="007E48B2"/>
    <w:rsid w:val="007E67F9"/>
    <w:rsid w:val="007F2995"/>
    <w:rsid w:val="007F2AC1"/>
    <w:rsid w:val="007F2FB8"/>
    <w:rsid w:val="00810302"/>
    <w:rsid w:val="008159A5"/>
    <w:rsid w:val="0082715B"/>
    <w:rsid w:val="008328B4"/>
    <w:rsid w:val="008333AB"/>
    <w:rsid w:val="00833E8A"/>
    <w:rsid w:val="00837196"/>
    <w:rsid w:val="00843009"/>
    <w:rsid w:val="00860629"/>
    <w:rsid w:val="00883255"/>
    <w:rsid w:val="008865E6"/>
    <w:rsid w:val="008878D1"/>
    <w:rsid w:val="00893D26"/>
    <w:rsid w:val="008953F8"/>
    <w:rsid w:val="008A270B"/>
    <w:rsid w:val="008B190C"/>
    <w:rsid w:val="008B1FB8"/>
    <w:rsid w:val="008B3F90"/>
    <w:rsid w:val="008C3BB9"/>
    <w:rsid w:val="008C42ED"/>
    <w:rsid w:val="008C6C96"/>
    <w:rsid w:val="008D0B25"/>
    <w:rsid w:val="008D18BC"/>
    <w:rsid w:val="008D3ED2"/>
    <w:rsid w:val="008D4BCF"/>
    <w:rsid w:val="008D4EF3"/>
    <w:rsid w:val="008E3A9D"/>
    <w:rsid w:val="008F21C2"/>
    <w:rsid w:val="008F734C"/>
    <w:rsid w:val="00910A69"/>
    <w:rsid w:val="0091185F"/>
    <w:rsid w:val="009133AD"/>
    <w:rsid w:val="00916F66"/>
    <w:rsid w:val="00921B30"/>
    <w:rsid w:val="00923A66"/>
    <w:rsid w:val="0094073E"/>
    <w:rsid w:val="009410E6"/>
    <w:rsid w:val="0094637A"/>
    <w:rsid w:val="00951FEE"/>
    <w:rsid w:val="00955DF6"/>
    <w:rsid w:val="009635D4"/>
    <w:rsid w:val="009652FE"/>
    <w:rsid w:val="00972B0B"/>
    <w:rsid w:val="00975597"/>
    <w:rsid w:val="00975D66"/>
    <w:rsid w:val="009831CD"/>
    <w:rsid w:val="00984CE4"/>
    <w:rsid w:val="00993889"/>
    <w:rsid w:val="00994096"/>
    <w:rsid w:val="009955E8"/>
    <w:rsid w:val="009A0FDE"/>
    <w:rsid w:val="009A2B88"/>
    <w:rsid w:val="009B4110"/>
    <w:rsid w:val="009C16ED"/>
    <w:rsid w:val="009C2053"/>
    <w:rsid w:val="009C5246"/>
    <w:rsid w:val="009D624F"/>
    <w:rsid w:val="009D780A"/>
    <w:rsid w:val="009F4CBB"/>
    <w:rsid w:val="00A02ABE"/>
    <w:rsid w:val="00A04135"/>
    <w:rsid w:val="00A04D59"/>
    <w:rsid w:val="00A17BE1"/>
    <w:rsid w:val="00A20B95"/>
    <w:rsid w:val="00A2693F"/>
    <w:rsid w:val="00A3447C"/>
    <w:rsid w:val="00A366CA"/>
    <w:rsid w:val="00A5011E"/>
    <w:rsid w:val="00A6383E"/>
    <w:rsid w:val="00A67E95"/>
    <w:rsid w:val="00A760DE"/>
    <w:rsid w:val="00A764E4"/>
    <w:rsid w:val="00A8309B"/>
    <w:rsid w:val="00A8703C"/>
    <w:rsid w:val="00AA3158"/>
    <w:rsid w:val="00AA6E19"/>
    <w:rsid w:val="00AB21BB"/>
    <w:rsid w:val="00AB3176"/>
    <w:rsid w:val="00AB618A"/>
    <w:rsid w:val="00AB7F87"/>
    <w:rsid w:val="00AC766F"/>
    <w:rsid w:val="00AE5CC8"/>
    <w:rsid w:val="00AF636B"/>
    <w:rsid w:val="00B00254"/>
    <w:rsid w:val="00B03ABC"/>
    <w:rsid w:val="00B04AF0"/>
    <w:rsid w:val="00B15C01"/>
    <w:rsid w:val="00B16E9F"/>
    <w:rsid w:val="00B2678B"/>
    <w:rsid w:val="00B31271"/>
    <w:rsid w:val="00B32139"/>
    <w:rsid w:val="00B37E4E"/>
    <w:rsid w:val="00B50D51"/>
    <w:rsid w:val="00B52AC1"/>
    <w:rsid w:val="00B56E13"/>
    <w:rsid w:val="00B5786C"/>
    <w:rsid w:val="00B60B42"/>
    <w:rsid w:val="00B65052"/>
    <w:rsid w:val="00B66381"/>
    <w:rsid w:val="00B720DA"/>
    <w:rsid w:val="00B75EA5"/>
    <w:rsid w:val="00B96179"/>
    <w:rsid w:val="00B97D6B"/>
    <w:rsid w:val="00BA0FC6"/>
    <w:rsid w:val="00BA2935"/>
    <w:rsid w:val="00BA75CF"/>
    <w:rsid w:val="00BB2850"/>
    <w:rsid w:val="00BB4810"/>
    <w:rsid w:val="00BC0B59"/>
    <w:rsid w:val="00BC483E"/>
    <w:rsid w:val="00BC7C83"/>
    <w:rsid w:val="00BE1801"/>
    <w:rsid w:val="00BF3B24"/>
    <w:rsid w:val="00C22E5B"/>
    <w:rsid w:val="00C26956"/>
    <w:rsid w:val="00C30909"/>
    <w:rsid w:val="00C33403"/>
    <w:rsid w:val="00C33763"/>
    <w:rsid w:val="00C35335"/>
    <w:rsid w:val="00C40416"/>
    <w:rsid w:val="00C41C05"/>
    <w:rsid w:val="00C44028"/>
    <w:rsid w:val="00C457CA"/>
    <w:rsid w:val="00C77BC7"/>
    <w:rsid w:val="00C82F0D"/>
    <w:rsid w:val="00C83343"/>
    <w:rsid w:val="00CC41F9"/>
    <w:rsid w:val="00CC6C87"/>
    <w:rsid w:val="00CC7745"/>
    <w:rsid w:val="00CD1253"/>
    <w:rsid w:val="00CD3406"/>
    <w:rsid w:val="00CD63BF"/>
    <w:rsid w:val="00CD7527"/>
    <w:rsid w:val="00CE0E5C"/>
    <w:rsid w:val="00CE4A33"/>
    <w:rsid w:val="00CE5A15"/>
    <w:rsid w:val="00CE6CF3"/>
    <w:rsid w:val="00CF3120"/>
    <w:rsid w:val="00CF429C"/>
    <w:rsid w:val="00D01278"/>
    <w:rsid w:val="00D043BC"/>
    <w:rsid w:val="00D066DB"/>
    <w:rsid w:val="00D13E14"/>
    <w:rsid w:val="00D155F4"/>
    <w:rsid w:val="00D274F5"/>
    <w:rsid w:val="00D33FA0"/>
    <w:rsid w:val="00D3437B"/>
    <w:rsid w:val="00D46338"/>
    <w:rsid w:val="00D47B4F"/>
    <w:rsid w:val="00D52A6E"/>
    <w:rsid w:val="00D61440"/>
    <w:rsid w:val="00D65A63"/>
    <w:rsid w:val="00D7094B"/>
    <w:rsid w:val="00D76858"/>
    <w:rsid w:val="00D77339"/>
    <w:rsid w:val="00D848E4"/>
    <w:rsid w:val="00D86B64"/>
    <w:rsid w:val="00D92B16"/>
    <w:rsid w:val="00D92D7C"/>
    <w:rsid w:val="00D95204"/>
    <w:rsid w:val="00D974EE"/>
    <w:rsid w:val="00DA028B"/>
    <w:rsid w:val="00DA1D76"/>
    <w:rsid w:val="00DA4AA4"/>
    <w:rsid w:val="00DB3242"/>
    <w:rsid w:val="00DC1A43"/>
    <w:rsid w:val="00DD3B6B"/>
    <w:rsid w:val="00DD456B"/>
    <w:rsid w:val="00DE187F"/>
    <w:rsid w:val="00DE3506"/>
    <w:rsid w:val="00DF2AF0"/>
    <w:rsid w:val="00DF39FE"/>
    <w:rsid w:val="00DF5C40"/>
    <w:rsid w:val="00E01C66"/>
    <w:rsid w:val="00E16080"/>
    <w:rsid w:val="00E33B95"/>
    <w:rsid w:val="00E55A14"/>
    <w:rsid w:val="00E65733"/>
    <w:rsid w:val="00E71522"/>
    <w:rsid w:val="00E84318"/>
    <w:rsid w:val="00E905EF"/>
    <w:rsid w:val="00E93A4E"/>
    <w:rsid w:val="00EA0361"/>
    <w:rsid w:val="00EA2661"/>
    <w:rsid w:val="00EA337A"/>
    <w:rsid w:val="00EA3D24"/>
    <w:rsid w:val="00EA4FE1"/>
    <w:rsid w:val="00EB27E7"/>
    <w:rsid w:val="00EB69DB"/>
    <w:rsid w:val="00EB6D8E"/>
    <w:rsid w:val="00EB74D1"/>
    <w:rsid w:val="00EC1339"/>
    <w:rsid w:val="00EC2027"/>
    <w:rsid w:val="00EC722C"/>
    <w:rsid w:val="00ED3E72"/>
    <w:rsid w:val="00ED6CE6"/>
    <w:rsid w:val="00EE2EDE"/>
    <w:rsid w:val="00EE6485"/>
    <w:rsid w:val="00EE6F84"/>
    <w:rsid w:val="00EF521B"/>
    <w:rsid w:val="00F0030B"/>
    <w:rsid w:val="00F17A6D"/>
    <w:rsid w:val="00F23584"/>
    <w:rsid w:val="00F26648"/>
    <w:rsid w:val="00F307D6"/>
    <w:rsid w:val="00F3247F"/>
    <w:rsid w:val="00F54FEA"/>
    <w:rsid w:val="00F60948"/>
    <w:rsid w:val="00F61EA2"/>
    <w:rsid w:val="00F623B9"/>
    <w:rsid w:val="00F645CC"/>
    <w:rsid w:val="00F649DC"/>
    <w:rsid w:val="00F716F4"/>
    <w:rsid w:val="00F75243"/>
    <w:rsid w:val="00F8596C"/>
    <w:rsid w:val="00F872A5"/>
    <w:rsid w:val="00F90D69"/>
    <w:rsid w:val="00F94F2D"/>
    <w:rsid w:val="00F96CD3"/>
    <w:rsid w:val="00FA3980"/>
    <w:rsid w:val="00FA3B3F"/>
    <w:rsid w:val="00FB00E1"/>
    <w:rsid w:val="00FB33AD"/>
    <w:rsid w:val="00FB4197"/>
    <w:rsid w:val="00FC1601"/>
    <w:rsid w:val="00FC5285"/>
    <w:rsid w:val="00FC6BF3"/>
    <w:rsid w:val="00FE1734"/>
    <w:rsid w:val="00FE3201"/>
    <w:rsid w:val="00FE5D37"/>
    <w:rsid w:val="00FE5DE6"/>
    <w:rsid w:val="00FF0454"/>
    <w:rsid w:val="00FF5E7D"/>
    <w:rsid w:val="01011432"/>
    <w:rsid w:val="01091E46"/>
    <w:rsid w:val="010A29DC"/>
    <w:rsid w:val="0115545B"/>
    <w:rsid w:val="011A52DC"/>
    <w:rsid w:val="014D4580"/>
    <w:rsid w:val="015078F3"/>
    <w:rsid w:val="015C4D17"/>
    <w:rsid w:val="015D6632"/>
    <w:rsid w:val="016675A2"/>
    <w:rsid w:val="016D1EEA"/>
    <w:rsid w:val="01802C9E"/>
    <w:rsid w:val="01815C85"/>
    <w:rsid w:val="018E2C9F"/>
    <w:rsid w:val="0194674A"/>
    <w:rsid w:val="019516CB"/>
    <w:rsid w:val="01A810BC"/>
    <w:rsid w:val="01B42890"/>
    <w:rsid w:val="01B666C0"/>
    <w:rsid w:val="01B800CA"/>
    <w:rsid w:val="01BA0ED0"/>
    <w:rsid w:val="01CF7782"/>
    <w:rsid w:val="01D134FA"/>
    <w:rsid w:val="01EE7C08"/>
    <w:rsid w:val="01FF7401"/>
    <w:rsid w:val="020058B7"/>
    <w:rsid w:val="0204567E"/>
    <w:rsid w:val="020C1503"/>
    <w:rsid w:val="020E1080"/>
    <w:rsid w:val="02105DD0"/>
    <w:rsid w:val="021138F7"/>
    <w:rsid w:val="021533E7"/>
    <w:rsid w:val="02164A3B"/>
    <w:rsid w:val="02181129"/>
    <w:rsid w:val="021D229B"/>
    <w:rsid w:val="0227263C"/>
    <w:rsid w:val="022C6982"/>
    <w:rsid w:val="02367253"/>
    <w:rsid w:val="0247556A"/>
    <w:rsid w:val="02571C51"/>
    <w:rsid w:val="026659F0"/>
    <w:rsid w:val="02682509"/>
    <w:rsid w:val="026A7F8B"/>
    <w:rsid w:val="02783976"/>
    <w:rsid w:val="027B54F3"/>
    <w:rsid w:val="02810A7C"/>
    <w:rsid w:val="02987B74"/>
    <w:rsid w:val="02B063CF"/>
    <w:rsid w:val="02B96468"/>
    <w:rsid w:val="02D06700"/>
    <w:rsid w:val="02D52B76"/>
    <w:rsid w:val="02E16CA8"/>
    <w:rsid w:val="02EB239A"/>
    <w:rsid w:val="02FC5F9B"/>
    <w:rsid w:val="03070A6D"/>
    <w:rsid w:val="031713E0"/>
    <w:rsid w:val="031F60AD"/>
    <w:rsid w:val="03215DBB"/>
    <w:rsid w:val="03266EF3"/>
    <w:rsid w:val="033962BA"/>
    <w:rsid w:val="033B6E7D"/>
    <w:rsid w:val="03440AEE"/>
    <w:rsid w:val="034B5C67"/>
    <w:rsid w:val="03525F75"/>
    <w:rsid w:val="03546191"/>
    <w:rsid w:val="035937A7"/>
    <w:rsid w:val="035F61C3"/>
    <w:rsid w:val="03655D32"/>
    <w:rsid w:val="036E6F03"/>
    <w:rsid w:val="0397523E"/>
    <w:rsid w:val="03A569EC"/>
    <w:rsid w:val="03AA3592"/>
    <w:rsid w:val="03AC38D7"/>
    <w:rsid w:val="03B24C65"/>
    <w:rsid w:val="03B94246"/>
    <w:rsid w:val="03CC3F79"/>
    <w:rsid w:val="03D472D2"/>
    <w:rsid w:val="03D746CC"/>
    <w:rsid w:val="03EC7EF1"/>
    <w:rsid w:val="03EE7CA0"/>
    <w:rsid w:val="03F46525"/>
    <w:rsid w:val="040C0819"/>
    <w:rsid w:val="041651F4"/>
    <w:rsid w:val="041E22FB"/>
    <w:rsid w:val="043B2EAD"/>
    <w:rsid w:val="04542E25"/>
    <w:rsid w:val="04553F6E"/>
    <w:rsid w:val="046D54DB"/>
    <w:rsid w:val="047835CA"/>
    <w:rsid w:val="04793CCC"/>
    <w:rsid w:val="047F0FEB"/>
    <w:rsid w:val="04881ACC"/>
    <w:rsid w:val="049A2B93"/>
    <w:rsid w:val="04AC5B58"/>
    <w:rsid w:val="04BD3FF8"/>
    <w:rsid w:val="04BF763A"/>
    <w:rsid w:val="04C32D98"/>
    <w:rsid w:val="04C36291"/>
    <w:rsid w:val="04C410F4"/>
    <w:rsid w:val="04C44C50"/>
    <w:rsid w:val="04CC0B93"/>
    <w:rsid w:val="04E70360"/>
    <w:rsid w:val="04F512AE"/>
    <w:rsid w:val="04F55409"/>
    <w:rsid w:val="04FA2D68"/>
    <w:rsid w:val="050831EA"/>
    <w:rsid w:val="052836AD"/>
    <w:rsid w:val="054144F3"/>
    <w:rsid w:val="05453FE3"/>
    <w:rsid w:val="055A7363"/>
    <w:rsid w:val="056C2F8E"/>
    <w:rsid w:val="0575419C"/>
    <w:rsid w:val="059E7B97"/>
    <w:rsid w:val="059F76AA"/>
    <w:rsid w:val="05A11650"/>
    <w:rsid w:val="05B13426"/>
    <w:rsid w:val="05B9677F"/>
    <w:rsid w:val="05C11562"/>
    <w:rsid w:val="05CF594F"/>
    <w:rsid w:val="05E82BC0"/>
    <w:rsid w:val="05ED01D7"/>
    <w:rsid w:val="05ED206F"/>
    <w:rsid w:val="05EE467B"/>
    <w:rsid w:val="05EF115A"/>
    <w:rsid w:val="06004E02"/>
    <w:rsid w:val="06135E8F"/>
    <w:rsid w:val="062151FE"/>
    <w:rsid w:val="062C2C8E"/>
    <w:rsid w:val="063A78C0"/>
    <w:rsid w:val="063B53E6"/>
    <w:rsid w:val="063C0831"/>
    <w:rsid w:val="064E102B"/>
    <w:rsid w:val="064E2E7C"/>
    <w:rsid w:val="06523C1B"/>
    <w:rsid w:val="06A47D41"/>
    <w:rsid w:val="06C13B3D"/>
    <w:rsid w:val="06C72E87"/>
    <w:rsid w:val="06C74ECC"/>
    <w:rsid w:val="06CC6A1C"/>
    <w:rsid w:val="06DE46EF"/>
    <w:rsid w:val="06EE4286"/>
    <w:rsid w:val="070D1263"/>
    <w:rsid w:val="070E2AFA"/>
    <w:rsid w:val="072B0FB7"/>
    <w:rsid w:val="07321FCE"/>
    <w:rsid w:val="0746789B"/>
    <w:rsid w:val="07467BD4"/>
    <w:rsid w:val="075229E7"/>
    <w:rsid w:val="075B562C"/>
    <w:rsid w:val="07642F16"/>
    <w:rsid w:val="077C4B51"/>
    <w:rsid w:val="07943000"/>
    <w:rsid w:val="07974F8D"/>
    <w:rsid w:val="0797664C"/>
    <w:rsid w:val="079D4011"/>
    <w:rsid w:val="079E5C2C"/>
    <w:rsid w:val="07A56FBB"/>
    <w:rsid w:val="07A82607"/>
    <w:rsid w:val="07B13BB2"/>
    <w:rsid w:val="07C6510A"/>
    <w:rsid w:val="07D57174"/>
    <w:rsid w:val="07E21F88"/>
    <w:rsid w:val="07E35D35"/>
    <w:rsid w:val="08196E63"/>
    <w:rsid w:val="081B102B"/>
    <w:rsid w:val="081E4FBF"/>
    <w:rsid w:val="081E6D6D"/>
    <w:rsid w:val="0822060B"/>
    <w:rsid w:val="082500FC"/>
    <w:rsid w:val="082B30F0"/>
    <w:rsid w:val="08314631"/>
    <w:rsid w:val="08314CF2"/>
    <w:rsid w:val="08354FE4"/>
    <w:rsid w:val="083E4D1A"/>
    <w:rsid w:val="083F70CE"/>
    <w:rsid w:val="08404F36"/>
    <w:rsid w:val="08607386"/>
    <w:rsid w:val="08610595"/>
    <w:rsid w:val="086A3D60"/>
    <w:rsid w:val="086A5B0F"/>
    <w:rsid w:val="086E2D85"/>
    <w:rsid w:val="0873264E"/>
    <w:rsid w:val="087A0447"/>
    <w:rsid w:val="087B5F6E"/>
    <w:rsid w:val="087D3A94"/>
    <w:rsid w:val="08874912"/>
    <w:rsid w:val="088A4F5C"/>
    <w:rsid w:val="089332B7"/>
    <w:rsid w:val="08A057E0"/>
    <w:rsid w:val="08AC25CB"/>
    <w:rsid w:val="08B03E69"/>
    <w:rsid w:val="08B576D2"/>
    <w:rsid w:val="08C23B9D"/>
    <w:rsid w:val="08C6368D"/>
    <w:rsid w:val="08CA0B17"/>
    <w:rsid w:val="08CB0CA3"/>
    <w:rsid w:val="08EB30F3"/>
    <w:rsid w:val="08EF3D5E"/>
    <w:rsid w:val="08FC0E5C"/>
    <w:rsid w:val="08FC70AE"/>
    <w:rsid w:val="08FE04F3"/>
    <w:rsid w:val="090174C9"/>
    <w:rsid w:val="09047D11"/>
    <w:rsid w:val="09093579"/>
    <w:rsid w:val="090A4772"/>
    <w:rsid w:val="091137AC"/>
    <w:rsid w:val="093A26CA"/>
    <w:rsid w:val="093C56FD"/>
    <w:rsid w:val="094F537E"/>
    <w:rsid w:val="09502F56"/>
    <w:rsid w:val="09506DC0"/>
    <w:rsid w:val="095F5000"/>
    <w:rsid w:val="09722ECD"/>
    <w:rsid w:val="097E7AC3"/>
    <w:rsid w:val="09945539"/>
    <w:rsid w:val="09954E0D"/>
    <w:rsid w:val="099C619C"/>
    <w:rsid w:val="09A84B40"/>
    <w:rsid w:val="09A950D4"/>
    <w:rsid w:val="09AC322E"/>
    <w:rsid w:val="09AF5ECF"/>
    <w:rsid w:val="09B34E4D"/>
    <w:rsid w:val="09B972DB"/>
    <w:rsid w:val="09C17DFB"/>
    <w:rsid w:val="09C30A11"/>
    <w:rsid w:val="09D242DF"/>
    <w:rsid w:val="09DC0C8E"/>
    <w:rsid w:val="09E64011"/>
    <w:rsid w:val="09F47D86"/>
    <w:rsid w:val="09FC6C3A"/>
    <w:rsid w:val="0A1B17B6"/>
    <w:rsid w:val="0A2D14EA"/>
    <w:rsid w:val="0A402FCB"/>
    <w:rsid w:val="0A5151D8"/>
    <w:rsid w:val="0A535123"/>
    <w:rsid w:val="0A55707E"/>
    <w:rsid w:val="0A594760"/>
    <w:rsid w:val="0A595E3B"/>
    <w:rsid w:val="0A6C7DC1"/>
    <w:rsid w:val="0A7A1137"/>
    <w:rsid w:val="0A7D421F"/>
    <w:rsid w:val="0A943317"/>
    <w:rsid w:val="0A9A6B7F"/>
    <w:rsid w:val="0A9D09ED"/>
    <w:rsid w:val="0AAC68B2"/>
    <w:rsid w:val="0AB85257"/>
    <w:rsid w:val="0AB92AA5"/>
    <w:rsid w:val="0ACB4F8A"/>
    <w:rsid w:val="0AD676F3"/>
    <w:rsid w:val="0AE03B24"/>
    <w:rsid w:val="0AE20526"/>
    <w:rsid w:val="0B1B7594"/>
    <w:rsid w:val="0B2B5A29"/>
    <w:rsid w:val="0B401388"/>
    <w:rsid w:val="0B41524D"/>
    <w:rsid w:val="0B435C9A"/>
    <w:rsid w:val="0B5807E8"/>
    <w:rsid w:val="0B5D7BAD"/>
    <w:rsid w:val="0B5E586D"/>
    <w:rsid w:val="0B6E1DBA"/>
    <w:rsid w:val="0B723658"/>
    <w:rsid w:val="0B7E1C13"/>
    <w:rsid w:val="0BA47589"/>
    <w:rsid w:val="0BA9599C"/>
    <w:rsid w:val="0BB579E9"/>
    <w:rsid w:val="0BBC0D77"/>
    <w:rsid w:val="0BD6221C"/>
    <w:rsid w:val="0BE5207C"/>
    <w:rsid w:val="0BE71927"/>
    <w:rsid w:val="0BEA7692"/>
    <w:rsid w:val="0BF95B27"/>
    <w:rsid w:val="0C120997"/>
    <w:rsid w:val="0C2A7A8F"/>
    <w:rsid w:val="0C2D3A23"/>
    <w:rsid w:val="0C3C77C2"/>
    <w:rsid w:val="0C3E353A"/>
    <w:rsid w:val="0C406D2D"/>
    <w:rsid w:val="0C62191E"/>
    <w:rsid w:val="0C6C00A7"/>
    <w:rsid w:val="0C742D31"/>
    <w:rsid w:val="0C796C68"/>
    <w:rsid w:val="0C807FF6"/>
    <w:rsid w:val="0C811679"/>
    <w:rsid w:val="0C822729"/>
    <w:rsid w:val="0C89627C"/>
    <w:rsid w:val="0C8E44C1"/>
    <w:rsid w:val="0C965124"/>
    <w:rsid w:val="0C970E9C"/>
    <w:rsid w:val="0C992E66"/>
    <w:rsid w:val="0CA737D5"/>
    <w:rsid w:val="0CB657C6"/>
    <w:rsid w:val="0CB75F0F"/>
    <w:rsid w:val="0CB7787A"/>
    <w:rsid w:val="0CB832EC"/>
    <w:rsid w:val="0CE40585"/>
    <w:rsid w:val="0CE95B9C"/>
    <w:rsid w:val="0CEE4F60"/>
    <w:rsid w:val="0CF62067"/>
    <w:rsid w:val="0CFB58CF"/>
    <w:rsid w:val="0D103128"/>
    <w:rsid w:val="0D1150F2"/>
    <w:rsid w:val="0D162900"/>
    <w:rsid w:val="0D3C4104"/>
    <w:rsid w:val="0D505C1B"/>
    <w:rsid w:val="0D5D3E94"/>
    <w:rsid w:val="0D6214AA"/>
    <w:rsid w:val="0D643474"/>
    <w:rsid w:val="0D6B4803"/>
    <w:rsid w:val="0D814026"/>
    <w:rsid w:val="0D993F72"/>
    <w:rsid w:val="0D9D0734"/>
    <w:rsid w:val="0DA86E6B"/>
    <w:rsid w:val="0DB72578"/>
    <w:rsid w:val="0DB937C0"/>
    <w:rsid w:val="0DBD4932"/>
    <w:rsid w:val="0DBF7AAD"/>
    <w:rsid w:val="0DD57EC7"/>
    <w:rsid w:val="0DDD1D75"/>
    <w:rsid w:val="0DDD6D83"/>
    <w:rsid w:val="0DDF6F9F"/>
    <w:rsid w:val="0DE14AC5"/>
    <w:rsid w:val="0DE20805"/>
    <w:rsid w:val="0DFA16E3"/>
    <w:rsid w:val="0DFD014F"/>
    <w:rsid w:val="0E0464B7"/>
    <w:rsid w:val="0E077F1E"/>
    <w:rsid w:val="0E1053AA"/>
    <w:rsid w:val="0E1409F6"/>
    <w:rsid w:val="0E157F31"/>
    <w:rsid w:val="0E341099"/>
    <w:rsid w:val="0E460DCC"/>
    <w:rsid w:val="0E612370"/>
    <w:rsid w:val="0E636A1C"/>
    <w:rsid w:val="0E65059F"/>
    <w:rsid w:val="0E6B0585"/>
    <w:rsid w:val="0E794CFD"/>
    <w:rsid w:val="0E8A515C"/>
    <w:rsid w:val="0E941B37"/>
    <w:rsid w:val="0E963B01"/>
    <w:rsid w:val="0E981627"/>
    <w:rsid w:val="0E9E6512"/>
    <w:rsid w:val="0EA06822"/>
    <w:rsid w:val="0EB0090B"/>
    <w:rsid w:val="0EB2020F"/>
    <w:rsid w:val="0EB21FBD"/>
    <w:rsid w:val="0EBA6EB4"/>
    <w:rsid w:val="0EBC4BEA"/>
    <w:rsid w:val="0EC71F0D"/>
    <w:rsid w:val="0ECA3487"/>
    <w:rsid w:val="0ECF0DC1"/>
    <w:rsid w:val="0EE61FFF"/>
    <w:rsid w:val="0EF46979"/>
    <w:rsid w:val="0EFC3281"/>
    <w:rsid w:val="0EFF16A6"/>
    <w:rsid w:val="0F024CF3"/>
    <w:rsid w:val="0F040A6B"/>
    <w:rsid w:val="0F0C5B71"/>
    <w:rsid w:val="0F112567"/>
    <w:rsid w:val="0F19422D"/>
    <w:rsid w:val="0F2E71B6"/>
    <w:rsid w:val="0F4B48EC"/>
    <w:rsid w:val="0F5216E4"/>
    <w:rsid w:val="0F5D63B8"/>
    <w:rsid w:val="0F6459AD"/>
    <w:rsid w:val="0F7554C5"/>
    <w:rsid w:val="0F8B358F"/>
    <w:rsid w:val="0F8D4560"/>
    <w:rsid w:val="0F987405"/>
    <w:rsid w:val="0F9B5048"/>
    <w:rsid w:val="0FBF0E36"/>
    <w:rsid w:val="0FC621C4"/>
    <w:rsid w:val="0FCB77DB"/>
    <w:rsid w:val="0FCD73CA"/>
    <w:rsid w:val="0FCE72CB"/>
    <w:rsid w:val="0FE12B5A"/>
    <w:rsid w:val="0FE53D9D"/>
    <w:rsid w:val="0FF03D60"/>
    <w:rsid w:val="0FFB741E"/>
    <w:rsid w:val="0FFE195E"/>
    <w:rsid w:val="1003012D"/>
    <w:rsid w:val="10042CED"/>
    <w:rsid w:val="101271B8"/>
    <w:rsid w:val="101A783E"/>
    <w:rsid w:val="102E563B"/>
    <w:rsid w:val="10352D42"/>
    <w:rsid w:val="10364183"/>
    <w:rsid w:val="10484987"/>
    <w:rsid w:val="104E42C7"/>
    <w:rsid w:val="10585D93"/>
    <w:rsid w:val="105A46BB"/>
    <w:rsid w:val="106344B2"/>
    <w:rsid w:val="106418F5"/>
    <w:rsid w:val="10771710"/>
    <w:rsid w:val="10806817"/>
    <w:rsid w:val="10944070"/>
    <w:rsid w:val="109A35CE"/>
    <w:rsid w:val="10B9468E"/>
    <w:rsid w:val="10B97087"/>
    <w:rsid w:val="10D12BCF"/>
    <w:rsid w:val="10D2447A"/>
    <w:rsid w:val="10E943BC"/>
    <w:rsid w:val="11050ACA"/>
    <w:rsid w:val="11252DDD"/>
    <w:rsid w:val="112847B9"/>
    <w:rsid w:val="114805EE"/>
    <w:rsid w:val="11501EBF"/>
    <w:rsid w:val="11625F1D"/>
    <w:rsid w:val="11950063"/>
    <w:rsid w:val="119F0F1F"/>
    <w:rsid w:val="119F4A7B"/>
    <w:rsid w:val="11A02710"/>
    <w:rsid w:val="11A26319"/>
    <w:rsid w:val="11B07302"/>
    <w:rsid w:val="11B414F9"/>
    <w:rsid w:val="11B5429E"/>
    <w:rsid w:val="11BA3663"/>
    <w:rsid w:val="11BD13A5"/>
    <w:rsid w:val="11C24C0D"/>
    <w:rsid w:val="11C642C7"/>
    <w:rsid w:val="11CC783A"/>
    <w:rsid w:val="11D02E86"/>
    <w:rsid w:val="11EE155E"/>
    <w:rsid w:val="11EE77B0"/>
    <w:rsid w:val="11F0177A"/>
    <w:rsid w:val="11F37D8C"/>
    <w:rsid w:val="11F5061D"/>
    <w:rsid w:val="1204410F"/>
    <w:rsid w:val="120579FB"/>
    <w:rsid w:val="121D73E5"/>
    <w:rsid w:val="125A6BF4"/>
    <w:rsid w:val="12705D8B"/>
    <w:rsid w:val="12886753"/>
    <w:rsid w:val="128B3251"/>
    <w:rsid w:val="128F1DB9"/>
    <w:rsid w:val="12994089"/>
    <w:rsid w:val="12AE2D66"/>
    <w:rsid w:val="12B55C37"/>
    <w:rsid w:val="12C02E84"/>
    <w:rsid w:val="12CD6E82"/>
    <w:rsid w:val="12D149BF"/>
    <w:rsid w:val="12E2313C"/>
    <w:rsid w:val="12E27315"/>
    <w:rsid w:val="12EF558E"/>
    <w:rsid w:val="12F62EC8"/>
    <w:rsid w:val="130258C5"/>
    <w:rsid w:val="130628D8"/>
    <w:rsid w:val="131B2827"/>
    <w:rsid w:val="13203999"/>
    <w:rsid w:val="13223BB5"/>
    <w:rsid w:val="13283B88"/>
    <w:rsid w:val="132F62D2"/>
    <w:rsid w:val="1331710E"/>
    <w:rsid w:val="1336140F"/>
    <w:rsid w:val="13382787"/>
    <w:rsid w:val="13426006"/>
    <w:rsid w:val="134E6759"/>
    <w:rsid w:val="136011A5"/>
    <w:rsid w:val="13620456"/>
    <w:rsid w:val="136250DA"/>
    <w:rsid w:val="13631493"/>
    <w:rsid w:val="13635966"/>
    <w:rsid w:val="136840DC"/>
    <w:rsid w:val="136A730B"/>
    <w:rsid w:val="137B32C6"/>
    <w:rsid w:val="13857CA0"/>
    <w:rsid w:val="138C102F"/>
    <w:rsid w:val="139E6916"/>
    <w:rsid w:val="13BF31B2"/>
    <w:rsid w:val="13CC58CF"/>
    <w:rsid w:val="13CE4689"/>
    <w:rsid w:val="13D44784"/>
    <w:rsid w:val="13DA0CFD"/>
    <w:rsid w:val="13DD188A"/>
    <w:rsid w:val="13DE2DEE"/>
    <w:rsid w:val="13E946D3"/>
    <w:rsid w:val="13FA3585"/>
    <w:rsid w:val="13FA41EA"/>
    <w:rsid w:val="14011382"/>
    <w:rsid w:val="14011A1D"/>
    <w:rsid w:val="140123C9"/>
    <w:rsid w:val="141259D8"/>
    <w:rsid w:val="14164D9C"/>
    <w:rsid w:val="14186D67"/>
    <w:rsid w:val="141A2ADF"/>
    <w:rsid w:val="142676D5"/>
    <w:rsid w:val="143F42F3"/>
    <w:rsid w:val="14411E19"/>
    <w:rsid w:val="1447621E"/>
    <w:rsid w:val="144E2788"/>
    <w:rsid w:val="14524026"/>
    <w:rsid w:val="14531B4D"/>
    <w:rsid w:val="14551D69"/>
    <w:rsid w:val="14657918"/>
    <w:rsid w:val="146C483C"/>
    <w:rsid w:val="14720225"/>
    <w:rsid w:val="14762D3D"/>
    <w:rsid w:val="147F0B94"/>
    <w:rsid w:val="147F24F6"/>
    <w:rsid w:val="147F2942"/>
    <w:rsid w:val="14891B03"/>
    <w:rsid w:val="14983A03"/>
    <w:rsid w:val="14A625C4"/>
    <w:rsid w:val="14A800EA"/>
    <w:rsid w:val="14C53B69"/>
    <w:rsid w:val="14D1233A"/>
    <w:rsid w:val="14D242CD"/>
    <w:rsid w:val="14DD57B6"/>
    <w:rsid w:val="14E31BE1"/>
    <w:rsid w:val="14ED01F3"/>
    <w:rsid w:val="14EF1875"/>
    <w:rsid w:val="14FE7D0A"/>
    <w:rsid w:val="15035321"/>
    <w:rsid w:val="15086DDB"/>
    <w:rsid w:val="153004D9"/>
    <w:rsid w:val="15363E68"/>
    <w:rsid w:val="153B0F5F"/>
    <w:rsid w:val="15520056"/>
    <w:rsid w:val="15581B10"/>
    <w:rsid w:val="155913E5"/>
    <w:rsid w:val="156264EB"/>
    <w:rsid w:val="15632263"/>
    <w:rsid w:val="157D1577"/>
    <w:rsid w:val="15966195"/>
    <w:rsid w:val="15B34F99"/>
    <w:rsid w:val="15CA4090"/>
    <w:rsid w:val="15E02B77"/>
    <w:rsid w:val="15E11B06"/>
    <w:rsid w:val="160475A2"/>
    <w:rsid w:val="16077093"/>
    <w:rsid w:val="160C46A9"/>
    <w:rsid w:val="16110D89"/>
    <w:rsid w:val="1613566E"/>
    <w:rsid w:val="16162A3F"/>
    <w:rsid w:val="162A4334"/>
    <w:rsid w:val="162E0323"/>
    <w:rsid w:val="16352E85"/>
    <w:rsid w:val="16377978"/>
    <w:rsid w:val="165067AF"/>
    <w:rsid w:val="16585B40"/>
    <w:rsid w:val="16592461"/>
    <w:rsid w:val="166938A9"/>
    <w:rsid w:val="166E2C8D"/>
    <w:rsid w:val="166E3FB4"/>
    <w:rsid w:val="16753FFC"/>
    <w:rsid w:val="16774218"/>
    <w:rsid w:val="168A53D1"/>
    <w:rsid w:val="168D50B7"/>
    <w:rsid w:val="16907088"/>
    <w:rsid w:val="169B7609"/>
    <w:rsid w:val="16A36DBB"/>
    <w:rsid w:val="16B14BBA"/>
    <w:rsid w:val="16B15D26"/>
    <w:rsid w:val="16BE7FBC"/>
    <w:rsid w:val="16C61DE9"/>
    <w:rsid w:val="16CB4564"/>
    <w:rsid w:val="16CD208A"/>
    <w:rsid w:val="16CE13C5"/>
    <w:rsid w:val="16D00214"/>
    <w:rsid w:val="16DA208E"/>
    <w:rsid w:val="16DB5662"/>
    <w:rsid w:val="16DC22CD"/>
    <w:rsid w:val="16EF3DAF"/>
    <w:rsid w:val="16F54832"/>
    <w:rsid w:val="170B670F"/>
    <w:rsid w:val="170F4451"/>
    <w:rsid w:val="17125954"/>
    <w:rsid w:val="172A128B"/>
    <w:rsid w:val="173526A7"/>
    <w:rsid w:val="1735378C"/>
    <w:rsid w:val="173D7210"/>
    <w:rsid w:val="17473E7F"/>
    <w:rsid w:val="175005C5"/>
    <w:rsid w:val="17610409"/>
    <w:rsid w:val="177B5642"/>
    <w:rsid w:val="17814E1C"/>
    <w:rsid w:val="17854713"/>
    <w:rsid w:val="178B7795"/>
    <w:rsid w:val="178D5376"/>
    <w:rsid w:val="1797590F"/>
    <w:rsid w:val="17984446"/>
    <w:rsid w:val="17AA23CB"/>
    <w:rsid w:val="17B30B63"/>
    <w:rsid w:val="17B80644"/>
    <w:rsid w:val="17CC4545"/>
    <w:rsid w:val="17D171A9"/>
    <w:rsid w:val="17E31439"/>
    <w:rsid w:val="17E551B2"/>
    <w:rsid w:val="17F978EB"/>
    <w:rsid w:val="18154A7F"/>
    <w:rsid w:val="18193577"/>
    <w:rsid w:val="18226406"/>
    <w:rsid w:val="18291542"/>
    <w:rsid w:val="183A54FD"/>
    <w:rsid w:val="18695DE3"/>
    <w:rsid w:val="18820C52"/>
    <w:rsid w:val="18860E36"/>
    <w:rsid w:val="189278F9"/>
    <w:rsid w:val="18AB371D"/>
    <w:rsid w:val="18AF5EEB"/>
    <w:rsid w:val="18B54B84"/>
    <w:rsid w:val="18C13ECF"/>
    <w:rsid w:val="18C354F3"/>
    <w:rsid w:val="18CE3E98"/>
    <w:rsid w:val="18D25736"/>
    <w:rsid w:val="18D8470D"/>
    <w:rsid w:val="18F356AC"/>
    <w:rsid w:val="18F631B5"/>
    <w:rsid w:val="191442F0"/>
    <w:rsid w:val="19151A93"/>
    <w:rsid w:val="19164715"/>
    <w:rsid w:val="191C2E55"/>
    <w:rsid w:val="192D6E10"/>
    <w:rsid w:val="192E77AB"/>
    <w:rsid w:val="19306900"/>
    <w:rsid w:val="19357C2D"/>
    <w:rsid w:val="19397563"/>
    <w:rsid w:val="194128BC"/>
    <w:rsid w:val="19520625"/>
    <w:rsid w:val="19595E57"/>
    <w:rsid w:val="19687E48"/>
    <w:rsid w:val="196C1830"/>
    <w:rsid w:val="196C5B8A"/>
    <w:rsid w:val="1976217F"/>
    <w:rsid w:val="197B401F"/>
    <w:rsid w:val="198033E4"/>
    <w:rsid w:val="19836A30"/>
    <w:rsid w:val="199307E0"/>
    <w:rsid w:val="19954E1E"/>
    <w:rsid w:val="19A6326E"/>
    <w:rsid w:val="19CA465F"/>
    <w:rsid w:val="19EC4FBE"/>
    <w:rsid w:val="19F618F8"/>
    <w:rsid w:val="19FF117B"/>
    <w:rsid w:val="1A0538E9"/>
    <w:rsid w:val="1A123794"/>
    <w:rsid w:val="1A134258"/>
    <w:rsid w:val="1A14446F"/>
    <w:rsid w:val="1A253F8B"/>
    <w:rsid w:val="1A2F6BB8"/>
    <w:rsid w:val="1A350962"/>
    <w:rsid w:val="1A3B37AF"/>
    <w:rsid w:val="1A410E06"/>
    <w:rsid w:val="1A4C32C6"/>
    <w:rsid w:val="1A5D3284"/>
    <w:rsid w:val="1A6534EC"/>
    <w:rsid w:val="1A6A2E22"/>
    <w:rsid w:val="1A6E5E58"/>
    <w:rsid w:val="1A700F33"/>
    <w:rsid w:val="1A7A6085"/>
    <w:rsid w:val="1A835286"/>
    <w:rsid w:val="1A8B1CFA"/>
    <w:rsid w:val="1A92319C"/>
    <w:rsid w:val="1A9F2FE6"/>
    <w:rsid w:val="1AA2382E"/>
    <w:rsid w:val="1AB30D69"/>
    <w:rsid w:val="1ADF238C"/>
    <w:rsid w:val="1AE6196C"/>
    <w:rsid w:val="1AEB0D31"/>
    <w:rsid w:val="1AF75928"/>
    <w:rsid w:val="1AFB20BA"/>
    <w:rsid w:val="1AFC55FC"/>
    <w:rsid w:val="1AFF2903"/>
    <w:rsid w:val="1B147E26"/>
    <w:rsid w:val="1B1A0677"/>
    <w:rsid w:val="1B261D69"/>
    <w:rsid w:val="1B326960"/>
    <w:rsid w:val="1B3A3A66"/>
    <w:rsid w:val="1B3C158C"/>
    <w:rsid w:val="1B430525"/>
    <w:rsid w:val="1B4364C8"/>
    <w:rsid w:val="1B46393E"/>
    <w:rsid w:val="1B697EA8"/>
    <w:rsid w:val="1B6C5AB8"/>
    <w:rsid w:val="1B7352CE"/>
    <w:rsid w:val="1B8151F1"/>
    <w:rsid w:val="1B817DA2"/>
    <w:rsid w:val="1B8B42C2"/>
    <w:rsid w:val="1B8D7F60"/>
    <w:rsid w:val="1B8E244F"/>
    <w:rsid w:val="1B91681E"/>
    <w:rsid w:val="1B9B4505"/>
    <w:rsid w:val="1B9F4480"/>
    <w:rsid w:val="1BA62EAA"/>
    <w:rsid w:val="1BA673C4"/>
    <w:rsid w:val="1BAA299A"/>
    <w:rsid w:val="1BB90E2F"/>
    <w:rsid w:val="1BBC2085"/>
    <w:rsid w:val="1BBE6445"/>
    <w:rsid w:val="1BC05D1A"/>
    <w:rsid w:val="1BD143CB"/>
    <w:rsid w:val="1BDD2D6F"/>
    <w:rsid w:val="1BE97638"/>
    <w:rsid w:val="1BFE4497"/>
    <w:rsid w:val="1C163B8C"/>
    <w:rsid w:val="1C256286"/>
    <w:rsid w:val="1C2D2986"/>
    <w:rsid w:val="1C2E5379"/>
    <w:rsid w:val="1C491F81"/>
    <w:rsid w:val="1C4B1CB0"/>
    <w:rsid w:val="1C632B49"/>
    <w:rsid w:val="1C7134B8"/>
    <w:rsid w:val="1C746B04"/>
    <w:rsid w:val="1C84143D"/>
    <w:rsid w:val="1C9A0C60"/>
    <w:rsid w:val="1CB27BD5"/>
    <w:rsid w:val="1CB71D82"/>
    <w:rsid w:val="1CD904B3"/>
    <w:rsid w:val="1CF12C87"/>
    <w:rsid w:val="1D0B7468"/>
    <w:rsid w:val="1D0E6F59"/>
    <w:rsid w:val="1D28001A"/>
    <w:rsid w:val="1D290DB5"/>
    <w:rsid w:val="1D48246B"/>
    <w:rsid w:val="1D567596"/>
    <w:rsid w:val="1D5D08D6"/>
    <w:rsid w:val="1D61177E"/>
    <w:rsid w:val="1D6D192A"/>
    <w:rsid w:val="1D743260"/>
    <w:rsid w:val="1D7A45EE"/>
    <w:rsid w:val="1D7F67FE"/>
    <w:rsid w:val="1D8316F5"/>
    <w:rsid w:val="1D8A2A83"/>
    <w:rsid w:val="1D8E6EDA"/>
    <w:rsid w:val="1D8F0099"/>
    <w:rsid w:val="1D8F3AD9"/>
    <w:rsid w:val="1DB95623"/>
    <w:rsid w:val="1DC0789C"/>
    <w:rsid w:val="1DCA2E80"/>
    <w:rsid w:val="1DD0420E"/>
    <w:rsid w:val="1DDE2DCF"/>
    <w:rsid w:val="1DE57CB9"/>
    <w:rsid w:val="1DE63E75"/>
    <w:rsid w:val="1DF17E04"/>
    <w:rsid w:val="1DF54202"/>
    <w:rsid w:val="1DF839AA"/>
    <w:rsid w:val="1DFB572F"/>
    <w:rsid w:val="1E054F96"/>
    <w:rsid w:val="1E122A78"/>
    <w:rsid w:val="1E1D4B5D"/>
    <w:rsid w:val="1E246D22"/>
    <w:rsid w:val="1E326C77"/>
    <w:rsid w:val="1E334EC9"/>
    <w:rsid w:val="1E4D585F"/>
    <w:rsid w:val="1E537E77"/>
    <w:rsid w:val="1E626DBE"/>
    <w:rsid w:val="1E652530"/>
    <w:rsid w:val="1E652BA8"/>
    <w:rsid w:val="1E74728F"/>
    <w:rsid w:val="1E8422E7"/>
    <w:rsid w:val="1E9949B8"/>
    <w:rsid w:val="1EA23DFC"/>
    <w:rsid w:val="1EA65BF8"/>
    <w:rsid w:val="1EB37DB8"/>
    <w:rsid w:val="1EBB6C6C"/>
    <w:rsid w:val="1EBF4146"/>
    <w:rsid w:val="1ED85A70"/>
    <w:rsid w:val="1EDD3086"/>
    <w:rsid w:val="1EEF1ADA"/>
    <w:rsid w:val="1EF5217E"/>
    <w:rsid w:val="1EF96888"/>
    <w:rsid w:val="1F0304CB"/>
    <w:rsid w:val="1F0506DA"/>
    <w:rsid w:val="1F086468"/>
    <w:rsid w:val="1F086AFE"/>
    <w:rsid w:val="1F170346"/>
    <w:rsid w:val="1F182311"/>
    <w:rsid w:val="1F274302"/>
    <w:rsid w:val="1F30765A"/>
    <w:rsid w:val="1F3573E3"/>
    <w:rsid w:val="1F3919FA"/>
    <w:rsid w:val="1F3D58D3"/>
    <w:rsid w:val="1F4D3D68"/>
    <w:rsid w:val="1F5F6D1A"/>
    <w:rsid w:val="1F60475F"/>
    <w:rsid w:val="1F707A5F"/>
    <w:rsid w:val="1F745799"/>
    <w:rsid w:val="1F751511"/>
    <w:rsid w:val="1F881244"/>
    <w:rsid w:val="1F8B5B00"/>
    <w:rsid w:val="1F8F0428"/>
    <w:rsid w:val="1F9A167D"/>
    <w:rsid w:val="1FAB1D01"/>
    <w:rsid w:val="1FCB2D25"/>
    <w:rsid w:val="1FE77EAB"/>
    <w:rsid w:val="1FE87B32"/>
    <w:rsid w:val="1FF22B62"/>
    <w:rsid w:val="1FF95C9E"/>
    <w:rsid w:val="1FFB1A16"/>
    <w:rsid w:val="2000527E"/>
    <w:rsid w:val="20032679"/>
    <w:rsid w:val="20052895"/>
    <w:rsid w:val="200810F7"/>
    <w:rsid w:val="200F7270"/>
    <w:rsid w:val="20112FE8"/>
    <w:rsid w:val="20126D60"/>
    <w:rsid w:val="202C131A"/>
    <w:rsid w:val="20450EE3"/>
    <w:rsid w:val="204D7D98"/>
    <w:rsid w:val="204F58BE"/>
    <w:rsid w:val="20515ADA"/>
    <w:rsid w:val="20586834"/>
    <w:rsid w:val="2061413D"/>
    <w:rsid w:val="206D3F96"/>
    <w:rsid w:val="207B66B3"/>
    <w:rsid w:val="207F65BB"/>
    <w:rsid w:val="20831A0C"/>
    <w:rsid w:val="20947775"/>
    <w:rsid w:val="2096173F"/>
    <w:rsid w:val="20A26336"/>
    <w:rsid w:val="20BB7250"/>
    <w:rsid w:val="20C00EFC"/>
    <w:rsid w:val="20C4005A"/>
    <w:rsid w:val="20C53DD2"/>
    <w:rsid w:val="20D81D57"/>
    <w:rsid w:val="20EC135F"/>
    <w:rsid w:val="20EF1C7C"/>
    <w:rsid w:val="20FF5536"/>
    <w:rsid w:val="21042B4C"/>
    <w:rsid w:val="210E2568"/>
    <w:rsid w:val="210F45C7"/>
    <w:rsid w:val="21186033"/>
    <w:rsid w:val="211F34E2"/>
    <w:rsid w:val="21260D15"/>
    <w:rsid w:val="212717E3"/>
    <w:rsid w:val="21375BFF"/>
    <w:rsid w:val="213D0534"/>
    <w:rsid w:val="214178FD"/>
    <w:rsid w:val="21442F49"/>
    <w:rsid w:val="214B077B"/>
    <w:rsid w:val="21645598"/>
    <w:rsid w:val="216B2BCB"/>
    <w:rsid w:val="21742968"/>
    <w:rsid w:val="21847FE4"/>
    <w:rsid w:val="21867A05"/>
    <w:rsid w:val="21933ED0"/>
    <w:rsid w:val="2195551C"/>
    <w:rsid w:val="219E6AFD"/>
    <w:rsid w:val="21A1039B"/>
    <w:rsid w:val="21AD0AEE"/>
    <w:rsid w:val="21BF2E9E"/>
    <w:rsid w:val="21C916A0"/>
    <w:rsid w:val="21C978F2"/>
    <w:rsid w:val="21DC49FE"/>
    <w:rsid w:val="21FA0093"/>
    <w:rsid w:val="22032E04"/>
    <w:rsid w:val="22080702"/>
    <w:rsid w:val="220A23E4"/>
    <w:rsid w:val="22105521"/>
    <w:rsid w:val="222039B6"/>
    <w:rsid w:val="22234AC2"/>
    <w:rsid w:val="222D7E81"/>
    <w:rsid w:val="2245341D"/>
    <w:rsid w:val="22543660"/>
    <w:rsid w:val="225A0A81"/>
    <w:rsid w:val="22761828"/>
    <w:rsid w:val="22794E74"/>
    <w:rsid w:val="227E04B1"/>
    <w:rsid w:val="227E6062"/>
    <w:rsid w:val="228026A7"/>
    <w:rsid w:val="228201CD"/>
    <w:rsid w:val="228E43C8"/>
    <w:rsid w:val="2297354C"/>
    <w:rsid w:val="229E0D7F"/>
    <w:rsid w:val="229F0536"/>
    <w:rsid w:val="22A85759"/>
    <w:rsid w:val="22BB36DF"/>
    <w:rsid w:val="22BD1E34"/>
    <w:rsid w:val="22C2646F"/>
    <w:rsid w:val="22CA3922"/>
    <w:rsid w:val="22D14CB0"/>
    <w:rsid w:val="22D402FC"/>
    <w:rsid w:val="22D60519"/>
    <w:rsid w:val="22EB2DA9"/>
    <w:rsid w:val="22F664C5"/>
    <w:rsid w:val="22FD5AA5"/>
    <w:rsid w:val="230F7587"/>
    <w:rsid w:val="231177A3"/>
    <w:rsid w:val="231E77CA"/>
    <w:rsid w:val="233139A1"/>
    <w:rsid w:val="23337719"/>
    <w:rsid w:val="23384D2F"/>
    <w:rsid w:val="235D02F2"/>
    <w:rsid w:val="2361564E"/>
    <w:rsid w:val="2383309D"/>
    <w:rsid w:val="23A07159"/>
    <w:rsid w:val="23A75A11"/>
    <w:rsid w:val="23B02B18"/>
    <w:rsid w:val="23C30A9D"/>
    <w:rsid w:val="23D507D0"/>
    <w:rsid w:val="23E353A2"/>
    <w:rsid w:val="23E80503"/>
    <w:rsid w:val="23EB3B50"/>
    <w:rsid w:val="23F14330"/>
    <w:rsid w:val="23FA50E5"/>
    <w:rsid w:val="24096F5E"/>
    <w:rsid w:val="24204A50"/>
    <w:rsid w:val="242B2112"/>
    <w:rsid w:val="242E1C8E"/>
    <w:rsid w:val="242F484E"/>
    <w:rsid w:val="2431681E"/>
    <w:rsid w:val="24354C79"/>
    <w:rsid w:val="24373239"/>
    <w:rsid w:val="24381196"/>
    <w:rsid w:val="244B0A92"/>
    <w:rsid w:val="24537CA2"/>
    <w:rsid w:val="246851A0"/>
    <w:rsid w:val="246B0D6E"/>
    <w:rsid w:val="24747FE9"/>
    <w:rsid w:val="24784616"/>
    <w:rsid w:val="248533A2"/>
    <w:rsid w:val="24863878"/>
    <w:rsid w:val="24883A94"/>
    <w:rsid w:val="249B5576"/>
    <w:rsid w:val="24C9408F"/>
    <w:rsid w:val="24CB5938"/>
    <w:rsid w:val="24D12B44"/>
    <w:rsid w:val="24D80578"/>
    <w:rsid w:val="24E54A43"/>
    <w:rsid w:val="24EC4023"/>
    <w:rsid w:val="24EF141E"/>
    <w:rsid w:val="24F9313B"/>
    <w:rsid w:val="25020159"/>
    <w:rsid w:val="250C1FD0"/>
    <w:rsid w:val="25140E84"/>
    <w:rsid w:val="25227A45"/>
    <w:rsid w:val="25234734"/>
    <w:rsid w:val="252E63EA"/>
    <w:rsid w:val="252F16D1"/>
    <w:rsid w:val="253D662D"/>
    <w:rsid w:val="254479BB"/>
    <w:rsid w:val="25494FD2"/>
    <w:rsid w:val="254C16A4"/>
    <w:rsid w:val="255D363B"/>
    <w:rsid w:val="256E67E6"/>
    <w:rsid w:val="25811773"/>
    <w:rsid w:val="258B55EA"/>
    <w:rsid w:val="258C1362"/>
    <w:rsid w:val="259326F1"/>
    <w:rsid w:val="25974098"/>
    <w:rsid w:val="25A55F80"/>
    <w:rsid w:val="25AD66BE"/>
    <w:rsid w:val="25C57C4C"/>
    <w:rsid w:val="25C718A8"/>
    <w:rsid w:val="25C74149"/>
    <w:rsid w:val="25DA3E7C"/>
    <w:rsid w:val="25DF5936"/>
    <w:rsid w:val="25E02770"/>
    <w:rsid w:val="25E22D30"/>
    <w:rsid w:val="25E847EB"/>
    <w:rsid w:val="25EA60A7"/>
    <w:rsid w:val="25F52E25"/>
    <w:rsid w:val="25F5515A"/>
    <w:rsid w:val="26040EF9"/>
    <w:rsid w:val="26102AB7"/>
    <w:rsid w:val="262278CD"/>
    <w:rsid w:val="26240C31"/>
    <w:rsid w:val="262B46D7"/>
    <w:rsid w:val="262B7AB4"/>
    <w:rsid w:val="26307F40"/>
    <w:rsid w:val="263A491A"/>
    <w:rsid w:val="2641214D"/>
    <w:rsid w:val="26435EC5"/>
    <w:rsid w:val="26597496"/>
    <w:rsid w:val="265A4FBD"/>
    <w:rsid w:val="2661459D"/>
    <w:rsid w:val="26621A49"/>
    <w:rsid w:val="267522D4"/>
    <w:rsid w:val="268A2496"/>
    <w:rsid w:val="268D1681"/>
    <w:rsid w:val="26942B03"/>
    <w:rsid w:val="26AA1AA9"/>
    <w:rsid w:val="26AB4563"/>
    <w:rsid w:val="26B172D2"/>
    <w:rsid w:val="26C075FD"/>
    <w:rsid w:val="26CF1507"/>
    <w:rsid w:val="26D905D7"/>
    <w:rsid w:val="26DE174A"/>
    <w:rsid w:val="26E256DE"/>
    <w:rsid w:val="27082DFB"/>
    <w:rsid w:val="27141266"/>
    <w:rsid w:val="27147861"/>
    <w:rsid w:val="27194E78"/>
    <w:rsid w:val="271B474C"/>
    <w:rsid w:val="27277D5D"/>
    <w:rsid w:val="273A72C8"/>
    <w:rsid w:val="27651E6B"/>
    <w:rsid w:val="27653C19"/>
    <w:rsid w:val="277A1305"/>
    <w:rsid w:val="277A3309"/>
    <w:rsid w:val="279664C8"/>
    <w:rsid w:val="27982240"/>
    <w:rsid w:val="27A57111"/>
    <w:rsid w:val="27AC7A9A"/>
    <w:rsid w:val="27B4466B"/>
    <w:rsid w:val="27C941A8"/>
    <w:rsid w:val="27DC13F0"/>
    <w:rsid w:val="27E17743"/>
    <w:rsid w:val="27E86D24"/>
    <w:rsid w:val="27F84A8D"/>
    <w:rsid w:val="28011B94"/>
    <w:rsid w:val="280B38E7"/>
    <w:rsid w:val="281C4C20"/>
    <w:rsid w:val="281E1741"/>
    <w:rsid w:val="28292E99"/>
    <w:rsid w:val="282B4E63"/>
    <w:rsid w:val="283B1F82"/>
    <w:rsid w:val="28447CD2"/>
    <w:rsid w:val="284D302B"/>
    <w:rsid w:val="2861255C"/>
    <w:rsid w:val="286436D9"/>
    <w:rsid w:val="28664BBC"/>
    <w:rsid w:val="286839C1"/>
    <w:rsid w:val="286914E7"/>
    <w:rsid w:val="286B3C71"/>
    <w:rsid w:val="28757E8C"/>
    <w:rsid w:val="28816AB6"/>
    <w:rsid w:val="288B76AF"/>
    <w:rsid w:val="288C0FBE"/>
    <w:rsid w:val="28942A08"/>
    <w:rsid w:val="28995C3F"/>
    <w:rsid w:val="28A30E9D"/>
    <w:rsid w:val="28A569C3"/>
    <w:rsid w:val="28B01ED3"/>
    <w:rsid w:val="28D21782"/>
    <w:rsid w:val="28D52C13"/>
    <w:rsid w:val="28D948BF"/>
    <w:rsid w:val="28F2438E"/>
    <w:rsid w:val="28FB4835"/>
    <w:rsid w:val="28FD5E5B"/>
    <w:rsid w:val="290E2EC2"/>
    <w:rsid w:val="292901A9"/>
    <w:rsid w:val="29345F99"/>
    <w:rsid w:val="29437F8A"/>
    <w:rsid w:val="295126A7"/>
    <w:rsid w:val="295403E9"/>
    <w:rsid w:val="29583A35"/>
    <w:rsid w:val="2964062C"/>
    <w:rsid w:val="2972782E"/>
    <w:rsid w:val="29781350"/>
    <w:rsid w:val="298B139D"/>
    <w:rsid w:val="29914F3B"/>
    <w:rsid w:val="29916F47"/>
    <w:rsid w:val="29930F11"/>
    <w:rsid w:val="299C0546"/>
    <w:rsid w:val="29BA46F0"/>
    <w:rsid w:val="29CE1F49"/>
    <w:rsid w:val="29DB6414"/>
    <w:rsid w:val="29F3375E"/>
    <w:rsid w:val="29F924A3"/>
    <w:rsid w:val="2A00650F"/>
    <w:rsid w:val="2A0D0CC4"/>
    <w:rsid w:val="2A1D4C7F"/>
    <w:rsid w:val="2A1E3C04"/>
    <w:rsid w:val="2A286F09"/>
    <w:rsid w:val="2A2A1BE6"/>
    <w:rsid w:val="2A42575A"/>
    <w:rsid w:val="2A4E308A"/>
    <w:rsid w:val="2A5E4CB3"/>
    <w:rsid w:val="2A8913BF"/>
    <w:rsid w:val="2A8D0B61"/>
    <w:rsid w:val="2A950CB9"/>
    <w:rsid w:val="2A9D36CA"/>
    <w:rsid w:val="2AA40D23"/>
    <w:rsid w:val="2AA902C1"/>
    <w:rsid w:val="2AAC20AD"/>
    <w:rsid w:val="2AB03A9B"/>
    <w:rsid w:val="2AC23BAF"/>
    <w:rsid w:val="2AC5334C"/>
    <w:rsid w:val="2AC670C5"/>
    <w:rsid w:val="2AD417E1"/>
    <w:rsid w:val="2ADB2B70"/>
    <w:rsid w:val="2AE7647F"/>
    <w:rsid w:val="2AEB4D55"/>
    <w:rsid w:val="2AF94DA4"/>
    <w:rsid w:val="2B0379D1"/>
    <w:rsid w:val="2B054287"/>
    <w:rsid w:val="2B1206FF"/>
    <w:rsid w:val="2B1D6CDC"/>
    <w:rsid w:val="2B2C33CC"/>
    <w:rsid w:val="2B2F0EFE"/>
    <w:rsid w:val="2B397896"/>
    <w:rsid w:val="2B3E6C5B"/>
    <w:rsid w:val="2B404781"/>
    <w:rsid w:val="2B4F2C16"/>
    <w:rsid w:val="2B5841C1"/>
    <w:rsid w:val="2B597F39"/>
    <w:rsid w:val="2B604E23"/>
    <w:rsid w:val="2B634913"/>
    <w:rsid w:val="2B634F3B"/>
    <w:rsid w:val="2B717030"/>
    <w:rsid w:val="2B880878"/>
    <w:rsid w:val="2B911481"/>
    <w:rsid w:val="2B9E4989"/>
    <w:rsid w:val="2BA94A1C"/>
    <w:rsid w:val="2BB331A5"/>
    <w:rsid w:val="2BCE7FDF"/>
    <w:rsid w:val="2BD17ACF"/>
    <w:rsid w:val="2BD622BA"/>
    <w:rsid w:val="2BDB094E"/>
    <w:rsid w:val="2BF65615"/>
    <w:rsid w:val="2C0734F1"/>
    <w:rsid w:val="2C12290F"/>
    <w:rsid w:val="2C1300E8"/>
    <w:rsid w:val="2C1A4F84"/>
    <w:rsid w:val="2C1E11CD"/>
    <w:rsid w:val="2C2112DA"/>
    <w:rsid w:val="2C224B09"/>
    <w:rsid w:val="2C2A1EBB"/>
    <w:rsid w:val="2C3437C3"/>
    <w:rsid w:val="2C35087A"/>
    <w:rsid w:val="2C372C35"/>
    <w:rsid w:val="2C4202AD"/>
    <w:rsid w:val="2C493B09"/>
    <w:rsid w:val="2C4C4AEA"/>
    <w:rsid w:val="2C511142"/>
    <w:rsid w:val="2C595764"/>
    <w:rsid w:val="2C6B3A80"/>
    <w:rsid w:val="2C6C5774"/>
    <w:rsid w:val="2C7C3EDF"/>
    <w:rsid w:val="2C8B2374"/>
    <w:rsid w:val="2C9F3729"/>
    <w:rsid w:val="2CB54B9C"/>
    <w:rsid w:val="2CC94C4A"/>
    <w:rsid w:val="2CDC497D"/>
    <w:rsid w:val="2CF63C91"/>
    <w:rsid w:val="2D0A3299"/>
    <w:rsid w:val="2D0B47B7"/>
    <w:rsid w:val="2D0F08AF"/>
    <w:rsid w:val="2D1369FE"/>
    <w:rsid w:val="2D1543B0"/>
    <w:rsid w:val="2D241E80"/>
    <w:rsid w:val="2D2B7329"/>
    <w:rsid w:val="2D305DE1"/>
    <w:rsid w:val="2D3C541C"/>
    <w:rsid w:val="2D460049"/>
    <w:rsid w:val="2D4B38B1"/>
    <w:rsid w:val="2D4D3D4C"/>
    <w:rsid w:val="2D524C40"/>
    <w:rsid w:val="2D654973"/>
    <w:rsid w:val="2D6A1F89"/>
    <w:rsid w:val="2D7331BE"/>
    <w:rsid w:val="2D80355B"/>
    <w:rsid w:val="2D9660F9"/>
    <w:rsid w:val="2DA2715B"/>
    <w:rsid w:val="2DA31D38"/>
    <w:rsid w:val="2DAF3E40"/>
    <w:rsid w:val="2DBB27E5"/>
    <w:rsid w:val="2DBE22D5"/>
    <w:rsid w:val="2DBF048A"/>
    <w:rsid w:val="2DBF665F"/>
    <w:rsid w:val="2DC664AE"/>
    <w:rsid w:val="2DC7118A"/>
    <w:rsid w:val="2DD418B8"/>
    <w:rsid w:val="2DED6716"/>
    <w:rsid w:val="2DF6381D"/>
    <w:rsid w:val="2E0956DD"/>
    <w:rsid w:val="2E134B5E"/>
    <w:rsid w:val="2E141EF5"/>
    <w:rsid w:val="2E1A39AF"/>
    <w:rsid w:val="2E1D6FFC"/>
    <w:rsid w:val="2E282E5C"/>
    <w:rsid w:val="2E310CF9"/>
    <w:rsid w:val="2E405189"/>
    <w:rsid w:val="2E4B3B69"/>
    <w:rsid w:val="2E6F330A"/>
    <w:rsid w:val="2E7035CF"/>
    <w:rsid w:val="2E792813"/>
    <w:rsid w:val="2E8B0409"/>
    <w:rsid w:val="2E8E1CA7"/>
    <w:rsid w:val="2E9049F4"/>
    <w:rsid w:val="2E9A689E"/>
    <w:rsid w:val="2E9D6201"/>
    <w:rsid w:val="2EBD61CA"/>
    <w:rsid w:val="2EDB3BCD"/>
    <w:rsid w:val="2F0D7070"/>
    <w:rsid w:val="2F0F2DE8"/>
    <w:rsid w:val="2F2919D0"/>
    <w:rsid w:val="2F4D3910"/>
    <w:rsid w:val="2F5527C5"/>
    <w:rsid w:val="2F5B7424"/>
    <w:rsid w:val="2F690E5A"/>
    <w:rsid w:val="2F7C24D6"/>
    <w:rsid w:val="2F81180C"/>
    <w:rsid w:val="2F8D6403"/>
    <w:rsid w:val="2F950E14"/>
    <w:rsid w:val="2F9631D9"/>
    <w:rsid w:val="2FA3342A"/>
    <w:rsid w:val="2FA73304"/>
    <w:rsid w:val="2FAF6379"/>
    <w:rsid w:val="2FBC4BA8"/>
    <w:rsid w:val="2FC31E25"/>
    <w:rsid w:val="2FEA5603"/>
    <w:rsid w:val="2FF10740"/>
    <w:rsid w:val="2FF344B8"/>
    <w:rsid w:val="2FF4179F"/>
    <w:rsid w:val="2FF41FDE"/>
    <w:rsid w:val="300D66D1"/>
    <w:rsid w:val="30161F54"/>
    <w:rsid w:val="303D1BD7"/>
    <w:rsid w:val="303F600B"/>
    <w:rsid w:val="304D6AB9"/>
    <w:rsid w:val="30562C99"/>
    <w:rsid w:val="305C48BE"/>
    <w:rsid w:val="305D4027"/>
    <w:rsid w:val="306C426A"/>
    <w:rsid w:val="306E572A"/>
    <w:rsid w:val="306F78B6"/>
    <w:rsid w:val="30721F04"/>
    <w:rsid w:val="30726B41"/>
    <w:rsid w:val="308E2433"/>
    <w:rsid w:val="308F10A5"/>
    <w:rsid w:val="30915A7F"/>
    <w:rsid w:val="30A43A04"/>
    <w:rsid w:val="30AE4883"/>
    <w:rsid w:val="30C85944"/>
    <w:rsid w:val="30E36CD9"/>
    <w:rsid w:val="30E648AE"/>
    <w:rsid w:val="30F3375D"/>
    <w:rsid w:val="30FD3114"/>
    <w:rsid w:val="310B3A83"/>
    <w:rsid w:val="310B56FA"/>
    <w:rsid w:val="31271F3F"/>
    <w:rsid w:val="31454D41"/>
    <w:rsid w:val="315F07E6"/>
    <w:rsid w:val="31692558"/>
    <w:rsid w:val="316A69FC"/>
    <w:rsid w:val="31741628"/>
    <w:rsid w:val="3176034A"/>
    <w:rsid w:val="3177782E"/>
    <w:rsid w:val="31791556"/>
    <w:rsid w:val="31813988"/>
    <w:rsid w:val="31886E82"/>
    <w:rsid w:val="31965F99"/>
    <w:rsid w:val="319677F1"/>
    <w:rsid w:val="3199108F"/>
    <w:rsid w:val="31A0191F"/>
    <w:rsid w:val="31A517E2"/>
    <w:rsid w:val="31AC70E0"/>
    <w:rsid w:val="31B15176"/>
    <w:rsid w:val="31B32BBD"/>
    <w:rsid w:val="31B61C41"/>
    <w:rsid w:val="31C33672"/>
    <w:rsid w:val="31D40319"/>
    <w:rsid w:val="31F023FB"/>
    <w:rsid w:val="31FA3731"/>
    <w:rsid w:val="31FC1174"/>
    <w:rsid w:val="32180206"/>
    <w:rsid w:val="3228588E"/>
    <w:rsid w:val="322B5393"/>
    <w:rsid w:val="32356670"/>
    <w:rsid w:val="324054E9"/>
    <w:rsid w:val="325E6E98"/>
    <w:rsid w:val="3264344B"/>
    <w:rsid w:val="326E6078"/>
    <w:rsid w:val="327A2C6E"/>
    <w:rsid w:val="327D0627"/>
    <w:rsid w:val="32807B59"/>
    <w:rsid w:val="328533C1"/>
    <w:rsid w:val="32867865"/>
    <w:rsid w:val="328F3C5D"/>
    <w:rsid w:val="3295570D"/>
    <w:rsid w:val="32973805"/>
    <w:rsid w:val="32A61CB5"/>
    <w:rsid w:val="32B048E2"/>
    <w:rsid w:val="32B36180"/>
    <w:rsid w:val="32BD0DAD"/>
    <w:rsid w:val="32CC2D9E"/>
    <w:rsid w:val="32CF38CF"/>
    <w:rsid w:val="32D700C1"/>
    <w:rsid w:val="32D87995"/>
    <w:rsid w:val="32DE417F"/>
    <w:rsid w:val="32E43DE3"/>
    <w:rsid w:val="32EB591A"/>
    <w:rsid w:val="32F32A21"/>
    <w:rsid w:val="32FC18D5"/>
    <w:rsid w:val="33036773"/>
    <w:rsid w:val="330B71DB"/>
    <w:rsid w:val="330C5891"/>
    <w:rsid w:val="33150BE9"/>
    <w:rsid w:val="331A1D5C"/>
    <w:rsid w:val="33285E7F"/>
    <w:rsid w:val="332E3636"/>
    <w:rsid w:val="332E5807"/>
    <w:rsid w:val="333003F3"/>
    <w:rsid w:val="335F00B6"/>
    <w:rsid w:val="337242BA"/>
    <w:rsid w:val="338A5133"/>
    <w:rsid w:val="3390201E"/>
    <w:rsid w:val="33A74C4A"/>
    <w:rsid w:val="33BE6B8B"/>
    <w:rsid w:val="33C120EC"/>
    <w:rsid w:val="33CA0FE2"/>
    <w:rsid w:val="33D53ED4"/>
    <w:rsid w:val="33EA3E24"/>
    <w:rsid w:val="33F226C7"/>
    <w:rsid w:val="34034EE6"/>
    <w:rsid w:val="34036C94"/>
    <w:rsid w:val="34050C5E"/>
    <w:rsid w:val="34117602"/>
    <w:rsid w:val="34207846"/>
    <w:rsid w:val="342A2472"/>
    <w:rsid w:val="3432488B"/>
    <w:rsid w:val="34394463"/>
    <w:rsid w:val="34476B80"/>
    <w:rsid w:val="34574449"/>
    <w:rsid w:val="34637732"/>
    <w:rsid w:val="346504F7"/>
    <w:rsid w:val="34657B39"/>
    <w:rsid w:val="34802092"/>
    <w:rsid w:val="3483771C"/>
    <w:rsid w:val="349B5A28"/>
    <w:rsid w:val="349D2C44"/>
    <w:rsid w:val="34AC2E87"/>
    <w:rsid w:val="34AE4E51"/>
    <w:rsid w:val="34B87A7E"/>
    <w:rsid w:val="34DB19BE"/>
    <w:rsid w:val="34DC2B9D"/>
    <w:rsid w:val="34DD15DE"/>
    <w:rsid w:val="34F32864"/>
    <w:rsid w:val="3502519D"/>
    <w:rsid w:val="35064C8D"/>
    <w:rsid w:val="351200B5"/>
    <w:rsid w:val="3538296D"/>
    <w:rsid w:val="354F3EEC"/>
    <w:rsid w:val="354F768E"/>
    <w:rsid w:val="35683DE9"/>
    <w:rsid w:val="35702701"/>
    <w:rsid w:val="35763E83"/>
    <w:rsid w:val="35814314"/>
    <w:rsid w:val="35957DBF"/>
    <w:rsid w:val="35A554CC"/>
    <w:rsid w:val="35AF2B40"/>
    <w:rsid w:val="35B21902"/>
    <w:rsid w:val="35B446E9"/>
    <w:rsid w:val="35B64E4E"/>
    <w:rsid w:val="35C506A4"/>
    <w:rsid w:val="35C661CB"/>
    <w:rsid w:val="35CB1A33"/>
    <w:rsid w:val="35DA1C76"/>
    <w:rsid w:val="35DB7EC8"/>
    <w:rsid w:val="35E07D19"/>
    <w:rsid w:val="35E93C67"/>
    <w:rsid w:val="35EF127D"/>
    <w:rsid w:val="360A255B"/>
    <w:rsid w:val="360C2505"/>
    <w:rsid w:val="360E19E7"/>
    <w:rsid w:val="36176DEC"/>
    <w:rsid w:val="361B02C4"/>
    <w:rsid w:val="3625095F"/>
    <w:rsid w:val="363D3EB0"/>
    <w:rsid w:val="36453593"/>
    <w:rsid w:val="3667175C"/>
    <w:rsid w:val="366D25D8"/>
    <w:rsid w:val="367B5207"/>
    <w:rsid w:val="367E6AA5"/>
    <w:rsid w:val="36826596"/>
    <w:rsid w:val="369374D3"/>
    <w:rsid w:val="36940C11"/>
    <w:rsid w:val="369D638C"/>
    <w:rsid w:val="36A0286D"/>
    <w:rsid w:val="36A3387F"/>
    <w:rsid w:val="36A71B58"/>
    <w:rsid w:val="36B8487B"/>
    <w:rsid w:val="36C941C4"/>
    <w:rsid w:val="36CA5847"/>
    <w:rsid w:val="36CC4E10"/>
    <w:rsid w:val="36EC45AC"/>
    <w:rsid w:val="36F01751"/>
    <w:rsid w:val="36FF3742"/>
    <w:rsid w:val="37117919"/>
    <w:rsid w:val="371511B8"/>
    <w:rsid w:val="371846C6"/>
    <w:rsid w:val="37290411"/>
    <w:rsid w:val="372D310E"/>
    <w:rsid w:val="37490E61"/>
    <w:rsid w:val="37503F9E"/>
    <w:rsid w:val="37517D16"/>
    <w:rsid w:val="37591238"/>
    <w:rsid w:val="3772660A"/>
    <w:rsid w:val="37803112"/>
    <w:rsid w:val="37922808"/>
    <w:rsid w:val="379A790F"/>
    <w:rsid w:val="37B51489"/>
    <w:rsid w:val="37BA3B0D"/>
    <w:rsid w:val="37BB06E2"/>
    <w:rsid w:val="37D739D9"/>
    <w:rsid w:val="37F708BD"/>
    <w:rsid w:val="381476C1"/>
    <w:rsid w:val="38166DB6"/>
    <w:rsid w:val="381A45AC"/>
    <w:rsid w:val="38213B8C"/>
    <w:rsid w:val="38325D99"/>
    <w:rsid w:val="3834755C"/>
    <w:rsid w:val="38353194"/>
    <w:rsid w:val="3841654D"/>
    <w:rsid w:val="38447BF5"/>
    <w:rsid w:val="38555055"/>
    <w:rsid w:val="386F2B4A"/>
    <w:rsid w:val="387E68E3"/>
    <w:rsid w:val="38813A87"/>
    <w:rsid w:val="3884612F"/>
    <w:rsid w:val="3885236D"/>
    <w:rsid w:val="388A2BCA"/>
    <w:rsid w:val="388A5A92"/>
    <w:rsid w:val="388A7983"/>
    <w:rsid w:val="388C7258"/>
    <w:rsid w:val="38A07A9C"/>
    <w:rsid w:val="38A8605B"/>
    <w:rsid w:val="38B36EDA"/>
    <w:rsid w:val="38B96B4E"/>
    <w:rsid w:val="38C34C43"/>
    <w:rsid w:val="38C8225A"/>
    <w:rsid w:val="38CA4224"/>
    <w:rsid w:val="38E56968"/>
    <w:rsid w:val="38E946AA"/>
    <w:rsid w:val="38EB3B3B"/>
    <w:rsid w:val="38F90665"/>
    <w:rsid w:val="390037A2"/>
    <w:rsid w:val="390908A8"/>
    <w:rsid w:val="390E5EBF"/>
    <w:rsid w:val="39111E53"/>
    <w:rsid w:val="39325E4B"/>
    <w:rsid w:val="39331DC9"/>
    <w:rsid w:val="3950297B"/>
    <w:rsid w:val="3954025C"/>
    <w:rsid w:val="396C0E37"/>
    <w:rsid w:val="39932868"/>
    <w:rsid w:val="39950AB7"/>
    <w:rsid w:val="39A81AFC"/>
    <w:rsid w:val="39B051C8"/>
    <w:rsid w:val="39E906DA"/>
    <w:rsid w:val="39EE5CF0"/>
    <w:rsid w:val="39F07CBA"/>
    <w:rsid w:val="39F257E0"/>
    <w:rsid w:val="39FA28E7"/>
    <w:rsid w:val="39FC21BB"/>
    <w:rsid w:val="39FF1CAB"/>
    <w:rsid w:val="3A0177D1"/>
    <w:rsid w:val="3A0314FB"/>
    <w:rsid w:val="3A1C285D"/>
    <w:rsid w:val="3A3A1B79"/>
    <w:rsid w:val="3A4818A4"/>
    <w:rsid w:val="3A4B3142"/>
    <w:rsid w:val="3A4F6101"/>
    <w:rsid w:val="3A4F678F"/>
    <w:rsid w:val="3A555D6F"/>
    <w:rsid w:val="3A5D70A8"/>
    <w:rsid w:val="3A6164C2"/>
    <w:rsid w:val="3A654204"/>
    <w:rsid w:val="3A661D2A"/>
    <w:rsid w:val="3A816B64"/>
    <w:rsid w:val="3A8F1281"/>
    <w:rsid w:val="3A9372E2"/>
    <w:rsid w:val="3A9610E1"/>
    <w:rsid w:val="3A976388"/>
    <w:rsid w:val="3AA54601"/>
    <w:rsid w:val="3AA60379"/>
    <w:rsid w:val="3AAB15FD"/>
    <w:rsid w:val="3AAF547F"/>
    <w:rsid w:val="3AC0143A"/>
    <w:rsid w:val="3ACA22B9"/>
    <w:rsid w:val="3ACC6031"/>
    <w:rsid w:val="3AD122BB"/>
    <w:rsid w:val="3AD15428"/>
    <w:rsid w:val="3AE53167"/>
    <w:rsid w:val="3AF92B9E"/>
    <w:rsid w:val="3B057795"/>
    <w:rsid w:val="3B0F1195"/>
    <w:rsid w:val="3B181276"/>
    <w:rsid w:val="3B4756B8"/>
    <w:rsid w:val="3B5322AF"/>
    <w:rsid w:val="3B622900"/>
    <w:rsid w:val="3B824942"/>
    <w:rsid w:val="3B864819"/>
    <w:rsid w:val="3B8B1A48"/>
    <w:rsid w:val="3B9A6DD9"/>
    <w:rsid w:val="3BAA7760"/>
    <w:rsid w:val="3BB01080"/>
    <w:rsid w:val="3BB645EB"/>
    <w:rsid w:val="3BF53C70"/>
    <w:rsid w:val="3C0058AB"/>
    <w:rsid w:val="3C1A101E"/>
    <w:rsid w:val="3C1A6A71"/>
    <w:rsid w:val="3C2105FF"/>
    <w:rsid w:val="3C256167"/>
    <w:rsid w:val="3C2679C3"/>
    <w:rsid w:val="3C4119BB"/>
    <w:rsid w:val="3C4B1B20"/>
    <w:rsid w:val="3C5738CA"/>
    <w:rsid w:val="3C5E0F0B"/>
    <w:rsid w:val="3C601127"/>
    <w:rsid w:val="3C6437C0"/>
    <w:rsid w:val="3C655662"/>
    <w:rsid w:val="3C6A5B02"/>
    <w:rsid w:val="3C752336"/>
    <w:rsid w:val="3C8202F9"/>
    <w:rsid w:val="3C830972"/>
    <w:rsid w:val="3C857BF5"/>
    <w:rsid w:val="3C8F7316"/>
    <w:rsid w:val="3C9C7A1D"/>
    <w:rsid w:val="3CA37266"/>
    <w:rsid w:val="3CAA23A2"/>
    <w:rsid w:val="3CAE600E"/>
    <w:rsid w:val="3CD63197"/>
    <w:rsid w:val="3CD94640"/>
    <w:rsid w:val="3CE60F00"/>
    <w:rsid w:val="3CF250E2"/>
    <w:rsid w:val="3CFC5A5E"/>
    <w:rsid w:val="3CFC6DC6"/>
    <w:rsid w:val="3D0A1093"/>
    <w:rsid w:val="3D0E0B83"/>
    <w:rsid w:val="3D127F47"/>
    <w:rsid w:val="3D31661F"/>
    <w:rsid w:val="3D355475"/>
    <w:rsid w:val="3D3B124C"/>
    <w:rsid w:val="3D406390"/>
    <w:rsid w:val="3D42082D"/>
    <w:rsid w:val="3D4D2D2E"/>
    <w:rsid w:val="3D5279B3"/>
    <w:rsid w:val="3D632551"/>
    <w:rsid w:val="3D8236DD"/>
    <w:rsid w:val="3D8E0980"/>
    <w:rsid w:val="3DAE5EC2"/>
    <w:rsid w:val="3DAE76F4"/>
    <w:rsid w:val="3DBB238D"/>
    <w:rsid w:val="3DBE2588"/>
    <w:rsid w:val="3DC139A6"/>
    <w:rsid w:val="3DC47494"/>
    <w:rsid w:val="3DD07BE6"/>
    <w:rsid w:val="3DD1395F"/>
    <w:rsid w:val="3DF27CF2"/>
    <w:rsid w:val="3DF633C5"/>
    <w:rsid w:val="3E045AE2"/>
    <w:rsid w:val="3E083824"/>
    <w:rsid w:val="3E0C0098"/>
    <w:rsid w:val="3E171CB9"/>
    <w:rsid w:val="3E1F566D"/>
    <w:rsid w:val="3E391C30"/>
    <w:rsid w:val="3E42660A"/>
    <w:rsid w:val="3E433126"/>
    <w:rsid w:val="3E5A762A"/>
    <w:rsid w:val="3E5D51F2"/>
    <w:rsid w:val="3E6340B2"/>
    <w:rsid w:val="3E646581"/>
    <w:rsid w:val="3E6671E3"/>
    <w:rsid w:val="3E774506"/>
    <w:rsid w:val="3E7E5894"/>
    <w:rsid w:val="3E806BB4"/>
    <w:rsid w:val="3E8A12BC"/>
    <w:rsid w:val="3E8C08C5"/>
    <w:rsid w:val="3E920735"/>
    <w:rsid w:val="3E927592"/>
    <w:rsid w:val="3E970704"/>
    <w:rsid w:val="3EAA4AF9"/>
    <w:rsid w:val="3EAD6858"/>
    <w:rsid w:val="3EB05C6A"/>
    <w:rsid w:val="3EB3705C"/>
    <w:rsid w:val="3EB412B6"/>
    <w:rsid w:val="3EB5502E"/>
    <w:rsid w:val="3EC551B7"/>
    <w:rsid w:val="3EC5537B"/>
    <w:rsid w:val="3EC9199B"/>
    <w:rsid w:val="3ECF65C7"/>
    <w:rsid w:val="3EE80F60"/>
    <w:rsid w:val="3EEB27FE"/>
    <w:rsid w:val="3EED47C8"/>
    <w:rsid w:val="3EF50E21"/>
    <w:rsid w:val="3EFD2F2D"/>
    <w:rsid w:val="3F08462B"/>
    <w:rsid w:val="3F20694C"/>
    <w:rsid w:val="3F29232E"/>
    <w:rsid w:val="3F2A77CA"/>
    <w:rsid w:val="3F2C3542"/>
    <w:rsid w:val="3F2C52F0"/>
    <w:rsid w:val="3F4634C2"/>
    <w:rsid w:val="3F4D10F4"/>
    <w:rsid w:val="3F5900B0"/>
    <w:rsid w:val="3F5D7BA0"/>
    <w:rsid w:val="3F6C7DE3"/>
    <w:rsid w:val="3F710F55"/>
    <w:rsid w:val="3F79605C"/>
    <w:rsid w:val="3F7E18C4"/>
    <w:rsid w:val="3F8073EA"/>
    <w:rsid w:val="3F843ED4"/>
    <w:rsid w:val="3F8614D7"/>
    <w:rsid w:val="3F8D2727"/>
    <w:rsid w:val="3F917849"/>
    <w:rsid w:val="3F9904AC"/>
    <w:rsid w:val="3F9E5AC2"/>
    <w:rsid w:val="3FA550A3"/>
    <w:rsid w:val="3FA94B93"/>
    <w:rsid w:val="3FAF7CCF"/>
    <w:rsid w:val="3FB157F6"/>
    <w:rsid w:val="3FB83028"/>
    <w:rsid w:val="3FC61788"/>
    <w:rsid w:val="3FCB2823"/>
    <w:rsid w:val="3FD11236"/>
    <w:rsid w:val="4001677D"/>
    <w:rsid w:val="40041DC9"/>
    <w:rsid w:val="400B75FC"/>
    <w:rsid w:val="400D6596"/>
    <w:rsid w:val="4013200C"/>
    <w:rsid w:val="40175FA1"/>
    <w:rsid w:val="405613A2"/>
    <w:rsid w:val="405D772B"/>
    <w:rsid w:val="406311E6"/>
    <w:rsid w:val="40635A95"/>
    <w:rsid w:val="40667BAC"/>
    <w:rsid w:val="40694445"/>
    <w:rsid w:val="406960D0"/>
    <w:rsid w:val="406B009A"/>
    <w:rsid w:val="406D3E12"/>
    <w:rsid w:val="40703903"/>
    <w:rsid w:val="40750F19"/>
    <w:rsid w:val="40774C91"/>
    <w:rsid w:val="407F58F4"/>
    <w:rsid w:val="40907B01"/>
    <w:rsid w:val="409D0FBF"/>
    <w:rsid w:val="40A53B4C"/>
    <w:rsid w:val="40A610D2"/>
    <w:rsid w:val="40AA0BC3"/>
    <w:rsid w:val="40B05AAD"/>
    <w:rsid w:val="40B437EF"/>
    <w:rsid w:val="40B97058"/>
    <w:rsid w:val="40C257BA"/>
    <w:rsid w:val="40C82519"/>
    <w:rsid w:val="40C96D5A"/>
    <w:rsid w:val="40DC4AF4"/>
    <w:rsid w:val="40E65973"/>
    <w:rsid w:val="40E83499"/>
    <w:rsid w:val="40FB141E"/>
    <w:rsid w:val="41032748"/>
    <w:rsid w:val="410B53D9"/>
    <w:rsid w:val="411246C1"/>
    <w:rsid w:val="41164967"/>
    <w:rsid w:val="411C3143"/>
    <w:rsid w:val="41390199"/>
    <w:rsid w:val="413A3BA5"/>
    <w:rsid w:val="41652D3C"/>
    <w:rsid w:val="41742F7F"/>
    <w:rsid w:val="41766CF7"/>
    <w:rsid w:val="417756CE"/>
    <w:rsid w:val="417B1711"/>
    <w:rsid w:val="4182569C"/>
    <w:rsid w:val="419A5EE5"/>
    <w:rsid w:val="419E461F"/>
    <w:rsid w:val="41A052D5"/>
    <w:rsid w:val="41D91034"/>
    <w:rsid w:val="41FA30D1"/>
    <w:rsid w:val="41FF6946"/>
    <w:rsid w:val="421207FE"/>
    <w:rsid w:val="421B33FA"/>
    <w:rsid w:val="421B43C5"/>
    <w:rsid w:val="421D3962"/>
    <w:rsid w:val="421E7BDA"/>
    <w:rsid w:val="42295927"/>
    <w:rsid w:val="422A12C7"/>
    <w:rsid w:val="422C1AAB"/>
    <w:rsid w:val="422C2032"/>
    <w:rsid w:val="42340A02"/>
    <w:rsid w:val="42366486"/>
    <w:rsid w:val="42453128"/>
    <w:rsid w:val="424A746D"/>
    <w:rsid w:val="424B0C8C"/>
    <w:rsid w:val="425012F6"/>
    <w:rsid w:val="4251506E"/>
    <w:rsid w:val="425A2175"/>
    <w:rsid w:val="427C799E"/>
    <w:rsid w:val="427D5FEC"/>
    <w:rsid w:val="42850975"/>
    <w:rsid w:val="428B24D3"/>
    <w:rsid w:val="42976F25"/>
    <w:rsid w:val="429A07C3"/>
    <w:rsid w:val="42A94EAA"/>
    <w:rsid w:val="42BA2776"/>
    <w:rsid w:val="42C45A72"/>
    <w:rsid w:val="42DD3FDF"/>
    <w:rsid w:val="42DE0FF8"/>
    <w:rsid w:val="42E278BB"/>
    <w:rsid w:val="42EE0B0F"/>
    <w:rsid w:val="42FB7AFC"/>
    <w:rsid w:val="42FF6DD2"/>
    <w:rsid w:val="43017895"/>
    <w:rsid w:val="431C38CE"/>
    <w:rsid w:val="431C567C"/>
    <w:rsid w:val="432033BE"/>
    <w:rsid w:val="433A3D54"/>
    <w:rsid w:val="43454BD3"/>
    <w:rsid w:val="43473EA8"/>
    <w:rsid w:val="435C6144"/>
    <w:rsid w:val="43641868"/>
    <w:rsid w:val="437E6337"/>
    <w:rsid w:val="4383394D"/>
    <w:rsid w:val="43892F6E"/>
    <w:rsid w:val="438E6210"/>
    <w:rsid w:val="43A15B81"/>
    <w:rsid w:val="43AA0EDA"/>
    <w:rsid w:val="43B46EA6"/>
    <w:rsid w:val="43BB0462"/>
    <w:rsid w:val="43BB4E95"/>
    <w:rsid w:val="43BE4985"/>
    <w:rsid w:val="43C57AC2"/>
    <w:rsid w:val="43D85A47"/>
    <w:rsid w:val="43E553BB"/>
    <w:rsid w:val="43E5642F"/>
    <w:rsid w:val="43E91A02"/>
    <w:rsid w:val="43EF0FE2"/>
    <w:rsid w:val="43F108B7"/>
    <w:rsid w:val="43F26CF0"/>
    <w:rsid w:val="4404683C"/>
    <w:rsid w:val="440920A4"/>
    <w:rsid w:val="44185E43"/>
    <w:rsid w:val="44191BBB"/>
    <w:rsid w:val="44307631"/>
    <w:rsid w:val="44386AA1"/>
    <w:rsid w:val="443B5FD6"/>
    <w:rsid w:val="444C1F91"/>
    <w:rsid w:val="445175A7"/>
    <w:rsid w:val="445826E4"/>
    <w:rsid w:val="44615A3C"/>
    <w:rsid w:val="44760DBC"/>
    <w:rsid w:val="447D65EE"/>
    <w:rsid w:val="448176B8"/>
    <w:rsid w:val="4488746D"/>
    <w:rsid w:val="449F6565"/>
    <w:rsid w:val="44A65B45"/>
    <w:rsid w:val="44B6565C"/>
    <w:rsid w:val="44BC09A1"/>
    <w:rsid w:val="44BE0FA4"/>
    <w:rsid w:val="44DA134B"/>
    <w:rsid w:val="44EB17AA"/>
    <w:rsid w:val="44F06DC0"/>
    <w:rsid w:val="44F468B0"/>
    <w:rsid w:val="450870A1"/>
    <w:rsid w:val="451505D5"/>
    <w:rsid w:val="4519299C"/>
    <w:rsid w:val="451F1453"/>
    <w:rsid w:val="452A2116"/>
    <w:rsid w:val="452D2155"/>
    <w:rsid w:val="45333861"/>
    <w:rsid w:val="45336CAD"/>
    <w:rsid w:val="45354758"/>
    <w:rsid w:val="45373F5D"/>
    <w:rsid w:val="453B6CCD"/>
    <w:rsid w:val="454522D2"/>
    <w:rsid w:val="45617CBE"/>
    <w:rsid w:val="4565330A"/>
    <w:rsid w:val="457479F1"/>
    <w:rsid w:val="45806396"/>
    <w:rsid w:val="45877724"/>
    <w:rsid w:val="458C0458"/>
    <w:rsid w:val="45B36B0F"/>
    <w:rsid w:val="45B778DE"/>
    <w:rsid w:val="45C13BD4"/>
    <w:rsid w:val="45C36283"/>
    <w:rsid w:val="45C54B9B"/>
    <w:rsid w:val="45C83899"/>
    <w:rsid w:val="45CA7611"/>
    <w:rsid w:val="45D264C6"/>
    <w:rsid w:val="45EE1552"/>
    <w:rsid w:val="45FE72BB"/>
    <w:rsid w:val="46054AED"/>
    <w:rsid w:val="460A1BA3"/>
    <w:rsid w:val="460F62B2"/>
    <w:rsid w:val="461046C9"/>
    <w:rsid w:val="46116FEE"/>
    <w:rsid w:val="46276812"/>
    <w:rsid w:val="46333408"/>
    <w:rsid w:val="463A5988"/>
    <w:rsid w:val="463F7FFF"/>
    <w:rsid w:val="464C0026"/>
    <w:rsid w:val="46647A66"/>
    <w:rsid w:val="4678706D"/>
    <w:rsid w:val="46845629"/>
    <w:rsid w:val="468E6EBD"/>
    <w:rsid w:val="4690085B"/>
    <w:rsid w:val="46A14816"/>
    <w:rsid w:val="46B06807"/>
    <w:rsid w:val="46BC20BB"/>
    <w:rsid w:val="46BD0F24"/>
    <w:rsid w:val="46C71DA3"/>
    <w:rsid w:val="46C95B1B"/>
    <w:rsid w:val="46CB1893"/>
    <w:rsid w:val="46CE7D00"/>
    <w:rsid w:val="46DA3884"/>
    <w:rsid w:val="46E01D33"/>
    <w:rsid w:val="46FE1E00"/>
    <w:rsid w:val="470628CB"/>
    <w:rsid w:val="47147D77"/>
    <w:rsid w:val="471A0124"/>
    <w:rsid w:val="471D7DA5"/>
    <w:rsid w:val="47283A28"/>
    <w:rsid w:val="472B43F0"/>
    <w:rsid w:val="47354F5E"/>
    <w:rsid w:val="473D3E13"/>
    <w:rsid w:val="473E4F7C"/>
    <w:rsid w:val="47580D1B"/>
    <w:rsid w:val="476615BC"/>
    <w:rsid w:val="47673CC2"/>
    <w:rsid w:val="47850007"/>
    <w:rsid w:val="478A52AA"/>
    <w:rsid w:val="478D4D9A"/>
    <w:rsid w:val="478F0B12"/>
    <w:rsid w:val="47916EC0"/>
    <w:rsid w:val="479E4E44"/>
    <w:rsid w:val="47B9166A"/>
    <w:rsid w:val="47C36A0E"/>
    <w:rsid w:val="47C63E08"/>
    <w:rsid w:val="47D429C9"/>
    <w:rsid w:val="47EA7AF7"/>
    <w:rsid w:val="47EF15B1"/>
    <w:rsid w:val="4800731A"/>
    <w:rsid w:val="48030BB8"/>
    <w:rsid w:val="48164D90"/>
    <w:rsid w:val="4819662E"/>
    <w:rsid w:val="482E20D9"/>
    <w:rsid w:val="48324E82"/>
    <w:rsid w:val="48587156"/>
    <w:rsid w:val="486642C4"/>
    <w:rsid w:val="48766EAF"/>
    <w:rsid w:val="487877F8"/>
    <w:rsid w:val="487A3358"/>
    <w:rsid w:val="48877A3B"/>
    <w:rsid w:val="488937B4"/>
    <w:rsid w:val="488A3088"/>
    <w:rsid w:val="488E4926"/>
    <w:rsid w:val="48B60321"/>
    <w:rsid w:val="48C12F4D"/>
    <w:rsid w:val="48CC18F2"/>
    <w:rsid w:val="48D04F3E"/>
    <w:rsid w:val="48D936A8"/>
    <w:rsid w:val="48DA72F8"/>
    <w:rsid w:val="48DC0ACC"/>
    <w:rsid w:val="48E00EFA"/>
    <w:rsid w:val="48E91D1B"/>
    <w:rsid w:val="48F826E7"/>
    <w:rsid w:val="490E5A67"/>
    <w:rsid w:val="49137521"/>
    <w:rsid w:val="491944EA"/>
    <w:rsid w:val="4922204C"/>
    <w:rsid w:val="49284D7B"/>
    <w:rsid w:val="493C25D4"/>
    <w:rsid w:val="49520049"/>
    <w:rsid w:val="49572FA1"/>
    <w:rsid w:val="495913D8"/>
    <w:rsid w:val="495F2766"/>
    <w:rsid w:val="49645221"/>
    <w:rsid w:val="496A0235"/>
    <w:rsid w:val="49847BED"/>
    <w:rsid w:val="49952A14"/>
    <w:rsid w:val="49955A00"/>
    <w:rsid w:val="49C12A7C"/>
    <w:rsid w:val="49C210EB"/>
    <w:rsid w:val="49C56A6D"/>
    <w:rsid w:val="49D24CE6"/>
    <w:rsid w:val="49FC6BE5"/>
    <w:rsid w:val="4A002140"/>
    <w:rsid w:val="4A096F84"/>
    <w:rsid w:val="4A3459A1"/>
    <w:rsid w:val="4A443E36"/>
    <w:rsid w:val="4A4554B8"/>
    <w:rsid w:val="4A4E6A63"/>
    <w:rsid w:val="4A5120AF"/>
    <w:rsid w:val="4A5F3D71"/>
    <w:rsid w:val="4A662A75"/>
    <w:rsid w:val="4A6636BF"/>
    <w:rsid w:val="4A6A68D8"/>
    <w:rsid w:val="4A911A51"/>
    <w:rsid w:val="4AA003FD"/>
    <w:rsid w:val="4AA246B9"/>
    <w:rsid w:val="4AAC5537"/>
    <w:rsid w:val="4AC97E97"/>
    <w:rsid w:val="4ACB00B3"/>
    <w:rsid w:val="4AD351BA"/>
    <w:rsid w:val="4AD4683C"/>
    <w:rsid w:val="4AD557D5"/>
    <w:rsid w:val="4AE95975"/>
    <w:rsid w:val="4AF33CC3"/>
    <w:rsid w:val="4AFF5FAF"/>
    <w:rsid w:val="4B047121"/>
    <w:rsid w:val="4B1B5423"/>
    <w:rsid w:val="4B2C3E78"/>
    <w:rsid w:val="4B30029B"/>
    <w:rsid w:val="4B3D4790"/>
    <w:rsid w:val="4B3F45FD"/>
    <w:rsid w:val="4B58746D"/>
    <w:rsid w:val="4B5C51AF"/>
    <w:rsid w:val="4B8169C4"/>
    <w:rsid w:val="4B8E10E1"/>
    <w:rsid w:val="4B9009B5"/>
    <w:rsid w:val="4B923309"/>
    <w:rsid w:val="4B9C1A50"/>
    <w:rsid w:val="4B9F509C"/>
    <w:rsid w:val="4BDF193C"/>
    <w:rsid w:val="4BE050F7"/>
    <w:rsid w:val="4BE75BF2"/>
    <w:rsid w:val="4BF54CBC"/>
    <w:rsid w:val="4BF841D3"/>
    <w:rsid w:val="4C0D64AA"/>
    <w:rsid w:val="4C0F2222"/>
    <w:rsid w:val="4C143BD1"/>
    <w:rsid w:val="4C15535E"/>
    <w:rsid w:val="4C255A87"/>
    <w:rsid w:val="4C265B91"/>
    <w:rsid w:val="4C2A2BB8"/>
    <w:rsid w:val="4C2D26A8"/>
    <w:rsid w:val="4C3752D5"/>
    <w:rsid w:val="4C3D37A8"/>
    <w:rsid w:val="4C3E2B7D"/>
    <w:rsid w:val="4C433B76"/>
    <w:rsid w:val="4C46376A"/>
    <w:rsid w:val="4C4C5224"/>
    <w:rsid w:val="4C5639AD"/>
    <w:rsid w:val="4C651E42"/>
    <w:rsid w:val="4C6564BF"/>
    <w:rsid w:val="4C767FBE"/>
    <w:rsid w:val="4C813028"/>
    <w:rsid w:val="4C856040"/>
    <w:rsid w:val="4C9075A4"/>
    <w:rsid w:val="4C912C37"/>
    <w:rsid w:val="4C9E76E7"/>
    <w:rsid w:val="4CA12B3D"/>
    <w:rsid w:val="4CA555EE"/>
    <w:rsid w:val="4CAD0865"/>
    <w:rsid w:val="4CB14E7C"/>
    <w:rsid w:val="4CB86415"/>
    <w:rsid w:val="4CBB4158"/>
    <w:rsid w:val="4CC32A26"/>
    <w:rsid w:val="4CCF550D"/>
    <w:rsid w:val="4CD314A1"/>
    <w:rsid w:val="4CE70AA9"/>
    <w:rsid w:val="4CF136D5"/>
    <w:rsid w:val="4CFB6302"/>
    <w:rsid w:val="4D051980"/>
    <w:rsid w:val="4D2168A6"/>
    <w:rsid w:val="4D2C295F"/>
    <w:rsid w:val="4D2E1FC0"/>
    <w:rsid w:val="4D3C7046"/>
    <w:rsid w:val="4D453663"/>
    <w:rsid w:val="4D5D520F"/>
    <w:rsid w:val="4D6539EB"/>
    <w:rsid w:val="4D677E3B"/>
    <w:rsid w:val="4D826126"/>
    <w:rsid w:val="4D8C1650"/>
    <w:rsid w:val="4D903641"/>
    <w:rsid w:val="4D9724CF"/>
    <w:rsid w:val="4DA32F7A"/>
    <w:rsid w:val="4DA76373"/>
    <w:rsid w:val="4DA768EE"/>
    <w:rsid w:val="4DB63E17"/>
    <w:rsid w:val="4DC25072"/>
    <w:rsid w:val="4DC4528E"/>
    <w:rsid w:val="4DCE1C69"/>
    <w:rsid w:val="4DD76D6F"/>
    <w:rsid w:val="4DEF230B"/>
    <w:rsid w:val="4DF23BA9"/>
    <w:rsid w:val="4E0538DC"/>
    <w:rsid w:val="4E0D772C"/>
    <w:rsid w:val="4E141D71"/>
    <w:rsid w:val="4E1E04FA"/>
    <w:rsid w:val="4E235B10"/>
    <w:rsid w:val="4E2C3395"/>
    <w:rsid w:val="4E372CEF"/>
    <w:rsid w:val="4E492166"/>
    <w:rsid w:val="4E4F6905"/>
    <w:rsid w:val="4E636855"/>
    <w:rsid w:val="4E663E0F"/>
    <w:rsid w:val="4E672CD8"/>
    <w:rsid w:val="4E683E6B"/>
    <w:rsid w:val="4E7F54C1"/>
    <w:rsid w:val="4E8011B5"/>
    <w:rsid w:val="4E850579"/>
    <w:rsid w:val="4E8F13F8"/>
    <w:rsid w:val="4E9407BC"/>
    <w:rsid w:val="4EB1136E"/>
    <w:rsid w:val="4EB862C4"/>
    <w:rsid w:val="4ECA0682"/>
    <w:rsid w:val="4ED4505D"/>
    <w:rsid w:val="4EDB38E7"/>
    <w:rsid w:val="4EDF68AC"/>
    <w:rsid w:val="4EEB0C79"/>
    <w:rsid w:val="4F0D0AB6"/>
    <w:rsid w:val="4F0F42E7"/>
    <w:rsid w:val="4F104156"/>
    <w:rsid w:val="4F155DA1"/>
    <w:rsid w:val="4F1B3729"/>
    <w:rsid w:val="4F204746"/>
    <w:rsid w:val="4F2170AB"/>
    <w:rsid w:val="4F247D92"/>
    <w:rsid w:val="4F3124AF"/>
    <w:rsid w:val="4F3A36D8"/>
    <w:rsid w:val="4F3F2E1E"/>
    <w:rsid w:val="4F4C553B"/>
    <w:rsid w:val="4F55619D"/>
    <w:rsid w:val="4F6463E1"/>
    <w:rsid w:val="4F6F4FD8"/>
    <w:rsid w:val="4F764C4A"/>
    <w:rsid w:val="4F7C7BCE"/>
    <w:rsid w:val="4F9273E6"/>
    <w:rsid w:val="4F9C7485"/>
    <w:rsid w:val="4FA40ED3"/>
    <w:rsid w:val="4FA42C81"/>
    <w:rsid w:val="4FA5088A"/>
    <w:rsid w:val="4FBC2A03"/>
    <w:rsid w:val="4FBD195C"/>
    <w:rsid w:val="4FC4445A"/>
    <w:rsid w:val="4FEE2B62"/>
    <w:rsid w:val="4FF5172F"/>
    <w:rsid w:val="4FFE6835"/>
    <w:rsid w:val="4FFF32C3"/>
    <w:rsid w:val="50081462"/>
    <w:rsid w:val="50277D8E"/>
    <w:rsid w:val="502D0EC8"/>
    <w:rsid w:val="504A7CCC"/>
    <w:rsid w:val="505C05B5"/>
    <w:rsid w:val="506643DA"/>
    <w:rsid w:val="507D02D7"/>
    <w:rsid w:val="508278E3"/>
    <w:rsid w:val="508F1B83"/>
    <w:rsid w:val="508F3931"/>
    <w:rsid w:val="509F5220"/>
    <w:rsid w:val="50B102EB"/>
    <w:rsid w:val="50B71642"/>
    <w:rsid w:val="50B96C00"/>
    <w:rsid w:val="50C01D3C"/>
    <w:rsid w:val="50C3762B"/>
    <w:rsid w:val="50C74F6A"/>
    <w:rsid w:val="50D61560"/>
    <w:rsid w:val="50F6575E"/>
    <w:rsid w:val="50F978D6"/>
    <w:rsid w:val="50FF4541"/>
    <w:rsid w:val="510734C7"/>
    <w:rsid w:val="510D2080"/>
    <w:rsid w:val="51101096"/>
    <w:rsid w:val="51142088"/>
    <w:rsid w:val="511A6D4F"/>
    <w:rsid w:val="513919FB"/>
    <w:rsid w:val="51402F0C"/>
    <w:rsid w:val="5145251D"/>
    <w:rsid w:val="51475FBA"/>
    <w:rsid w:val="514D6BD1"/>
    <w:rsid w:val="515869A1"/>
    <w:rsid w:val="516A3A56"/>
    <w:rsid w:val="516B5C2A"/>
    <w:rsid w:val="516E3547"/>
    <w:rsid w:val="517717D9"/>
    <w:rsid w:val="517C5DC9"/>
    <w:rsid w:val="51890794"/>
    <w:rsid w:val="518923DD"/>
    <w:rsid w:val="518A20A0"/>
    <w:rsid w:val="518C60C3"/>
    <w:rsid w:val="519136D9"/>
    <w:rsid w:val="519531C9"/>
    <w:rsid w:val="519D207E"/>
    <w:rsid w:val="519F4B46"/>
    <w:rsid w:val="51AB479B"/>
    <w:rsid w:val="51B03B5F"/>
    <w:rsid w:val="51B202FC"/>
    <w:rsid w:val="51BA2C30"/>
    <w:rsid w:val="51C73948"/>
    <w:rsid w:val="51D46BC6"/>
    <w:rsid w:val="51DC60AC"/>
    <w:rsid w:val="51F31C9E"/>
    <w:rsid w:val="51F4672C"/>
    <w:rsid w:val="52013D31"/>
    <w:rsid w:val="52047062"/>
    <w:rsid w:val="520C307D"/>
    <w:rsid w:val="52173BDE"/>
    <w:rsid w:val="52195BA8"/>
    <w:rsid w:val="523227C6"/>
    <w:rsid w:val="523C3645"/>
    <w:rsid w:val="523D38DE"/>
    <w:rsid w:val="525A46E2"/>
    <w:rsid w:val="52614042"/>
    <w:rsid w:val="5264494A"/>
    <w:rsid w:val="526856F0"/>
    <w:rsid w:val="527A1354"/>
    <w:rsid w:val="528129E2"/>
    <w:rsid w:val="52816712"/>
    <w:rsid w:val="528B1ED6"/>
    <w:rsid w:val="529671F9"/>
    <w:rsid w:val="52A37695"/>
    <w:rsid w:val="52B15DE1"/>
    <w:rsid w:val="52B70F1D"/>
    <w:rsid w:val="52C5363A"/>
    <w:rsid w:val="52CB6777"/>
    <w:rsid w:val="52D01FDF"/>
    <w:rsid w:val="52E77071"/>
    <w:rsid w:val="5302488E"/>
    <w:rsid w:val="5307722C"/>
    <w:rsid w:val="531B76FE"/>
    <w:rsid w:val="531D3476"/>
    <w:rsid w:val="53205E6B"/>
    <w:rsid w:val="532161CF"/>
    <w:rsid w:val="53236A4A"/>
    <w:rsid w:val="53346A12"/>
    <w:rsid w:val="53395DD6"/>
    <w:rsid w:val="53582700"/>
    <w:rsid w:val="535B1319"/>
    <w:rsid w:val="535D2428"/>
    <w:rsid w:val="537806AC"/>
    <w:rsid w:val="537A1672"/>
    <w:rsid w:val="537B63EF"/>
    <w:rsid w:val="537D2167"/>
    <w:rsid w:val="5387543C"/>
    <w:rsid w:val="538E1C7E"/>
    <w:rsid w:val="5394300C"/>
    <w:rsid w:val="539E3807"/>
    <w:rsid w:val="53A329B2"/>
    <w:rsid w:val="53A72D40"/>
    <w:rsid w:val="53B11E10"/>
    <w:rsid w:val="53B61C82"/>
    <w:rsid w:val="53C41B44"/>
    <w:rsid w:val="53CE42F0"/>
    <w:rsid w:val="53CE4770"/>
    <w:rsid w:val="53F561A1"/>
    <w:rsid w:val="53F817ED"/>
    <w:rsid w:val="53F87A3F"/>
    <w:rsid w:val="540463E4"/>
    <w:rsid w:val="54106012"/>
    <w:rsid w:val="54130D32"/>
    <w:rsid w:val="543F566E"/>
    <w:rsid w:val="54420E51"/>
    <w:rsid w:val="54493DF7"/>
    <w:rsid w:val="544A4E78"/>
    <w:rsid w:val="544C4A51"/>
    <w:rsid w:val="544F249F"/>
    <w:rsid w:val="54532286"/>
    <w:rsid w:val="545F7ABE"/>
    <w:rsid w:val="54602B84"/>
    <w:rsid w:val="5474298A"/>
    <w:rsid w:val="547E2D04"/>
    <w:rsid w:val="54843081"/>
    <w:rsid w:val="54880523"/>
    <w:rsid w:val="549534E0"/>
    <w:rsid w:val="549E2395"/>
    <w:rsid w:val="54A656ED"/>
    <w:rsid w:val="54B90F7D"/>
    <w:rsid w:val="54CF104E"/>
    <w:rsid w:val="54D134A7"/>
    <w:rsid w:val="55071A2B"/>
    <w:rsid w:val="550B7360"/>
    <w:rsid w:val="551B648F"/>
    <w:rsid w:val="551C775D"/>
    <w:rsid w:val="55213776"/>
    <w:rsid w:val="55236D3E"/>
    <w:rsid w:val="55322ADD"/>
    <w:rsid w:val="55444AAD"/>
    <w:rsid w:val="55480552"/>
    <w:rsid w:val="554967B1"/>
    <w:rsid w:val="55517407"/>
    <w:rsid w:val="55674E7D"/>
    <w:rsid w:val="556F3D31"/>
    <w:rsid w:val="55855303"/>
    <w:rsid w:val="558A2919"/>
    <w:rsid w:val="558C043F"/>
    <w:rsid w:val="559D089E"/>
    <w:rsid w:val="55A35789"/>
    <w:rsid w:val="55A559A5"/>
    <w:rsid w:val="55BF6A67"/>
    <w:rsid w:val="55CD0BF8"/>
    <w:rsid w:val="55E22755"/>
    <w:rsid w:val="55E77D6B"/>
    <w:rsid w:val="55E93AE3"/>
    <w:rsid w:val="560046AF"/>
    <w:rsid w:val="56047CC3"/>
    <w:rsid w:val="560721BC"/>
    <w:rsid w:val="561548D9"/>
    <w:rsid w:val="563A0C04"/>
    <w:rsid w:val="564862EC"/>
    <w:rsid w:val="56535401"/>
    <w:rsid w:val="565D38B3"/>
    <w:rsid w:val="565D3B8A"/>
    <w:rsid w:val="565F3AEE"/>
    <w:rsid w:val="566E5D97"/>
    <w:rsid w:val="56725887"/>
    <w:rsid w:val="567C4958"/>
    <w:rsid w:val="568630E0"/>
    <w:rsid w:val="56A1616C"/>
    <w:rsid w:val="56A812A9"/>
    <w:rsid w:val="56AA0FD5"/>
    <w:rsid w:val="56B57E6A"/>
    <w:rsid w:val="56C67981"/>
    <w:rsid w:val="56CC407A"/>
    <w:rsid w:val="56DE4F16"/>
    <w:rsid w:val="56DF0A43"/>
    <w:rsid w:val="56E055F3"/>
    <w:rsid w:val="56EA7B13"/>
    <w:rsid w:val="56F6352E"/>
    <w:rsid w:val="56FE35BF"/>
    <w:rsid w:val="57004346"/>
    <w:rsid w:val="57007337"/>
    <w:rsid w:val="570F757A"/>
    <w:rsid w:val="57163F12"/>
    <w:rsid w:val="57180488"/>
    <w:rsid w:val="572B1EDA"/>
    <w:rsid w:val="573A47F4"/>
    <w:rsid w:val="57415259"/>
    <w:rsid w:val="574B7E86"/>
    <w:rsid w:val="57711FE2"/>
    <w:rsid w:val="577E46FF"/>
    <w:rsid w:val="57805D82"/>
    <w:rsid w:val="578C2978"/>
    <w:rsid w:val="57904CC8"/>
    <w:rsid w:val="57945969"/>
    <w:rsid w:val="5798756F"/>
    <w:rsid w:val="57A203EE"/>
    <w:rsid w:val="57A44166"/>
    <w:rsid w:val="57B1432C"/>
    <w:rsid w:val="57B40121"/>
    <w:rsid w:val="57CE2F91"/>
    <w:rsid w:val="57D367F9"/>
    <w:rsid w:val="57EF5C89"/>
    <w:rsid w:val="57F16C7F"/>
    <w:rsid w:val="57F56770"/>
    <w:rsid w:val="57FA3D86"/>
    <w:rsid w:val="58015E86"/>
    <w:rsid w:val="580530E5"/>
    <w:rsid w:val="58070251"/>
    <w:rsid w:val="580B63A1"/>
    <w:rsid w:val="58116C2B"/>
    <w:rsid w:val="581B3CFC"/>
    <w:rsid w:val="581E3FA7"/>
    <w:rsid w:val="58331046"/>
    <w:rsid w:val="58421289"/>
    <w:rsid w:val="58496ABB"/>
    <w:rsid w:val="584B0D8C"/>
    <w:rsid w:val="585039A6"/>
    <w:rsid w:val="58523BC2"/>
    <w:rsid w:val="58586CFE"/>
    <w:rsid w:val="585A09BC"/>
    <w:rsid w:val="586236D9"/>
    <w:rsid w:val="58694A68"/>
    <w:rsid w:val="58765D26"/>
    <w:rsid w:val="587C29ED"/>
    <w:rsid w:val="588D599F"/>
    <w:rsid w:val="58954F0F"/>
    <w:rsid w:val="58A9755A"/>
    <w:rsid w:val="58B3387C"/>
    <w:rsid w:val="58C52932"/>
    <w:rsid w:val="58C6432E"/>
    <w:rsid w:val="58CE6FC1"/>
    <w:rsid w:val="58D562B1"/>
    <w:rsid w:val="58DD0FB2"/>
    <w:rsid w:val="58E03592"/>
    <w:rsid w:val="58E636D3"/>
    <w:rsid w:val="58F46A27"/>
    <w:rsid w:val="58F85DEC"/>
    <w:rsid w:val="591C41D0"/>
    <w:rsid w:val="592117E6"/>
    <w:rsid w:val="592B7F6F"/>
    <w:rsid w:val="593257A1"/>
    <w:rsid w:val="593B4656"/>
    <w:rsid w:val="593E4146"/>
    <w:rsid w:val="59474AB7"/>
    <w:rsid w:val="59480B21"/>
    <w:rsid w:val="594A2AEB"/>
    <w:rsid w:val="59605E6B"/>
    <w:rsid w:val="5963451E"/>
    <w:rsid w:val="598A113A"/>
    <w:rsid w:val="59926240"/>
    <w:rsid w:val="599B416D"/>
    <w:rsid w:val="59A259AE"/>
    <w:rsid w:val="59A33FA9"/>
    <w:rsid w:val="59B166C6"/>
    <w:rsid w:val="59B937CD"/>
    <w:rsid w:val="59BF16A6"/>
    <w:rsid w:val="59C24863"/>
    <w:rsid w:val="59C56616"/>
    <w:rsid w:val="59CA59DA"/>
    <w:rsid w:val="59DC1069"/>
    <w:rsid w:val="59E92304"/>
    <w:rsid w:val="59EC5950"/>
    <w:rsid w:val="59F20A8D"/>
    <w:rsid w:val="59F31410"/>
    <w:rsid w:val="59FE130A"/>
    <w:rsid w:val="5A026F22"/>
    <w:rsid w:val="5A0A04CC"/>
    <w:rsid w:val="5A1530F9"/>
    <w:rsid w:val="5A161E02"/>
    <w:rsid w:val="5A176492"/>
    <w:rsid w:val="5A2A0227"/>
    <w:rsid w:val="5A355549"/>
    <w:rsid w:val="5A5A0B0C"/>
    <w:rsid w:val="5A623E64"/>
    <w:rsid w:val="5A625C12"/>
    <w:rsid w:val="5A742BB7"/>
    <w:rsid w:val="5A755946"/>
    <w:rsid w:val="5A7C4F26"/>
    <w:rsid w:val="5A84202D"/>
    <w:rsid w:val="5A875A39"/>
    <w:rsid w:val="5A9C7376"/>
    <w:rsid w:val="5A9E32D5"/>
    <w:rsid w:val="5AB30F88"/>
    <w:rsid w:val="5AB915EF"/>
    <w:rsid w:val="5ABF3065"/>
    <w:rsid w:val="5AC4067B"/>
    <w:rsid w:val="5ACC5895"/>
    <w:rsid w:val="5ACD5782"/>
    <w:rsid w:val="5ACD7249"/>
    <w:rsid w:val="5AD20FEA"/>
    <w:rsid w:val="5ADE798F"/>
    <w:rsid w:val="5AE42ACB"/>
    <w:rsid w:val="5AF27844"/>
    <w:rsid w:val="5AFA0F40"/>
    <w:rsid w:val="5AFA5307"/>
    <w:rsid w:val="5B0E7B48"/>
    <w:rsid w:val="5B10787A"/>
    <w:rsid w:val="5B1213E7"/>
    <w:rsid w:val="5B1433B1"/>
    <w:rsid w:val="5B21162A"/>
    <w:rsid w:val="5B351579"/>
    <w:rsid w:val="5B497B4D"/>
    <w:rsid w:val="5B57504B"/>
    <w:rsid w:val="5B5E0687"/>
    <w:rsid w:val="5B5F3AB1"/>
    <w:rsid w:val="5B622EF8"/>
    <w:rsid w:val="5B70435F"/>
    <w:rsid w:val="5B81031A"/>
    <w:rsid w:val="5B81656C"/>
    <w:rsid w:val="5B835E40"/>
    <w:rsid w:val="5B8730B4"/>
    <w:rsid w:val="5B931C9E"/>
    <w:rsid w:val="5B98227D"/>
    <w:rsid w:val="5BB029AE"/>
    <w:rsid w:val="5BC1147D"/>
    <w:rsid w:val="5BC54DDE"/>
    <w:rsid w:val="5BE82147"/>
    <w:rsid w:val="5BE90B20"/>
    <w:rsid w:val="5BEA5EBF"/>
    <w:rsid w:val="5BF44F90"/>
    <w:rsid w:val="5C001B87"/>
    <w:rsid w:val="5C1303AE"/>
    <w:rsid w:val="5C187087"/>
    <w:rsid w:val="5C1B7BBD"/>
    <w:rsid w:val="5C2209D6"/>
    <w:rsid w:val="5C2A161C"/>
    <w:rsid w:val="5C3119FE"/>
    <w:rsid w:val="5C3C0594"/>
    <w:rsid w:val="5C653798"/>
    <w:rsid w:val="5C893F80"/>
    <w:rsid w:val="5C950521"/>
    <w:rsid w:val="5C971E66"/>
    <w:rsid w:val="5CBA2CF4"/>
    <w:rsid w:val="5CE172C2"/>
    <w:rsid w:val="5CFD7971"/>
    <w:rsid w:val="5D2C7B01"/>
    <w:rsid w:val="5D4108C4"/>
    <w:rsid w:val="5D447851"/>
    <w:rsid w:val="5D5061F6"/>
    <w:rsid w:val="5D59154F"/>
    <w:rsid w:val="5D5C4CA0"/>
    <w:rsid w:val="5D8660BC"/>
    <w:rsid w:val="5D8B722E"/>
    <w:rsid w:val="5DB46785"/>
    <w:rsid w:val="5DB85260"/>
    <w:rsid w:val="5DBE5856"/>
    <w:rsid w:val="5DC04857"/>
    <w:rsid w:val="5DC60F5A"/>
    <w:rsid w:val="5DCA31EB"/>
    <w:rsid w:val="5DE11544"/>
    <w:rsid w:val="5DED5440"/>
    <w:rsid w:val="5DF43FDF"/>
    <w:rsid w:val="5DF9688E"/>
    <w:rsid w:val="5DFD6725"/>
    <w:rsid w:val="5E012D80"/>
    <w:rsid w:val="5E023994"/>
    <w:rsid w:val="5E1B6804"/>
    <w:rsid w:val="5E3E0745"/>
    <w:rsid w:val="5E443FAD"/>
    <w:rsid w:val="5E495F53"/>
    <w:rsid w:val="5E4F2952"/>
    <w:rsid w:val="5E5F1B27"/>
    <w:rsid w:val="5E612F48"/>
    <w:rsid w:val="5E671A49"/>
    <w:rsid w:val="5E79352B"/>
    <w:rsid w:val="5E99597B"/>
    <w:rsid w:val="5E9E5E0C"/>
    <w:rsid w:val="5EBD3D5F"/>
    <w:rsid w:val="5EC21376"/>
    <w:rsid w:val="5ECB022A"/>
    <w:rsid w:val="5ECD756E"/>
    <w:rsid w:val="5ED35EE3"/>
    <w:rsid w:val="5EDB41E5"/>
    <w:rsid w:val="5EE621D2"/>
    <w:rsid w:val="5EE96902"/>
    <w:rsid w:val="5EEB4428"/>
    <w:rsid w:val="5EF07C91"/>
    <w:rsid w:val="5EF87B06"/>
    <w:rsid w:val="5EFF1C82"/>
    <w:rsid w:val="5F0B6879"/>
    <w:rsid w:val="5F3F6522"/>
    <w:rsid w:val="5F5A3CB3"/>
    <w:rsid w:val="5F64323C"/>
    <w:rsid w:val="5F7C7776"/>
    <w:rsid w:val="5F901C5C"/>
    <w:rsid w:val="5F9A19AB"/>
    <w:rsid w:val="5F9A709C"/>
    <w:rsid w:val="5F9C5723"/>
    <w:rsid w:val="5FA62A45"/>
    <w:rsid w:val="5FAA1A17"/>
    <w:rsid w:val="5FD50C35"/>
    <w:rsid w:val="5FF92B75"/>
    <w:rsid w:val="60136C47"/>
    <w:rsid w:val="6017124D"/>
    <w:rsid w:val="6017479E"/>
    <w:rsid w:val="601856F1"/>
    <w:rsid w:val="60234096"/>
    <w:rsid w:val="6025396A"/>
    <w:rsid w:val="60397299"/>
    <w:rsid w:val="6042451C"/>
    <w:rsid w:val="60597AB8"/>
    <w:rsid w:val="606E3563"/>
    <w:rsid w:val="607B7A2E"/>
    <w:rsid w:val="608560A2"/>
    <w:rsid w:val="60A068F1"/>
    <w:rsid w:val="60A30D33"/>
    <w:rsid w:val="60C2565D"/>
    <w:rsid w:val="60C8408A"/>
    <w:rsid w:val="60CE7B5E"/>
    <w:rsid w:val="60D35660"/>
    <w:rsid w:val="60EC26DA"/>
    <w:rsid w:val="60EC2C1E"/>
    <w:rsid w:val="60EE1FAE"/>
    <w:rsid w:val="60EF5D26"/>
    <w:rsid w:val="60F416E5"/>
    <w:rsid w:val="61045905"/>
    <w:rsid w:val="610619ED"/>
    <w:rsid w:val="610B7004"/>
    <w:rsid w:val="61151C31"/>
    <w:rsid w:val="611F3B4D"/>
    <w:rsid w:val="611F660B"/>
    <w:rsid w:val="612754C0"/>
    <w:rsid w:val="613F6CAD"/>
    <w:rsid w:val="614442C4"/>
    <w:rsid w:val="61642270"/>
    <w:rsid w:val="616E30EF"/>
    <w:rsid w:val="6175447D"/>
    <w:rsid w:val="617F354E"/>
    <w:rsid w:val="618646B5"/>
    <w:rsid w:val="61B825BC"/>
    <w:rsid w:val="61BC3AF2"/>
    <w:rsid w:val="61D70C94"/>
    <w:rsid w:val="61DC274E"/>
    <w:rsid w:val="61DF5D9B"/>
    <w:rsid w:val="61E0223F"/>
    <w:rsid w:val="61E66941"/>
    <w:rsid w:val="61E67129"/>
    <w:rsid w:val="61E86918"/>
    <w:rsid w:val="61F96E5C"/>
    <w:rsid w:val="620A332B"/>
    <w:rsid w:val="621C0D9D"/>
    <w:rsid w:val="623B4461"/>
    <w:rsid w:val="62456545"/>
    <w:rsid w:val="624C78D4"/>
    <w:rsid w:val="627B3D15"/>
    <w:rsid w:val="627C029A"/>
    <w:rsid w:val="627C0B43"/>
    <w:rsid w:val="62864468"/>
    <w:rsid w:val="628F156F"/>
    <w:rsid w:val="628F5A13"/>
    <w:rsid w:val="62A24608"/>
    <w:rsid w:val="62A80882"/>
    <w:rsid w:val="62DE42A4"/>
    <w:rsid w:val="62E07A61"/>
    <w:rsid w:val="62EC4C13"/>
    <w:rsid w:val="62ED4385"/>
    <w:rsid w:val="62F32B1A"/>
    <w:rsid w:val="63041F5D"/>
    <w:rsid w:val="63074000"/>
    <w:rsid w:val="630E06E5"/>
    <w:rsid w:val="63155F18"/>
    <w:rsid w:val="631A1780"/>
    <w:rsid w:val="633A3BD0"/>
    <w:rsid w:val="633A597E"/>
    <w:rsid w:val="634265E1"/>
    <w:rsid w:val="63452C51"/>
    <w:rsid w:val="634C37DB"/>
    <w:rsid w:val="63520F1A"/>
    <w:rsid w:val="635A1B7D"/>
    <w:rsid w:val="637349EC"/>
    <w:rsid w:val="637847DB"/>
    <w:rsid w:val="637F5226"/>
    <w:rsid w:val="63A62D60"/>
    <w:rsid w:val="63B84AF5"/>
    <w:rsid w:val="63C576BE"/>
    <w:rsid w:val="63CF256B"/>
    <w:rsid w:val="63D00091"/>
    <w:rsid w:val="63D414A8"/>
    <w:rsid w:val="63D52D8F"/>
    <w:rsid w:val="63D95197"/>
    <w:rsid w:val="63DE27AE"/>
    <w:rsid w:val="63E1404C"/>
    <w:rsid w:val="63E37DC4"/>
    <w:rsid w:val="63E8114E"/>
    <w:rsid w:val="63EE6769"/>
    <w:rsid w:val="63FA6EBC"/>
    <w:rsid w:val="63FE4BFE"/>
    <w:rsid w:val="640F0554"/>
    <w:rsid w:val="64175CC0"/>
    <w:rsid w:val="64191A38"/>
    <w:rsid w:val="64195594"/>
    <w:rsid w:val="64215E63"/>
    <w:rsid w:val="64236413"/>
    <w:rsid w:val="64373C6C"/>
    <w:rsid w:val="643C5726"/>
    <w:rsid w:val="643F1984"/>
    <w:rsid w:val="646C600B"/>
    <w:rsid w:val="64735C16"/>
    <w:rsid w:val="64781E6F"/>
    <w:rsid w:val="64874BF3"/>
    <w:rsid w:val="64915A72"/>
    <w:rsid w:val="64947310"/>
    <w:rsid w:val="64A137DB"/>
    <w:rsid w:val="64A532CB"/>
    <w:rsid w:val="64A84B6A"/>
    <w:rsid w:val="64AA6B34"/>
    <w:rsid w:val="64AC28AC"/>
    <w:rsid w:val="64AE5404"/>
    <w:rsid w:val="64B42A7B"/>
    <w:rsid w:val="64C33752"/>
    <w:rsid w:val="64CA1BE3"/>
    <w:rsid w:val="64CB0CDD"/>
    <w:rsid w:val="64EF4547"/>
    <w:rsid w:val="64F25DE5"/>
    <w:rsid w:val="65150D04"/>
    <w:rsid w:val="651F7D11"/>
    <w:rsid w:val="652E506F"/>
    <w:rsid w:val="653603C7"/>
    <w:rsid w:val="655068C5"/>
    <w:rsid w:val="655367C2"/>
    <w:rsid w:val="65576140"/>
    <w:rsid w:val="656C3DE9"/>
    <w:rsid w:val="657B5DDA"/>
    <w:rsid w:val="65844C9F"/>
    <w:rsid w:val="65B23EF2"/>
    <w:rsid w:val="65BC07BA"/>
    <w:rsid w:val="65C400AC"/>
    <w:rsid w:val="65C41412"/>
    <w:rsid w:val="65C9123C"/>
    <w:rsid w:val="65C971C7"/>
    <w:rsid w:val="65D379C4"/>
    <w:rsid w:val="65D5373C"/>
    <w:rsid w:val="65D75FAE"/>
    <w:rsid w:val="65DD571B"/>
    <w:rsid w:val="65FC1E5E"/>
    <w:rsid w:val="660F73F5"/>
    <w:rsid w:val="66125549"/>
    <w:rsid w:val="661E4537"/>
    <w:rsid w:val="66293A88"/>
    <w:rsid w:val="663568D1"/>
    <w:rsid w:val="664E55E4"/>
    <w:rsid w:val="664F7993"/>
    <w:rsid w:val="66507267"/>
    <w:rsid w:val="665723A3"/>
    <w:rsid w:val="665825A1"/>
    <w:rsid w:val="6665036B"/>
    <w:rsid w:val="666D7210"/>
    <w:rsid w:val="66723681"/>
    <w:rsid w:val="66864476"/>
    <w:rsid w:val="669E4B41"/>
    <w:rsid w:val="669E6224"/>
    <w:rsid w:val="66A27D9A"/>
    <w:rsid w:val="66A852F5"/>
    <w:rsid w:val="66AC1B17"/>
    <w:rsid w:val="66AD290B"/>
    <w:rsid w:val="66DE0D17"/>
    <w:rsid w:val="671450FA"/>
    <w:rsid w:val="672E168A"/>
    <w:rsid w:val="673F4707"/>
    <w:rsid w:val="674548F2"/>
    <w:rsid w:val="676236F6"/>
    <w:rsid w:val="67670D0C"/>
    <w:rsid w:val="677A0A3F"/>
    <w:rsid w:val="677B0314"/>
    <w:rsid w:val="677D5E3A"/>
    <w:rsid w:val="677F1AA3"/>
    <w:rsid w:val="677F6056"/>
    <w:rsid w:val="67815A57"/>
    <w:rsid w:val="67862E56"/>
    <w:rsid w:val="67A014DA"/>
    <w:rsid w:val="67B65CC6"/>
    <w:rsid w:val="67D0283D"/>
    <w:rsid w:val="67D06FA7"/>
    <w:rsid w:val="67D13508"/>
    <w:rsid w:val="67D143D7"/>
    <w:rsid w:val="67F566AF"/>
    <w:rsid w:val="67F57CE8"/>
    <w:rsid w:val="67FD6F7B"/>
    <w:rsid w:val="680277D6"/>
    <w:rsid w:val="681A70CF"/>
    <w:rsid w:val="68220241"/>
    <w:rsid w:val="68255AE8"/>
    <w:rsid w:val="68333564"/>
    <w:rsid w:val="68355A84"/>
    <w:rsid w:val="68502F52"/>
    <w:rsid w:val="68623877"/>
    <w:rsid w:val="68896A60"/>
    <w:rsid w:val="688D02FE"/>
    <w:rsid w:val="688F051A"/>
    <w:rsid w:val="689478DF"/>
    <w:rsid w:val="68A67612"/>
    <w:rsid w:val="68AB69D7"/>
    <w:rsid w:val="68B33CB6"/>
    <w:rsid w:val="68B50A0E"/>
    <w:rsid w:val="68BA7698"/>
    <w:rsid w:val="68BF2482"/>
    <w:rsid w:val="68D218BB"/>
    <w:rsid w:val="68D423D1"/>
    <w:rsid w:val="68D979E8"/>
    <w:rsid w:val="68EC6FC3"/>
    <w:rsid w:val="68F77E6E"/>
    <w:rsid w:val="68FA7493"/>
    <w:rsid w:val="68FB725D"/>
    <w:rsid w:val="68FD36D6"/>
    <w:rsid w:val="69020441"/>
    <w:rsid w:val="69036813"/>
    <w:rsid w:val="690802CD"/>
    <w:rsid w:val="691E53FA"/>
    <w:rsid w:val="69270753"/>
    <w:rsid w:val="69452066"/>
    <w:rsid w:val="694F606D"/>
    <w:rsid w:val="694F7CAA"/>
    <w:rsid w:val="69572E09"/>
    <w:rsid w:val="696A4AE4"/>
    <w:rsid w:val="69877444"/>
    <w:rsid w:val="698E07D2"/>
    <w:rsid w:val="69905EB4"/>
    <w:rsid w:val="69AE04E9"/>
    <w:rsid w:val="69AF0748"/>
    <w:rsid w:val="69D1270F"/>
    <w:rsid w:val="69DB32EB"/>
    <w:rsid w:val="69EE301F"/>
    <w:rsid w:val="69EE74C3"/>
    <w:rsid w:val="69FD5350"/>
    <w:rsid w:val="69FD7706"/>
    <w:rsid w:val="69FF6FDA"/>
    <w:rsid w:val="6A014107"/>
    <w:rsid w:val="6A18009C"/>
    <w:rsid w:val="6A1C5DDE"/>
    <w:rsid w:val="6A1F142A"/>
    <w:rsid w:val="6A246A40"/>
    <w:rsid w:val="6A2829D5"/>
    <w:rsid w:val="6A3239D6"/>
    <w:rsid w:val="6A3A44B6"/>
    <w:rsid w:val="6A3F7D1E"/>
    <w:rsid w:val="6A411276"/>
    <w:rsid w:val="6A696B49"/>
    <w:rsid w:val="6A6C203E"/>
    <w:rsid w:val="6A6F5671"/>
    <w:rsid w:val="6A752B7C"/>
    <w:rsid w:val="6A753740"/>
    <w:rsid w:val="6A7E1D88"/>
    <w:rsid w:val="6A8A4024"/>
    <w:rsid w:val="6A9004F5"/>
    <w:rsid w:val="6A951A92"/>
    <w:rsid w:val="6A9736B6"/>
    <w:rsid w:val="6A9C4C3A"/>
    <w:rsid w:val="6A9C5AD2"/>
    <w:rsid w:val="6AA14535"/>
    <w:rsid w:val="6AA3205B"/>
    <w:rsid w:val="6AAB38C5"/>
    <w:rsid w:val="6AB06526"/>
    <w:rsid w:val="6AD06BC8"/>
    <w:rsid w:val="6ADE7537"/>
    <w:rsid w:val="6AE368FC"/>
    <w:rsid w:val="6AF503DD"/>
    <w:rsid w:val="6B0F149F"/>
    <w:rsid w:val="6B0F5943"/>
    <w:rsid w:val="6B166CD1"/>
    <w:rsid w:val="6B182A49"/>
    <w:rsid w:val="6B192137"/>
    <w:rsid w:val="6B3B2294"/>
    <w:rsid w:val="6B4A62DC"/>
    <w:rsid w:val="6B543355"/>
    <w:rsid w:val="6B59096C"/>
    <w:rsid w:val="6B5E2426"/>
    <w:rsid w:val="6B6537B4"/>
    <w:rsid w:val="6B746386"/>
    <w:rsid w:val="6B7D277F"/>
    <w:rsid w:val="6B7E4876"/>
    <w:rsid w:val="6BA91C73"/>
    <w:rsid w:val="6BB121CD"/>
    <w:rsid w:val="6BB124BF"/>
    <w:rsid w:val="6BBE0789"/>
    <w:rsid w:val="6BBE438D"/>
    <w:rsid w:val="6BBF2EC5"/>
    <w:rsid w:val="6BC02799"/>
    <w:rsid w:val="6BD1171A"/>
    <w:rsid w:val="6BE004EB"/>
    <w:rsid w:val="6BEE7306"/>
    <w:rsid w:val="6BF40694"/>
    <w:rsid w:val="6BF60C44"/>
    <w:rsid w:val="6C1B27E5"/>
    <w:rsid w:val="6C1E5A53"/>
    <w:rsid w:val="6C262F44"/>
    <w:rsid w:val="6C320AC9"/>
    <w:rsid w:val="6C34412C"/>
    <w:rsid w:val="6C3E1D7E"/>
    <w:rsid w:val="6C5C0714"/>
    <w:rsid w:val="6C5F0204"/>
    <w:rsid w:val="6C726189"/>
    <w:rsid w:val="6C8923CA"/>
    <w:rsid w:val="6C8B726F"/>
    <w:rsid w:val="6C9C3206"/>
    <w:rsid w:val="6CB22A29"/>
    <w:rsid w:val="6CB57E24"/>
    <w:rsid w:val="6CB87914"/>
    <w:rsid w:val="6CC30793"/>
    <w:rsid w:val="6CE31A0D"/>
    <w:rsid w:val="6CED5418"/>
    <w:rsid w:val="6CF52916"/>
    <w:rsid w:val="6CF56D48"/>
    <w:rsid w:val="6D035033"/>
    <w:rsid w:val="6D0C0CD0"/>
    <w:rsid w:val="6D401DE3"/>
    <w:rsid w:val="6D443B19"/>
    <w:rsid w:val="6D554B6E"/>
    <w:rsid w:val="6D6927F5"/>
    <w:rsid w:val="6D7D3037"/>
    <w:rsid w:val="6D8223FC"/>
    <w:rsid w:val="6D8C327A"/>
    <w:rsid w:val="6D934855"/>
    <w:rsid w:val="6DA2484C"/>
    <w:rsid w:val="6DA560EA"/>
    <w:rsid w:val="6DB30225"/>
    <w:rsid w:val="6DC47457"/>
    <w:rsid w:val="6DCA6FED"/>
    <w:rsid w:val="6DD4077E"/>
    <w:rsid w:val="6E027099"/>
    <w:rsid w:val="6E081870"/>
    <w:rsid w:val="6E160D96"/>
    <w:rsid w:val="6E1F02C3"/>
    <w:rsid w:val="6E1F0A4F"/>
    <w:rsid w:val="6E1F40EF"/>
    <w:rsid w:val="6E274435"/>
    <w:rsid w:val="6E290AC9"/>
    <w:rsid w:val="6E3B3D97"/>
    <w:rsid w:val="6E467A15"/>
    <w:rsid w:val="6E6F7466"/>
    <w:rsid w:val="6E7206C2"/>
    <w:rsid w:val="6E7543A1"/>
    <w:rsid w:val="6E7F4B8D"/>
    <w:rsid w:val="6E8B13ED"/>
    <w:rsid w:val="6E8D6266"/>
    <w:rsid w:val="6E972F16"/>
    <w:rsid w:val="6E996E4B"/>
    <w:rsid w:val="6EA834E1"/>
    <w:rsid w:val="6EC43654"/>
    <w:rsid w:val="6ED2434D"/>
    <w:rsid w:val="6EDB3305"/>
    <w:rsid w:val="6EE0324C"/>
    <w:rsid w:val="6EFD24A5"/>
    <w:rsid w:val="6F11599B"/>
    <w:rsid w:val="6F196D90"/>
    <w:rsid w:val="6F1C418A"/>
    <w:rsid w:val="6F216314"/>
    <w:rsid w:val="6F23376B"/>
    <w:rsid w:val="6F2B2B34"/>
    <w:rsid w:val="6F4B0F13"/>
    <w:rsid w:val="6F4C2928"/>
    <w:rsid w:val="6F4E3C54"/>
    <w:rsid w:val="6F5778B8"/>
    <w:rsid w:val="6F685621"/>
    <w:rsid w:val="6F762834"/>
    <w:rsid w:val="6F79782E"/>
    <w:rsid w:val="6F7B613C"/>
    <w:rsid w:val="6F8375CA"/>
    <w:rsid w:val="6F876E45"/>
    <w:rsid w:val="6FA75299"/>
    <w:rsid w:val="6FBA2DD6"/>
    <w:rsid w:val="6FC14D32"/>
    <w:rsid w:val="6FC96D6C"/>
    <w:rsid w:val="6FD1766A"/>
    <w:rsid w:val="6FD375A3"/>
    <w:rsid w:val="6FDD130E"/>
    <w:rsid w:val="6FED3D79"/>
    <w:rsid w:val="6FF01A77"/>
    <w:rsid w:val="6FF80036"/>
    <w:rsid w:val="6FFB1675"/>
    <w:rsid w:val="6FFB46E7"/>
    <w:rsid w:val="70001CFE"/>
    <w:rsid w:val="70027824"/>
    <w:rsid w:val="700D3C59"/>
    <w:rsid w:val="70223A22"/>
    <w:rsid w:val="702E23C7"/>
    <w:rsid w:val="703A10AD"/>
    <w:rsid w:val="7040034C"/>
    <w:rsid w:val="70444F7E"/>
    <w:rsid w:val="704A4D27"/>
    <w:rsid w:val="70622071"/>
    <w:rsid w:val="706342D9"/>
    <w:rsid w:val="70653C25"/>
    <w:rsid w:val="708E0AA4"/>
    <w:rsid w:val="708E5491"/>
    <w:rsid w:val="70903082"/>
    <w:rsid w:val="709C1A26"/>
    <w:rsid w:val="709D2EA4"/>
    <w:rsid w:val="70AC59E2"/>
    <w:rsid w:val="70BE2E5C"/>
    <w:rsid w:val="70C07738"/>
    <w:rsid w:val="70C76378"/>
    <w:rsid w:val="70CC5177"/>
    <w:rsid w:val="70CF401B"/>
    <w:rsid w:val="70DF4310"/>
    <w:rsid w:val="70E17439"/>
    <w:rsid w:val="70EC0D8E"/>
    <w:rsid w:val="70F40236"/>
    <w:rsid w:val="70F76C5D"/>
    <w:rsid w:val="71015D2D"/>
    <w:rsid w:val="710E21F8"/>
    <w:rsid w:val="71160FE7"/>
    <w:rsid w:val="7124712B"/>
    <w:rsid w:val="712E0A5D"/>
    <w:rsid w:val="712F5E96"/>
    <w:rsid w:val="71353C29"/>
    <w:rsid w:val="71397275"/>
    <w:rsid w:val="713E0BD9"/>
    <w:rsid w:val="71502811"/>
    <w:rsid w:val="715C4D41"/>
    <w:rsid w:val="71620E8F"/>
    <w:rsid w:val="71662034"/>
    <w:rsid w:val="716B13F9"/>
    <w:rsid w:val="716F0EE9"/>
    <w:rsid w:val="71777D9E"/>
    <w:rsid w:val="717C14A4"/>
    <w:rsid w:val="717E6882"/>
    <w:rsid w:val="718524BB"/>
    <w:rsid w:val="718A5D23"/>
    <w:rsid w:val="718D32CB"/>
    <w:rsid w:val="71970440"/>
    <w:rsid w:val="71AF5789"/>
    <w:rsid w:val="71B42DA0"/>
    <w:rsid w:val="71BE3C1E"/>
    <w:rsid w:val="71CB70F0"/>
    <w:rsid w:val="71E557A3"/>
    <w:rsid w:val="71E60A7F"/>
    <w:rsid w:val="71F15DA2"/>
    <w:rsid w:val="71FD798D"/>
    <w:rsid w:val="72007119"/>
    <w:rsid w:val="72157113"/>
    <w:rsid w:val="722241AD"/>
    <w:rsid w:val="722515A8"/>
    <w:rsid w:val="723B4E5B"/>
    <w:rsid w:val="726E5F1D"/>
    <w:rsid w:val="727A7B45"/>
    <w:rsid w:val="727D5888"/>
    <w:rsid w:val="72880B19"/>
    <w:rsid w:val="728B3E91"/>
    <w:rsid w:val="72930C07"/>
    <w:rsid w:val="72952BD1"/>
    <w:rsid w:val="7298446F"/>
    <w:rsid w:val="72A37CB3"/>
    <w:rsid w:val="72A43D7E"/>
    <w:rsid w:val="72B62B48"/>
    <w:rsid w:val="72B648F6"/>
    <w:rsid w:val="72D736E1"/>
    <w:rsid w:val="72DA390A"/>
    <w:rsid w:val="72EC0317"/>
    <w:rsid w:val="73025D8D"/>
    <w:rsid w:val="73090EC9"/>
    <w:rsid w:val="730B4C34"/>
    <w:rsid w:val="73206106"/>
    <w:rsid w:val="73214465"/>
    <w:rsid w:val="732857F3"/>
    <w:rsid w:val="734F393D"/>
    <w:rsid w:val="73571C35"/>
    <w:rsid w:val="735A1725"/>
    <w:rsid w:val="735A7977"/>
    <w:rsid w:val="735C2EA5"/>
    <w:rsid w:val="736A3E04"/>
    <w:rsid w:val="73745754"/>
    <w:rsid w:val="73776D8F"/>
    <w:rsid w:val="7384337B"/>
    <w:rsid w:val="739E1612"/>
    <w:rsid w:val="73C7536F"/>
    <w:rsid w:val="73D43285"/>
    <w:rsid w:val="73E15D64"/>
    <w:rsid w:val="73E46AD4"/>
    <w:rsid w:val="73EF4563"/>
    <w:rsid w:val="740022CC"/>
    <w:rsid w:val="74051691"/>
    <w:rsid w:val="741E6BF6"/>
    <w:rsid w:val="742053DC"/>
    <w:rsid w:val="7431692A"/>
    <w:rsid w:val="74363F40"/>
    <w:rsid w:val="744A1799"/>
    <w:rsid w:val="744D4398"/>
    <w:rsid w:val="74534AF2"/>
    <w:rsid w:val="745D74B0"/>
    <w:rsid w:val="745E567C"/>
    <w:rsid w:val="746D7236"/>
    <w:rsid w:val="747607E0"/>
    <w:rsid w:val="7485606D"/>
    <w:rsid w:val="7487479C"/>
    <w:rsid w:val="748A428C"/>
    <w:rsid w:val="748A603A"/>
    <w:rsid w:val="748E36F2"/>
    <w:rsid w:val="74B310ED"/>
    <w:rsid w:val="74D51103"/>
    <w:rsid w:val="74F3598D"/>
    <w:rsid w:val="750162FC"/>
    <w:rsid w:val="750E3D95"/>
    <w:rsid w:val="75175B20"/>
    <w:rsid w:val="75237EBC"/>
    <w:rsid w:val="752E4C17"/>
    <w:rsid w:val="75483F70"/>
    <w:rsid w:val="754C32EF"/>
    <w:rsid w:val="755E6196"/>
    <w:rsid w:val="7560440F"/>
    <w:rsid w:val="75695C4F"/>
    <w:rsid w:val="756B5E6B"/>
    <w:rsid w:val="75750A98"/>
    <w:rsid w:val="75934BD0"/>
    <w:rsid w:val="75983E85"/>
    <w:rsid w:val="75994786"/>
    <w:rsid w:val="75A44ED9"/>
    <w:rsid w:val="75AD0232"/>
    <w:rsid w:val="75C17839"/>
    <w:rsid w:val="75C37A55"/>
    <w:rsid w:val="75CE1F56"/>
    <w:rsid w:val="75D60362"/>
    <w:rsid w:val="75E07DDF"/>
    <w:rsid w:val="75E4177A"/>
    <w:rsid w:val="75E5285C"/>
    <w:rsid w:val="75EB48B6"/>
    <w:rsid w:val="75F23E97"/>
    <w:rsid w:val="7610256F"/>
    <w:rsid w:val="76126652"/>
    <w:rsid w:val="7617086B"/>
    <w:rsid w:val="76200A04"/>
    <w:rsid w:val="762878B8"/>
    <w:rsid w:val="7633175A"/>
    <w:rsid w:val="76524935"/>
    <w:rsid w:val="766E228D"/>
    <w:rsid w:val="76702CAD"/>
    <w:rsid w:val="767174B1"/>
    <w:rsid w:val="76733229"/>
    <w:rsid w:val="767945B8"/>
    <w:rsid w:val="76796366"/>
    <w:rsid w:val="76910827"/>
    <w:rsid w:val="769D3E02"/>
    <w:rsid w:val="76CF41D8"/>
    <w:rsid w:val="76E32644"/>
    <w:rsid w:val="76E720BA"/>
    <w:rsid w:val="76EC08E6"/>
    <w:rsid w:val="7706409E"/>
    <w:rsid w:val="770910FB"/>
    <w:rsid w:val="772269FE"/>
    <w:rsid w:val="7731279D"/>
    <w:rsid w:val="775A0EEB"/>
    <w:rsid w:val="775D17E4"/>
    <w:rsid w:val="776F7B60"/>
    <w:rsid w:val="77792D18"/>
    <w:rsid w:val="77996CC0"/>
    <w:rsid w:val="77A00EA0"/>
    <w:rsid w:val="77B27D81"/>
    <w:rsid w:val="77B358A8"/>
    <w:rsid w:val="77C96E79"/>
    <w:rsid w:val="77D575CC"/>
    <w:rsid w:val="77D62D81"/>
    <w:rsid w:val="77DC6BAC"/>
    <w:rsid w:val="77F62E43"/>
    <w:rsid w:val="78056103"/>
    <w:rsid w:val="78145B5F"/>
    <w:rsid w:val="781B5927"/>
    <w:rsid w:val="783A38D3"/>
    <w:rsid w:val="785726D7"/>
    <w:rsid w:val="785C02A9"/>
    <w:rsid w:val="785C1A9B"/>
    <w:rsid w:val="786A3A23"/>
    <w:rsid w:val="78717876"/>
    <w:rsid w:val="78742BC6"/>
    <w:rsid w:val="78746DE5"/>
    <w:rsid w:val="787E1A12"/>
    <w:rsid w:val="78850FF2"/>
    <w:rsid w:val="789003EF"/>
    <w:rsid w:val="78A34A50"/>
    <w:rsid w:val="78A9044D"/>
    <w:rsid w:val="78AF2F37"/>
    <w:rsid w:val="78B211F2"/>
    <w:rsid w:val="78B561E6"/>
    <w:rsid w:val="78B813C8"/>
    <w:rsid w:val="78D14237"/>
    <w:rsid w:val="78D76567"/>
    <w:rsid w:val="78DE2C43"/>
    <w:rsid w:val="78E24696"/>
    <w:rsid w:val="78E35D19"/>
    <w:rsid w:val="78F41CD4"/>
    <w:rsid w:val="78F915C9"/>
    <w:rsid w:val="7911011E"/>
    <w:rsid w:val="791740A9"/>
    <w:rsid w:val="791D747D"/>
    <w:rsid w:val="792F71B0"/>
    <w:rsid w:val="79444A09"/>
    <w:rsid w:val="79523E7B"/>
    <w:rsid w:val="79584959"/>
    <w:rsid w:val="795D3D1D"/>
    <w:rsid w:val="79652BD2"/>
    <w:rsid w:val="79723160"/>
    <w:rsid w:val="79764DDF"/>
    <w:rsid w:val="79823784"/>
    <w:rsid w:val="79851D32"/>
    <w:rsid w:val="79955265"/>
    <w:rsid w:val="79975481"/>
    <w:rsid w:val="799C031C"/>
    <w:rsid w:val="79A347B3"/>
    <w:rsid w:val="79A436FA"/>
    <w:rsid w:val="79A85561"/>
    <w:rsid w:val="79BB50C8"/>
    <w:rsid w:val="79C557DB"/>
    <w:rsid w:val="79D7587D"/>
    <w:rsid w:val="79DA536E"/>
    <w:rsid w:val="79DD6C0C"/>
    <w:rsid w:val="79E61F64"/>
    <w:rsid w:val="7A106997"/>
    <w:rsid w:val="7A146AD1"/>
    <w:rsid w:val="7A175BB8"/>
    <w:rsid w:val="7A1F25AB"/>
    <w:rsid w:val="7A260E8D"/>
    <w:rsid w:val="7A3117F4"/>
    <w:rsid w:val="7A430647"/>
    <w:rsid w:val="7A666C01"/>
    <w:rsid w:val="7A7774E0"/>
    <w:rsid w:val="7A7E219D"/>
    <w:rsid w:val="7A8C4C51"/>
    <w:rsid w:val="7A8D418E"/>
    <w:rsid w:val="7A94551C"/>
    <w:rsid w:val="7AA31C03"/>
    <w:rsid w:val="7AA360D0"/>
    <w:rsid w:val="7AAD6658"/>
    <w:rsid w:val="7AB12572"/>
    <w:rsid w:val="7AB14320"/>
    <w:rsid w:val="7AB318C3"/>
    <w:rsid w:val="7AB931D5"/>
    <w:rsid w:val="7ADE15E4"/>
    <w:rsid w:val="7AE53FCA"/>
    <w:rsid w:val="7AE74A5D"/>
    <w:rsid w:val="7AFC35A9"/>
    <w:rsid w:val="7B007056"/>
    <w:rsid w:val="7B024B7C"/>
    <w:rsid w:val="7B095F0A"/>
    <w:rsid w:val="7B0C297A"/>
    <w:rsid w:val="7B0E3521"/>
    <w:rsid w:val="7B134AC2"/>
    <w:rsid w:val="7B226FCC"/>
    <w:rsid w:val="7B2B1E60"/>
    <w:rsid w:val="7B4153E0"/>
    <w:rsid w:val="7B5353D8"/>
    <w:rsid w:val="7B537186"/>
    <w:rsid w:val="7B587C52"/>
    <w:rsid w:val="7B5D1DB2"/>
    <w:rsid w:val="7B6018A2"/>
    <w:rsid w:val="7B61354B"/>
    <w:rsid w:val="7B6C4B0E"/>
    <w:rsid w:val="7B6E0463"/>
    <w:rsid w:val="7B855666"/>
    <w:rsid w:val="7B885152"/>
    <w:rsid w:val="7B8D580C"/>
    <w:rsid w:val="7BAC4AE8"/>
    <w:rsid w:val="7BB3231A"/>
    <w:rsid w:val="7BB543B0"/>
    <w:rsid w:val="7BD06079"/>
    <w:rsid w:val="7BD722AE"/>
    <w:rsid w:val="7BE40725"/>
    <w:rsid w:val="7BE67FFA"/>
    <w:rsid w:val="7BE85E69"/>
    <w:rsid w:val="7C036DFE"/>
    <w:rsid w:val="7C106B54"/>
    <w:rsid w:val="7C26489A"/>
    <w:rsid w:val="7C3823DD"/>
    <w:rsid w:val="7C386430"/>
    <w:rsid w:val="7C392352"/>
    <w:rsid w:val="7C4116D4"/>
    <w:rsid w:val="7C580806"/>
    <w:rsid w:val="7C60616F"/>
    <w:rsid w:val="7C616F3F"/>
    <w:rsid w:val="7C662EE9"/>
    <w:rsid w:val="7C781F7A"/>
    <w:rsid w:val="7C7B2E38"/>
    <w:rsid w:val="7C835849"/>
    <w:rsid w:val="7C8B5F51"/>
    <w:rsid w:val="7C9537CE"/>
    <w:rsid w:val="7C961A20"/>
    <w:rsid w:val="7C991510"/>
    <w:rsid w:val="7CB65C1E"/>
    <w:rsid w:val="7CBB76D8"/>
    <w:rsid w:val="7CC16371"/>
    <w:rsid w:val="7CD442F6"/>
    <w:rsid w:val="7CD7588E"/>
    <w:rsid w:val="7CE162DA"/>
    <w:rsid w:val="7D020E63"/>
    <w:rsid w:val="7D0746CC"/>
    <w:rsid w:val="7D0F16B0"/>
    <w:rsid w:val="7D114C7D"/>
    <w:rsid w:val="7D142945"/>
    <w:rsid w:val="7D171E56"/>
    <w:rsid w:val="7D1A2FE3"/>
    <w:rsid w:val="7D1E1A15"/>
    <w:rsid w:val="7D1E3EA3"/>
    <w:rsid w:val="7D1E5AD5"/>
    <w:rsid w:val="7D1F2D8B"/>
    <w:rsid w:val="7D20578D"/>
    <w:rsid w:val="7D207566"/>
    <w:rsid w:val="7D2272BA"/>
    <w:rsid w:val="7D230DDA"/>
    <w:rsid w:val="7D2D5B3E"/>
    <w:rsid w:val="7D344D95"/>
    <w:rsid w:val="7D3D4AFC"/>
    <w:rsid w:val="7D423956"/>
    <w:rsid w:val="7D5B0C2E"/>
    <w:rsid w:val="7D6E02A7"/>
    <w:rsid w:val="7D821FA4"/>
    <w:rsid w:val="7D847ACA"/>
    <w:rsid w:val="7D8C4BD1"/>
    <w:rsid w:val="7D8E02FF"/>
    <w:rsid w:val="7D910439"/>
    <w:rsid w:val="7D991F68"/>
    <w:rsid w:val="7D9D6DDE"/>
    <w:rsid w:val="7DA939D5"/>
    <w:rsid w:val="7DAC5273"/>
    <w:rsid w:val="7DAC6BDA"/>
    <w:rsid w:val="7DB36601"/>
    <w:rsid w:val="7DB54128"/>
    <w:rsid w:val="7DC51E91"/>
    <w:rsid w:val="7DCE05A1"/>
    <w:rsid w:val="7DCF4ABD"/>
    <w:rsid w:val="7DDA3B8E"/>
    <w:rsid w:val="7DDC0EA4"/>
    <w:rsid w:val="7DDF5CDB"/>
    <w:rsid w:val="7DE62533"/>
    <w:rsid w:val="7DEC566F"/>
    <w:rsid w:val="7DF033B2"/>
    <w:rsid w:val="7DF10ED8"/>
    <w:rsid w:val="7DFD162B"/>
    <w:rsid w:val="7E0206D3"/>
    <w:rsid w:val="7E097FCF"/>
    <w:rsid w:val="7E1E647D"/>
    <w:rsid w:val="7E1F16CA"/>
    <w:rsid w:val="7E24343B"/>
    <w:rsid w:val="7E257EF5"/>
    <w:rsid w:val="7E2B43EA"/>
    <w:rsid w:val="7E2C3CBE"/>
    <w:rsid w:val="7E346D07"/>
    <w:rsid w:val="7E3D5ECB"/>
    <w:rsid w:val="7E3F1C43"/>
    <w:rsid w:val="7E486D4A"/>
    <w:rsid w:val="7E572CB5"/>
    <w:rsid w:val="7E590B36"/>
    <w:rsid w:val="7E5E656D"/>
    <w:rsid w:val="7E667ABC"/>
    <w:rsid w:val="7E747B3F"/>
    <w:rsid w:val="7E7A2C7B"/>
    <w:rsid w:val="7E8341C7"/>
    <w:rsid w:val="7E8A16FB"/>
    <w:rsid w:val="7E95491B"/>
    <w:rsid w:val="7E9B69D2"/>
    <w:rsid w:val="7EAB1087"/>
    <w:rsid w:val="7EB14794"/>
    <w:rsid w:val="7ED44A81"/>
    <w:rsid w:val="7EE30820"/>
    <w:rsid w:val="7EE840C2"/>
    <w:rsid w:val="7F0B7D77"/>
    <w:rsid w:val="7F0C2DB2"/>
    <w:rsid w:val="7F0E04F4"/>
    <w:rsid w:val="7F10538E"/>
    <w:rsid w:val="7F1B7FBA"/>
    <w:rsid w:val="7F211349"/>
    <w:rsid w:val="7F2C21C7"/>
    <w:rsid w:val="7F376DBE"/>
    <w:rsid w:val="7F413799"/>
    <w:rsid w:val="7F547E43"/>
    <w:rsid w:val="7F567244"/>
    <w:rsid w:val="7F5B485B"/>
    <w:rsid w:val="7F7933AB"/>
    <w:rsid w:val="7F857B2A"/>
    <w:rsid w:val="7F930E90"/>
    <w:rsid w:val="7F9E2999"/>
    <w:rsid w:val="7FB977D3"/>
    <w:rsid w:val="7FC9210C"/>
    <w:rsid w:val="7FD4460D"/>
    <w:rsid w:val="7FD8234F"/>
    <w:rsid w:val="7FF56A5D"/>
    <w:rsid w:val="7FFD494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45"/>
    <w:autoRedefine/>
    <w:qFormat/>
    <w:uiPriority w:val="0"/>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5"/>
    <w:basedOn w:val="1"/>
    <w:next w:val="1"/>
    <w:autoRedefine/>
    <w:qFormat/>
    <w:uiPriority w:val="0"/>
    <w:pPr>
      <w:keepNext/>
      <w:keepLines/>
      <w:spacing w:before="280" w:after="290" w:line="376" w:lineRule="auto"/>
      <w:outlineLvl w:val="4"/>
    </w:pPr>
    <w:rPr>
      <w:b/>
      <w:bCs/>
      <w:sz w:val="28"/>
      <w:szCs w:val="28"/>
    </w:rPr>
  </w:style>
  <w:style w:type="paragraph" w:styleId="7">
    <w:name w:val="heading 6"/>
    <w:basedOn w:val="1"/>
    <w:next w:val="1"/>
    <w:autoRedefine/>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rPr>
  </w:style>
  <w:style w:type="paragraph" w:styleId="8">
    <w:name w:val="heading 7"/>
    <w:basedOn w:val="1"/>
    <w:next w:val="1"/>
    <w:unhideWhenUsed/>
    <w:qFormat/>
    <w:uiPriority w:val="0"/>
    <w:pPr>
      <w:keepNext/>
      <w:keepLines/>
      <w:spacing w:before="240" w:beforeLines="0" w:beforeAutospacing="0" w:after="64" w:afterLines="0" w:afterAutospacing="0" w:line="317" w:lineRule="auto"/>
      <w:outlineLvl w:val="6"/>
    </w:pPr>
    <w:rPr>
      <w:b/>
      <w:sz w:val="24"/>
    </w:rPr>
  </w:style>
  <w:style w:type="character" w:default="1" w:styleId="32">
    <w:name w:val="Default Paragraph Font"/>
    <w:autoRedefine/>
    <w:unhideWhenUsed/>
    <w:qFormat/>
    <w:uiPriority w:val="1"/>
  </w:style>
  <w:style w:type="table" w:default="1" w:styleId="30">
    <w:name w:val="Normal Table"/>
    <w:autoRedefine/>
    <w:unhideWhenUsed/>
    <w:qFormat/>
    <w:uiPriority w:val="99"/>
    <w:tblPr>
      <w:tblCellMar>
        <w:top w:w="0" w:type="dxa"/>
        <w:left w:w="108" w:type="dxa"/>
        <w:bottom w:w="0" w:type="dxa"/>
        <w:right w:w="108" w:type="dxa"/>
      </w:tblCellMar>
    </w:tblPr>
  </w:style>
  <w:style w:type="paragraph" w:styleId="9">
    <w:name w:val="Normal Indent"/>
    <w:basedOn w:val="1"/>
    <w:autoRedefine/>
    <w:qFormat/>
    <w:uiPriority w:val="0"/>
    <w:pPr>
      <w:ind w:firstLine="420"/>
    </w:pPr>
  </w:style>
  <w:style w:type="paragraph" w:styleId="10">
    <w:name w:val="Document Map"/>
    <w:basedOn w:val="1"/>
    <w:link w:val="46"/>
    <w:autoRedefine/>
    <w:unhideWhenUsed/>
    <w:qFormat/>
    <w:uiPriority w:val="99"/>
    <w:rPr>
      <w:rFonts w:ascii="宋体"/>
      <w:sz w:val="18"/>
      <w:szCs w:val="18"/>
    </w:rPr>
  </w:style>
  <w:style w:type="paragraph" w:styleId="11">
    <w:name w:val="toa heading"/>
    <w:basedOn w:val="1"/>
    <w:next w:val="1"/>
    <w:autoRedefine/>
    <w:unhideWhenUsed/>
    <w:qFormat/>
    <w:uiPriority w:val="99"/>
    <w:pPr>
      <w:spacing w:before="120"/>
    </w:pPr>
    <w:rPr>
      <w:rFonts w:ascii="Arial" w:hAnsi="Arial"/>
      <w:sz w:val="24"/>
      <w:szCs w:val="20"/>
    </w:rPr>
  </w:style>
  <w:style w:type="paragraph" w:styleId="12">
    <w:name w:val="annotation text"/>
    <w:basedOn w:val="1"/>
    <w:link w:val="47"/>
    <w:autoRedefine/>
    <w:qFormat/>
    <w:uiPriority w:val="0"/>
    <w:pPr>
      <w:jc w:val="left"/>
    </w:pPr>
  </w:style>
  <w:style w:type="paragraph" w:styleId="13">
    <w:name w:val="Body Text"/>
    <w:basedOn w:val="1"/>
    <w:next w:val="14"/>
    <w:autoRedefine/>
    <w:qFormat/>
    <w:uiPriority w:val="0"/>
  </w:style>
  <w:style w:type="paragraph" w:styleId="14">
    <w:name w:val="toc 5"/>
    <w:basedOn w:val="1"/>
    <w:next w:val="1"/>
    <w:qFormat/>
    <w:uiPriority w:val="39"/>
    <w:pPr>
      <w:ind w:left="1680" w:leftChars="800"/>
    </w:pPr>
  </w:style>
  <w:style w:type="paragraph" w:styleId="15">
    <w:name w:val="Body Text Indent"/>
    <w:basedOn w:val="1"/>
    <w:next w:val="16"/>
    <w:autoRedefine/>
    <w:qFormat/>
    <w:uiPriority w:val="0"/>
    <w:pPr>
      <w:ind w:left="420" w:leftChars="200"/>
    </w:pPr>
  </w:style>
  <w:style w:type="paragraph" w:styleId="16">
    <w:name w:val="Body Text First Indent 2"/>
    <w:basedOn w:val="15"/>
    <w:autoRedefine/>
    <w:qFormat/>
    <w:uiPriority w:val="0"/>
    <w:pPr>
      <w:ind w:firstLine="420" w:firstLineChars="200"/>
    </w:pPr>
    <w:rPr>
      <w:szCs w:val="24"/>
    </w:rPr>
  </w:style>
  <w:style w:type="paragraph" w:styleId="17">
    <w:name w:val="toc 3"/>
    <w:basedOn w:val="1"/>
    <w:next w:val="1"/>
    <w:autoRedefine/>
    <w:qFormat/>
    <w:uiPriority w:val="39"/>
    <w:pPr>
      <w:ind w:left="840" w:leftChars="400"/>
    </w:pPr>
  </w:style>
  <w:style w:type="paragraph" w:styleId="18">
    <w:name w:val="Plain Text"/>
    <w:basedOn w:val="1"/>
    <w:next w:val="9"/>
    <w:autoRedefine/>
    <w:qFormat/>
    <w:uiPriority w:val="0"/>
    <w:rPr>
      <w:rFonts w:ascii="宋体" w:hAnsi="Courier New" w:eastAsia="宋体" w:cs="Times New Roman"/>
      <w:szCs w:val="22"/>
    </w:rPr>
  </w:style>
  <w:style w:type="paragraph" w:styleId="19">
    <w:name w:val="Body Text Indent 2"/>
    <w:basedOn w:val="1"/>
    <w:autoRedefine/>
    <w:qFormat/>
    <w:uiPriority w:val="0"/>
    <w:pPr>
      <w:ind w:firstLine="560" w:firstLineChars="200"/>
    </w:pPr>
    <w:rPr>
      <w:rFonts w:ascii="宋体" w:hAnsi="宋体"/>
      <w:sz w:val="28"/>
      <w:szCs w:val="24"/>
    </w:rPr>
  </w:style>
  <w:style w:type="paragraph" w:styleId="20">
    <w:name w:val="Balloon Text"/>
    <w:basedOn w:val="1"/>
    <w:link w:val="48"/>
    <w:autoRedefine/>
    <w:qFormat/>
    <w:uiPriority w:val="0"/>
    <w:rPr>
      <w:sz w:val="18"/>
      <w:szCs w:val="18"/>
    </w:rPr>
  </w:style>
  <w:style w:type="paragraph" w:styleId="21">
    <w:name w:val="footer"/>
    <w:basedOn w:val="1"/>
    <w:autoRedefine/>
    <w:qFormat/>
    <w:uiPriority w:val="0"/>
    <w:pPr>
      <w:tabs>
        <w:tab w:val="center" w:pos="4153"/>
        <w:tab w:val="right" w:pos="8306"/>
      </w:tabs>
      <w:snapToGrid w:val="0"/>
      <w:jc w:val="left"/>
    </w:pPr>
    <w:rPr>
      <w:sz w:val="18"/>
    </w:rPr>
  </w:style>
  <w:style w:type="paragraph" w:styleId="2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3">
    <w:name w:val="toc 1"/>
    <w:basedOn w:val="1"/>
    <w:next w:val="1"/>
    <w:autoRedefine/>
    <w:qFormat/>
    <w:uiPriority w:val="39"/>
  </w:style>
  <w:style w:type="paragraph" w:styleId="24">
    <w:name w:val="footnote text"/>
    <w:basedOn w:val="1"/>
    <w:autoRedefine/>
    <w:qFormat/>
    <w:uiPriority w:val="0"/>
    <w:pPr>
      <w:snapToGrid w:val="0"/>
    </w:pPr>
    <w:rPr>
      <w:sz w:val="18"/>
      <w:szCs w:val="18"/>
    </w:rPr>
  </w:style>
  <w:style w:type="paragraph" w:styleId="25">
    <w:name w:val="toc 2"/>
    <w:basedOn w:val="1"/>
    <w:next w:val="1"/>
    <w:autoRedefine/>
    <w:qFormat/>
    <w:uiPriority w:val="39"/>
    <w:pPr>
      <w:ind w:left="420" w:leftChars="200"/>
    </w:pPr>
  </w:style>
  <w:style w:type="paragraph" w:styleId="26">
    <w:name w:val="Body Text 2"/>
    <w:basedOn w:val="1"/>
    <w:qFormat/>
    <w:uiPriority w:val="0"/>
    <w:pPr>
      <w:spacing w:after="120" w:afterLines="0" w:afterAutospacing="0" w:line="480" w:lineRule="auto"/>
    </w:pPr>
  </w:style>
  <w:style w:type="paragraph" w:styleId="2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8">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29">
    <w:name w:val="annotation subject"/>
    <w:basedOn w:val="12"/>
    <w:next w:val="12"/>
    <w:link w:val="49"/>
    <w:autoRedefine/>
    <w:qFormat/>
    <w:uiPriority w:val="0"/>
    <w:rPr>
      <w:b/>
      <w:bCs/>
    </w:rPr>
  </w:style>
  <w:style w:type="table" w:styleId="31">
    <w:name w:val="Table Grid"/>
    <w:basedOn w:val="3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autoRedefine/>
    <w:qFormat/>
    <w:uiPriority w:val="0"/>
  </w:style>
  <w:style w:type="character" w:styleId="34">
    <w:name w:val="FollowedHyperlink"/>
    <w:autoRedefine/>
    <w:qFormat/>
    <w:uiPriority w:val="0"/>
    <w:rPr>
      <w:rFonts w:hint="eastAsia" w:ascii="微软雅黑" w:hAnsi="微软雅黑" w:eastAsia="微软雅黑" w:cs="微软雅黑"/>
      <w:color w:val="FF7700"/>
      <w:sz w:val="16"/>
      <w:szCs w:val="16"/>
      <w:u w:val="none"/>
    </w:rPr>
  </w:style>
  <w:style w:type="character" w:styleId="35">
    <w:name w:val="Emphasis"/>
    <w:autoRedefine/>
    <w:qFormat/>
    <w:uiPriority w:val="0"/>
  </w:style>
  <w:style w:type="character" w:styleId="36">
    <w:name w:val="HTML Definition"/>
    <w:autoRedefine/>
    <w:qFormat/>
    <w:uiPriority w:val="0"/>
  </w:style>
  <w:style w:type="character" w:styleId="37">
    <w:name w:val="HTML Variable"/>
    <w:autoRedefine/>
    <w:qFormat/>
    <w:uiPriority w:val="0"/>
  </w:style>
  <w:style w:type="character" w:styleId="38">
    <w:name w:val="Hyperlink"/>
    <w:basedOn w:val="32"/>
    <w:autoRedefine/>
    <w:unhideWhenUsed/>
    <w:qFormat/>
    <w:uiPriority w:val="99"/>
    <w:rPr>
      <w:color w:val="0563C1"/>
      <w:u w:val="single"/>
    </w:rPr>
  </w:style>
  <w:style w:type="character" w:styleId="39">
    <w:name w:val="HTML Code"/>
    <w:autoRedefine/>
    <w:qFormat/>
    <w:uiPriority w:val="0"/>
    <w:rPr>
      <w:rFonts w:ascii="Courier New" w:hAnsi="Courier New" w:eastAsia="Courier New" w:cs="Courier New"/>
      <w:sz w:val="20"/>
    </w:rPr>
  </w:style>
  <w:style w:type="character" w:styleId="40">
    <w:name w:val="annotation reference"/>
    <w:autoRedefine/>
    <w:qFormat/>
    <w:uiPriority w:val="0"/>
    <w:rPr>
      <w:sz w:val="21"/>
      <w:szCs w:val="21"/>
    </w:rPr>
  </w:style>
  <w:style w:type="character" w:styleId="41">
    <w:name w:val="HTML Cite"/>
    <w:autoRedefine/>
    <w:qFormat/>
    <w:uiPriority w:val="0"/>
  </w:style>
  <w:style w:type="character" w:styleId="42">
    <w:name w:val="footnote reference"/>
    <w:autoRedefine/>
    <w:qFormat/>
    <w:uiPriority w:val="0"/>
    <w:rPr>
      <w:vertAlign w:val="superscript"/>
    </w:rPr>
  </w:style>
  <w:style w:type="character" w:styleId="43">
    <w:name w:val="HTML Keyboard"/>
    <w:autoRedefine/>
    <w:unhideWhenUsed/>
    <w:qFormat/>
    <w:uiPriority w:val="0"/>
    <w:rPr>
      <w:rFonts w:hint="default" w:ascii="Courier New" w:hAnsi="Courier New" w:eastAsia="Courier New" w:cs="Courier New"/>
      <w:sz w:val="20"/>
    </w:rPr>
  </w:style>
  <w:style w:type="character" w:styleId="44">
    <w:name w:val="HTML Sample"/>
    <w:autoRedefine/>
    <w:qFormat/>
    <w:uiPriority w:val="0"/>
    <w:rPr>
      <w:rFonts w:hint="default" w:ascii="Courier New" w:hAnsi="Courier New" w:eastAsia="Courier New" w:cs="Courier New"/>
    </w:rPr>
  </w:style>
  <w:style w:type="character" w:customStyle="1" w:styleId="45">
    <w:name w:val="标题 3 字符"/>
    <w:link w:val="4"/>
    <w:autoRedefine/>
    <w:qFormat/>
    <w:uiPriority w:val="0"/>
    <w:rPr>
      <w:rFonts w:eastAsia="楷体_GB2312"/>
      <w:b/>
      <w:kern w:val="0"/>
      <w:sz w:val="32"/>
    </w:rPr>
  </w:style>
  <w:style w:type="character" w:customStyle="1" w:styleId="46">
    <w:name w:val="文档结构图 字符"/>
    <w:link w:val="10"/>
    <w:autoRedefine/>
    <w:qFormat/>
    <w:uiPriority w:val="99"/>
    <w:rPr>
      <w:rFonts w:ascii="宋体"/>
      <w:kern w:val="2"/>
      <w:sz w:val="18"/>
      <w:szCs w:val="18"/>
    </w:rPr>
  </w:style>
  <w:style w:type="character" w:customStyle="1" w:styleId="47">
    <w:name w:val="批注文字 字符"/>
    <w:link w:val="12"/>
    <w:autoRedefine/>
    <w:qFormat/>
    <w:uiPriority w:val="0"/>
    <w:rPr>
      <w:kern w:val="2"/>
      <w:sz w:val="21"/>
      <w:szCs w:val="21"/>
    </w:rPr>
  </w:style>
  <w:style w:type="character" w:customStyle="1" w:styleId="48">
    <w:name w:val="批注框文本 字符"/>
    <w:link w:val="20"/>
    <w:autoRedefine/>
    <w:qFormat/>
    <w:uiPriority w:val="0"/>
    <w:rPr>
      <w:kern w:val="2"/>
      <w:sz w:val="18"/>
      <w:szCs w:val="18"/>
    </w:rPr>
  </w:style>
  <w:style w:type="character" w:customStyle="1" w:styleId="49">
    <w:name w:val="批注主题 字符"/>
    <w:link w:val="29"/>
    <w:autoRedefine/>
    <w:qFormat/>
    <w:uiPriority w:val="0"/>
    <w:rPr>
      <w:b/>
      <w:bCs/>
      <w:kern w:val="2"/>
      <w:sz w:val="21"/>
      <w:szCs w:val="21"/>
    </w:rPr>
  </w:style>
  <w:style w:type="paragraph" w:customStyle="1" w:styleId="50">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1">
    <w:name w:val="Normal_4"/>
    <w:next w:val="10"/>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2">
    <w:name w:val="font81"/>
    <w:autoRedefine/>
    <w:qFormat/>
    <w:uiPriority w:val="0"/>
    <w:rPr>
      <w:rFonts w:hint="eastAsia" w:ascii="宋体" w:hAnsi="宋体" w:eastAsia="宋体" w:cs="宋体"/>
      <w:color w:val="000000"/>
      <w:sz w:val="20"/>
      <w:szCs w:val="20"/>
      <w:u w:val="none"/>
    </w:rPr>
  </w:style>
  <w:style w:type="character" w:customStyle="1" w:styleId="53">
    <w:name w:val="font51"/>
    <w:autoRedefine/>
    <w:qFormat/>
    <w:uiPriority w:val="0"/>
    <w:rPr>
      <w:rFonts w:hint="eastAsia" w:ascii="宋体" w:hAnsi="宋体" w:eastAsia="宋体" w:cs="宋体"/>
      <w:color w:val="000000"/>
      <w:sz w:val="16"/>
      <w:szCs w:val="16"/>
      <w:u w:val="none"/>
    </w:rPr>
  </w:style>
  <w:style w:type="paragraph" w:customStyle="1" w:styleId="54">
    <w:name w:val="列出段落1"/>
    <w:basedOn w:val="1"/>
    <w:link w:val="55"/>
    <w:autoRedefine/>
    <w:unhideWhenUsed/>
    <w:qFormat/>
    <w:uiPriority w:val="34"/>
    <w:pPr>
      <w:ind w:firstLine="420" w:firstLineChars="200"/>
    </w:pPr>
  </w:style>
  <w:style w:type="character" w:customStyle="1" w:styleId="55">
    <w:name w:val="列出段落 字符"/>
    <w:link w:val="54"/>
    <w:autoRedefine/>
    <w:qFormat/>
    <w:uiPriority w:val="34"/>
    <w:rPr>
      <w:kern w:val="2"/>
      <w:sz w:val="21"/>
      <w:szCs w:val="21"/>
    </w:rPr>
  </w:style>
  <w:style w:type="character" w:customStyle="1" w:styleId="56">
    <w:name w:val="标题 3 Char"/>
    <w:autoRedefine/>
    <w:qFormat/>
    <w:uiPriority w:val="0"/>
    <w:rPr>
      <w:b/>
      <w:bCs/>
      <w:kern w:val="2"/>
      <w:sz w:val="32"/>
      <w:szCs w:val="32"/>
    </w:rPr>
  </w:style>
  <w:style w:type="paragraph" w:customStyle="1" w:styleId="57">
    <w:name w:val="Z正文"/>
    <w:autoRedefine/>
    <w:qFormat/>
    <w:uiPriority w:val="0"/>
    <w:pPr>
      <w:spacing w:line="360" w:lineRule="auto"/>
      <w:ind w:firstLine="480" w:firstLineChars="200"/>
      <w:jc w:val="both"/>
    </w:pPr>
    <w:rPr>
      <w:rFonts w:ascii="宋体" w:hAnsi="宋体" w:eastAsia="宋体" w:cs="Calibri"/>
      <w:sz w:val="24"/>
      <w:lang w:val="en-US" w:eastAsia="zh-CN" w:bidi="ar-SA"/>
    </w:rPr>
  </w:style>
  <w:style w:type="paragraph" w:customStyle="1" w:styleId="58">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
    <w:name w:val="方案正文"/>
    <w:basedOn w:val="1"/>
    <w:autoRedefine/>
    <w:qFormat/>
    <w:uiPriority w:val="0"/>
    <w:pPr>
      <w:spacing w:line="360" w:lineRule="auto"/>
      <w:ind w:firstLine="643" w:firstLineChars="200"/>
    </w:pPr>
    <w:rPr>
      <w:szCs w:val="22"/>
    </w:rPr>
  </w:style>
  <w:style w:type="paragraph" w:customStyle="1" w:styleId="60">
    <w:name w:val="列表段落1"/>
    <w:basedOn w:val="1"/>
    <w:autoRedefine/>
    <w:unhideWhenUsed/>
    <w:qFormat/>
    <w:uiPriority w:val="34"/>
    <w:pPr>
      <w:ind w:firstLine="420" w:firstLineChars="200"/>
    </w:pPr>
  </w:style>
  <w:style w:type="character" w:customStyle="1" w:styleId="61">
    <w:name w:val="norows7"/>
    <w:autoRedefine/>
    <w:qFormat/>
    <w:uiPriority w:val="0"/>
  </w:style>
  <w:style w:type="character" w:customStyle="1" w:styleId="62">
    <w:name w:val="NormalCharacter"/>
    <w:autoRedefine/>
    <w:semiHidden/>
    <w:qFormat/>
    <w:uiPriority w:val="0"/>
  </w:style>
  <w:style w:type="paragraph" w:customStyle="1" w:styleId="63">
    <w:name w:val="UserStyle_5"/>
    <w:basedOn w:val="1"/>
    <w:autoRedefine/>
    <w:qFormat/>
    <w:uiPriority w:val="0"/>
  </w:style>
  <w:style w:type="paragraph" w:styleId="64">
    <w:name w:val="List Paragraph"/>
    <w:basedOn w:val="1"/>
    <w:autoRedefine/>
    <w:qFormat/>
    <w:uiPriority w:val="34"/>
    <w:pPr>
      <w:ind w:firstLine="420" w:firstLineChars="200"/>
    </w:pPr>
  </w:style>
  <w:style w:type="character" w:customStyle="1" w:styleId="65">
    <w:name w:val="prjtxt5"/>
    <w:autoRedefine/>
    <w:qFormat/>
    <w:uiPriority w:val="0"/>
  </w:style>
  <w:style w:type="paragraph" w:customStyle="1" w:styleId="66">
    <w:name w:val="Table Paragraph"/>
    <w:basedOn w:val="1"/>
    <w:autoRedefine/>
    <w:qFormat/>
    <w:uiPriority w:val="1"/>
  </w:style>
  <w:style w:type="paragraph" w:customStyle="1" w:styleId="67">
    <w:name w:val="*正文"/>
    <w:basedOn w:val="1"/>
    <w:autoRedefine/>
    <w:qFormat/>
    <w:uiPriority w:val="99"/>
    <w:pPr>
      <w:spacing w:line="360" w:lineRule="auto"/>
    </w:pPr>
    <w:rPr>
      <w:rFonts w:ascii="宋体" w:hAnsi="宋体" w:cs="黑体"/>
      <w:sz w:val="24"/>
    </w:rPr>
  </w:style>
  <w:style w:type="paragraph" w:customStyle="1" w:styleId="68">
    <w:name w:val="正文首行缩进2字符"/>
    <w:basedOn w:val="1"/>
    <w:autoRedefine/>
    <w:qFormat/>
    <w:uiPriority w:val="0"/>
    <w:pPr>
      <w:spacing w:before="60" w:after="60" w:line="360" w:lineRule="auto"/>
      <w:ind w:firstLine="482"/>
      <w:jc w:val="left"/>
    </w:pPr>
    <w:rPr>
      <w:iCs/>
      <w:kern w:val="0"/>
      <w:sz w:val="24"/>
    </w:rPr>
  </w:style>
  <w:style w:type="paragraph" w:customStyle="1" w:styleId="69">
    <w:name w:val="Normal Indent1"/>
    <w:basedOn w:val="1"/>
    <w:autoRedefine/>
    <w:qFormat/>
    <w:uiPriority w:val="0"/>
    <w:pPr>
      <w:snapToGrid w:val="0"/>
      <w:spacing w:line="300" w:lineRule="auto"/>
      <w:ind w:firstLine="556"/>
    </w:pPr>
    <w:rPr>
      <w:rFonts w:ascii="仿宋_GB2312" w:hAnsi="Calibri" w:eastAsia="仿宋_GB2312"/>
      <w:kern w:val="0"/>
      <w:szCs w:val="20"/>
    </w:rPr>
  </w:style>
  <w:style w:type="paragraph" w:customStyle="1" w:styleId="70">
    <w:name w:val="批注文字1"/>
    <w:basedOn w:val="1"/>
    <w:autoRedefine/>
    <w:qFormat/>
    <w:uiPriority w:val="0"/>
    <w:pPr>
      <w:jc w:val="left"/>
    </w:pPr>
    <w:rPr>
      <w:rFonts w:ascii="Calibri" w:hAnsi="Calibri"/>
      <w:kern w:val="0"/>
      <w:sz w:val="20"/>
      <w:szCs w:val="20"/>
    </w:rPr>
  </w:style>
  <w:style w:type="paragraph" w:customStyle="1" w:styleId="71">
    <w:name w:val="Normal_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2">
    <w:name w:val="Normal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73">
    <w:name w:val="Normal_2_1"/>
    <w:autoRedefine/>
    <w:qFormat/>
    <w:uiPriority w:val="0"/>
    <w:pPr>
      <w:widowControl w:val="0"/>
      <w:spacing w:after="200" w:line="276" w:lineRule="auto"/>
      <w:jc w:val="both"/>
    </w:pPr>
    <w:rPr>
      <w:rFonts w:ascii="Calibri" w:hAnsi="Calibri" w:eastAsia="宋体" w:cs="Times New Roman"/>
      <w:szCs w:val="24"/>
      <w:lang w:val="en-US" w:eastAsia="zh-CN" w:bidi="ar-SA"/>
    </w:rPr>
  </w:style>
  <w:style w:type="paragraph" w:customStyle="1" w:styleId="74">
    <w:name w:val="Normal_0_0"/>
    <w:autoRedefine/>
    <w:qFormat/>
    <w:uiPriority w:val="0"/>
    <w:rPr>
      <w:rFonts w:ascii="Calibri" w:hAnsi="Calibri" w:eastAsia="宋体" w:cs="Times New Roman"/>
      <w:sz w:val="24"/>
      <w:szCs w:val="24"/>
      <w:lang w:val="en-US" w:eastAsia="zh-CN" w:bidi="ar-SA"/>
    </w:rPr>
  </w:style>
  <w:style w:type="paragraph" w:customStyle="1" w:styleId="75">
    <w:name w:val="_Style 70"/>
    <w:autoRedefine/>
    <w:unhideWhenUsed/>
    <w:qFormat/>
    <w:uiPriority w:val="99"/>
    <w:rPr>
      <w:rFonts w:ascii="Times New Roman" w:hAnsi="Times New Roman" w:eastAsia="宋体" w:cs="Times New Roman"/>
      <w:kern w:val="2"/>
      <w:sz w:val="21"/>
      <w:szCs w:val="21"/>
      <w:lang w:val="en-US" w:eastAsia="zh-CN" w:bidi="ar-SA"/>
    </w:rPr>
  </w:style>
  <w:style w:type="paragraph" w:customStyle="1" w:styleId="76">
    <w:name w:val="无间隔1"/>
    <w:autoRedefine/>
    <w:qFormat/>
    <w:uiPriority w:val="1"/>
    <w:pPr>
      <w:widowControl w:val="0"/>
    </w:pPr>
    <w:rPr>
      <w:rFonts w:ascii="Calibri" w:hAnsi="Calibri" w:eastAsia="宋体" w:cs="Times New Roman"/>
      <w:sz w:val="22"/>
      <w:szCs w:val="22"/>
      <w:lang w:val="en-US" w:eastAsia="zh-CN" w:bidi="ar-SA"/>
    </w:rPr>
  </w:style>
  <w:style w:type="paragraph" w:customStyle="1" w:styleId="77">
    <w:name w:val="（标题二）"/>
    <w:basedOn w:val="3"/>
    <w:next w:val="1"/>
    <w:autoRedefine/>
    <w:qFormat/>
    <w:uiPriority w:val="0"/>
    <w:pPr>
      <w:tabs>
        <w:tab w:val="left" w:pos="1680"/>
      </w:tabs>
      <w:spacing w:before="260" w:beforeLines="0" w:after="260" w:afterLines="0" w:line="413" w:lineRule="auto"/>
      <w:ind w:left="1680" w:hanging="420"/>
      <w:jc w:val="both"/>
    </w:pPr>
    <w:rPr>
      <w:rFonts w:eastAsia="黑体"/>
      <w:kern w:val="2"/>
      <w:sz w:val="36"/>
      <w:szCs w:val="32"/>
    </w:rPr>
  </w:style>
  <w:style w:type="paragraph" w:customStyle="1" w:styleId="7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79">
    <w:name w:val="Table Text"/>
    <w:basedOn w:val="1"/>
    <w:semiHidden/>
    <w:qFormat/>
    <w:uiPriority w:val="0"/>
    <w:rPr>
      <w:rFonts w:ascii="仿宋" w:hAnsi="仿宋" w:eastAsia="仿宋" w:cs="仿宋"/>
      <w:sz w:val="28"/>
      <w:szCs w:val="28"/>
      <w:lang w:val="en-US" w:eastAsia="en-US" w:bidi="ar-SA"/>
    </w:rPr>
  </w:style>
  <w:style w:type="paragraph" w:customStyle="1" w:styleId="80">
    <w:name w:val="_Style 6"/>
    <w:basedOn w:val="2"/>
    <w:next w:val="1"/>
    <w:qFormat/>
    <w:uiPriority w:val="0"/>
    <w:pPr>
      <w:outlineLvl w:val="9"/>
    </w:p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5.wmf"/><Relationship Id="rId20" Type="http://schemas.openxmlformats.org/officeDocument/2006/relationships/oleObject" Target="embeddings/oleObject5.bin"/><Relationship Id="rId2" Type="http://schemas.openxmlformats.org/officeDocument/2006/relationships/settings" Target="settings.xml"/><Relationship Id="rId19" Type="http://schemas.openxmlformats.org/officeDocument/2006/relationships/image" Target="media/image4.wmf"/><Relationship Id="rId18" Type="http://schemas.openxmlformats.org/officeDocument/2006/relationships/oleObject" Target="embeddings/oleObject4.bin"/><Relationship Id="rId17" Type="http://schemas.openxmlformats.org/officeDocument/2006/relationships/image" Target="media/image3.wmf"/><Relationship Id="rId16" Type="http://schemas.openxmlformats.org/officeDocument/2006/relationships/oleObject" Target="embeddings/oleObject3.bin"/><Relationship Id="rId15" Type="http://schemas.openxmlformats.org/officeDocument/2006/relationships/image" Target="media/image2.wmf"/><Relationship Id="rId14" Type="http://schemas.openxmlformats.org/officeDocument/2006/relationships/oleObject" Target="embeddings/oleObject2.bin"/><Relationship Id="rId13" Type="http://schemas.openxmlformats.org/officeDocument/2006/relationships/image" Target="media/image1.wmf"/><Relationship Id="rId12" Type="http://schemas.openxmlformats.org/officeDocument/2006/relationships/oleObject" Target="embeddings/oleObject1.bin"/><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f47e63cc-b573-45a6-95ec-54b282912e7b</errorID>
      <errorWord>(2024)82号</errorWord>
      <group>L1_Knowledge</group>
      <groupName>知识性问题</groupName>
      <ability>L2_Knowledge</ability>
      <abilityName>其他知识</abilityName>
      <candidateList>
        <item>〔2024〕82号</item>
      </candidateList>
      <explain>发文字号格式错误。</explain>
      <paraID>47A1CE3C</paraID>
      <start>70</start>
      <end>79</end>
      <status>modified</status>
      <modifiedWord>〔2024〕82号</modifiedWord>
      <trackRevisions>false</trackRevisions>
    </reviewItem>
    <reviewItem>
      <errorID>ccee3292-c1bf-41fd-b266-9881b06489cf</errorID>
      <errorWord>(2024)82号</errorWord>
      <group>L1_Knowledge</group>
      <groupName>知识性问题</groupName>
      <ability>L2_Knowledge</ability>
      <abilityName>其他知识</abilityName>
      <candidateList>
        <item>〔2024〕82号</item>
      </candidateList>
      <explain>发文字号格式错误。</explain>
      <paraID>61C0E64D</paraID>
      <start>70</start>
      <end>79</end>
      <status>modified</status>
      <modifiedWord>〔2024〕82号</modifiedWord>
      <trackRevisions>false</trackRevisions>
    </reviewItem>
    <reviewItem>
      <errorID>84a89bc7-226a-4f19-a202-7b176ddd272b</errorID>
      <errorWord>(2024)82号</errorWord>
      <group>L1_Knowledge</group>
      <groupName>知识性问题</groupName>
      <ability>L2_Knowledge</ability>
      <abilityName>其他知识</abilityName>
      <candidateList>
        <item>〔2024〕82号</item>
      </candidateList>
      <explain>发文字号格式错误。</explain>
      <paraID>223DB269</paraID>
      <start>69</start>
      <end>78</end>
      <status>modified</status>
      <modifiedWord>〔2024〕82号</modifiedWord>
      <trackRevisions>false</trackRevisions>
    </reviewItem>
    <reviewItem>
      <errorID>915ade51-6a69-415f-aab6-b67eceeb4eb1</errorID>
      <errorWord>，</errorWord>
      <group>L1_Word</group>
      <groupName>字词问题</groupName>
      <ability>L2_Typo</ability>
      <abilityName>字词错误</abilityName>
      <candidateList>
        <item>，并</item>
      </candidateList>
      <explain/>
      <paraID>648BF92A</paraID>
      <start>42</start>
      <end>44</end>
      <status>modified</status>
      <modifiedWord>，并</modifiedWord>
      <trackRevisions>false</trackRevisions>
    </reviewItem>
    <reviewItem>
      <errorID>35bb3db1-3eb9-4667-875f-a0524494ef24</errorID>
      <errorWord>期限的</errorWord>
      <group>L1_Word</group>
      <groupName>字词问题</groupName>
      <ability>L2_Typo</ability>
      <abilityName>字词错误</abilityName>
      <candidateList>
        <item>期限</item>
      </candidateList>
      <explain/>
      <paraID>7AB2BCA4</paraID>
      <start>16</start>
      <end>18</end>
      <status>modified</status>
      <modifiedWord>期限</modifiedWord>
      <trackRevisions>false</trackRevisions>
    </reviewItem>
    <reviewItem>
      <errorID>5b8a7d94-706a-436c-908e-81aecc9d21fa</errorID>
      <errorWord>成员的</errorWord>
      <group>L1_Word</group>
      <groupName>字词问题</groupName>
      <ability>L2_Typo</ability>
      <abilityName>字词错误</abilityName>
      <candidateList>
        <item>成员</item>
      </candidateList>
      <explain/>
      <paraID> 3692B68</paraID>
      <start>6</start>
      <end>8</end>
      <status>modified</status>
      <modifiedWord>成员</modifiedWord>
      <trackRevisions>false</trackRevisions>
    </reviewItem>
    <reviewItem>
      <errorID>c09651ac-4cda-43bf-bf55-e215b774bc52</errorID>
      <errorWord>，</errorWord>
      <group>L1_Word</group>
      <groupName>字词问题</groupName>
      <ability>L2_Typo</ability>
      <abilityName>字词错误</abilityName>
      <candidateList>
        <item>，由</item>
      </candidateList>
      <explain/>
      <paraID>658C8B0A</paraID>
      <start>92</start>
      <end>94</end>
      <status>modified</status>
      <modifiedWord>，由</modifiedWord>
      <trackRevisions>false</trackRevisions>
    </reviewItem>
    <reviewItem>
      <errorID>edcc744e-7ac5-40aa-9786-ed7977f135ee</errorID>
      <errorWord>需</errorWord>
      <group>L1_Word</group>
      <groupName>字词问题</groupName>
      <ability>L2_Typo</ability>
      <abilityName>字词错误</abilityName>
      <candidateList>
        <item>须</item>
      </candidateList>
      <explain/>
      <paraID>5CE7A780</paraID>
      <start>38</start>
      <end>39</end>
      <status>modified</status>
      <modifiedWord>须</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749e09-e2f9-4310-bd1a-39d2738c235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148</Pages>
  <Words>29430</Words>
  <Characters>32513</Characters>
  <Lines>432</Lines>
  <Paragraphs>121</Paragraphs>
  <TotalTime>80</TotalTime>
  <ScaleCrop>false</ScaleCrop>
  <LinksUpToDate>false</LinksUpToDate>
  <CharactersWithSpaces>33796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2023-12-18T05:32:00Z</dcterms:created>
  <dc:creator>万花筒写轮眼</dc:creator>
  <cp:lastModifiedBy>管理员</cp:lastModifiedBy>
  <cp:lastPrinted>2025-09-18T11:04:00Z</cp:lastPrinted>
  <dcterms:modified xsi:type="dcterms:W3CDTF">2026-08-28T10:34:51Z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024A35649363427680AE599A76EEA886_13</vt:lpwstr>
  </property>
  <property fmtid="{D5CDD505-2E9C-101B-9397-08002B2CF9AE}" pid="4" name="commondata">
    <vt:lpwstr>eyJoZGlkIjoiOGQ5MDUyMzkyYTM5MDNmN2VkZmI0NWNjM2VkOGZlZTQifQ==</vt:lpwstr>
  </property>
  <property fmtid="{D5CDD505-2E9C-101B-9397-08002B2CF9AE}" pid="5" name="KSOTemplateDocerSaveRecord">
    <vt:lpwstr>eyJoZGlkIjoiZGNhYTRlMmUyN2Q0YWNkZTdkMDc0ZmU2ZTMxNDNmOGIiLCJ1c2VySWQiOiIyMjkxNzkwMTQifQ==</vt:lpwstr>
  </property>
</Properties>
</file>