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版本号：N510001202500373720251030001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2025年四川省第四次全国文物普查专项调查采购项目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N5100012025003737</w:t>
      </w:r>
    </w:p>
    <w:p>
      <w:pPr>
        <w:pStyle w:val="null3"/>
        <w:jc w:val="center"/>
        <w:outlineLvl w:val="2"/>
      </w:pPr>
      <w:r>
        <w:rPr>
          <w:rFonts w:ascii="仿宋_GB2312" w:hAnsi="仿宋_GB2312" w:cs="仿宋_GB2312" w:eastAsia="仿宋_GB2312"/>
          <w:sz w:val="28"/>
          <w:b/>
        </w:rPr>
        <w:t>四川省文物局</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四川省文物局</w:t>
      </w:r>
      <w:r>
        <w:rPr>
          <w:rFonts w:ascii="仿宋_GB2312" w:hAnsi="仿宋_GB2312" w:cs="仿宋_GB2312" w:eastAsia="仿宋_GB2312"/>
        </w:rPr>
        <w:t xml:space="preserve"> 委托，拟对 </w:t>
      </w:r>
      <w:r>
        <w:rPr>
          <w:rFonts w:ascii="仿宋_GB2312" w:hAnsi="仿宋_GB2312" w:cs="仿宋_GB2312" w:eastAsia="仿宋_GB2312"/>
        </w:rPr>
        <w:t>2025年四川省第四次全国文物普查专项调查采购项目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N5100012025003737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2025年四川省第四次全国文物普查专项调查采购项目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四川省文物局拟采购2025年四川省第四次全国文物普查专项调查采购项目，本项目为一个包。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四川省文物局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成都市青羊区东胜街19号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028-86635190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1.项目负责：甘路、李俊豪；2.技术审核：黄茜、张维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1.项目负责：028-62010531；2.公司监察合规部：028-62306011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采购包1：1,054,500.00元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代理服务费收费标准：参照《国家计委关于印发(招标代理服务费收费标准管理暂行办法)的通知》(计价格[2002]1980 号)和《国家发展改革委办公厅关于招标代理服务收费有关问题的通知》(发改办价格[2003]857号),收费标准计取招标代理服务费。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四川省文物局</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四川省文物局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成交供应商完成全部服务工作后，提出验收申请之日起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项目采购人将按照政府采购相关法律法规、《财政部关于进一步加强政府采购需求和履约验收管理的指导意见》（财库〔2016〕205号）以及《政府采购需求管理办法》（财库〔2021〕22号）的要求进行验收。 根据国家和地方相关编制规范 、要求进行验收。按采购人要求提供服务成果报告和数据报表、评价报告及其他相关报告信息，服务期满或完成服务报告后，采购人应对服务成果进行详细而全面的检查。 最终以国家、四川省及成都市相关部门对“ 四普” 的统一验收标准及时间为依据。</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按本项目采购文件的质量要求和技术指标、成交供应商的响应文件及承诺与合同约定标准进行技术履约验收。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按照采购文件商务要求及成交供应商的响应内容进行商务履约验收。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本项目采购人将按照政府采购相关法律法规、《财政部关于进一步加强政府采购需求和履约验收管理的指导意见》（财库〔2016〕205号）以及《政府采购需求管理办法》（财库〔2021〕22号）的要求进行验收。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其他未尽事宜将按照《财政部关于进一步加强政府采购需求和履约验收管理的指导意见》(财库(2016)205号)、《政府采购需求管理办法》(财库(2021)22号)的要求及国家行业主管部门规定的标准、方法和内容进行验收。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四川省文物局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 028-86635190</w:t>
      </w:r>
    </w:p>
    <w:p>
      <w:pPr>
        <w:pStyle w:val="null3"/>
        <w:jc w:val="left"/>
      </w:pPr>
      <w:r>
        <w:rPr>
          <w:rFonts w:ascii="仿宋_GB2312" w:hAnsi="仿宋_GB2312" w:cs="仿宋_GB2312" w:eastAsia="仿宋_GB2312"/>
        </w:rPr>
        <w:t>地址：成都市青羊区东胜街19号</w:t>
      </w:r>
    </w:p>
    <w:p>
      <w:pPr>
        <w:pStyle w:val="null3"/>
        <w:jc w:val="left"/>
      </w:pPr>
      <w:r>
        <w:rPr>
          <w:rFonts w:ascii="仿宋_GB2312" w:hAnsi="仿宋_GB2312" w:cs="仿宋_GB2312" w:eastAsia="仿宋_GB2312"/>
        </w:rPr>
        <w:t>邮编：610015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联系人：四川思渠国际招标有限公司</w:t>
      </w:r>
    </w:p>
    <w:p>
      <w:pPr>
        <w:pStyle w:val="null3"/>
        <w:jc w:val="left"/>
      </w:pPr>
      <w:r>
        <w:rPr>
          <w:rFonts w:ascii="仿宋_GB2312" w:hAnsi="仿宋_GB2312" w:cs="仿宋_GB2312" w:eastAsia="仿宋_GB2312"/>
        </w:rPr>
        <w:t>联系电话：028-62010531</w:t>
      </w:r>
    </w:p>
    <w:p>
      <w:pPr>
        <w:pStyle w:val="null3"/>
        <w:jc w:val="left"/>
      </w:pPr>
      <w:r>
        <w:rPr>
          <w:rFonts w:ascii="仿宋_GB2312" w:hAnsi="仿宋_GB2312" w:cs="仿宋_GB2312" w:eastAsia="仿宋_GB2312"/>
        </w:rPr>
        <w:t>地址：四川省成都市金牛区茶店子西街36号1栋2单元18层1819号</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1,054,500.00</w:t>
      </w:r>
    </w:p>
    <w:p>
      <w:pPr>
        <w:pStyle w:val="null3"/>
        <w:jc w:val="left"/>
      </w:pPr>
      <w:r>
        <w:rPr>
          <w:rFonts w:ascii="仿宋_GB2312" w:hAnsi="仿宋_GB2312" w:cs="仿宋_GB2312" w:eastAsia="仿宋_GB2312"/>
        </w:rPr>
        <w:t>采购包最高限价（元）: 1,054,500.00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C06030400 文物和文化保护服务</w:t>
            </w:r>
          </w:p>
        </w:tc>
        <w:tc>
          <w:tcPr>
            <w:tcW w:type="dxa" w:w="821"/>
          </w:tcPr>
          <w:p>
            <w:pPr>
              <w:pStyle w:val="null3"/>
              <w:jc w:val="left"/>
            </w:pPr>
            <w:r>
              <w:rPr>
                <w:rFonts w:ascii="仿宋_GB2312" w:hAnsi="仿宋_GB2312" w:cs="仿宋_GB2312" w:eastAsia="仿宋_GB2312"/>
              </w:rPr>
              <w:t>2025年四川省第四次全国文物普查专项调查服务采购项目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1,054,500.00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2025年四川省第四次全国文物普查专项调查服务采购项目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1,054,500.00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是最终采购人验收合格后的总价，包括人员工资、保险、管理费、税费、获取非自有知识产权的费用、调查过程中涉及的设施设备由供应商提供和磋商文件规定的其它费用等一切完成本项目采购需求的全部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标的名称：2025年四川省第四次全国文物普查专项调查服务采购项目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50" w:after="150"/>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服务内容</w:t>
            </w:r>
          </w:p>
          <w:p>
            <w:pPr>
              <w:pStyle w:val="null3"/>
              <w:spacing w:before="150" w:after="150"/>
              <w:ind w:firstLine="480"/>
              <w:jc w:val="both"/>
            </w:pPr>
            <w:r>
              <w:rPr>
                <w:rFonts w:ascii="仿宋_GB2312" w:hAnsi="仿宋_GB2312" w:cs="仿宋_GB2312" w:eastAsia="仿宋_GB2312"/>
                <w:sz w:val="24"/>
              </w:rPr>
              <w:t>1.石窟寺专项调查</w:t>
            </w:r>
          </w:p>
          <w:p>
            <w:pPr>
              <w:pStyle w:val="null3"/>
              <w:spacing w:before="150" w:after="150"/>
              <w:ind w:firstLine="480"/>
              <w:jc w:val="both"/>
            </w:pPr>
            <w:r>
              <w:rPr>
                <w:rFonts w:ascii="仿宋_GB2312" w:hAnsi="仿宋_GB2312" w:cs="仿宋_GB2312" w:eastAsia="仿宋_GB2312"/>
                <w:sz w:val="24"/>
              </w:rPr>
              <w:t>调查对象为全省范围内的石窟寺（含摩崖造像）。从类型特点可分为两个大的区域：以成都、广元、乐山、巴中、资阳为中心的汉族聚居区域，类型特点表现为石窟寺和摩崖造像，以摩崖造像为主，造像特点是在崖壁面开凿龛窟，内凿刻浮雕造像；另一区域是甘孜、阿坝和凉山等以藏族为主的分布聚居区域，类型特点为为在崖面线刻造像，石窟也在该地有分布，窟内造像为塑像，窟壁有壁画。涉及范围包括除攀枝花市外的省内</w:t>
            </w:r>
            <w:r>
              <w:rPr>
                <w:rFonts w:ascii="仿宋_GB2312" w:hAnsi="仿宋_GB2312" w:cs="仿宋_GB2312" w:eastAsia="仿宋_GB2312"/>
                <w:sz w:val="24"/>
              </w:rPr>
              <w:t>20个市/州，129个县（市、区）。</w:t>
            </w:r>
          </w:p>
          <w:p>
            <w:pPr>
              <w:pStyle w:val="null3"/>
              <w:spacing w:before="150" w:after="150"/>
              <w:ind w:firstLine="480"/>
              <w:jc w:val="both"/>
            </w:pPr>
            <w:r>
              <w:rPr>
                <w:rFonts w:ascii="仿宋_GB2312" w:hAnsi="仿宋_GB2312" w:cs="仿宋_GB2312" w:eastAsia="仿宋_GB2312"/>
                <w:sz w:val="24"/>
              </w:rPr>
              <w:t>2.三苏遗迹专项调查</w:t>
            </w:r>
          </w:p>
          <w:p>
            <w:pPr>
              <w:pStyle w:val="null3"/>
              <w:spacing w:before="150" w:after="150"/>
              <w:ind w:firstLine="480"/>
              <w:jc w:val="both"/>
            </w:pPr>
            <w:r>
              <w:rPr>
                <w:rFonts w:ascii="仿宋_GB2312" w:hAnsi="仿宋_GB2312" w:cs="仿宋_GB2312" w:eastAsia="仿宋_GB2312"/>
                <w:sz w:val="24"/>
              </w:rPr>
              <w:t>此次三苏遗址遗迹专项调查的范围为四川省行政区域内苏洵、苏轼、苏辙及其近亲属，生活、学习和其他活动遗留，包括古遗址、古墓葬、古建筑及石刻等地上、地下、水下的不可移动文物。进一步摸清、摸透三苏遗址遗迹文物点总量以及不同文物级别数量，做好三苏遗址遗迹中新发现不可移动文物的研究阐释，高质量完成三苏遗址遗迹专项调查工作，将三苏文化遗产保护事业的整体水平推进到一个新的高度，为三苏文化遗产久远规划及保护提供依据。</w:t>
            </w:r>
          </w:p>
          <w:p>
            <w:pPr>
              <w:pStyle w:val="null3"/>
              <w:spacing w:before="150" w:after="150"/>
              <w:ind w:firstLine="480"/>
              <w:jc w:val="both"/>
            </w:pPr>
            <w:r>
              <w:rPr>
                <w:rFonts w:ascii="仿宋_GB2312" w:hAnsi="仿宋_GB2312" w:cs="仿宋_GB2312" w:eastAsia="仿宋_GB2312"/>
                <w:sz w:val="24"/>
              </w:rPr>
              <w:t>3.三国文化遗迹专项调查</w:t>
            </w:r>
          </w:p>
          <w:p>
            <w:pPr>
              <w:pStyle w:val="null3"/>
              <w:spacing w:before="150" w:after="150"/>
              <w:ind w:firstLine="480"/>
              <w:jc w:val="both"/>
            </w:pPr>
            <w:r>
              <w:rPr>
                <w:rFonts w:ascii="仿宋_GB2312" w:hAnsi="仿宋_GB2312" w:cs="仿宋_GB2312" w:eastAsia="仿宋_GB2312"/>
                <w:sz w:val="24"/>
              </w:rPr>
              <w:t>本次专项调查的调查对象为三国文化遗存。结合成都武侯祠博物馆日常开展的</w:t>
            </w:r>
            <w:r>
              <w:rPr>
                <w:rFonts w:ascii="仿宋_GB2312" w:hAnsi="仿宋_GB2312" w:cs="仿宋_GB2312" w:eastAsia="仿宋_GB2312"/>
                <w:sz w:val="24"/>
              </w:rPr>
              <w:t>“全国三国文化遗存调查”项目相关经验和界定，“三国文化遗存”指三国历史产生和衍生的实体遗留及其所在地和展现文化行为、开展文化活动的空间、场所及区域。标准上包括三国时期的遗存、三国时期元素为核心组成部分的遗存、三国文化元素决定了命名的遗存、三国文化元素影响到区域民众普遍认知的遗存等。类型上包括遗址、墓葬、祠庙、工程遗迹、地名符号、历史事件发生地、附会传说的遗迹和地点。</w:t>
            </w:r>
          </w:p>
          <w:p>
            <w:pPr>
              <w:pStyle w:val="null3"/>
              <w:spacing w:before="150" w:after="150"/>
              <w:ind w:firstLine="480"/>
              <w:jc w:val="both"/>
            </w:pPr>
            <w:r>
              <w:rPr>
                <w:rFonts w:ascii="仿宋_GB2312" w:hAnsi="仿宋_GB2312" w:cs="仿宋_GB2312" w:eastAsia="仿宋_GB2312"/>
                <w:sz w:val="24"/>
              </w:rPr>
              <w:t>4.杜甫文化遗迹专项调查</w:t>
            </w:r>
          </w:p>
          <w:p>
            <w:pPr>
              <w:pStyle w:val="null3"/>
              <w:spacing w:before="150" w:after="150"/>
              <w:ind w:firstLine="480"/>
              <w:jc w:val="both"/>
            </w:pPr>
            <w:r>
              <w:rPr>
                <w:rFonts w:ascii="仿宋_GB2312" w:hAnsi="仿宋_GB2312" w:cs="仿宋_GB2312" w:eastAsia="仿宋_GB2312"/>
                <w:sz w:val="24"/>
              </w:rPr>
              <w:t>本项目通过全面调查四川省内的杜甫文化和旅游资源，旨在摸清资源底数，加强保护管理，深入挖掘文化内涵，推动杜甫文化、诗歌文化的传承与发展，助力地方经济社会发展和文化繁荣。</w:t>
            </w:r>
          </w:p>
          <w:p>
            <w:pPr>
              <w:pStyle w:val="null3"/>
              <w:spacing w:before="150" w:after="150"/>
              <w:ind w:firstLine="480"/>
              <w:jc w:val="both"/>
            </w:pPr>
            <w:r>
              <w:rPr>
                <w:rFonts w:ascii="仿宋_GB2312" w:hAnsi="仿宋_GB2312" w:cs="仿宋_GB2312" w:eastAsia="仿宋_GB2312"/>
                <w:sz w:val="24"/>
              </w:rPr>
              <w:t>本次专项调查的对象为杜甫文化遗迹。结合成都杜甫草堂博物馆曾于川内开展的</w:t>
            </w:r>
            <w:r>
              <w:rPr>
                <w:rFonts w:ascii="仿宋_GB2312" w:hAnsi="仿宋_GB2312" w:cs="仿宋_GB2312" w:eastAsia="仿宋_GB2312"/>
                <w:sz w:val="24"/>
              </w:rPr>
              <w:t>“杜甫行踪遗迹调查”项目相关经验和界定，“杜甫文化遗迹”指杜甫行踪曾到过的既有的遗迹、杜诗提到的遗迹以及蜀人为纪念杜甫而建的遗迹。类型上包括杜甫故居、行踪遗迹点位、祠堂、碑刻、遗址。</w:t>
            </w:r>
          </w:p>
          <w:p>
            <w:pPr>
              <w:pStyle w:val="null3"/>
              <w:spacing w:before="150" w:after="150"/>
              <w:ind w:firstLine="480"/>
              <w:jc w:val="both"/>
            </w:pPr>
            <w:r>
              <w:rPr>
                <w:rFonts w:ascii="仿宋_GB2312" w:hAnsi="仿宋_GB2312" w:cs="仿宋_GB2312" w:eastAsia="仿宋_GB2312"/>
                <w:sz w:val="24"/>
              </w:rPr>
              <w:t>5.文庙（书院）专项调查</w:t>
            </w:r>
          </w:p>
          <w:p>
            <w:pPr>
              <w:pStyle w:val="null3"/>
              <w:spacing w:before="150" w:after="150"/>
              <w:ind w:firstLine="480"/>
              <w:jc w:val="both"/>
            </w:pPr>
            <w:r>
              <w:rPr>
                <w:rFonts w:ascii="仿宋_GB2312" w:hAnsi="仿宋_GB2312" w:cs="仿宋_GB2312" w:eastAsia="仿宋_GB2312"/>
                <w:sz w:val="24"/>
              </w:rPr>
              <w:t>调查对象为全省范围内的文庙和书院。据第三次全国文物普查数据，全省有文庙</w:t>
            </w:r>
            <w:r>
              <w:rPr>
                <w:rFonts w:ascii="仿宋_GB2312" w:hAnsi="仿宋_GB2312" w:cs="仿宋_GB2312" w:eastAsia="仿宋_GB2312"/>
                <w:sz w:val="24"/>
              </w:rPr>
              <w:t>42处、书院24处。现存的文庙中，布局完整的约11处，书院基本没有布局完整的。从时代而言，有明代的，但基本限于单体建筑，建筑群的整体时代以清代为主。建筑结构中轴线上为抬梁穿斗混合式，中轴线两侧为穿斗式构架。本次专项调查，依据第四次全国文物普查的相关标准，对全省文庙、书院逐一进行实地调查，采集基础信息，完成专项调查报告。</w:t>
            </w:r>
          </w:p>
          <w:p>
            <w:pPr>
              <w:pStyle w:val="null3"/>
              <w:ind w:firstLine="480"/>
              <w:jc w:val="both"/>
            </w:pPr>
            <w:r>
              <w:rPr>
                <w:rFonts w:ascii="仿宋_GB2312" w:hAnsi="仿宋_GB2312" w:cs="仿宋_GB2312" w:eastAsia="仿宋_GB2312"/>
                <w:sz w:val="24"/>
              </w:rPr>
              <w:t>（二）服务要求</w:t>
            </w:r>
          </w:p>
          <w:p>
            <w:pPr>
              <w:pStyle w:val="null3"/>
              <w:ind w:firstLine="480"/>
              <w:jc w:val="both"/>
            </w:pPr>
            <w:r>
              <w:rPr>
                <w:rFonts w:ascii="仿宋_GB2312" w:hAnsi="仿宋_GB2312" w:cs="仿宋_GB2312" w:eastAsia="仿宋_GB2312"/>
                <w:sz w:val="24"/>
              </w:rPr>
              <w:t>资料梳理。以第三次全国文物普查资料、四川省文物旅游资源普查资料为基础，梳理相关文物信息，进行资料收集。</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成果要求</w:t>
            </w:r>
          </w:p>
          <w:p>
            <w:pPr>
              <w:pStyle w:val="null3"/>
              <w:ind w:firstLine="480"/>
              <w:jc w:val="both"/>
            </w:pPr>
            <w:r>
              <w:rPr>
                <w:rFonts w:ascii="仿宋_GB2312" w:hAnsi="仿宋_GB2312" w:cs="仿宋_GB2312" w:eastAsia="仿宋_GB2312"/>
                <w:sz w:val="24"/>
              </w:rPr>
              <w:t>对上述各专项调查内容</w:t>
            </w:r>
            <w:r>
              <w:rPr>
                <w:rFonts w:ascii="仿宋_GB2312" w:hAnsi="仿宋_GB2312" w:cs="仿宋_GB2312" w:eastAsia="仿宋_GB2312"/>
                <w:sz w:val="24"/>
              </w:rPr>
              <w:t>进行目录汇总、图件绘制、不可移动文物现状与发展态势分析、生成专项分类目录成果、图件成果、报告成果、数据库成果</w:t>
            </w:r>
            <w:r>
              <w:rPr>
                <w:rFonts w:ascii="仿宋_GB2312" w:hAnsi="仿宋_GB2312" w:cs="仿宋_GB2312" w:eastAsia="仿宋_GB2312"/>
                <w:sz w:val="24"/>
              </w:rPr>
              <w:t>、</w:t>
            </w:r>
            <w:r>
              <w:rPr>
                <w:rFonts w:ascii="仿宋_GB2312" w:hAnsi="仿宋_GB2312" w:cs="仿宋_GB2312" w:eastAsia="仿宋_GB2312"/>
                <w:sz w:val="24"/>
              </w:rPr>
              <w:t>基础数据、并形成专项调查报告，并</w:t>
            </w:r>
            <w:r>
              <w:rPr>
                <w:rFonts w:ascii="仿宋_GB2312" w:hAnsi="仿宋_GB2312" w:cs="仿宋_GB2312" w:eastAsia="仿宋_GB2312"/>
                <w:sz w:val="24"/>
              </w:rPr>
              <w:t>根据采购人要求提供相应份数的纸质档及电子档报告资料</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合同签订之日起30日内完成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号)的要求、采购文件的质量要求和技术指标、供应商的响应文件以及承诺、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1、预付款，合同签订后，采购人收到供应商提供的真实有效、合法等额发票后，达到付款条件起10日内，支付合同总金额的60.00%</w:t>
            </w:r>
          </w:p>
          <w:p>
            <w:pPr>
              <w:pStyle w:val="null3"/>
              <w:jc w:val="left"/>
            </w:pPr>
            <w:r>
              <w:rPr>
                <w:rFonts w:ascii="仿宋_GB2312" w:hAnsi="仿宋_GB2312" w:cs="仿宋_GB2312" w:eastAsia="仿宋_GB2312"/>
              </w:rPr>
              <w:t>2、尾款，服务完成并通过验收后，采购人收到供应商提供的真实有效、合法等额发票后，达到付款条件起10日内，支付合同总金额的40.00%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①双方必须遵守本合同并执行合同中的各项规定，保证本合同的合法正常履行。 ②如因供应商工作人员在履行职务过程中的疏忽、失职、过错等故意或者过失原因给采购人造成损失或者侵害，包括采购人本身的财产损失、因此而导致的采购人对任何第三方的法律责任，供应商对此均应承担全部的赔偿责任。 ③除另有约定外，供应商提供的成果(服务内容)不符合合同要求的，采购人有权要求供应商进行整改直到到达采购人要求为止，若供应商拒绝整改或未按采购人要求整改的，采购人有权无条件解除本合同，并根据合同履行情况要求供应商退还已收取的费用及利息，供应商还应另行向采购人支付5%的违约金。 ④采购人无正当理由逾期未按照合同约定付款的，则每日按应付而未付款金额的 1‰向供应商偿付违约金，但累计违约金总额不超过应付而未付款总额的2%。 ⑤供应商保证本合同所提供服务的权利无瑕疵，包括知识产权等权利无瑕疵，不侵犯任何第三方的合法权益。如任何第三方经法院（或仲裁机构）裁决有权对上述产品主张权利，由供应商承担经济责任的，采购人有权解除合同并根据合同履行情况要求供应商返还相应款项及利息，供应商还应另按合同总价的 5%向采购人支付违约金并赔偿因此给采购人造成的一切损失，包括采购人因诉讼产生的律师费、诉讼费等费用。 ⑥如果供应商违反保密义务的，采购人有权解除本合同并要求供应商赔偿合同总金额15%的违约金，供应商还应根据合同履行情况退还采购人已支付的相应款项及利息。供应商及涉事人员还需承担相关的法律责任。2.争议解决办法 （1）合同履行期间，若双方发生争议，双方协商或调解解决。 （2）双方协商或调解不成的，向采购人所在地人民法院起诉。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下内容无需供应商进行应答，供应商根据自身实际情况，按照5.4.2.评审细则及标准的规定提供相关资料即可，若未提供不影响响应文件的有效性）1、供应商提供项目服务方案，包括：①项目背景及区域概况；②项目实施方案；③调查技术措施；④工作进度安排；⑤人员职责分工；⑥管理制度方案；⑦质量保障方案。 2、供应商提供安全措施，包括：①应急预案；②安全管理及保证措施。 3、供应商为本项目提供的服务团队： 项目负责人（1人）具有文物博物类或考古类中级职称或以上职称。 拟派其他团队成员（不含项目负责人）：具有文物博物类或考古类中级职称及以上职称。 4、2022年1月1日（含）至递交响应文件截止之日，具有类似业绩。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在磋商过程中，磋商小组在获得采购人代表确认的前提下，可以根据磋商情况实质性变动第三章</w:t>
      </w:r>
      <w:r>
        <w:rPr>
          <w:rFonts w:ascii="仿宋_GB2312" w:hAnsi="仿宋_GB2312" w:cs="仿宋_GB2312" w:eastAsia="仿宋_GB2312"/>
          <w:sz w:val="21"/>
        </w:rPr>
        <w:t>“技术、服务及其他要求”的“3.2.技术要求”中的内容。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①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材料提供任意一项均可。</w:t>
            </w:r>
          </w:p>
        </w:tc>
        <w:tc>
          <w:tcPr>
            <w:tcW w:type="dxa" w:w="1910"/>
          </w:tcPr>
          <w:p>
            <w:pPr>
              <w:pStyle w:val="null3"/>
              <w:jc w:val="left"/>
            </w:pPr>
            <w:r>
              <w:rPr>
                <w:rFonts w:ascii="仿宋_GB2312" w:hAnsi="仿宋_GB2312" w:cs="仿宋_GB2312" w:eastAsia="仿宋_GB2312"/>
              </w:rPr>
              <w:t>响应文件封面,供应商应提供的其他相关证明材料.docx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A、可提供2022年度（含）至今（任意一年度）经审计的财务报告（包含审计报告和审计报告中所涉及的财务报表和报表附注）；</w:t>
              <w:br/>
              <w:t>B、也可提供2022年度（含）至今（任意一年度）供应商内部的财务报表（财务报表内容至少包含并体现资产负债情况）；</w:t>
              <w:br/>
              <w:t>C、也可提供截止响应文件递交截止日一年内其基本开户银行出具的资信证明；</w:t>
              <w:br/>
              <w:t>D、供应商注册时间截止响应文件递交截止日不足一年的，也可提供经备案的公司章程；</w:t>
              <w:br/>
              <w:t>E、若为事业单位或其他组织(不具备法人条件的组织，如合伙组织、个体工商户、农村承包经营户等)或自然人时，则可提供具有健全的财务会计制度的承诺函。</w:t>
              <w:br/>
              <w:t>注：以上A、B、C、D、E具有同等法律效力，提供任意一项均可。</w:t>
            </w:r>
          </w:p>
        </w:tc>
        <w:tc>
          <w:tcPr>
            <w:tcW w:type="dxa" w:w="1910"/>
          </w:tcPr>
          <w:p>
            <w:pPr>
              <w:pStyle w:val="null3"/>
              <w:jc w:val="left"/>
            </w:pPr>
            <w:r>
              <w:rPr>
                <w:rFonts w:ascii="仿宋_GB2312" w:hAnsi="仿宋_GB2312" w:cs="仿宋_GB2312" w:eastAsia="仿宋_GB2312"/>
              </w:rPr>
              <w:t>供应商应提供的其他相关证明材料.docx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在磋商过程中，磋商小组认为供应商报价低于采购预算50%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书面说明应当按照国家财务会计制度的规定要求，逐项就供应商提供的货物、工程和服务的主营业务成 本(应根据供应商企业类型予以区别)、税金及附加、销售费用、管理费用、财务费用等成本构成事项详细陈述。)</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第三章 技术、服务及其他要求中的“3.2.技术要求”中标注“★”的要求均为实质性要求，不允许有负偏离。</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3.3.2.商务要求</w:t>
            </w:r>
          </w:p>
        </w:tc>
        <w:tc>
          <w:tcPr>
            <w:tcW w:type="dxa" w:w="3322"/>
          </w:tcPr>
          <w:p>
            <w:pPr>
              <w:pStyle w:val="null3"/>
              <w:jc w:val="left"/>
            </w:pPr>
            <w:r>
              <w:rPr>
                <w:rFonts w:ascii="仿宋_GB2312" w:hAnsi="仿宋_GB2312" w:cs="仿宋_GB2312" w:eastAsia="仿宋_GB2312"/>
              </w:rPr>
              <w:t>第三章 技术、服务及其他要求的“3.3.2.商务要求”中标注“★”的要求中标注“★”的要求均为实质性要求，不允许有负偏离。</w:t>
            </w:r>
          </w:p>
        </w:tc>
        <w:tc>
          <w:tcPr>
            <w:tcW w:type="dxa" w:w="1910"/>
          </w:tcPr>
          <w:p>
            <w:pPr>
              <w:pStyle w:val="null3"/>
              <w:jc w:val="left"/>
            </w:pPr>
            <w:r>
              <w:rPr>
                <w:rFonts w:ascii="仿宋_GB2312" w:hAnsi="仿宋_GB2312" w:cs="仿宋_GB2312" w:eastAsia="仿宋_GB2312"/>
              </w:rPr>
              <w:t>商务要求应答表.docx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审委员会依据本采购文件要求的其他实质性要求，对符合资格的响应文件进行审查，以确定其是否满足本采购文件的其他实质性要求。本项目符合性审查事项仅限于本采购文件的明确规定。响应文件是否满足采购文件的实质性要求，必须以本采购文件的明确规定作为依据，否则，不能对响应文件作为无效处理，评审委员会不得臆测符合性审查事项。</w:t>
            </w:r>
          </w:p>
        </w:tc>
        <w:tc>
          <w:tcPr>
            <w:tcW w:type="dxa" w:w="1910"/>
          </w:tcPr>
          <w:p>
            <w:pPr>
              <w:pStyle w:val="null3"/>
              <w:jc w:val="left"/>
            </w:pPr>
            <w:r>
              <w:rPr>
                <w:rFonts w:ascii="仿宋_GB2312" w:hAnsi="仿宋_GB2312" w:cs="仿宋_GB2312" w:eastAsia="仿宋_GB2312"/>
              </w:rPr>
              <w:t>关于竞争性磋商文件“第二章实质性要求”的承诺函（实质性要求）.docx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服务团队</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提供项目服务方案，包括：①项目背景及区域概况；②项目实施方案；③调查技术措施；④工作进度安排；⑤人员职责分工；⑥管理制度方案；⑦质量保障方案。涵盖以上内容且不存在缺陷的得42分，在此基础上，每缺少一项内容扣6分，每有一处内容存在缺陷扣3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安全措施</w:t>
            </w:r>
          </w:p>
        </w:tc>
        <w:tc>
          <w:tcPr>
            <w:tcW w:type="dxa" w:w="2575"/>
          </w:tcPr>
          <w:p>
            <w:pPr>
              <w:pStyle w:val="null3"/>
              <w:jc w:val="left"/>
            </w:pPr>
            <w:r>
              <w:rPr>
                <w:rFonts w:ascii="仿宋_GB2312" w:hAnsi="仿宋_GB2312" w:cs="仿宋_GB2312" w:eastAsia="仿宋_GB2312"/>
              </w:rPr>
              <w:t>供应商提供安全措施，包括：①应急预案；②安全管理及保证措施。涵盖以上内容且不存在缺陷的得8分，在此基础上，每缺少一项内容扣4分，每有一处内容存在缺陷扣2分，扣完为止。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安全措施.docx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供应商为本项目提供的服务团队中： 项目负责人（1人）：具有文物博物类或考古类中级职称的得3分；具有文物博物类或考古类高级（含）或以上职称的得5分；不提供不得分；本项最高得5分。 拟派其他团队成员（不含项目负责人）：每有一人具有文物博物类或考古类中级（含）及以上职称得 4分；不提供不得分；本项最高得20分。 注：1、提供以上人员相关职称证书证明材料并加盖供应商公章。2、提供以上人员在职证明或合法雇佣关系证明或承诺函（承诺：以上人员在中标（成交）后并在签订政府采购合同前向采购人出具与该人员签订的在职证明或合法雇佣关系证明）并加盖供应商公章。3、以上人员不可兼职，不重复计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服务团队证明材料.docx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2022年1月1日（含）至递交响应文件截止之日，供应商每具有1个类似业绩的，得3分，最多得15分。 注：1、类似业绩是指：文物资源调查或区域考古调查或文物考古专项调查服务类项目。2、提供合同复印件证明材料并加盖供应商公章。3、类似业绩评分认定时间以合同签订时间为准。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详见附件：安全措施.docx</w:t>
      </w:r>
    </w:p>
    <w:p>
      <w:pPr>
        <w:pStyle w:val="null3"/>
        <w:ind w:firstLine="960"/>
        <w:jc w:val="left"/>
      </w:pPr>
      <w:r>
        <w:rPr>
          <w:rFonts w:ascii="仿宋_GB2312" w:hAnsi="仿宋_GB2312" w:cs="仿宋_GB2312" w:eastAsia="仿宋_GB2312"/>
        </w:rPr>
        <w:t>详见附件：服务团队证明材料.docx</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详见附件：关于竞争性磋商文件“第二章实质性要求”的承诺函（实质性要求）.docx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